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90363">
      <w:pPr>
        <w:pStyle w:val="1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一、建设项目基本情况</w:t>
      </w:r>
    </w:p>
    <w:tbl>
      <w:tblPr>
        <w:tblStyle w:val="31"/>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1"/>
        <w:gridCol w:w="2439"/>
        <w:gridCol w:w="1864"/>
        <w:gridCol w:w="3093"/>
      </w:tblGrid>
      <w:tr w14:paraId="4769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3" w:type="dxa"/>
            <w:noWrap w:val="0"/>
            <w:tcMar>
              <w:top w:w="16" w:type="dxa"/>
              <w:left w:w="16" w:type="dxa"/>
              <w:right w:w="16" w:type="dxa"/>
            </w:tcMar>
            <w:vAlign w:val="center"/>
          </w:tcPr>
          <w:p w14:paraId="3E99A5F6">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建设项目名称</w:t>
            </w:r>
          </w:p>
        </w:tc>
        <w:tc>
          <w:tcPr>
            <w:tcW w:w="7405" w:type="dxa"/>
            <w:gridSpan w:val="3"/>
            <w:noWrap w:val="0"/>
            <w:vAlign w:val="center"/>
          </w:tcPr>
          <w:p w14:paraId="083A0D70">
            <w:pPr>
              <w:keepNext w:val="0"/>
              <w:keepLines w:val="0"/>
              <w:pageBreakBefore w:val="0"/>
              <w:widowControl w:val="0"/>
              <w:kinsoku/>
              <w:overflowPunct/>
              <w:bidi w:val="0"/>
              <w:adjustRightInd w:val="0"/>
              <w:snapToGrid w:val="0"/>
              <w:spacing w:beforeAutospacing="0" w:afterAutospacing="0"/>
              <w:ind w:left="0" w:leftChars="0"/>
              <w:jc w:val="center"/>
              <w:rPr>
                <w:rFonts w:hint="eastAsia" w:eastAsia="宋体"/>
                <w:color w:val="auto"/>
                <w:sz w:val="24"/>
                <w:lang w:eastAsia="zh-CN"/>
              </w:rPr>
            </w:pPr>
            <w:r>
              <w:rPr>
                <w:rFonts w:hint="eastAsia"/>
                <w:color w:val="auto"/>
                <w:sz w:val="24"/>
                <w:lang w:eastAsia="zh-CN"/>
              </w:rPr>
              <w:t>袁庄水厂扩建工程项目</w:t>
            </w:r>
          </w:p>
        </w:tc>
      </w:tr>
      <w:tr w14:paraId="77CF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3" w:type="dxa"/>
            <w:noWrap w:val="0"/>
            <w:tcMar>
              <w:top w:w="16" w:type="dxa"/>
              <w:left w:w="16" w:type="dxa"/>
              <w:right w:w="16" w:type="dxa"/>
            </w:tcMar>
            <w:vAlign w:val="center"/>
          </w:tcPr>
          <w:p w14:paraId="6862ADF4">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项目代码</w:t>
            </w:r>
          </w:p>
        </w:tc>
        <w:tc>
          <w:tcPr>
            <w:tcW w:w="7405" w:type="dxa"/>
            <w:gridSpan w:val="3"/>
            <w:noWrap w:val="0"/>
            <w:vAlign w:val="center"/>
          </w:tcPr>
          <w:p w14:paraId="10F7E0A7">
            <w:pPr>
              <w:keepNext w:val="0"/>
              <w:keepLines w:val="0"/>
              <w:pageBreakBefore w:val="0"/>
              <w:widowControl w:val="0"/>
              <w:kinsoku/>
              <w:overflowPunct/>
              <w:bidi w:val="0"/>
              <w:adjustRightInd w:val="0"/>
              <w:snapToGrid w:val="0"/>
              <w:spacing w:beforeAutospacing="0" w:afterAutospacing="0"/>
              <w:ind w:left="0" w:leftChars="0"/>
              <w:jc w:val="center"/>
              <w:rPr>
                <w:rFonts w:hint="default" w:eastAsia="宋体"/>
                <w:color w:val="auto"/>
                <w:sz w:val="24"/>
                <w:lang w:val="en-US" w:eastAsia="zh-CN"/>
              </w:rPr>
            </w:pPr>
            <w:r>
              <w:rPr>
                <w:rFonts w:hint="eastAsia"/>
                <w:color w:val="auto"/>
                <w:sz w:val="24"/>
                <w:lang w:val="en-US" w:eastAsia="zh-CN"/>
              </w:rPr>
              <w:t>2406-340406-04-01-398660</w:t>
            </w:r>
          </w:p>
        </w:tc>
      </w:tr>
      <w:tr w14:paraId="0515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3" w:type="dxa"/>
            <w:noWrap w:val="0"/>
            <w:tcMar>
              <w:top w:w="16" w:type="dxa"/>
              <w:left w:w="16" w:type="dxa"/>
              <w:right w:w="16" w:type="dxa"/>
            </w:tcMar>
            <w:vAlign w:val="center"/>
          </w:tcPr>
          <w:p w14:paraId="080A741C">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建设单位联系人</w:t>
            </w:r>
          </w:p>
        </w:tc>
        <w:tc>
          <w:tcPr>
            <w:tcW w:w="2442" w:type="dxa"/>
            <w:noWrap w:val="0"/>
            <w:vAlign w:val="center"/>
          </w:tcPr>
          <w:p w14:paraId="77F9B265">
            <w:pPr>
              <w:keepNext w:val="0"/>
              <w:keepLines w:val="0"/>
              <w:pageBreakBefore w:val="0"/>
              <w:widowControl w:val="0"/>
              <w:kinsoku/>
              <w:overflowPunct/>
              <w:bidi w:val="0"/>
              <w:adjustRightInd w:val="0"/>
              <w:snapToGrid w:val="0"/>
              <w:spacing w:beforeAutospacing="0" w:afterAutospacing="0"/>
              <w:ind w:left="0" w:leftChars="0"/>
              <w:jc w:val="center"/>
              <w:rPr>
                <w:rFonts w:hint="default" w:eastAsia="宋体"/>
                <w:color w:val="auto"/>
                <w:sz w:val="24"/>
                <w:lang w:val="en-US" w:eastAsia="zh-CN"/>
              </w:rPr>
            </w:pPr>
            <w:r>
              <w:rPr>
                <w:rFonts w:hint="eastAsia"/>
                <w:color w:val="auto"/>
                <w:sz w:val="24"/>
                <w:lang w:val="en-US" w:eastAsia="zh-CN"/>
              </w:rPr>
              <w:t>王杨</w:t>
            </w:r>
          </w:p>
        </w:tc>
        <w:tc>
          <w:tcPr>
            <w:tcW w:w="1866" w:type="dxa"/>
            <w:noWrap w:val="0"/>
            <w:vAlign w:val="center"/>
          </w:tcPr>
          <w:p w14:paraId="1B781BB1">
            <w:pPr>
              <w:keepNext w:val="0"/>
              <w:keepLines w:val="0"/>
              <w:pageBreakBefore w:val="0"/>
              <w:widowControl w:val="0"/>
              <w:kinsoku/>
              <w:overflowPunct/>
              <w:bidi w:val="0"/>
              <w:adjustRightInd w:val="0"/>
              <w:snapToGrid w:val="0"/>
              <w:spacing w:beforeAutospacing="0" w:afterAutospacing="0"/>
              <w:ind w:left="0" w:leftChars="0"/>
              <w:jc w:val="center"/>
              <w:rPr>
                <w:color w:val="auto"/>
                <w:sz w:val="24"/>
              </w:rPr>
            </w:pPr>
            <w:r>
              <w:rPr>
                <w:color w:val="auto"/>
                <w:sz w:val="24"/>
              </w:rPr>
              <w:t>联系方式</w:t>
            </w:r>
          </w:p>
        </w:tc>
        <w:tc>
          <w:tcPr>
            <w:tcW w:w="3097" w:type="dxa"/>
            <w:noWrap w:val="0"/>
            <w:vAlign w:val="center"/>
          </w:tcPr>
          <w:p w14:paraId="0224004F">
            <w:pPr>
              <w:keepNext w:val="0"/>
              <w:keepLines w:val="0"/>
              <w:pageBreakBefore w:val="0"/>
              <w:widowControl w:val="0"/>
              <w:kinsoku/>
              <w:overflowPunct/>
              <w:bidi w:val="0"/>
              <w:adjustRightInd w:val="0"/>
              <w:snapToGrid w:val="0"/>
              <w:spacing w:beforeAutospacing="0" w:afterAutospacing="0"/>
              <w:ind w:left="0" w:leftChars="0"/>
              <w:jc w:val="center"/>
              <w:rPr>
                <w:rFonts w:hint="default" w:eastAsia="宋体"/>
                <w:color w:val="auto"/>
                <w:sz w:val="24"/>
                <w:lang w:val="en-US" w:eastAsia="zh-CN"/>
              </w:rPr>
            </w:pPr>
            <w:r>
              <w:rPr>
                <w:rFonts w:hint="eastAsia"/>
                <w:color w:val="auto"/>
                <w:sz w:val="24"/>
                <w:lang w:val="en-US" w:eastAsia="zh-CN"/>
              </w:rPr>
              <w:t>13855460789</w:t>
            </w:r>
          </w:p>
        </w:tc>
      </w:tr>
      <w:tr w14:paraId="49FB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3" w:type="dxa"/>
            <w:noWrap w:val="0"/>
            <w:tcMar>
              <w:top w:w="16" w:type="dxa"/>
              <w:left w:w="16" w:type="dxa"/>
              <w:right w:w="16" w:type="dxa"/>
            </w:tcMar>
            <w:vAlign w:val="center"/>
          </w:tcPr>
          <w:p w14:paraId="2446441E">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建设地点</w:t>
            </w:r>
          </w:p>
        </w:tc>
        <w:tc>
          <w:tcPr>
            <w:tcW w:w="7405" w:type="dxa"/>
            <w:gridSpan w:val="3"/>
            <w:noWrap w:val="0"/>
            <w:vAlign w:val="center"/>
          </w:tcPr>
          <w:p w14:paraId="2A297095">
            <w:pPr>
              <w:keepNext w:val="0"/>
              <w:keepLines w:val="0"/>
              <w:pageBreakBefore w:val="0"/>
              <w:widowControl w:val="0"/>
              <w:kinsoku/>
              <w:overflowPunct/>
              <w:bidi w:val="0"/>
              <w:adjustRightInd w:val="0"/>
              <w:snapToGrid w:val="0"/>
              <w:spacing w:beforeAutospacing="0" w:afterAutospacing="0"/>
              <w:ind w:left="0" w:leftChars="0"/>
              <w:jc w:val="center"/>
              <w:rPr>
                <w:rFonts w:hint="eastAsia" w:eastAsia="宋体"/>
                <w:color w:val="auto"/>
                <w:sz w:val="24"/>
                <w:lang w:eastAsia="zh-CN"/>
              </w:rPr>
            </w:pPr>
            <w:r>
              <w:rPr>
                <w:color w:val="auto"/>
                <w:sz w:val="24"/>
                <w:u w:val="none"/>
              </w:rPr>
              <w:t>安徽省</w:t>
            </w:r>
            <w:r>
              <w:rPr>
                <w:rFonts w:hint="eastAsia"/>
                <w:color w:val="auto"/>
                <w:sz w:val="24"/>
                <w:u w:val="none"/>
              </w:rPr>
              <w:t>淮南市潘集区</w:t>
            </w:r>
            <w:r>
              <w:rPr>
                <w:rFonts w:hint="eastAsia"/>
                <w:color w:val="auto"/>
                <w:sz w:val="24"/>
                <w:u w:val="none"/>
                <w:lang w:eastAsia="zh-CN"/>
              </w:rPr>
              <w:t>袁庄</w:t>
            </w:r>
          </w:p>
        </w:tc>
      </w:tr>
      <w:tr w14:paraId="39CF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3" w:type="dxa"/>
            <w:noWrap w:val="0"/>
            <w:tcMar>
              <w:top w:w="16" w:type="dxa"/>
              <w:left w:w="16" w:type="dxa"/>
              <w:right w:w="16" w:type="dxa"/>
            </w:tcMar>
            <w:vAlign w:val="center"/>
          </w:tcPr>
          <w:p w14:paraId="7D48DF3B">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地理坐标</w:t>
            </w:r>
          </w:p>
        </w:tc>
        <w:tc>
          <w:tcPr>
            <w:tcW w:w="7405" w:type="dxa"/>
            <w:gridSpan w:val="3"/>
            <w:noWrap w:val="0"/>
            <w:vAlign w:val="center"/>
          </w:tcPr>
          <w:p w14:paraId="250F0B6B">
            <w:pPr>
              <w:keepNext w:val="0"/>
              <w:keepLines w:val="0"/>
              <w:pageBreakBefore w:val="0"/>
              <w:widowControl w:val="0"/>
              <w:kinsoku/>
              <w:overflowPunct/>
              <w:bidi w:val="0"/>
              <w:spacing w:beforeAutospacing="0" w:afterAutospacing="0"/>
              <w:ind w:left="0" w:leftChars="0"/>
              <w:jc w:val="center"/>
              <w:rPr>
                <w:color w:val="auto"/>
                <w:sz w:val="24"/>
              </w:rPr>
            </w:pPr>
            <w:r>
              <w:rPr>
                <w:color w:val="auto"/>
                <w:sz w:val="24"/>
                <w:u w:val="none"/>
              </w:rPr>
              <w:t>经度：11</w:t>
            </w:r>
            <w:r>
              <w:rPr>
                <w:rFonts w:hint="eastAsia"/>
                <w:color w:val="auto"/>
                <w:sz w:val="24"/>
                <w:u w:val="none"/>
                <w:lang w:val="en-US" w:eastAsia="zh-CN"/>
              </w:rPr>
              <w:t>6</w:t>
            </w:r>
            <w:r>
              <w:rPr>
                <w:color w:val="auto"/>
                <w:sz w:val="24"/>
                <w:u w:val="none"/>
              </w:rPr>
              <w:t>度</w:t>
            </w:r>
            <w:r>
              <w:rPr>
                <w:rFonts w:hint="eastAsia"/>
                <w:color w:val="auto"/>
                <w:sz w:val="24"/>
                <w:u w:val="none"/>
                <w:lang w:val="en-US" w:eastAsia="zh-CN"/>
              </w:rPr>
              <w:t>49</w:t>
            </w:r>
            <w:r>
              <w:rPr>
                <w:color w:val="auto"/>
                <w:sz w:val="24"/>
                <w:u w:val="none"/>
              </w:rPr>
              <w:t>分</w:t>
            </w:r>
            <w:r>
              <w:rPr>
                <w:rFonts w:hint="eastAsia"/>
                <w:color w:val="auto"/>
                <w:sz w:val="24"/>
                <w:u w:val="none"/>
                <w:lang w:val="en-US" w:eastAsia="zh-CN"/>
              </w:rPr>
              <w:t>12.922</w:t>
            </w:r>
            <w:r>
              <w:rPr>
                <w:color w:val="auto"/>
                <w:sz w:val="24"/>
                <w:u w:val="none"/>
              </w:rPr>
              <w:t>秒，</w:t>
            </w:r>
            <w:r>
              <w:rPr>
                <w:rFonts w:hint="eastAsia"/>
                <w:color w:val="auto"/>
                <w:sz w:val="24"/>
                <w:u w:val="none"/>
              </w:rPr>
              <w:t>纬</w:t>
            </w:r>
            <w:r>
              <w:rPr>
                <w:color w:val="auto"/>
                <w:sz w:val="24"/>
                <w:u w:val="none"/>
              </w:rPr>
              <w:t>度：</w:t>
            </w:r>
            <w:r>
              <w:rPr>
                <w:rFonts w:hint="eastAsia"/>
                <w:color w:val="auto"/>
                <w:sz w:val="24"/>
                <w:u w:val="none"/>
              </w:rPr>
              <w:t>3</w:t>
            </w:r>
            <w:r>
              <w:rPr>
                <w:rFonts w:hint="eastAsia"/>
                <w:color w:val="auto"/>
                <w:sz w:val="24"/>
                <w:u w:val="none"/>
                <w:lang w:val="en-US" w:eastAsia="zh-CN"/>
              </w:rPr>
              <w:t>2</w:t>
            </w:r>
            <w:r>
              <w:rPr>
                <w:color w:val="auto"/>
                <w:sz w:val="24"/>
                <w:u w:val="none"/>
              </w:rPr>
              <w:t>度</w:t>
            </w:r>
            <w:r>
              <w:rPr>
                <w:rFonts w:hint="eastAsia"/>
                <w:color w:val="auto"/>
                <w:sz w:val="24"/>
                <w:u w:val="none"/>
                <w:lang w:val="en-US" w:eastAsia="zh-CN"/>
              </w:rPr>
              <w:t>46</w:t>
            </w:r>
            <w:r>
              <w:rPr>
                <w:color w:val="auto"/>
                <w:sz w:val="24"/>
                <w:u w:val="none"/>
              </w:rPr>
              <w:t>分</w:t>
            </w:r>
            <w:r>
              <w:rPr>
                <w:rFonts w:hint="eastAsia"/>
                <w:color w:val="auto"/>
                <w:sz w:val="24"/>
                <w:u w:val="none"/>
                <w:lang w:val="en-US" w:eastAsia="zh-CN"/>
              </w:rPr>
              <w:t>18.787</w:t>
            </w:r>
            <w:r>
              <w:rPr>
                <w:color w:val="auto"/>
                <w:sz w:val="24"/>
                <w:u w:val="none"/>
              </w:rPr>
              <w:t>秒</w:t>
            </w:r>
          </w:p>
        </w:tc>
      </w:tr>
      <w:tr w14:paraId="639F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63" w:type="dxa"/>
            <w:noWrap w:val="0"/>
            <w:tcMar>
              <w:top w:w="16" w:type="dxa"/>
              <w:left w:w="16" w:type="dxa"/>
              <w:right w:w="16" w:type="dxa"/>
            </w:tcMar>
            <w:vAlign w:val="center"/>
          </w:tcPr>
          <w:p w14:paraId="2104DF4A">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国民经济</w:t>
            </w:r>
          </w:p>
          <w:p w14:paraId="53CABD82">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行业类别</w:t>
            </w:r>
          </w:p>
        </w:tc>
        <w:tc>
          <w:tcPr>
            <w:tcW w:w="2442" w:type="dxa"/>
            <w:noWrap w:val="0"/>
            <w:vAlign w:val="center"/>
          </w:tcPr>
          <w:p w14:paraId="749B3019">
            <w:pPr>
              <w:keepNext w:val="0"/>
              <w:keepLines w:val="0"/>
              <w:pageBreakBefore w:val="0"/>
              <w:widowControl w:val="0"/>
              <w:kinsoku/>
              <w:overflowPunct/>
              <w:bidi w:val="0"/>
              <w:adjustRightInd w:val="0"/>
              <w:snapToGrid w:val="0"/>
              <w:spacing w:beforeAutospacing="0" w:afterAutospacing="0"/>
              <w:ind w:left="0" w:leftChars="0"/>
              <w:jc w:val="center"/>
              <w:rPr>
                <w:rFonts w:hint="eastAsia" w:eastAsia="宋体"/>
                <w:color w:val="auto"/>
                <w:sz w:val="24"/>
                <w:lang w:eastAsia="zh-CN"/>
              </w:rPr>
            </w:pPr>
            <w:r>
              <w:rPr>
                <w:rFonts w:hint="eastAsia"/>
                <w:color w:val="auto"/>
                <w:sz w:val="24"/>
              </w:rPr>
              <w:t>D4</w:t>
            </w:r>
            <w:r>
              <w:rPr>
                <w:rFonts w:hint="eastAsia"/>
                <w:color w:val="auto"/>
                <w:sz w:val="24"/>
                <w:lang w:val="en-US" w:eastAsia="zh-CN"/>
              </w:rPr>
              <w:t>610</w:t>
            </w:r>
            <w:r>
              <w:rPr>
                <w:rFonts w:hint="eastAsia"/>
                <w:color w:val="auto"/>
                <w:sz w:val="24"/>
                <w:lang w:eastAsia="zh-CN"/>
              </w:rPr>
              <w:t>自来水生产和供应</w:t>
            </w:r>
          </w:p>
        </w:tc>
        <w:tc>
          <w:tcPr>
            <w:tcW w:w="1866" w:type="dxa"/>
            <w:noWrap w:val="0"/>
            <w:vAlign w:val="center"/>
          </w:tcPr>
          <w:p w14:paraId="18F923B5">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bookmarkStart w:id="0" w:name="_Hlk49843745"/>
            <w:r>
              <w:rPr>
                <w:b/>
                <w:bCs/>
                <w:color w:val="auto"/>
                <w:sz w:val="24"/>
              </w:rPr>
              <w:t>建设项目</w:t>
            </w:r>
          </w:p>
          <w:p w14:paraId="10141E36">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r>
              <w:rPr>
                <w:b/>
                <w:bCs/>
                <w:color w:val="auto"/>
                <w:sz w:val="24"/>
              </w:rPr>
              <w:t>行业类别</w:t>
            </w:r>
            <w:bookmarkEnd w:id="0"/>
          </w:p>
        </w:tc>
        <w:tc>
          <w:tcPr>
            <w:tcW w:w="3097" w:type="dxa"/>
            <w:noWrap w:val="0"/>
            <w:vAlign w:val="center"/>
          </w:tcPr>
          <w:p w14:paraId="4BF21A41">
            <w:pPr>
              <w:keepNext w:val="0"/>
              <w:keepLines w:val="0"/>
              <w:pageBreakBefore w:val="0"/>
              <w:widowControl w:val="0"/>
              <w:kinsoku/>
              <w:overflowPunct/>
              <w:bidi w:val="0"/>
              <w:adjustRightInd w:val="0"/>
              <w:snapToGrid w:val="0"/>
              <w:spacing w:beforeAutospacing="0" w:afterAutospacing="0"/>
              <w:ind w:left="0" w:leftChars="0"/>
              <w:rPr>
                <w:color w:val="auto"/>
                <w:sz w:val="24"/>
              </w:rPr>
            </w:pPr>
            <w:r>
              <w:rPr>
                <w:rFonts w:hint="eastAsia"/>
                <w:color w:val="auto"/>
                <w:sz w:val="24"/>
                <w:lang w:eastAsia="zh-CN"/>
              </w:rPr>
              <w:t>94.自来水生产和供应461（不含供应工程；不含村庄供应工程）</w:t>
            </w:r>
          </w:p>
        </w:tc>
      </w:tr>
      <w:tr w14:paraId="62D4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63" w:type="dxa"/>
            <w:noWrap w:val="0"/>
            <w:tcMar>
              <w:top w:w="16" w:type="dxa"/>
              <w:left w:w="16" w:type="dxa"/>
              <w:right w:w="16" w:type="dxa"/>
            </w:tcMar>
            <w:vAlign w:val="center"/>
          </w:tcPr>
          <w:p w14:paraId="2D758A94">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建设性质</w:t>
            </w:r>
          </w:p>
        </w:tc>
        <w:tc>
          <w:tcPr>
            <w:tcW w:w="2442" w:type="dxa"/>
            <w:noWrap w:val="0"/>
            <w:vAlign w:val="center"/>
          </w:tcPr>
          <w:p w14:paraId="5F916E40">
            <w:pPr>
              <w:keepNext w:val="0"/>
              <w:keepLines w:val="0"/>
              <w:pageBreakBefore w:val="0"/>
              <w:widowControl w:val="0"/>
              <w:kinsoku/>
              <w:overflowPunct/>
              <w:bidi w:val="0"/>
              <w:spacing w:beforeAutospacing="0" w:afterAutospacing="0"/>
              <w:ind w:left="0" w:leftChars="0"/>
              <w:jc w:val="left"/>
              <w:rPr>
                <w:color w:val="auto"/>
                <w:sz w:val="24"/>
              </w:rPr>
            </w:pPr>
            <w:r>
              <w:rPr>
                <w:color w:val="auto"/>
                <w:sz w:val="24"/>
              </w:rPr>
              <w:sym w:font="Wingdings 2" w:char="00A3"/>
            </w:r>
            <w:r>
              <w:rPr>
                <w:color w:val="auto"/>
                <w:sz w:val="24"/>
              </w:rPr>
              <w:t>新建（迁建）</w:t>
            </w:r>
          </w:p>
          <w:p w14:paraId="4EBD49B9">
            <w:pPr>
              <w:keepNext w:val="0"/>
              <w:keepLines w:val="0"/>
              <w:pageBreakBefore w:val="0"/>
              <w:widowControl w:val="0"/>
              <w:kinsoku/>
              <w:overflowPunct/>
              <w:bidi w:val="0"/>
              <w:spacing w:beforeAutospacing="0" w:afterAutospacing="0"/>
              <w:ind w:left="0" w:leftChars="0"/>
              <w:jc w:val="left"/>
              <w:rPr>
                <w:color w:val="auto"/>
                <w:sz w:val="24"/>
              </w:rPr>
            </w:pPr>
            <w:r>
              <w:rPr>
                <w:color w:val="auto"/>
                <w:sz w:val="24"/>
              </w:rPr>
              <w:t>□改建</w:t>
            </w:r>
          </w:p>
          <w:p w14:paraId="3D04D6B3">
            <w:pPr>
              <w:keepNext w:val="0"/>
              <w:keepLines w:val="0"/>
              <w:pageBreakBefore w:val="0"/>
              <w:widowControl w:val="0"/>
              <w:kinsoku/>
              <w:overflowPunct/>
              <w:bidi w:val="0"/>
              <w:spacing w:beforeAutospacing="0" w:afterAutospacing="0"/>
              <w:ind w:left="0" w:leftChars="0"/>
              <w:jc w:val="left"/>
              <w:rPr>
                <w:color w:val="auto"/>
                <w:sz w:val="24"/>
              </w:rPr>
            </w:pPr>
            <w:r>
              <w:rPr>
                <w:color w:val="auto"/>
                <w:sz w:val="24"/>
              </w:rPr>
              <w:sym w:font="Wingdings 2" w:char="0052"/>
            </w:r>
            <w:r>
              <w:rPr>
                <w:color w:val="auto"/>
                <w:sz w:val="24"/>
              </w:rPr>
              <w:t>扩建</w:t>
            </w:r>
          </w:p>
          <w:p w14:paraId="63F2DE30">
            <w:pPr>
              <w:keepNext w:val="0"/>
              <w:keepLines w:val="0"/>
              <w:pageBreakBefore w:val="0"/>
              <w:widowControl w:val="0"/>
              <w:kinsoku/>
              <w:overflowPunct/>
              <w:bidi w:val="0"/>
              <w:spacing w:beforeAutospacing="0" w:afterAutospacing="0"/>
              <w:ind w:left="0" w:leftChars="0"/>
              <w:jc w:val="left"/>
              <w:rPr>
                <w:color w:val="auto"/>
                <w:sz w:val="24"/>
              </w:rPr>
            </w:pPr>
            <w:r>
              <w:rPr>
                <w:color w:val="auto"/>
                <w:sz w:val="24"/>
              </w:rPr>
              <w:t>□技术改造</w:t>
            </w:r>
          </w:p>
        </w:tc>
        <w:tc>
          <w:tcPr>
            <w:tcW w:w="1866" w:type="dxa"/>
            <w:noWrap w:val="0"/>
            <w:vAlign w:val="center"/>
          </w:tcPr>
          <w:p w14:paraId="16491FE9">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r>
              <w:rPr>
                <w:b/>
                <w:bCs/>
                <w:color w:val="auto"/>
                <w:sz w:val="24"/>
              </w:rPr>
              <w:t>建设项目</w:t>
            </w:r>
          </w:p>
          <w:p w14:paraId="342C2E84">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r>
              <w:rPr>
                <w:b/>
                <w:bCs/>
                <w:color w:val="auto"/>
                <w:sz w:val="24"/>
              </w:rPr>
              <w:t>申报情形</w:t>
            </w:r>
          </w:p>
        </w:tc>
        <w:tc>
          <w:tcPr>
            <w:tcW w:w="3097" w:type="dxa"/>
            <w:noWrap w:val="0"/>
            <w:vAlign w:val="center"/>
          </w:tcPr>
          <w:p w14:paraId="653BDB7B">
            <w:pPr>
              <w:keepNext w:val="0"/>
              <w:keepLines w:val="0"/>
              <w:pageBreakBefore w:val="0"/>
              <w:widowControl w:val="0"/>
              <w:kinsoku/>
              <w:overflowPunct/>
              <w:bidi w:val="0"/>
              <w:spacing w:beforeAutospacing="0" w:afterAutospacing="0"/>
              <w:ind w:left="0" w:leftChars="0"/>
              <w:jc w:val="left"/>
              <w:rPr>
                <w:color w:val="auto"/>
                <w:sz w:val="24"/>
              </w:rPr>
            </w:pPr>
            <w:r>
              <w:rPr>
                <w:color w:val="auto"/>
                <w:sz w:val="24"/>
              </w:rPr>
              <w:sym w:font="Wingdings 2" w:char="0052"/>
            </w:r>
            <w:r>
              <w:rPr>
                <w:color w:val="auto"/>
                <w:sz w:val="24"/>
              </w:rPr>
              <w:t xml:space="preserve">首次申报项目             </w:t>
            </w:r>
          </w:p>
          <w:p w14:paraId="60243842">
            <w:pPr>
              <w:keepNext w:val="0"/>
              <w:keepLines w:val="0"/>
              <w:pageBreakBefore w:val="0"/>
              <w:widowControl w:val="0"/>
              <w:kinsoku/>
              <w:overflowPunct/>
              <w:bidi w:val="0"/>
              <w:spacing w:beforeAutospacing="0" w:afterAutospacing="0"/>
              <w:ind w:left="0" w:leftChars="0"/>
              <w:jc w:val="left"/>
              <w:rPr>
                <w:color w:val="auto"/>
                <w:sz w:val="24"/>
              </w:rPr>
            </w:pPr>
            <w:r>
              <w:rPr>
                <w:color w:val="auto"/>
                <w:sz w:val="24"/>
              </w:rPr>
              <w:t>□不予批准后再次申报项目</w:t>
            </w:r>
          </w:p>
          <w:p w14:paraId="00BF7381">
            <w:pPr>
              <w:keepNext w:val="0"/>
              <w:keepLines w:val="0"/>
              <w:pageBreakBefore w:val="0"/>
              <w:widowControl w:val="0"/>
              <w:kinsoku/>
              <w:overflowPunct/>
              <w:bidi w:val="0"/>
              <w:spacing w:beforeAutospacing="0" w:afterAutospacing="0"/>
              <w:ind w:left="0" w:leftChars="0"/>
              <w:jc w:val="left"/>
              <w:rPr>
                <w:color w:val="auto"/>
                <w:sz w:val="24"/>
              </w:rPr>
            </w:pPr>
            <w:r>
              <w:rPr>
                <w:color w:val="auto"/>
                <w:sz w:val="24"/>
              </w:rPr>
              <w:sym w:font="Wingdings 2" w:char="00A3"/>
            </w:r>
            <w:r>
              <w:rPr>
                <w:color w:val="auto"/>
                <w:sz w:val="24"/>
              </w:rPr>
              <w:t xml:space="preserve">超五年重新审核项目     </w:t>
            </w:r>
          </w:p>
          <w:p w14:paraId="512C5C9F">
            <w:pPr>
              <w:keepNext w:val="0"/>
              <w:keepLines w:val="0"/>
              <w:pageBreakBefore w:val="0"/>
              <w:widowControl w:val="0"/>
              <w:kinsoku/>
              <w:overflowPunct/>
              <w:bidi w:val="0"/>
              <w:spacing w:beforeAutospacing="0" w:afterAutospacing="0"/>
              <w:ind w:left="0" w:leftChars="0"/>
              <w:jc w:val="left"/>
              <w:rPr>
                <w:color w:val="auto"/>
                <w:sz w:val="24"/>
              </w:rPr>
            </w:pPr>
            <w:r>
              <w:rPr>
                <w:color w:val="auto"/>
                <w:sz w:val="24"/>
              </w:rPr>
              <w:t>□重大变动重新报批项目</w:t>
            </w:r>
          </w:p>
        </w:tc>
      </w:tr>
      <w:tr w14:paraId="17B8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663" w:type="dxa"/>
            <w:noWrap w:val="0"/>
            <w:tcMar>
              <w:top w:w="16" w:type="dxa"/>
              <w:left w:w="16" w:type="dxa"/>
              <w:right w:w="16" w:type="dxa"/>
            </w:tcMar>
            <w:vAlign w:val="center"/>
          </w:tcPr>
          <w:p w14:paraId="4BE2FFC9">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rFonts w:ascii="Times New Roman" w:hAnsi="Times New Roman" w:eastAsia="宋体" w:cs="Times New Roman"/>
                <w:b/>
                <w:bCs/>
                <w:color w:val="auto"/>
                <w:sz w:val="24"/>
                <w:szCs w:val="24"/>
              </w:rPr>
              <w:t>项目审批（核准/备案）部门</w:t>
            </w:r>
          </w:p>
        </w:tc>
        <w:tc>
          <w:tcPr>
            <w:tcW w:w="2442" w:type="dxa"/>
            <w:noWrap w:val="0"/>
            <w:vAlign w:val="center"/>
          </w:tcPr>
          <w:p w14:paraId="4DDFBB4B">
            <w:pPr>
              <w:keepNext w:val="0"/>
              <w:keepLines w:val="0"/>
              <w:pageBreakBefore w:val="0"/>
              <w:widowControl w:val="0"/>
              <w:kinsoku/>
              <w:overflowPunct/>
              <w:bidi w:val="0"/>
              <w:adjustRightInd w:val="0"/>
              <w:snapToGrid w:val="0"/>
              <w:spacing w:beforeAutospacing="0" w:afterAutospacing="0"/>
              <w:ind w:left="0" w:leftChars="0"/>
              <w:jc w:val="center"/>
              <w:rPr>
                <w:rFonts w:hint="eastAsia"/>
                <w:color w:val="auto"/>
                <w:sz w:val="24"/>
              </w:rPr>
            </w:pPr>
            <w:r>
              <w:rPr>
                <w:rFonts w:hint="eastAsia"/>
                <w:color w:val="auto"/>
                <w:sz w:val="24"/>
                <w:lang w:eastAsia="zh-CN"/>
              </w:rPr>
              <w:t>淮南市</w:t>
            </w:r>
            <w:r>
              <w:rPr>
                <w:rFonts w:hint="eastAsia"/>
                <w:color w:val="auto"/>
                <w:sz w:val="24"/>
              </w:rPr>
              <w:t>发展和改革委员会</w:t>
            </w:r>
          </w:p>
        </w:tc>
        <w:tc>
          <w:tcPr>
            <w:tcW w:w="1866" w:type="dxa"/>
            <w:noWrap w:val="0"/>
            <w:vAlign w:val="center"/>
          </w:tcPr>
          <w:p w14:paraId="7445E9D3">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r>
              <w:rPr>
                <w:b/>
                <w:bCs/>
                <w:color w:val="auto"/>
                <w:sz w:val="24"/>
              </w:rPr>
              <w:t>项目审批（核准/</w:t>
            </w:r>
          </w:p>
          <w:p w14:paraId="2DADA112">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r>
              <w:rPr>
                <w:b/>
                <w:bCs/>
                <w:color w:val="auto"/>
                <w:sz w:val="24"/>
              </w:rPr>
              <w:t>备案）文号</w:t>
            </w:r>
          </w:p>
        </w:tc>
        <w:tc>
          <w:tcPr>
            <w:tcW w:w="3097" w:type="dxa"/>
            <w:noWrap w:val="0"/>
            <w:vAlign w:val="center"/>
          </w:tcPr>
          <w:p w14:paraId="0CB883BC">
            <w:pPr>
              <w:keepNext w:val="0"/>
              <w:keepLines w:val="0"/>
              <w:pageBreakBefore w:val="0"/>
              <w:widowControl w:val="0"/>
              <w:kinsoku/>
              <w:overflowPunct/>
              <w:bidi w:val="0"/>
              <w:adjustRightInd w:val="0"/>
              <w:snapToGrid w:val="0"/>
              <w:spacing w:beforeAutospacing="0" w:afterAutospacing="0"/>
              <w:ind w:left="0" w:leftChars="0"/>
              <w:jc w:val="center"/>
              <w:rPr>
                <w:rFonts w:hint="eastAsia" w:eastAsia="宋体"/>
                <w:color w:val="auto"/>
                <w:sz w:val="24"/>
                <w:lang w:eastAsia="zh-CN"/>
              </w:rPr>
            </w:pPr>
            <w:r>
              <w:rPr>
                <w:rFonts w:hint="eastAsia"/>
                <w:color w:val="auto"/>
                <w:sz w:val="24"/>
                <w:lang w:val="en-US" w:eastAsia="zh-CN"/>
              </w:rPr>
              <w:t>/</w:t>
            </w:r>
          </w:p>
        </w:tc>
      </w:tr>
      <w:tr w14:paraId="6840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3" w:type="dxa"/>
            <w:noWrap w:val="0"/>
            <w:tcMar>
              <w:top w:w="16" w:type="dxa"/>
              <w:left w:w="16" w:type="dxa"/>
              <w:right w:w="16" w:type="dxa"/>
            </w:tcMar>
            <w:vAlign w:val="center"/>
          </w:tcPr>
          <w:p w14:paraId="76D41667">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总投资（万元）</w:t>
            </w:r>
          </w:p>
        </w:tc>
        <w:tc>
          <w:tcPr>
            <w:tcW w:w="2442" w:type="dxa"/>
            <w:noWrap w:val="0"/>
            <w:vAlign w:val="center"/>
          </w:tcPr>
          <w:p w14:paraId="402E303A">
            <w:pPr>
              <w:keepNext w:val="0"/>
              <w:keepLines w:val="0"/>
              <w:pageBreakBefore w:val="0"/>
              <w:widowControl w:val="0"/>
              <w:kinsoku/>
              <w:overflowPunct/>
              <w:bidi w:val="0"/>
              <w:adjustRightInd w:val="0"/>
              <w:snapToGrid w:val="0"/>
              <w:spacing w:beforeAutospacing="0" w:afterAutospacing="0"/>
              <w:ind w:left="0" w:leftChars="0"/>
              <w:jc w:val="center"/>
              <w:rPr>
                <w:rFonts w:hint="default" w:eastAsia="宋体"/>
                <w:color w:val="auto"/>
                <w:sz w:val="24"/>
                <w:lang w:val="en-US" w:eastAsia="zh-CN"/>
              </w:rPr>
            </w:pPr>
            <w:r>
              <w:rPr>
                <w:rFonts w:hint="eastAsia"/>
                <w:color w:val="auto"/>
                <w:sz w:val="24"/>
                <w:lang w:val="en-US" w:eastAsia="zh-CN"/>
              </w:rPr>
              <w:t>9845.76</w:t>
            </w:r>
          </w:p>
        </w:tc>
        <w:tc>
          <w:tcPr>
            <w:tcW w:w="1866" w:type="dxa"/>
            <w:noWrap w:val="0"/>
            <w:tcMar>
              <w:top w:w="16" w:type="dxa"/>
              <w:left w:w="16" w:type="dxa"/>
              <w:right w:w="16" w:type="dxa"/>
            </w:tcMar>
            <w:vAlign w:val="center"/>
          </w:tcPr>
          <w:p w14:paraId="28CB14DE">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r>
              <w:rPr>
                <w:b/>
                <w:bCs/>
                <w:color w:val="auto"/>
                <w:sz w:val="24"/>
              </w:rPr>
              <w:t>环保投资（万元）</w:t>
            </w:r>
          </w:p>
        </w:tc>
        <w:tc>
          <w:tcPr>
            <w:tcW w:w="3097" w:type="dxa"/>
            <w:noWrap w:val="0"/>
            <w:vAlign w:val="center"/>
          </w:tcPr>
          <w:p w14:paraId="37866954">
            <w:pPr>
              <w:keepNext w:val="0"/>
              <w:keepLines w:val="0"/>
              <w:pageBreakBefore w:val="0"/>
              <w:widowControl w:val="0"/>
              <w:kinsoku/>
              <w:overflowPunct/>
              <w:bidi w:val="0"/>
              <w:adjustRightInd w:val="0"/>
              <w:snapToGrid w:val="0"/>
              <w:spacing w:beforeAutospacing="0" w:afterAutospacing="0"/>
              <w:ind w:left="0" w:leftChars="0"/>
              <w:jc w:val="center"/>
              <w:rPr>
                <w:rFonts w:hint="default" w:eastAsia="宋体"/>
                <w:color w:val="auto"/>
                <w:sz w:val="24"/>
                <w:lang w:val="en-US" w:eastAsia="zh-CN"/>
              </w:rPr>
            </w:pPr>
            <w:r>
              <w:rPr>
                <w:rFonts w:hint="eastAsia"/>
                <w:color w:val="auto"/>
                <w:sz w:val="24"/>
                <w:lang w:val="en-US" w:eastAsia="zh-CN"/>
              </w:rPr>
              <w:t>20</w:t>
            </w:r>
          </w:p>
        </w:tc>
      </w:tr>
      <w:tr w14:paraId="7A32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3" w:type="dxa"/>
            <w:noWrap w:val="0"/>
            <w:tcMar>
              <w:top w:w="16" w:type="dxa"/>
              <w:left w:w="16" w:type="dxa"/>
              <w:right w:w="16" w:type="dxa"/>
            </w:tcMar>
            <w:vAlign w:val="center"/>
          </w:tcPr>
          <w:p w14:paraId="7052A8BF">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环保投资占比（%）</w:t>
            </w:r>
          </w:p>
        </w:tc>
        <w:tc>
          <w:tcPr>
            <w:tcW w:w="2442" w:type="dxa"/>
            <w:noWrap w:val="0"/>
            <w:vAlign w:val="center"/>
          </w:tcPr>
          <w:p w14:paraId="1260E661">
            <w:pPr>
              <w:keepNext w:val="0"/>
              <w:keepLines w:val="0"/>
              <w:pageBreakBefore w:val="0"/>
              <w:widowControl w:val="0"/>
              <w:kinsoku/>
              <w:overflowPunct/>
              <w:bidi w:val="0"/>
              <w:adjustRightInd w:val="0"/>
              <w:snapToGrid w:val="0"/>
              <w:spacing w:beforeAutospacing="0" w:afterAutospacing="0"/>
              <w:ind w:left="0" w:leftChars="0"/>
              <w:jc w:val="center"/>
              <w:rPr>
                <w:rFonts w:hint="default" w:eastAsia="宋体"/>
                <w:color w:val="auto"/>
                <w:sz w:val="24"/>
                <w:lang w:val="en-US" w:eastAsia="zh-CN"/>
              </w:rPr>
            </w:pPr>
            <w:r>
              <w:rPr>
                <w:rFonts w:hint="eastAsia"/>
                <w:color w:val="auto"/>
                <w:sz w:val="24"/>
                <w:lang w:val="en-US" w:eastAsia="zh-CN"/>
              </w:rPr>
              <w:t>0.2</w:t>
            </w:r>
          </w:p>
        </w:tc>
        <w:tc>
          <w:tcPr>
            <w:tcW w:w="1866" w:type="dxa"/>
            <w:noWrap w:val="0"/>
            <w:tcMar>
              <w:top w:w="16" w:type="dxa"/>
              <w:left w:w="16" w:type="dxa"/>
              <w:right w:w="16" w:type="dxa"/>
            </w:tcMar>
            <w:vAlign w:val="center"/>
          </w:tcPr>
          <w:p w14:paraId="564C9EAC">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r>
              <w:rPr>
                <w:b/>
                <w:bCs/>
                <w:color w:val="auto"/>
                <w:sz w:val="24"/>
              </w:rPr>
              <w:t>施工工期</w:t>
            </w:r>
          </w:p>
        </w:tc>
        <w:tc>
          <w:tcPr>
            <w:tcW w:w="3097" w:type="dxa"/>
            <w:noWrap w:val="0"/>
            <w:vAlign w:val="center"/>
          </w:tcPr>
          <w:p w14:paraId="38503F35">
            <w:pPr>
              <w:keepNext w:val="0"/>
              <w:keepLines w:val="0"/>
              <w:pageBreakBefore w:val="0"/>
              <w:widowControl w:val="0"/>
              <w:kinsoku/>
              <w:overflowPunct/>
              <w:bidi w:val="0"/>
              <w:adjustRightInd w:val="0"/>
              <w:snapToGrid w:val="0"/>
              <w:spacing w:beforeAutospacing="0" w:afterAutospacing="0"/>
              <w:ind w:left="0" w:leftChars="0"/>
              <w:jc w:val="center"/>
              <w:rPr>
                <w:rFonts w:hint="eastAsia"/>
                <w:color w:val="auto"/>
                <w:sz w:val="24"/>
              </w:rPr>
            </w:pPr>
            <w:r>
              <w:rPr>
                <w:rFonts w:hint="eastAsia"/>
                <w:color w:val="auto"/>
                <w:sz w:val="24"/>
                <w:lang w:val="en-US" w:eastAsia="zh-CN"/>
              </w:rPr>
              <w:t>6</w:t>
            </w:r>
            <w:r>
              <w:rPr>
                <w:rFonts w:hint="eastAsia"/>
                <w:color w:val="auto"/>
                <w:sz w:val="24"/>
              </w:rPr>
              <w:t>个月</w:t>
            </w:r>
          </w:p>
        </w:tc>
      </w:tr>
      <w:tr w14:paraId="0BFB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3" w:type="dxa"/>
            <w:noWrap w:val="0"/>
            <w:tcMar>
              <w:top w:w="16" w:type="dxa"/>
              <w:left w:w="16" w:type="dxa"/>
              <w:right w:w="16" w:type="dxa"/>
            </w:tcMar>
            <w:vAlign w:val="center"/>
          </w:tcPr>
          <w:p w14:paraId="4DA4AB52">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szCs w:val="24"/>
              </w:rPr>
            </w:pPr>
            <w:r>
              <w:rPr>
                <w:b/>
                <w:bCs/>
                <w:color w:val="auto"/>
                <w:sz w:val="24"/>
                <w:szCs w:val="24"/>
              </w:rPr>
              <w:t>是否开工建设</w:t>
            </w:r>
          </w:p>
        </w:tc>
        <w:tc>
          <w:tcPr>
            <w:tcW w:w="2442" w:type="dxa"/>
            <w:noWrap w:val="0"/>
            <w:vAlign w:val="center"/>
          </w:tcPr>
          <w:p w14:paraId="118B77F6">
            <w:pPr>
              <w:keepNext w:val="0"/>
              <w:keepLines w:val="0"/>
              <w:pageBreakBefore w:val="0"/>
              <w:widowControl w:val="0"/>
              <w:kinsoku/>
              <w:overflowPunct/>
              <w:bidi w:val="0"/>
              <w:adjustRightInd w:val="0"/>
              <w:snapToGrid w:val="0"/>
              <w:spacing w:beforeAutospacing="0" w:afterAutospacing="0"/>
              <w:ind w:left="0" w:leftChars="0"/>
              <w:rPr>
                <w:color w:val="auto"/>
                <w:sz w:val="24"/>
              </w:rPr>
            </w:pPr>
            <w:r>
              <w:rPr>
                <w:color w:val="auto"/>
                <w:sz w:val="24"/>
              </w:rPr>
              <w:sym w:font="Wingdings 2" w:char="0052"/>
            </w:r>
            <w:r>
              <w:rPr>
                <w:color w:val="auto"/>
                <w:sz w:val="24"/>
              </w:rPr>
              <w:t>否</w:t>
            </w:r>
          </w:p>
          <w:p w14:paraId="781C9816">
            <w:pPr>
              <w:keepNext w:val="0"/>
              <w:keepLines w:val="0"/>
              <w:pageBreakBefore w:val="0"/>
              <w:widowControl w:val="0"/>
              <w:kinsoku/>
              <w:overflowPunct/>
              <w:bidi w:val="0"/>
              <w:adjustRightInd w:val="0"/>
              <w:snapToGrid w:val="0"/>
              <w:spacing w:beforeAutospacing="0" w:afterAutospacing="0"/>
              <w:ind w:left="0" w:leftChars="0"/>
              <w:rPr>
                <w:color w:val="auto"/>
                <w:sz w:val="24"/>
              </w:rPr>
            </w:pPr>
            <w:r>
              <w:rPr>
                <w:color w:val="auto"/>
                <w:sz w:val="24"/>
              </w:rPr>
              <w:sym w:font="Wingdings 2" w:char="00A3"/>
            </w:r>
            <w:r>
              <w:rPr>
                <w:color w:val="auto"/>
                <w:sz w:val="24"/>
              </w:rPr>
              <w:t>是：</w:t>
            </w:r>
            <w:r>
              <w:rPr>
                <w:color w:val="auto"/>
                <w:sz w:val="24"/>
                <w:u w:val="single"/>
              </w:rPr>
              <w:t xml:space="preserve">             </w:t>
            </w:r>
          </w:p>
        </w:tc>
        <w:tc>
          <w:tcPr>
            <w:tcW w:w="1866" w:type="dxa"/>
            <w:noWrap w:val="0"/>
            <w:tcMar>
              <w:top w:w="16" w:type="dxa"/>
              <w:left w:w="16" w:type="dxa"/>
              <w:right w:w="16" w:type="dxa"/>
            </w:tcMar>
            <w:vAlign w:val="center"/>
          </w:tcPr>
          <w:p w14:paraId="4C92D015">
            <w:pPr>
              <w:keepNext w:val="0"/>
              <w:keepLines w:val="0"/>
              <w:pageBreakBefore w:val="0"/>
              <w:widowControl w:val="0"/>
              <w:kinsoku/>
              <w:overflowPunct/>
              <w:bidi w:val="0"/>
              <w:adjustRightInd w:val="0"/>
              <w:snapToGrid w:val="0"/>
              <w:spacing w:beforeAutospacing="0" w:afterAutospacing="0"/>
              <w:ind w:left="0" w:leftChars="0"/>
              <w:jc w:val="center"/>
              <w:rPr>
                <w:b/>
                <w:bCs/>
                <w:color w:val="auto"/>
                <w:spacing w:val="-6"/>
                <w:sz w:val="24"/>
              </w:rPr>
            </w:pPr>
            <w:r>
              <w:rPr>
                <w:b/>
                <w:bCs/>
                <w:color w:val="auto"/>
                <w:spacing w:val="-6"/>
                <w:sz w:val="24"/>
              </w:rPr>
              <w:t>用地（用海）</w:t>
            </w:r>
          </w:p>
          <w:p w14:paraId="04E4249D">
            <w:pPr>
              <w:keepNext w:val="0"/>
              <w:keepLines w:val="0"/>
              <w:pageBreakBefore w:val="0"/>
              <w:widowControl w:val="0"/>
              <w:kinsoku/>
              <w:overflowPunct/>
              <w:bidi w:val="0"/>
              <w:adjustRightInd w:val="0"/>
              <w:snapToGrid w:val="0"/>
              <w:spacing w:beforeAutospacing="0" w:afterAutospacing="0"/>
              <w:ind w:left="0" w:leftChars="0"/>
              <w:jc w:val="center"/>
              <w:rPr>
                <w:b/>
                <w:bCs/>
                <w:color w:val="auto"/>
                <w:sz w:val="24"/>
              </w:rPr>
            </w:pPr>
            <w:r>
              <w:rPr>
                <w:b/>
                <w:bCs/>
                <w:color w:val="auto"/>
                <w:spacing w:val="-6"/>
                <w:sz w:val="24"/>
              </w:rPr>
              <w:t>面积（m</w:t>
            </w:r>
            <w:r>
              <w:rPr>
                <w:b/>
                <w:bCs/>
                <w:color w:val="auto"/>
                <w:spacing w:val="-6"/>
                <w:sz w:val="24"/>
                <w:vertAlign w:val="superscript"/>
              </w:rPr>
              <w:t>2</w:t>
            </w:r>
            <w:r>
              <w:rPr>
                <w:b/>
                <w:bCs/>
                <w:color w:val="auto"/>
                <w:spacing w:val="-6"/>
                <w:sz w:val="24"/>
              </w:rPr>
              <w:t>）</w:t>
            </w:r>
          </w:p>
        </w:tc>
        <w:tc>
          <w:tcPr>
            <w:tcW w:w="3097" w:type="dxa"/>
            <w:noWrap w:val="0"/>
            <w:vAlign w:val="center"/>
          </w:tcPr>
          <w:p w14:paraId="65D07A76">
            <w:pPr>
              <w:keepNext w:val="0"/>
              <w:keepLines w:val="0"/>
              <w:pageBreakBefore w:val="0"/>
              <w:widowControl w:val="0"/>
              <w:kinsoku/>
              <w:overflowPunct/>
              <w:bidi w:val="0"/>
              <w:adjustRightInd w:val="0"/>
              <w:snapToGrid w:val="0"/>
              <w:spacing w:beforeAutospacing="0" w:afterAutospacing="0"/>
              <w:ind w:left="0" w:leftChars="0"/>
              <w:jc w:val="center"/>
              <w:rPr>
                <w:rFonts w:hint="default" w:eastAsia="宋体"/>
                <w:color w:val="auto"/>
                <w:sz w:val="24"/>
                <w:lang w:val="en-US" w:eastAsia="zh-CN"/>
              </w:rPr>
            </w:pPr>
            <w:r>
              <w:rPr>
                <w:rFonts w:hint="eastAsia"/>
                <w:color w:val="auto"/>
                <w:sz w:val="24"/>
                <w:lang w:val="en-US" w:eastAsia="zh-CN"/>
              </w:rPr>
              <w:t>0</w:t>
            </w:r>
          </w:p>
        </w:tc>
      </w:tr>
      <w:tr w14:paraId="6433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noWrap w:val="0"/>
            <w:vAlign w:val="center"/>
          </w:tcPr>
          <w:p w14:paraId="0DB1AAEF">
            <w:pPr>
              <w:keepNext w:val="0"/>
              <w:keepLines w:val="0"/>
              <w:pageBreakBefore w:val="0"/>
              <w:widowControl w:val="0"/>
              <w:kinsoku/>
              <w:overflowPunct/>
              <w:autoSpaceDE w:val="0"/>
              <w:autoSpaceDN w:val="0"/>
              <w:bidi w:val="0"/>
              <w:adjustRightInd w:val="0"/>
              <w:snapToGrid w:val="0"/>
              <w:spacing w:beforeAutospacing="0" w:afterAutospacing="0"/>
              <w:ind w:left="0" w:leftChars="0"/>
              <w:jc w:val="center"/>
              <w:rPr>
                <w:b/>
                <w:bCs/>
                <w:color w:val="auto"/>
                <w:kern w:val="0"/>
                <w:sz w:val="24"/>
                <w:szCs w:val="24"/>
              </w:rPr>
            </w:pPr>
            <w:r>
              <w:rPr>
                <w:b/>
                <w:bCs/>
                <w:color w:val="auto"/>
                <w:kern w:val="0"/>
                <w:sz w:val="24"/>
                <w:szCs w:val="24"/>
              </w:rPr>
              <w:t>专项评价设置情况</w:t>
            </w:r>
          </w:p>
        </w:tc>
        <w:tc>
          <w:tcPr>
            <w:tcW w:w="7405" w:type="dxa"/>
            <w:gridSpan w:val="3"/>
            <w:noWrap w:val="0"/>
            <w:vAlign w:val="center"/>
          </w:tcPr>
          <w:p w14:paraId="3EEBC713">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无</w:t>
            </w:r>
          </w:p>
        </w:tc>
      </w:tr>
      <w:tr w14:paraId="3950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noWrap w:val="0"/>
            <w:vAlign w:val="center"/>
          </w:tcPr>
          <w:p w14:paraId="471EC5E8">
            <w:pPr>
              <w:keepNext w:val="0"/>
              <w:keepLines w:val="0"/>
              <w:pageBreakBefore w:val="0"/>
              <w:widowControl w:val="0"/>
              <w:kinsoku/>
              <w:overflowPunct/>
              <w:autoSpaceDE w:val="0"/>
              <w:autoSpaceDN w:val="0"/>
              <w:bidi w:val="0"/>
              <w:adjustRightInd w:val="0"/>
              <w:snapToGrid w:val="0"/>
              <w:spacing w:beforeAutospacing="0" w:afterAutospacing="0"/>
              <w:ind w:left="0" w:leftChars="0"/>
              <w:jc w:val="center"/>
              <w:rPr>
                <w:b/>
                <w:bCs/>
                <w:color w:val="auto"/>
                <w:kern w:val="0"/>
                <w:sz w:val="24"/>
                <w:szCs w:val="24"/>
              </w:rPr>
            </w:pPr>
            <w:r>
              <w:rPr>
                <w:b/>
                <w:bCs/>
                <w:color w:val="auto"/>
                <w:sz w:val="24"/>
                <w:szCs w:val="24"/>
              </w:rPr>
              <w:t>规划情况</w:t>
            </w:r>
          </w:p>
        </w:tc>
        <w:tc>
          <w:tcPr>
            <w:tcW w:w="7405" w:type="dxa"/>
            <w:gridSpan w:val="3"/>
            <w:noWrap w:val="0"/>
            <w:vAlign w:val="center"/>
          </w:tcPr>
          <w:p w14:paraId="6C572336">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jc w:val="both"/>
              <w:textAlignment w:val="auto"/>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发布机构：淮南市人民政府</w:t>
            </w:r>
          </w:p>
          <w:p w14:paraId="6541AB26">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jc w:val="both"/>
              <w:textAlignment w:val="auto"/>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名称：淮南市国土空间总体规划（2021—2035年）</w:t>
            </w:r>
          </w:p>
          <w:p w14:paraId="50557DCB">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jc w:val="both"/>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文号：/</w:t>
            </w:r>
          </w:p>
        </w:tc>
      </w:tr>
      <w:tr w14:paraId="0F88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noWrap w:val="0"/>
            <w:vAlign w:val="center"/>
          </w:tcPr>
          <w:p w14:paraId="2B989C97">
            <w:pPr>
              <w:keepNext w:val="0"/>
              <w:keepLines w:val="0"/>
              <w:pageBreakBefore w:val="0"/>
              <w:widowControl w:val="0"/>
              <w:kinsoku/>
              <w:overflowPunct/>
              <w:bidi w:val="0"/>
              <w:adjustRightInd w:val="0"/>
              <w:snapToGrid w:val="0"/>
              <w:spacing w:beforeAutospacing="0" w:afterAutospacing="0"/>
              <w:ind w:left="0" w:leftChars="0"/>
              <w:jc w:val="center"/>
              <w:rPr>
                <w:b/>
                <w:bCs/>
                <w:color w:val="auto"/>
                <w:kern w:val="0"/>
                <w:sz w:val="24"/>
                <w:szCs w:val="24"/>
              </w:rPr>
            </w:pPr>
            <w:r>
              <w:rPr>
                <w:b/>
                <w:bCs/>
                <w:color w:val="auto"/>
                <w:sz w:val="24"/>
                <w:szCs w:val="24"/>
              </w:rPr>
              <w:t>规划环境影响评价情况</w:t>
            </w:r>
          </w:p>
        </w:tc>
        <w:tc>
          <w:tcPr>
            <w:tcW w:w="7405" w:type="dxa"/>
            <w:gridSpan w:val="3"/>
            <w:noWrap w:val="0"/>
            <w:vAlign w:val="center"/>
          </w:tcPr>
          <w:p w14:paraId="6CA3AC72">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无</w:t>
            </w:r>
          </w:p>
        </w:tc>
      </w:tr>
      <w:tr w14:paraId="4076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noWrap w:val="0"/>
            <w:vAlign w:val="center"/>
          </w:tcPr>
          <w:p w14:paraId="3BCA3032">
            <w:pPr>
              <w:keepNext w:val="0"/>
              <w:keepLines w:val="0"/>
              <w:pageBreakBefore w:val="0"/>
              <w:widowControl w:val="0"/>
              <w:kinsoku/>
              <w:overflowPunct/>
              <w:autoSpaceDE w:val="0"/>
              <w:autoSpaceDN w:val="0"/>
              <w:bidi w:val="0"/>
              <w:adjustRightInd w:val="0"/>
              <w:snapToGrid w:val="0"/>
              <w:spacing w:beforeAutospacing="0" w:afterAutospacing="0"/>
              <w:ind w:left="0" w:leftChars="0"/>
              <w:jc w:val="center"/>
              <w:rPr>
                <w:b/>
                <w:bCs/>
                <w:color w:val="auto"/>
                <w:kern w:val="0"/>
                <w:sz w:val="24"/>
                <w:szCs w:val="24"/>
              </w:rPr>
            </w:pPr>
            <w:r>
              <w:rPr>
                <w:b/>
                <w:bCs/>
                <w:color w:val="auto"/>
                <w:kern w:val="0"/>
                <w:sz w:val="24"/>
                <w:szCs w:val="24"/>
              </w:rPr>
              <w:t>规划及规划环境影响评价符合性分析</w:t>
            </w:r>
          </w:p>
        </w:tc>
        <w:tc>
          <w:tcPr>
            <w:tcW w:w="7405" w:type="dxa"/>
            <w:gridSpan w:val="3"/>
            <w:noWrap w:val="0"/>
            <w:vAlign w:val="center"/>
          </w:tcPr>
          <w:p w14:paraId="60003F48">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eastAsia" w:ascii="Times New Roman" w:hAnsi="Times New Roman" w:eastAsia="宋体"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1、与《</w:t>
            </w:r>
            <w:r>
              <w:rPr>
                <w:rFonts w:hint="eastAsia" w:ascii="Times New Roman" w:hAnsi="Times New Roman" w:eastAsia="宋体" w:cs="Times New Roman"/>
                <w:b/>
                <w:bCs/>
                <w:color w:val="auto"/>
                <w:kern w:val="0"/>
                <w:sz w:val="24"/>
                <w:szCs w:val="24"/>
                <w:lang w:val="en-US" w:eastAsia="zh-CN" w:bidi="ar-SA"/>
              </w:rPr>
              <w:t>淮南市国土空间总体规划（2021—2035年）</w:t>
            </w:r>
            <w:r>
              <w:rPr>
                <w:rFonts w:hint="eastAsia" w:cs="Times New Roman"/>
                <w:b/>
                <w:bCs/>
                <w:color w:val="auto"/>
                <w:kern w:val="0"/>
                <w:sz w:val="24"/>
                <w:szCs w:val="24"/>
                <w:lang w:val="en-US" w:eastAsia="zh-CN" w:bidi="ar-SA"/>
              </w:rPr>
              <w:t>》的符合性分析</w:t>
            </w:r>
          </w:p>
          <w:p w14:paraId="33ED00F8">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第六章  优化中心城区布局，提升城市品质活力</w:t>
            </w:r>
          </w:p>
          <w:p w14:paraId="546870B4">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第五节  优化市政基础设施布局</w:t>
            </w:r>
          </w:p>
          <w:p w14:paraId="0042923E">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完善城市供水设施布局。中心城区供水水源以淮河及瓦埠湖为主，地下水源置换为应急备用水源。中心城区布局7座自来水厂</w:t>
            </w:r>
            <w:r>
              <w:rPr>
                <w:rFonts w:hint="eastAsia" w:ascii="Times New Roman" w:hAnsi="Times New Roman" w:eastAsia="宋体" w:cs="Times New Roman"/>
                <w:color w:val="auto"/>
                <w:kern w:val="0"/>
                <w:sz w:val="24"/>
                <w:szCs w:val="24"/>
                <w:lang w:val="en-US" w:eastAsia="zh-CN" w:bidi="ar-SA"/>
              </w:rPr>
              <w:t>。</w:t>
            </w:r>
          </w:p>
          <w:p w14:paraId="54C26155">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第八章  完善基础设施，构建安全韧性支撑体系</w:t>
            </w:r>
          </w:p>
          <w:p w14:paraId="142FA283">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第四节  保障安全绿色的水系统</w:t>
            </w:r>
          </w:p>
          <w:p w14:paraId="21B09A93">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保障城乡供水安全。保障引江济淮及二期工程淮南段建设，支持江淮分水岭地区水资源优化配置工程和引大别山优质水源工程建设，助力应急供水保障能力建设。助力城镇备用水源地建设与保护，实现水源联合调度，提高水源供给保障率。</w:t>
            </w:r>
          </w:p>
          <w:p w14:paraId="54DE4208">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b/>
                <w:bCs/>
                <w:color w:val="auto"/>
                <w:kern w:val="0"/>
                <w:sz w:val="24"/>
                <w:szCs w:val="24"/>
                <w:lang w:val="en-US" w:eastAsia="zh-CN" w:bidi="ar-SA"/>
              </w:rPr>
              <w:t>符合性分析：</w:t>
            </w:r>
            <w:r>
              <w:rPr>
                <w:rFonts w:hint="eastAsia" w:cs="Times New Roman"/>
                <w:color w:val="auto"/>
                <w:kern w:val="0"/>
                <w:sz w:val="24"/>
                <w:szCs w:val="24"/>
                <w:lang w:val="en-US" w:eastAsia="zh-CN" w:bidi="ar-SA"/>
              </w:rPr>
              <w:t>本项目利用现有厂区对现有供水规模进行扩建，扩建后的供水规模为6万吨/天，可以有效地满足和覆盖服务区域内的供水需求，因此本项目符合《淮南市国土空间总体规划（2021—2035年）》的规划要求。</w:t>
            </w:r>
          </w:p>
        </w:tc>
      </w:tr>
      <w:tr w14:paraId="568E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3" w:type="dxa"/>
            <w:noWrap w:val="0"/>
            <w:vAlign w:val="center"/>
          </w:tcPr>
          <w:p w14:paraId="0A489F9A">
            <w:pPr>
              <w:keepNext w:val="0"/>
              <w:keepLines w:val="0"/>
              <w:pageBreakBefore w:val="0"/>
              <w:widowControl w:val="0"/>
              <w:kinsoku/>
              <w:overflowPunct/>
              <w:autoSpaceDE w:val="0"/>
              <w:autoSpaceDN w:val="0"/>
              <w:bidi w:val="0"/>
              <w:adjustRightInd w:val="0"/>
              <w:snapToGrid w:val="0"/>
              <w:spacing w:beforeAutospacing="0" w:afterAutospacing="0"/>
              <w:ind w:left="0" w:leftChars="0"/>
              <w:jc w:val="center"/>
              <w:rPr>
                <w:color w:val="auto"/>
                <w:kern w:val="0"/>
                <w:szCs w:val="21"/>
              </w:rPr>
            </w:pPr>
            <w:r>
              <w:rPr>
                <w:rFonts w:ascii="Times New Roman" w:hAnsi="Times New Roman" w:cs="Times New Roman"/>
                <w:b/>
                <w:bCs/>
                <w:color w:val="auto"/>
                <w:kern w:val="0"/>
                <w:sz w:val="24"/>
                <w:szCs w:val="24"/>
              </w:rPr>
              <w:t>其他符合性分析</w:t>
            </w:r>
          </w:p>
        </w:tc>
        <w:tc>
          <w:tcPr>
            <w:tcW w:w="7405" w:type="dxa"/>
            <w:gridSpan w:val="3"/>
            <w:noWrap w:val="0"/>
            <w:vAlign w:val="center"/>
          </w:tcPr>
          <w:p w14:paraId="2377C2C2">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ind w:left="0" w:leftChars="0" w:firstLine="482" w:firstLineChars="200"/>
              <w:textAlignment w:val="auto"/>
              <w:rPr>
                <w:b/>
                <w:bCs/>
                <w:color w:val="auto"/>
              </w:rPr>
            </w:pPr>
            <w:r>
              <w:rPr>
                <w:rFonts w:hint="eastAsia"/>
                <w:b/>
                <w:bCs/>
                <w:color w:val="auto"/>
                <w:lang w:val="en-US" w:eastAsia="zh-CN"/>
              </w:rPr>
              <w:t>1、</w:t>
            </w:r>
            <w:r>
              <w:rPr>
                <w:rFonts w:hint="eastAsia"/>
                <w:b/>
                <w:bCs/>
                <w:color w:val="auto"/>
                <w:lang w:eastAsia="zh-CN"/>
              </w:rPr>
              <w:t>产业政策</w:t>
            </w:r>
            <w:r>
              <w:rPr>
                <w:b/>
                <w:bCs/>
                <w:color w:val="auto"/>
              </w:rPr>
              <w:t>符合性</w:t>
            </w:r>
            <w:r>
              <w:rPr>
                <w:rFonts w:hint="eastAsia"/>
                <w:b/>
                <w:bCs/>
                <w:color w:val="auto"/>
                <w:lang w:eastAsia="zh-CN"/>
              </w:rPr>
              <w:t>分析</w:t>
            </w:r>
          </w:p>
          <w:p w14:paraId="375D9CFA">
            <w:pPr>
              <w:pStyle w:val="87"/>
              <w:keepNext w:val="0"/>
              <w:keepLines w:val="0"/>
              <w:pageBreakBefore w:val="0"/>
              <w:widowControl w:val="0"/>
              <w:kinsoku/>
              <w:overflowPunct/>
              <w:bidi w:val="0"/>
              <w:spacing w:beforeAutospacing="0" w:afterAutospacing="0"/>
              <w:ind w:left="0" w:leftChars="0" w:firstLine="480"/>
              <w:jc w:val="both"/>
              <w:rPr>
                <w:color w:val="auto"/>
              </w:rPr>
            </w:pPr>
            <w:r>
              <w:rPr>
                <w:rFonts w:hint="eastAsia"/>
                <w:color w:val="auto"/>
              </w:rPr>
              <w:t>根据《产业结构调整指导目录》（20</w:t>
            </w:r>
            <w:r>
              <w:rPr>
                <w:rFonts w:hint="eastAsia"/>
                <w:color w:val="auto"/>
                <w:lang w:val="en-US" w:eastAsia="zh-CN"/>
              </w:rPr>
              <w:t>24</w:t>
            </w:r>
            <w:r>
              <w:rPr>
                <w:rFonts w:hint="eastAsia"/>
                <w:color w:val="auto"/>
              </w:rPr>
              <w:t>年本），本项目属于该目录中“鼓励类”中“二、水利</w:t>
            </w:r>
            <w:r>
              <w:rPr>
                <w:rFonts w:hint="eastAsia"/>
                <w:color w:val="auto"/>
                <w:lang w:eastAsia="zh-CN"/>
              </w:rPr>
              <w:t>—2．节水供水工程：农村供水工程，灌区及配套设施建设、改造，高效输配水、节水灌溉技术推广应用，灌溉排水泵站更新改造工程，合同节水管理，节水改造工程，节水工艺、技术和装备推广应用，城镇用水单位智慧节水系统开发与应用，非常规水源开发利用</w:t>
            </w:r>
            <w:r>
              <w:rPr>
                <w:rFonts w:hint="eastAsia"/>
                <w:color w:val="auto"/>
              </w:rPr>
              <w:t>”项目，属于国家鼓励类项目。因此，项目建设符合国家当前产业政策。</w:t>
            </w:r>
          </w:p>
          <w:p w14:paraId="0E6C655C">
            <w:pPr>
              <w:pStyle w:val="87"/>
              <w:keepNext w:val="0"/>
              <w:keepLines w:val="0"/>
              <w:pageBreakBefore w:val="0"/>
              <w:widowControl w:val="0"/>
              <w:kinsoku/>
              <w:overflowPunct/>
              <w:bidi w:val="0"/>
              <w:spacing w:beforeAutospacing="0" w:afterAutospacing="0"/>
              <w:ind w:left="0" w:leftChars="0" w:firstLine="482"/>
              <w:jc w:val="both"/>
              <w:rPr>
                <w:b/>
                <w:bCs/>
                <w:color w:val="auto"/>
              </w:rPr>
            </w:pPr>
            <w:r>
              <w:rPr>
                <w:rFonts w:hint="eastAsia"/>
                <w:b/>
                <w:bCs/>
                <w:color w:val="auto"/>
                <w:lang w:val="en-US" w:eastAsia="zh-CN"/>
              </w:rPr>
              <w:t>2、</w:t>
            </w:r>
            <w:r>
              <w:rPr>
                <w:b/>
                <w:bCs/>
                <w:color w:val="auto"/>
              </w:rPr>
              <w:t>“三线一单”相符性分析</w:t>
            </w:r>
            <w:r>
              <w:commentReference w:id="0"/>
            </w:r>
          </w:p>
          <w:p w14:paraId="4898A7C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环境保护部2016年10月27日下发的环环评[2016]150号《关于以改善环境质量为核心加强环境影响评价管理的通知》要求，切实加强环境影响评价管理，落实“生态保护红线、环境质量底线、资源利用上线”约束，建立项目环评审批与规划环评、现有项目环境管理、区域环境质量联动机制，更好地发挥环评制度从源头防范环境污染和生态破坏的作用，加快推进改善环境质量。经安徽省“三线一单”公众服务平台查询，本项目</w:t>
            </w:r>
            <w:r>
              <w:rPr>
                <w:rFonts w:hint="eastAsia" w:cs="Times New Roman"/>
                <w:b w:val="0"/>
                <w:bCs w:val="0"/>
                <w:color w:val="auto"/>
                <w:sz w:val="24"/>
                <w:szCs w:val="24"/>
                <w:highlight w:val="none"/>
                <w:lang w:eastAsia="zh-CN"/>
              </w:rPr>
              <w:t>水厂所在位置</w:t>
            </w:r>
            <w:r>
              <w:rPr>
                <w:rFonts w:hint="default" w:ascii="Times New Roman" w:hAnsi="Times New Roman" w:eastAsia="宋体" w:cs="Times New Roman"/>
                <w:b w:val="0"/>
                <w:bCs w:val="0"/>
                <w:color w:val="auto"/>
                <w:sz w:val="24"/>
                <w:szCs w:val="24"/>
                <w:highlight w:val="none"/>
              </w:rPr>
              <w:t>与1个环境管控单元存在交叠，为水</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城镇生活污染</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/大气重点管控区，环境管控单元编码为ZH34040620019</w:t>
            </w:r>
            <w:r>
              <w:rPr>
                <w:rFonts w:hint="eastAsia" w:cs="Times New Roman"/>
                <w:b w:val="0"/>
                <w:bCs w:val="0"/>
                <w:color w:val="auto"/>
                <w:sz w:val="24"/>
                <w:szCs w:val="24"/>
                <w:highlight w:val="none"/>
                <w:lang w:eastAsia="zh-CN"/>
              </w:rPr>
              <w:t>，</w:t>
            </w:r>
            <w:r>
              <w:rPr>
                <w:rFonts w:hint="eastAsia" w:cs="Times New Roman"/>
                <w:b w:val="0"/>
                <w:bCs w:val="0"/>
                <w:color w:val="0000FF"/>
                <w:sz w:val="24"/>
                <w:szCs w:val="24"/>
                <w:highlight w:val="none"/>
                <w:lang w:eastAsia="zh-CN"/>
              </w:rPr>
              <w:t>取水口</w:t>
            </w:r>
            <w:r>
              <w:rPr>
                <w:rFonts w:hint="default" w:ascii="Times New Roman" w:hAnsi="Times New Roman" w:eastAsia="宋体" w:cs="Times New Roman"/>
                <w:b w:val="0"/>
                <w:bCs w:val="0"/>
                <w:color w:val="0000FF"/>
                <w:sz w:val="24"/>
                <w:szCs w:val="24"/>
                <w:highlight w:val="none"/>
              </w:rPr>
              <w:t>与1个环境管控单元存在交叠，为生态空间/水优先，环境管控单元编码为ZH34040610039</w:t>
            </w:r>
            <w:r>
              <w:rPr>
                <w:rFonts w:hint="eastAsia" w:ascii="Times New Roman" w:hAnsi="Times New Roman" w:eastAsia="宋体" w:cs="Times New Roman"/>
                <w:b w:val="0"/>
                <w:bCs w:val="0"/>
                <w:color w:val="0000FF"/>
                <w:sz w:val="24"/>
                <w:szCs w:val="24"/>
                <w:highlight w:val="none"/>
                <w:lang w:eastAsia="zh-CN"/>
              </w:rPr>
              <w:t>，</w:t>
            </w:r>
            <w:r>
              <w:rPr>
                <w:rFonts w:hint="eastAsia" w:cs="Times New Roman"/>
                <w:b w:val="0"/>
                <w:bCs w:val="0"/>
                <w:color w:val="0000FF"/>
                <w:sz w:val="24"/>
                <w:szCs w:val="24"/>
                <w:highlight w:val="none"/>
                <w:lang w:eastAsia="zh-CN"/>
              </w:rPr>
              <w:t>取水泵房</w:t>
            </w:r>
            <w:r>
              <w:rPr>
                <w:rFonts w:hint="default" w:ascii="Times New Roman" w:hAnsi="Times New Roman" w:eastAsia="宋体" w:cs="Times New Roman"/>
                <w:b w:val="0"/>
                <w:bCs w:val="0"/>
                <w:color w:val="0000FF"/>
                <w:sz w:val="24"/>
                <w:szCs w:val="24"/>
                <w:highlight w:val="none"/>
              </w:rPr>
              <w:t>与1个环境管控单元存在交叠，为一般管控区，环境管控单元编码为ZH34040630004</w:t>
            </w:r>
            <w:r>
              <w:rPr>
                <w:rFonts w:hint="default" w:ascii="Times New Roman" w:hAnsi="Times New Roman" w:eastAsia="宋体" w:cs="Times New Roman"/>
                <w:b w:val="0"/>
                <w:bCs w:val="0"/>
                <w:color w:val="auto"/>
                <w:sz w:val="24"/>
                <w:szCs w:val="24"/>
                <w:highlight w:val="none"/>
              </w:rPr>
              <w:t>。</w:t>
            </w:r>
          </w:p>
          <w:p w14:paraId="38ADE47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安徽省"三线一单"公众服务平台位置关系详见</w:t>
            </w:r>
            <w:r>
              <w:rPr>
                <w:rFonts w:hint="eastAsia" w:cs="Times New Roman"/>
                <w:b w:val="0"/>
                <w:bCs w:val="0"/>
                <w:color w:val="auto"/>
                <w:sz w:val="24"/>
                <w:szCs w:val="24"/>
                <w:highlight w:val="none"/>
                <w:lang w:eastAsia="zh-CN"/>
              </w:rPr>
              <w:t>附图</w:t>
            </w:r>
            <w:r>
              <w:rPr>
                <w:rFonts w:hint="default" w:ascii="Times New Roman" w:hAnsi="Times New Roman" w:eastAsia="宋体" w:cs="Times New Roman"/>
                <w:b w:val="0"/>
                <w:bCs w:val="0"/>
                <w:color w:val="auto"/>
                <w:sz w:val="24"/>
                <w:szCs w:val="24"/>
                <w:highlight w:val="none"/>
              </w:rPr>
              <w:t>。</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638"/>
              <w:gridCol w:w="3831"/>
              <w:gridCol w:w="1952"/>
            </w:tblGrid>
            <w:tr w14:paraId="48EF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noWrap w:val="0"/>
                  <w:vAlign w:val="center"/>
                </w:tcPr>
                <w:p w14:paraId="306DE8CF">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单元编码</w:t>
                  </w:r>
                </w:p>
              </w:tc>
              <w:tc>
                <w:tcPr>
                  <w:tcW w:w="638" w:type="dxa"/>
                  <w:noWrap w:val="0"/>
                  <w:vAlign w:val="center"/>
                </w:tcPr>
                <w:p w14:paraId="4C9D78C9">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单元名称</w:t>
                  </w:r>
                </w:p>
              </w:tc>
              <w:tc>
                <w:tcPr>
                  <w:tcW w:w="3831" w:type="dxa"/>
                  <w:noWrap w:val="0"/>
                  <w:vAlign w:val="center"/>
                </w:tcPr>
                <w:p w14:paraId="799BF8F4">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管控要求</w:t>
                  </w:r>
                </w:p>
              </w:tc>
              <w:tc>
                <w:tcPr>
                  <w:tcW w:w="1952" w:type="dxa"/>
                  <w:noWrap w:val="0"/>
                  <w:vAlign w:val="center"/>
                </w:tcPr>
                <w:p w14:paraId="6CC91714">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符合性分析</w:t>
                  </w:r>
                </w:p>
              </w:tc>
            </w:tr>
            <w:tr w14:paraId="1F89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restart"/>
                  <w:noWrap w:val="0"/>
                  <w:vAlign w:val="center"/>
                </w:tcPr>
                <w:p w14:paraId="640E9B82">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default" w:ascii="Times New Roman" w:hAnsi="Times New Roman" w:eastAsia="宋体" w:cs="Times New Roman"/>
                      <w:b w:val="0"/>
                      <w:bCs w:val="0"/>
                      <w:color w:val="0000FF"/>
                      <w:sz w:val="21"/>
                      <w:szCs w:val="21"/>
                      <w:highlight w:val="none"/>
                    </w:rPr>
                    <w:t>ZH34040610039</w:t>
                  </w:r>
                </w:p>
              </w:tc>
              <w:tc>
                <w:tcPr>
                  <w:tcW w:w="638" w:type="dxa"/>
                  <w:vMerge w:val="restart"/>
                  <w:noWrap w:val="0"/>
                  <w:vAlign w:val="center"/>
                </w:tcPr>
                <w:p w14:paraId="608731F6">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优先保护单元</w:t>
                  </w:r>
                </w:p>
                <w:p w14:paraId="7C9BDC18">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40</w:t>
                  </w:r>
                </w:p>
              </w:tc>
              <w:tc>
                <w:tcPr>
                  <w:tcW w:w="3831" w:type="dxa"/>
                  <w:noWrap w:val="0"/>
                  <w:vAlign w:val="center"/>
                </w:tcPr>
                <w:p w14:paraId="342E23DD">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一级保护区要求：保护区内不存在与供水设施和保护水源无关的建设项目，保护区划定前已有的建设项目拆除或关闭，并视情进行生态修复。保护区内无工业、生活排污口。保护区划定前已有的工业排污口拆除或关闭，生活排污口关闭或迁出。保护区内无畜禽养殖、网箱养殖、旅游、游泳、垂钓或者其他可能污染水源的活动。保护区划定前已有的畜禽养殖、网箱养殖和旅游设施拆除或关闭。保护区内无新增农业种植和经济林。保护区划定前已有的农业种植和经济林，严格控制化肥、农药等非点源污染，并逐步退出。</w:t>
                  </w:r>
                </w:p>
              </w:tc>
              <w:tc>
                <w:tcPr>
                  <w:tcW w:w="1952" w:type="dxa"/>
                  <w:vMerge w:val="restart"/>
                  <w:noWrap w:val="0"/>
                  <w:vAlign w:val="center"/>
                </w:tcPr>
                <w:p w14:paraId="2984280C">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cs="Times New Roman"/>
                      <w:b w:val="0"/>
                      <w:bCs/>
                      <w:color w:val="0000FF"/>
                      <w:sz w:val="21"/>
                      <w:szCs w:val="21"/>
                      <w:highlight w:val="none"/>
                      <w:vertAlign w:val="baseline"/>
                      <w:lang w:eastAsia="zh-CN"/>
                    </w:rPr>
                  </w:pPr>
                  <w:r>
                    <w:rPr>
                      <w:rFonts w:hint="eastAsia" w:cs="Times New Roman"/>
                      <w:b w:val="0"/>
                      <w:bCs/>
                      <w:color w:val="0000FF"/>
                      <w:sz w:val="21"/>
                      <w:szCs w:val="21"/>
                      <w:highlight w:val="none"/>
                      <w:vertAlign w:val="baseline"/>
                      <w:lang w:eastAsia="zh-CN"/>
                    </w:rPr>
                    <w:t>取水口设在取水口位置设在架河乡杨集村陶圩自然庄（江堤桩号为 K58+290）处，</w:t>
                  </w:r>
                </w:p>
                <w:p w14:paraId="0E75A432">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cs="Times New Roman"/>
                      <w:b w:val="0"/>
                      <w:bCs/>
                      <w:color w:val="0000FF"/>
                      <w:sz w:val="21"/>
                      <w:szCs w:val="21"/>
                      <w:highlight w:val="none"/>
                      <w:vertAlign w:val="baseline"/>
                      <w:lang w:eastAsia="zh-CN"/>
                    </w:rPr>
                    <w:t>河水最高（洪水）水位 24.99 米（黄海标高），最低水位 15.25 米，本次扩建仍依托现有的取水口，现状取水工程运行情况良好，无施工建设过程，不会对淮河、一级饮用水源保护区造成影响。</w:t>
                  </w:r>
                </w:p>
              </w:tc>
            </w:tr>
            <w:tr w14:paraId="7148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continue"/>
                  <w:noWrap w:val="0"/>
                  <w:vAlign w:val="center"/>
                </w:tcPr>
                <w:p w14:paraId="335E643C">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FF"/>
                      <w:sz w:val="21"/>
                      <w:szCs w:val="21"/>
                      <w:highlight w:val="none"/>
                    </w:rPr>
                  </w:pPr>
                </w:p>
              </w:tc>
              <w:tc>
                <w:tcPr>
                  <w:tcW w:w="638" w:type="dxa"/>
                  <w:vMerge w:val="continue"/>
                  <w:noWrap w:val="0"/>
                  <w:vAlign w:val="center"/>
                </w:tcPr>
                <w:p w14:paraId="49A9E79E">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p>
              </w:tc>
              <w:tc>
                <w:tcPr>
                  <w:tcW w:w="3831" w:type="dxa"/>
                  <w:noWrap w:val="0"/>
                  <w:vAlign w:val="center"/>
                </w:tcPr>
                <w:p w14:paraId="75EC9E4C">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县级以上人民政府应当加强饮用水水源保护区以及周边城乡环境综合整治，完善城乡生活污水、生活垃圾处理设施，积极推广沼气池建设，改造化粪池以及农村厕所，防止生活污水、生活垃圾污染饮用水水源。</w:t>
                  </w:r>
                </w:p>
                <w:p w14:paraId="64042D67">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在分散式饮用水水源保护范围内，不得清洗盛农药容器、有农药残留的容器以及衣物；不得堆积肥料；不得从事规模化畜禽养殖等行为。</w:t>
                  </w:r>
                </w:p>
                <w:p w14:paraId="70EA3F1E">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强化对水源周边可能影响水源安全的制药、化工、造纸、采选、制革、印染、电镀、农药等重点行业企业的执法监管。</w:t>
                  </w:r>
                </w:p>
                <w:p w14:paraId="5B0A83D4">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禁止在淮河流域新建化学制浆造纸企业和印染、制革、化工、电镀、酿造等污染严重的小型企业。</w:t>
                  </w:r>
                </w:p>
                <w:p w14:paraId="4274A3C5">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在饮用水水源保护区内，禁止设置排污口。在风景名胜区水体、重要渔业水体和其他具有特殊经济文化价值的水体的保护区内，不得新建排污口。</w:t>
                  </w:r>
                </w:p>
              </w:tc>
              <w:tc>
                <w:tcPr>
                  <w:tcW w:w="1952" w:type="dxa"/>
                  <w:vMerge w:val="continue"/>
                  <w:noWrap w:val="0"/>
                  <w:vAlign w:val="center"/>
                </w:tcPr>
                <w:p w14:paraId="3F3FF9C1">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p>
              </w:tc>
            </w:tr>
            <w:tr w14:paraId="00BA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continue"/>
                  <w:noWrap w:val="0"/>
                  <w:vAlign w:val="center"/>
                </w:tcPr>
                <w:p w14:paraId="1C85A0B2">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FF"/>
                      <w:sz w:val="21"/>
                      <w:szCs w:val="21"/>
                      <w:highlight w:val="none"/>
                    </w:rPr>
                  </w:pPr>
                </w:p>
              </w:tc>
              <w:tc>
                <w:tcPr>
                  <w:tcW w:w="638" w:type="dxa"/>
                  <w:vMerge w:val="continue"/>
                  <w:noWrap w:val="0"/>
                  <w:vAlign w:val="center"/>
                </w:tcPr>
                <w:p w14:paraId="65DB6EDE">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p>
              </w:tc>
              <w:tc>
                <w:tcPr>
                  <w:tcW w:w="3831" w:type="dxa"/>
                  <w:noWrap w:val="0"/>
                  <w:vAlign w:val="center"/>
                </w:tcPr>
                <w:p w14:paraId="186E3687">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禁止下列行为：(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w:t>
                  </w:r>
                </w:p>
              </w:tc>
              <w:tc>
                <w:tcPr>
                  <w:tcW w:w="1952" w:type="dxa"/>
                  <w:vMerge w:val="continue"/>
                  <w:noWrap w:val="0"/>
                  <w:vAlign w:val="center"/>
                </w:tcPr>
                <w:p w14:paraId="1CDFAA58">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eastAsia="zh-CN"/>
                    </w:rPr>
                  </w:pPr>
                </w:p>
              </w:tc>
            </w:tr>
            <w:tr w14:paraId="318E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restart"/>
                  <w:noWrap w:val="0"/>
                  <w:vAlign w:val="center"/>
                </w:tcPr>
                <w:p w14:paraId="2DA83E2B">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default" w:ascii="Times New Roman" w:hAnsi="Times New Roman" w:eastAsia="宋体" w:cs="Times New Roman"/>
                      <w:b w:val="0"/>
                      <w:bCs w:val="0"/>
                      <w:color w:val="0000FF"/>
                      <w:sz w:val="21"/>
                      <w:szCs w:val="21"/>
                      <w:highlight w:val="none"/>
                    </w:rPr>
                    <w:t>ZH34040630004</w:t>
                  </w:r>
                </w:p>
              </w:tc>
              <w:tc>
                <w:tcPr>
                  <w:tcW w:w="638" w:type="dxa"/>
                  <w:vMerge w:val="restart"/>
                  <w:noWrap w:val="0"/>
                  <w:vAlign w:val="center"/>
                </w:tcPr>
                <w:p w14:paraId="0F7F6039">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val="en-US" w:eastAsia="zh-CN"/>
                    </w:rPr>
                  </w:pPr>
                  <w:r>
                    <w:rPr>
                      <w:rFonts w:hint="default" w:ascii="Times New Roman" w:hAnsi="Times New Roman" w:eastAsia="宋体" w:cs="Times New Roman"/>
                      <w:b w:val="0"/>
                      <w:bCs w:val="0"/>
                      <w:color w:val="0000FF"/>
                      <w:sz w:val="21"/>
                      <w:szCs w:val="21"/>
                      <w:highlight w:val="none"/>
                    </w:rPr>
                    <w:t>一般管控区</w:t>
                  </w:r>
                  <w:r>
                    <w:rPr>
                      <w:rFonts w:hint="eastAsia" w:ascii="Times New Roman" w:hAnsi="Times New Roman" w:eastAsia="宋体" w:cs="Times New Roman"/>
                      <w:b w:val="0"/>
                      <w:bCs w:val="0"/>
                      <w:color w:val="0000FF"/>
                      <w:sz w:val="21"/>
                      <w:szCs w:val="21"/>
                      <w:highlight w:val="none"/>
                      <w:lang w:val="en-US" w:eastAsia="zh-CN"/>
                    </w:rPr>
                    <w:t>5</w:t>
                  </w:r>
                </w:p>
              </w:tc>
              <w:tc>
                <w:tcPr>
                  <w:tcW w:w="3831" w:type="dxa"/>
                  <w:noWrap w:val="0"/>
                  <w:vAlign w:val="center"/>
                </w:tcPr>
                <w:p w14:paraId="5AE7547F">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各级人民政府应当采取措施对耕地实行特殊保护，禁止违法占用耕地从事非农业建设，严格控制耕地转为林地、草地、园地等其他农用地，确保耕地优先用于粮食和蔬菜、油、棉、糖等农产品生产。实行耕地保护补偿激励制度，具体按照国家和省有关规定执行。加大优先保护类耕地保护力度，综合采取占补数量和质量平衡、高标准农田建设、周边污染企业搬迁整治等措施。</w:t>
                  </w:r>
                </w:p>
              </w:tc>
              <w:tc>
                <w:tcPr>
                  <w:tcW w:w="1952" w:type="dxa"/>
                  <w:vMerge w:val="restart"/>
                  <w:noWrap w:val="0"/>
                  <w:vAlign w:val="center"/>
                </w:tcPr>
                <w:p w14:paraId="586CF1BD">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cs="Times New Roman"/>
                      <w:b w:val="0"/>
                      <w:bCs/>
                      <w:color w:val="0000FF"/>
                      <w:sz w:val="21"/>
                      <w:szCs w:val="21"/>
                      <w:highlight w:val="none"/>
                      <w:vertAlign w:val="baseline"/>
                      <w:lang w:eastAsia="zh-CN"/>
                    </w:rPr>
                    <w:t>本次扩建依托现有取水泵房，仅对取水泵房进行设备改造；新建一条输水管线，施工期间采取污染防治措施避免施工过程对大气、地表水、周围村民造成影响，施工结束及时对临时占地进行生态恢复，对耕地及时进行原貌恢复，避免对耕地进行造成破坏。</w:t>
                  </w:r>
                </w:p>
              </w:tc>
            </w:tr>
            <w:tr w14:paraId="7AF2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continue"/>
                  <w:noWrap w:val="0"/>
                  <w:vAlign w:val="center"/>
                </w:tcPr>
                <w:p w14:paraId="5F9F1121">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FF"/>
                      <w:sz w:val="21"/>
                      <w:szCs w:val="21"/>
                      <w:highlight w:val="none"/>
                    </w:rPr>
                  </w:pPr>
                </w:p>
              </w:tc>
              <w:tc>
                <w:tcPr>
                  <w:tcW w:w="638" w:type="dxa"/>
                  <w:vMerge w:val="continue"/>
                  <w:noWrap w:val="0"/>
                  <w:vAlign w:val="center"/>
                </w:tcPr>
                <w:p w14:paraId="6D91C9AA">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FF"/>
                      <w:sz w:val="21"/>
                      <w:szCs w:val="21"/>
                      <w:highlight w:val="none"/>
                    </w:rPr>
                  </w:pPr>
                </w:p>
              </w:tc>
              <w:tc>
                <w:tcPr>
                  <w:tcW w:w="3831" w:type="dxa"/>
                  <w:noWrap w:val="0"/>
                  <w:vAlign w:val="center"/>
                </w:tcPr>
                <w:p w14:paraId="445909CC">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大气环境部分部分依据《中华人民共和国大气污染防治法》《打赢蓝天保</w:t>
                  </w:r>
                </w:p>
                <w:p w14:paraId="50F644AD">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卫战三年行动计划》《安徽省打赢蓝天保卫战三年行动计划实施方案》等</w:t>
                  </w:r>
                </w:p>
                <w:p w14:paraId="1291B5DE">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0000FF"/>
                      <w:sz w:val="21"/>
                      <w:szCs w:val="21"/>
                      <w:highlight w:val="none"/>
                      <w:vertAlign w:val="baseline"/>
                      <w:lang w:eastAsia="zh-CN"/>
                    </w:rPr>
                  </w:pPr>
                  <w:r>
                    <w:rPr>
                      <w:rFonts w:hint="eastAsia" w:ascii="Times New Roman" w:hAnsi="Times New Roman" w:eastAsia="宋体" w:cs="Times New Roman"/>
                      <w:b w:val="0"/>
                      <w:bCs/>
                      <w:color w:val="0000FF"/>
                      <w:sz w:val="21"/>
                      <w:szCs w:val="21"/>
                      <w:highlight w:val="none"/>
                      <w:vertAlign w:val="baseline"/>
                      <w:lang w:eastAsia="zh-CN"/>
                    </w:rPr>
                    <w:t>法律法规和规章对一般管控区实施管控。上年度PM</w:t>
                  </w:r>
                  <w:r>
                    <w:rPr>
                      <w:rFonts w:hint="eastAsia" w:ascii="Times New Roman" w:hAnsi="Times New Roman" w:eastAsia="宋体" w:cs="Times New Roman"/>
                      <w:b w:val="0"/>
                      <w:bCs/>
                      <w:color w:val="0000FF"/>
                      <w:sz w:val="21"/>
                      <w:szCs w:val="21"/>
                      <w:highlight w:val="none"/>
                      <w:vertAlign w:val="subscript"/>
                      <w:lang w:eastAsia="zh-CN"/>
                    </w:rPr>
                    <w:t>2.5</w:t>
                  </w:r>
                  <w:r>
                    <w:rPr>
                      <w:rFonts w:hint="eastAsia" w:ascii="Times New Roman" w:hAnsi="Times New Roman" w:eastAsia="宋体" w:cs="Times New Roman"/>
                      <w:b w:val="0"/>
                      <w:bCs/>
                      <w:color w:val="0000FF"/>
                      <w:sz w:val="21"/>
                      <w:szCs w:val="21"/>
                      <w:highlight w:val="none"/>
                      <w:vertAlign w:val="baseline"/>
                      <w:lang w:eastAsia="zh-CN"/>
                    </w:rPr>
                    <w:t>不达标城市新建、改建和扩建项目大气污染物实施“倍量替代”，执行特别排放标准的行业实施提标升级改造。</w:t>
                  </w:r>
                </w:p>
              </w:tc>
              <w:tc>
                <w:tcPr>
                  <w:tcW w:w="1952" w:type="dxa"/>
                  <w:vMerge w:val="continue"/>
                  <w:noWrap w:val="0"/>
                  <w:vAlign w:val="center"/>
                </w:tcPr>
                <w:p w14:paraId="2C9731BA">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FF"/>
                      <w:sz w:val="21"/>
                      <w:szCs w:val="21"/>
                      <w:highlight w:val="none"/>
                      <w:vertAlign w:val="baseline"/>
                      <w:lang w:eastAsia="zh-CN"/>
                    </w:rPr>
                  </w:pPr>
                </w:p>
              </w:tc>
            </w:tr>
            <w:tr w14:paraId="4E0F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49" w:type="dxa"/>
                  <w:noWrap w:val="0"/>
                  <w:vAlign w:val="center"/>
                </w:tcPr>
                <w:p w14:paraId="20647B2D">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rPr>
                    <w:t>ZH34040620019</w:t>
                  </w:r>
                </w:p>
              </w:tc>
              <w:tc>
                <w:tcPr>
                  <w:tcW w:w="638" w:type="dxa"/>
                  <w:noWrap w:val="0"/>
                  <w:vAlign w:val="center"/>
                </w:tcPr>
                <w:p w14:paraId="035F464A">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rPr>
                    <w:t>重点管控单元</w:t>
                  </w:r>
                </w:p>
                <w:p w14:paraId="37004D63">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rPr>
                    <w:t>16</w:t>
                  </w:r>
                </w:p>
              </w:tc>
              <w:tc>
                <w:tcPr>
                  <w:tcW w:w="3831" w:type="dxa"/>
                  <w:noWrap w:val="0"/>
                  <w:vAlign w:val="center"/>
                </w:tcPr>
                <w:p w14:paraId="1D700C68">
                  <w:pPr>
                    <w:pStyle w:val="1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建筑工程施工现场扬尘污染防治应做到工地周边围挡、物料堆放覆盖、路面硬化、土方开挖湿法作业、出入车辆清洗、渣土车辆密闭运输“六个百分之百”。具体要求执行《建筑工程施工和预拌混凝土生产扬尘污染防治标准》（试行）。裸露地面扬尘、道路扬尘、装卸扬尘控制具体要求从严执行《安徽省大气污染防治条例》和《安徽省打赢蓝天保卫战三年行动计划实施方案》等要求。</w:t>
                  </w:r>
                </w:p>
              </w:tc>
              <w:tc>
                <w:tcPr>
                  <w:tcW w:w="1952" w:type="dxa"/>
                  <w:noWrap w:val="0"/>
                  <w:vAlign w:val="center"/>
                </w:tcPr>
                <w:p w14:paraId="38E00261">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eastAsia="zh-CN"/>
                    </w:rPr>
                  </w:pPr>
                  <w:r>
                    <w:rPr>
                      <w:rFonts w:hint="eastAsia" w:cs="Times New Roman"/>
                      <w:b w:val="0"/>
                      <w:bCs/>
                      <w:color w:val="auto"/>
                      <w:sz w:val="21"/>
                      <w:szCs w:val="21"/>
                      <w:highlight w:val="none"/>
                      <w:vertAlign w:val="baseline"/>
                      <w:lang w:eastAsia="zh-CN"/>
                    </w:rPr>
                    <w:t>施工期落实六个百分百，严格控制施工场地扬尘污染，运输建筑材料、垃圾和泥土等车辆在驶岀施工工地前做好冲洗、遮蔽、清洁等工作，防止建筑垃圾、泥土等四处散落，污染周边环境。</w:t>
                  </w:r>
                </w:p>
              </w:tc>
            </w:tr>
          </w:tbl>
          <w:p w14:paraId="153B76F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（1）生态保护红线</w:t>
            </w:r>
            <w:r>
              <w:rPr>
                <w:rFonts w:hint="eastAsia" w:cs="Times New Roman"/>
                <w:b/>
                <w:bCs/>
                <w:color w:val="auto"/>
                <w:sz w:val="24"/>
                <w:szCs w:val="24"/>
                <w:highlight w:val="none"/>
                <w:lang w:eastAsia="zh-CN"/>
              </w:rPr>
              <w:t>及生态分区管控</w:t>
            </w:r>
          </w:p>
          <w:p w14:paraId="758ADFC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对生态保护红线内的国家公园、自然保护区、风景名胜区、森林公园、地质公园、世界自然遗产、湿地公园、饮用水水源保护区、天然林、生态公益林等各类保护地的管理，按照法律、法规和规章等要求执行。</w:t>
            </w:r>
          </w:p>
          <w:p w14:paraId="422AA4C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在非生态保护红线的一般生态空间内，参照《自然生态空间用途管制办法（试行）》，执行涉及自然生态空间的相应准入要求。对一般生态空间内的国家公园、自然保护区、风景名胜区、森林公园、地质公园、世界自然遗产、湿地公园、饮用水水源保护区、天然林、生态公益林等各类保护地的管理，按照法律、法规和规章等要求执行。</w:t>
            </w:r>
          </w:p>
          <w:p w14:paraId="5325141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位</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val="en-US" w:eastAsia="zh-CN"/>
              </w:rPr>
              <w:t>淮南市潘集区袁庄</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rPr>
              <w:t>不在生态保护红线范围内</w:t>
            </w:r>
            <w:r>
              <w:rPr>
                <w:rFonts w:hint="eastAsia" w:cs="Times New Roman"/>
                <w:color w:val="auto"/>
                <w:sz w:val="24"/>
                <w:szCs w:val="24"/>
                <w:lang w:eastAsia="zh-CN"/>
              </w:rPr>
              <w:t>，也不在</w:t>
            </w:r>
            <w:r>
              <w:rPr>
                <w:rFonts w:hint="eastAsia" w:ascii="Times New Roman" w:hAnsi="Times New Roman" w:eastAsia="宋体" w:cs="Times New Roman"/>
                <w:color w:val="auto"/>
                <w:sz w:val="24"/>
                <w:szCs w:val="24"/>
                <w:lang w:val="en-US" w:eastAsia="zh-CN"/>
              </w:rPr>
              <w:t>一般生态空间内</w:t>
            </w:r>
            <w:r>
              <w:rPr>
                <w:rFonts w:hint="default" w:ascii="Times New Roman" w:hAnsi="Times New Roman" w:cs="Times New Roman"/>
                <w:color w:val="auto"/>
                <w:sz w:val="24"/>
                <w:szCs w:val="24"/>
              </w:rPr>
              <w:t>，且项目选址周边无自然保护区、风景名胜区、世界文化和自然遗产地、饮用水水源保护区以及基本农田保护区、基本草原、森林公园、地质公园、重要湿地等敏感点存在。因此本项目符合生态保护红线</w:t>
            </w:r>
            <w:r>
              <w:rPr>
                <w:rFonts w:hint="eastAsia" w:cs="Times New Roman"/>
                <w:color w:val="auto"/>
                <w:sz w:val="24"/>
                <w:szCs w:val="24"/>
                <w:lang w:eastAsia="zh-CN"/>
              </w:rPr>
              <w:t>及生态分区管控</w:t>
            </w:r>
            <w:r>
              <w:rPr>
                <w:rFonts w:hint="default" w:ascii="Times New Roman" w:hAnsi="Times New Roman" w:cs="Times New Roman"/>
                <w:color w:val="auto"/>
                <w:sz w:val="24"/>
                <w:szCs w:val="24"/>
              </w:rPr>
              <w:t>要求</w:t>
            </w:r>
            <w:r>
              <w:rPr>
                <w:rFonts w:hint="default" w:ascii="Times New Roman" w:hAnsi="Times New Roman" w:eastAsia="宋体" w:cs="Times New Roman"/>
                <w:color w:val="auto"/>
                <w:sz w:val="24"/>
                <w:szCs w:val="24"/>
                <w:highlight w:val="none"/>
                <w:lang w:eastAsia="zh-CN"/>
              </w:rPr>
              <w:t>。</w:t>
            </w:r>
          </w:p>
          <w:p w14:paraId="0A231FC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（2）环境质量底线</w:t>
            </w:r>
            <w:r>
              <w:rPr>
                <w:rFonts w:hint="eastAsia" w:cs="Times New Roman"/>
                <w:b/>
                <w:bCs/>
                <w:color w:val="auto"/>
                <w:sz w:val="24"/>
                <w:szCs w:val="24"/>
                <w:highlight w:val="none"/>
                <w:lang w:eastAsia="zh-CN"/>
              </w:rPr>
              <w:t>及环境分区管控</w:t>
            </w:r>
          </w:p>
          <w:p w14:paraId="486F263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①水环境质量底线及分区管控</w:t>
            </w:r>
          </w:p>
          <w:p w14:paraId="7DEB30B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水环境质量底线</w:t>
            </w:r>
          </w:p>
          <w:p w14:paraId="5E7B972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eastAsia="宋体" w:cs="Times New Roman"/>
                <w:color w:val="auto"/>
                <w:sz w:val="24"/>
                <w:highlight w:val="none"/>
                <w:lang w:val="en-US" w:eastAsia="zh-CN"/>
              </w:rPr>
            </w:pPr>
            <w:r>
              <w:rPr>
                <w:rFonts w:hint="eastAsia" w:ascii="Times New Roman" w:hAnsi="Times New Roman" w:cs="Times New Roman"/>
                <w:color w:val="auto"/>
                <w:sz w:val="24"/>
                <w:highlight w:val="none"/>
                <w:lang w:eastAsia="zh-CN"/>
              </w:rPr>
              <w:t>根据</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eastAsia="zh-CN"/>
              </w:rPr>
              <w:t>淮南市</w:t>
            </w:r>
            <w:r>
              <w:rPr>
                <w:rFonts w:hint="eastAsia" w:cs="Times New Roman"/>
                <w:color w:val="auto"/>
                <w:sz w:val="24"/>
                <w:highlight w:val="none"/>
                <w:lang w:val="en-US" w:eastAsia="zh-CN"/>
              </w:rPr>
              <w:t>2023年环境质量状况公报</w:t>
            </w:r>
            <w:r>
              <w:rPr>
                <w:rFonts w:hint="default" w:ascii="Times New Roman" w:hAnsi="Times New Roman" w:eastAsia="宋体" w:cs="Times New Roman"/>
                <w:color w:val="auto"/>
                <w:sz w:val="24"/>
                <w:highlight w:val="none"/>
                <w:lang w:eastAsia="zh-CN"/>
              </w:rPr>
              <w:t>》</w:t>
            </w:r>
            <w:r>
              <w:rPr>
                <w:rFonts w:hint="eastAsia" w:eastAsia="宋体" w:cs="Times New Roman"/>
                <w:color w:val="auto"/>
                <w:sz w:val="24"/>
                <w:highlight w:val="none"/>
                <w:lang w:eastAsia="zh-CN"/>
              </w:rPr>
              <w:t>可知</w:t>
            </w:r>
            <w:r>
              <w:rPr>
                <w:rFonts w:hint="eastAsia" w:cs="Times New Roman"/>
                <w:color w:val="auto"/>
                <w:sz w:val="24"/>
                <w:szCs w:val="24"/>
                <w:lang w:val="en-US" w:eastAsia="zh-CN" w:bidi="ar"/>
              </w:rPr>
              <w:t>，</w:t>
            </w:r>
            <w:r>
              <w:rPr>
                <w:rFonts w:hint="eastAsia" w:eastAsia="宋体" w:cs="Times New Roman"/>
                <w:color w:val="auto"/>
                <w:sz w:val="24"/>
                <w:highlight w:val="none"/>
                <w:lang w:val="en-US" w:eastAsia="zh-CN"/>
              </w:rPr>
              <w:t>2023年，全市地表水24个监测断面中优良水质比例为95.8%，比上年提升了16.6个百分点，Ⅳ类水质比例4.2%，总体水质状况优。全市8个国控断面中优良水质比例为87.5%，Ⅳ类水质比例12.5%，总体水质状况良好；11个省控断面中优良水质比例为100%，总体水质状况优。</w:t>
            </w:r>
          </w:p>
          <w:p w14:paraId="5C426A7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2B8D333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eastAsia="宋体"/>
                <w:color w:val="auto"/>
                <w:sz w:val="24"/>
                <w:lang w:eastAsia="zh-CN"/>
              </w:rPr>
            </w:pPr>
            <w:r>
              <w:rPr>
                <w:rFonts w:hint="eastAsia" w:eastAsia="宋体" w:cs="Times New Roman"/>
                <w:color w:val="auto"/>
                <w:sz w:val="24"/>
                <w:highlight w:val="none"/>
                <w:lang w:val="en-US" w:eastAsia="zh-CN"/>
              </w:rPr>
              <w:t>综上，项目</w:t>
            </w:r>
            <w:r>
              <w:rPr>
                <w:rFonts w:hint="eastAsia" w:ascii="Times New Roman" w:hAnsi="Times New Roman" w:eastAsia="宋体" w:cs="Times New Roman"/>
                <w:color w:val="auto"/>
                <w:sz w:val="24"/>
                <w:highlight w:val="none"/>
                <w:lang w:val="en-US" w:eastAsia="zh-CN"/>
              </w:rPr>
              <w:t>区域内地</w:t>
            </w:r>
            <w:r>
              <w:rPr>
                <w:rFonts w:hint="eastAsia" w:eastAsia="宋体" w:cs="Times New Roman"/>
                <w:color w:val="auto"/>
                <w:sz w:val="24"/>
                <w:highlight w:val="none"/>
                <w:lang w:val="en-US" w:eastAsia="zh-CN"/>
              </w:rPr>
              <w:t>表水能满足相应功能区划的</w:t>
            </w:r>
            <w:r>
              <w:rPr>
                <w:color w:val="auto"/>
                <w:sz w:val="24"/>
              </w:rPr>
              <w:t>要求</w:t>
            </w:r>
            <w:r>
              <w:rPr>
                <w:rFonts w:hint="eastAsia"/>
                <w:color w:val="auto"/>
                <w:sz w:val="24"/>
                <w:lang w:eastAsia="zh-CN"/>
              </w:rPr>
              <w:t>。</w:t>
            </w:r>
          </w:p>
          <w:p w14:paraId="541F1C4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B.</w:t>
            </w:r>
            <w:r>
              <w:rPr>
                <w:rFonts w:hint="default" w:ascii="Times New Roman" w:hAnsi="Times New Roman" w:eastAsia="宋体" w:cs="Times New Roman"/>
                <w:color w:val="auto"/>
                <w:sz w:val="24"/>
                <w:szCs w:val="24"/>
                <w:lang w:val="en-US" w:eastAsia="zh-CN"/>
              </w:rPr>
              <w:t>水环境管控分区</w:t>
            </w:r>
          </w:p>
          <w:p w14:paraId="087764B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eastAsia="宋体"/>
                <w:color w:val="auto"/>
                <w:sz w:val="24"/>
              </w:rPr>
            </w:pPr>
            <w:r>
              <w:rPr>
                <w:rFonts w:hint="default" w:ascii="Times New Roman" w:hAnsi="Times New Roman" w:eastAsia="宋体" w:cs="Times New Roman"/>
                <w:color w:val="auto"/>
                <w:sz w:val="24"/>
                <w:szCs w:val="24"/>
                <w:lang w:val="en-US" w:eastAsia="zh-CN"/>
              </w:rPr>
              <w:t>对照《长江经济带战略环境评价安徽省</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市“三线一单”文本》及</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市水环境分区管控图，</w:t>
            </w:r>
            <w:r>
              <w:rPr>
                <w:rFonts w:hint="eastAsia" w:cs="Times New Roman"/>
                <w:color w:val="0070C0"/>
                <w:sz w:val="24"/>
                <w:szCs w:val="24"/>
                <w:lang w:val="en-US" w:eastAsia="zh-CN"/>
              </w:rPr>
              <w:t>水厂、取水泵房</w:t>
            </w:r>
            <w:r>
              <w:rPr>
                <w:rFonts w:hint="default" w:ascii="Times New Roman" w:hAnsi="Times New Roman" w:eastAsia="宋体" w:cs="Times New Roman"/>
                <w:color w:val="0070C0"/>
                <w:sz w:val="24"/>
                <w:szCs w:val="24"/>
                <w:lang w:val="en-US" w:eastAsia="zh-CN"/>
              </w:rPr>
              <w:t>位于</w:t>
            </w:r>
            <w:r>
              <w:rPr>
                <w:rFonts w:hint="eastAsia" w:cs="Times New Roman"/>
                <w:color w:val="0070C0"/>
                <w:sz w:val="24"/>
                <w:szCs w:val="24"/>
                <w:lang w:val="en-US" w:eastAsia="zh-CN"/>
              </w:rPr>
              <w:t>城镇生活污染重点管控</w:t>
            </w:r>
            <w:r>
              <w:rPr>
                <w:rFonts w:hint="default" w:ascii="Times New Roman" w:hAnsi="Times New Roman" w:eastAsia="宋体" w:cs="Times New Roman"/>
                <w:color w:val="0070C0"/>
                <w:sz w:val="24"/>
                <w:szCs w:val="24"/>
                <w:lang w:val="en-US" w:eastAsia="zh-CN"/>
              </w:rPr>
              <w:t>区</w:t>
            </w:r>
            <w:r>
              <w:rPr>
                <w:rFonts w:hint="eastAsia" w:cs="Times New Roman"/>
                <w:color w:val="0070C0"/>
                <w:sz w:val="24"/>
                <w:szCs w:val="24"/>
                <w:lang w:val="en-US" w:eastAsia="zh-CN"/>
              </w:rPr>
              <w:t>，取水管线涉及一般管控区和城镇生活污染重点管控</w:t>
            </w:r>
            <w:r>
              <w:rPr>
                <w:rFonts w:hint="default" w:ascii="Times New Roman" w:hAnsi="Times New Roman" w:eastAsia="宋体" w:cs="Times New Roman"/>
                <w:color w:val="0070C0"/>
                <w:sz w:val="24"/>
                <w:szCs w:val="24"/>
                <w:lang w:val="en-US" w:eastAsia="zh-CN"/>
              </w:rPr>
              <w:t>区</w:t>
            </w:r>
            <w:r>
              <w:rPr>
                <w:rFonts w:hint="eastAsia" w:ascii="Times New Roman" w:hAnsi="Times New Roman" w:eastAsia="宋体" w:cs="Times New Roman"/>
                <w:color w:val="0070C0"/>
                <w:sz w:val="24"/>
                <w:szCs w:val="24"/>
                <w:lang w:val="en-US" w:eastAsia="zh-CN"/>
              </w:rPr>
              <w:t>。</w:t>
            </w:r>
          </w:p>
          <w:p w14:paraId="226A6428">
            <w:pPr>
              <w:keepNext w:val="0"/>
              <w:keepLines w:val="0"/>
              <w:pageBreakBefore w:val="0"/>
              <w:widowControl w:val="0"/>
              <w:suppressLineNumbers w:val="0"/>
              <w:kinsoku/>
              <w:overflowPunct/>
              <w:bidi w:val="0"/>
              <w:spacing w:beforeAutospacing="0" w:afterAutospacing="0" w:line="360" w:lineRule="auto"/>
              <w:ind w:left="0" w:leftChars="0" w:right="0" w:firstLine="480"/>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cs="Times New Roman"/>
                <w:b w:val="0"/>
                <w:bCs/>
                <w:color w:val="auto"/>
                <w:kern w:val="0"/>
                <w:sz w:val="24"/>
                <w:szCs w:val="24"/>
                <w:lang w:val="en-US" w:eastAsia="zh-CN"/>
              </w:rPr>
              <w:t>C.</w:t>
            </w:r>
            <w:r>
              <w:rPr>
                <w:rFonts w:hint="eastAsia" w:ascii="Times New Roman" w:hAnsi="Times New Roman" w:eastAsia="宋体" w:cs="Times New Roman"/>
                <w:b w:val="0"/>
                <w:bCs/>
                <w:color w:val="auto"/>
                <w:kern w:val="0"/>
                <w:sz w:val="24"/>
                <w:szCs w:val="24"/>
                <w:lang w:val="en-US" w:eastAsia="zh-CN"/>
              </w:rPr>
              <w:t>水环境分区管控要求</w:t>
            </w:r>
          </w:p>
          <w:p w14:paraId="2A8607A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sz w:val="24"/>
                <w:lang w:val="en-US" w:eastAsia="zh-CN"/>
              </w:rPr>
            </w:pPr>
            <w:r>
              <w:rPr>
                <w:rFonts w:hint="eastAsia" w:cs="Times New Roman"/>
                <w:color w:val="auto"/>
                <w:sz w:val="24"/>
                <w:szCs w:val="24"/>
                <w:highlight w:val="none"/>
                <w:lang w:val="en-US" w:eastAsia="zh-CN"/>
              </w:rPr>
              <w:t>重点管</w:t>
            </w:r>
            <w:r>
              <w:rPr>
                <w:rFonts w:hint="eastAsia" w:ascii="Times New Roman" w:hAnsi="Times New Roman" w:eastAsia="宋体" w:cs="Times New Roman"/>
                <w:color w:val="auto"/>
                <w:sz w:val="24"/>
                <w:lang w:val="en-US" w:eastAsia="zh-CN"/>
              </w:rPr>
              <w:t>控区：</w:t>
            </w:r>
            <w:r>
              <w:rPr>
                <w:rFonts w:hint="eastAsia" w:ascii="Times New Roman" w:hAnsi="Times New Roman" w:eastAsia="宋体" w:cs="Times New Roman"/>
                <w:color w:val="auto"/>
                <w:sz w:val="24"/>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w:t>
            </w:r>
            <w:r>
              <w:rPr>
                <w:rFonts w:hint="eastAsia" w:ascii="Times New Roman" w:hAnsi="Times New Roman" w:eastAsia="宋体" w:cs="Times New Roman"/>
                <w:color w:val="auto"/>
                <w:sz w:val="24"/>
                <w:lang w:val="en-US" w:eastAsia="zh-CN"/>
              </w:rPr>
              <w:t>实施管控；落实《“十三五”生态环境保护规划》《安徽省“十三五”环境保护规划》《安徽省“十三五”节能减排实施方案》等要求，新建、改建和扩建项目水污染物实施“等量替代”。</w:t>
            </w:r>
          </w:p>
          <w:p w14:paraId="18836FB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cs="Times New Roman"/>
                <w:color w:val="auto"/>
                <w:kern w:val="0"/>
                <w:sz w:val="24"/>
                <w:lang w:val="en-US" w:eastAsia="zh-CN"/>
              </w:rPr>
            </w:pPr>
            <w:r>
              <w:rPr>
                <w:rFonts w:hint="eastAsia" w:cs="Times New Roman"/>
                <w:color w:val="auto"/>
                <w:sz w:val="24"/>
                <w:lang w:val="en-US" w:eastAsia="zh-CN"/>
              </w:rPr>
              <w:t>本项目仍依托现有取水口进行取水，本次不新增员工，反冲洗废水和排泥水经污泥池上清液回用于生产，污泥压滤液排入潘集污水处理厂。</w:t>
            </w:r>
          </w:p>
          <w:p w14:paraId="2F1219D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②大气环境质量底线及分区管控</w:t>
            </w:r>
          </w:p>
          <w:p w14:paraId="4F6462C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大气环境质量底线</w:t>
            </w:r>
          </w:p>
          <w:p w14:paraId="212814A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eastAsia="宋体"/>
                <w:color w:val="auto"/>
                <w:sz w:val="24"/>
              </w:rPr>
              <w:t>根据</w:t>
            </w:r>
            <w:r>
              <w:rPr>
                <w:rFonts w:hint="eastAsia" w:eastAsia="宋体"/>
                <w:color w:val="auto"/>
                <w:sz w:val="24"/>
              </w:rPr>
              <w:t>《淮南市202</w:t>
            </w:r>
            <w:r>
              <w:rPr>
                <w:rFonts w:hint="eastAsia"/>
                <w:color w:val="auto"/>
                <w:sz w:val="24"/>
                <w:lang w:val="en-US" w:eastAsia="zh-CN"/>
              </w:rPr>
              <w:t>3</w:t>
            </w:r>
            <w:r>
              <w:rPr>
                <w:rFonts w:hint="eastAsia" w:eastAsia="宋体"/>
                <w:color w:val="auto"/>
                <w:sz w:val="24"/>
              </w:rPr>
              <w:t>年环境质量状况公报》可知</w:t>
            </w:r>
            <w:r>
              <w:rPr>
                <w:rFonts w:hint="eastAsia"/>
                <w:color w:val="auto"/>
                <w:sz w:val="24"/>
                <w:lang w:eastAsia="zh-CN"/>
              </w:rPr>
              <w:t>，</w:t>
            </w:r>
            <w:r>
              <w:rPr>
                <w:rFonts w:hint="eastAsia" w:eastAsia="宋体"/>
                <w:color w:val="auto"/>
                <w:sz w:val="24"/>
              </w:rPr>
              <w:t>项目所在区域二氧化硫（SO</w:t>
            </w:r>
            <w:r>
              <w:rPr>
                <w:rFonts w:hint="eastAsia" w:eastAsia="宋体"/>
                <w:color w:val="auto"/>
                <w:sz w:val="24"/>
                <w:vertAlign w:val="subscript"/>
              </w:rPr>
              <w:t>2</w:t>
            </w:r>
            <w:r>
              <w:rPr>
                <w:rFonts w:hint="eastAsia" w:eastAsia="宋体"/>
                <w:color w:val="auto"/>
                <w:sz w:val="24"/>
              </w:rPr>
              <w:t>）、二氧化氮（NO</w:t>
            </w:r>
            <w:r>
              <w:rPr>
                <w:rFonts w:hint="eastAsia" w:eastAsia="宋体"/>
                <w:color w:val="auto"/>
                <w:sz w:val="24"/>
                <w:vertAlign w:val="subscript"/>
              </w:rPr>
              <w:t>2</w:t>
            </w:r>
            <w:r>
              <w:rPr>
                <w:rFonts w:hint="eastAsia" w:eastAsia="宋体"/>
                <w:color w:val="auto"/>
                <w:sz w:val="24"/>
              </w:rPr>
              <w:t>）、一氧化碳（CO）</w:t>
            </w:r>
            <w:r>
              <w:rPr>
                <w:rFonts w:hint="eastAsia" w:eastAsia="宋体"/>
                <w:color w:val="auto"/>
                <w:sz w:val="24"/>
                <w:lang w:eastAsia="zh-CN"/>
              </w:rPr>
              <w:t>、</w:t>
            </w:r>
            <w:r>
              <w:rPr>
                <w:rFonts w:hint="eastAsia" w:eastAsia="宋体"/>
                <w:color w:val="auto"/>
                <w:sz w:val="24"/>
              </w:rPr>
              <w:t>可吸入颗粒物（PM</w:t>
            </w:r>
            <w:r>
              <w:rPr>
                <w:rFonts w:hint="eastAsia" w:eastAsia="宋体"/>
                <w:color w:val="auto"/>
                <w:sz w:val="24"/>
                <w:vertAlign w:val="subscript"/>
              </w:rPr>
              <w:t>10</w:t>
            </w:r>
            <w:r>
              <w:rPr>
                <w:rFonts w:hint="eastAsia" w:eastAsia="宋体"/>
                <w:color w:val="auto"/>
                <w:sz w:val="24"/>
              </w:rPr>
              <w:t>）年均浓度、臭氧（O</w:t>
            </w:r>
            <w:r>
              <w:rPr>
                <w:rFonts w:hint="eastAsia" w:eastAsia="宋体"/>
                <w:color w:val="auto"/>
                <w:sz w:val="24"/>
                <w:vertAlign w:val="subscript"/>
              </w:rPr>
              <w:t>3</w:t>
            </w:r>
            <w:r>
              <w:rPr>
                <w:rFonts w:hint="eastAsia" w:eastAsia="宋体"/>
                <w:color w:val="auto"/>
                <w:sz w:val="24"/>
              </w:rPr>
              <w:t>）均符合《环境空气质量标准》（GB3095-2012）二级标准，细颗粒物（PM</w:t>
            </w:r>
            <w:r>
              <w:rPr>
                <w:rFonts w:hint="eastAsia" w:eastAsia="宋体"/>
                <w:color w:val="auto"/>
                <w:sz w:val="24"/>
                <w:vertAlign w:val="subscript"/>
              </w:rPr>
              <w:t>2.5</w:t>
            </w:r>
            <w:r>
              <w:rPr>
                <w:rFonts w:hint="eastAsia" w:eastAsia="宋体"/>
                <w:color w:val="auto"/>
                <w:sz w:val="24"/>
              </w:rPr>
              <w:t>）年均浓度超过《环境空气质量标准》（GB3095-2012）二级标准要求，项目所在区域环境空气质量为不达标区</w:t>
            </w:r>
            <w:r>
              <w:rPr>
                <w:rFonts w:hint="default" w:ascii="Times New Roman" w:hAnsi="Times New Roman" w:eastAsia="宋体" w:cs="Times New Roman"/>
                <w:color w:val="auto"/>
                <w:sz w:val="24"/>
                <w:szCs w:val="24"/>
                <w:lang w:val="en-US" w:eastAsia="zh-CN"/>
              </w:rPr>
              <w:t>。</w:t>
            </w:r>
            <w:r>
              <w:rPr>
                <w:color w:val="auto"/>
                <w:sz w:val="24"/>
              </w:rPr>
              <w:t>根据大气环境质量达标规划，通过进一步控制扬尘污染，机动车尾气污染防治等措施，</w:t>
            </w:r>
            <w:r>
              <w:rPr>
                <w:rFonts w:hint="eastAsia"/>
                <w:color w:val="auto"/>
                <w:sz w:val="24"/>
              </w:rPr>
              <w:t>预计</w:t>
            </w:r>
            <w:r>
              <w:rPr>
                <w:color w:val="auto"/>
                <w:sz w:val="24"/>
              </w:rPr>
              <w:t>大气环境质量状况可以得到进一步改善</w:t>
            </w:r>
            <w:r>
              <w:rPr>
                <w:rFonts w:hint="eastAsia" w:ascii="Times New Roman" w:hAnsi="Times New Roman" w:eastAsia="宋体" w:cs="Times New Roman"/>
                <w:b w:val="0"/>
                <w:bCs/>
                <w:color w:val="auto"/>
                <w:sz w:val="24"/>
                <w:szCs w:val="24"/>
                <w:lang w:eastAsia="zh-CN"/>
              </w:rPr>
              <w:t>。</w:t>
            </w:r>
          </w:p>
          <w:p w14:paraId="03C3218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B.</w:t>
            </w:r>
            <w:r>
              <w:rPr>
                <w:rFonts w:hint="default" w:ascii="Times New Roman" w:hAnsi="Times New Roman" w:eastAsia="宋体" w:cs="Times New Roman"/>
                <w:color w:val="auto"/>
                <w:sz w:val="24"/>
                <w:szCs w:val="24"/>
                <w:lang w:val="en-US" w:eastAsia="zh-CN"/>
              </w:rPr>
              <w:t>大气环境管控分区</w:t>
            </w:r>
          </w:p>
          <w:p w14:paraId="6617538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eastAsia="宋体"/>
                <w:color w:val="auto"/>
                <w:sz w:val="24"/>
              </w:rPr>
            </w:pPr>
            <w:r>
              <w:rPr>
                <w:rFonts w:hint="default" w:ascii="Times New Roman" w:hAnsi="Times New Roman" w:eastAsia="宋体" w:cs="Times New Roman"/>
                <w:color w:val="auto"/>
                <w:sz w:val="24"/>
                <w:szCs w:val="24"/>
                <w:lang w:val="en-US" w:eastAsia="zh-CN"/>
              </w:rPr>
              <w:t>对照《长江经济带战略环境评价安徽省</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市“三线一单”文本》及</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lang w:val="en-US" w:eastAsia="zh-CN"/>
              </w:rPr>
              <w:t>大气</w:t>
            </w:r>
            <w:r>
              <w:rPr>
                <w:rFonts w:hint="default" w:ascii="Times New Roman" w:hAnsi="Times New Roman" w:eastAsia="宋体" w:cs="Times New Roman"/>
                <w:color w:val="auto"/>
                <w:sz w:val="24"/>
                <w:szCs w:val="24"/>
                <w:lang w:val="en-US" w:eastAsia="zh-CN"/>
              </w:rPr>
              <w:t>环境分区管控图，</w:t>
            </w:r>
            <w:r>
              <w:rPr>
                <w:rFonts w:hint="eastAsia" w:cs="Times New Roman"/>
                <w:color w:val="0070C0"/>
                <w:sz w:val="24"/>
                <w:szCs w:val="24"/>
                <w:lang w:val="en-US" w:eastAsia="zh-CN"/>
              </w:rPr>
              <w:t>水厂</w:t>
            </w:r>
            <w:r>
              <w:rPr>
                <w:rFonts w:hint="default" w:ascii="Times New Roman" w:hAnsi="Times New Roman" w:eastAsia="宋体" w:cs="Times New Roman"/>
                <w:color w:val="0070C0"/>
                <w:sz w:val="24"/>
                <w:szCs w:val="24"/>
                <w:lang w:val="en-US" w:eastAsia="zh-CN"/>
              </w:rPr>
              <w:t>位于</w:t>
            </w:r>
            <w:r>
              <w:rPr>
                <w:rFonts w:hint="eastAsia" w:cs="Times New Roman"/>
                <w:color w:val="0070C0"/>
                <w:sz w:val="24"/>
                <w:szCs w:val="24"/>
                <w:lang w:val="en-US" w:eastAsia="zh-CN"/>
              </w:rPr>
              <w:t>高排放重点管控</w:t>
            </w:r>
            <w:r>
              <w:rPr>
                <w:rFonts w:hint="default" w:ascii="Times New Roman" w:hAnsi="Times New Roman" w:eastAsia="宋体" w:cs="Times New Roman"/>
                <w:color w:val="0070C0"/>
                <w:sz w:val="24"/>
                <w:szCs w:val="24"/>
                <w:lang w:val="en-US" w:eastAsia="zh-CN"/>
              </w:rPr>
              <w:t>区</w:t>
            </w:r>
            <w:r>
              <w:rPr>
                <w:rFonts w:hint="eastAsia" w:cs="Times New Roman"/>
                <w:color w:val="0070C0"/>
                <w:sz w:val="24"/>
                <w:szCs w:val="24"/>
                <w:lang w:val="en-US" w:eastAsia="zh-CN"/>
              </w:rPr>
              <w:t>，取水泵房</w:t>
            </w:r>
            <w:r>
              <w:rPr>
                <w:rFonts w:hint="default" w:ascii="Times New Roman" w:hAnsi="Times New Roman" w:eastAsia="宋体" w:cs="Times New Roman"/>
                <w:color w:val="0070C0"/>
                <w:sz w:val="24"/>
                <w:szCs w:val="24"/>
                <w:lang w:val="en-US" w:eastAsia="zh-CN"/>
              </w:rPr>
              <w:t>位于</w:t>
            </w:r>
            <w:r>
              <w:rPr>
                <w:rFonts w:hint="eastAsia" w:cs="Times New Roman"/>
                <w:color w:val="0070C0"/>
                <w:sz w:val="24"/>
                <w:szCs w:val="24"/>
                <w:lang w:val="en-US" w:eastAsia="zh-CN"/>
              </w:rPr>
              <w:t>受体敏感重点管控</w:t>
            </w:r>
            <w:r>
              <w:rPr>
                <w:rFonts w:hint="default" w:ascii="Times New Roman" w:hAnsi="Times New Roman" w:eastAsia="宋体" w:cs="Times New Roman"/>
                <w:color w:val="0070C0"/>
                <w:sz w:val="24"/>
                <w:szCs w:val="24"/>
                <w:lang w:val="en-US" w:eastAsia="zh-CN"/>
              </w:rPr>
              <w:t>区</w:t>
            </w:r>
            <w:r>
              <w:rPr>
                <w:rFonts w:hint="eastAsia" w:cs="Times New Roman"/>
                <w:color w:val="0070C0"/>
                <w:sz w:val="24"/>
                <w:szCs w:val="24"/>
                <w:lang w:val="en-US" w:eastAsia="zh-CN"/>
              </w:rPr>
              <w:t>，取水管线涉及一般管控区和高排放重点管控</w:t>
            </w:r>
            <w:r>
              <w:rPr>
                <w:rFonts w:hint="default" w:ascii="Times New Roman" w:hAnsi="Times New Roman" w:eastAsia="宋体" w:cs="Times New Roman"/>
                <w:color w:val="0070C0"/>
                <w:sz w:val="24"/>
                <w:szCs w:val="24"/>
                <w:lang w:val="en-US" w:eastAsia="zh-CN"/>
              </w:rPr>
              <w:t>区</w:t>
            </w:r>
            <w:r>
              <w:rPr>
                <w:rFonts w:hint="eastAsia" w:ascii="Times New Roman" w:hAnsi="Times New Roman" w:eastAsia="宋体" w:cs="Times New Roman"/>
                <w:color w:val="0070C0"/>
                <w:sz w:val="24"/>
                <w:szCs w:val="24"/>
                <w:lang w:val="en-US" w:eastAsia="zh-CN"/>
              </w:rPr>
              <w:t>。</w:t>
            </w:r>
          </w:p>
          <w:p w14:paraId="3D1BADAB">
            <w:pPr>
              <w:keepNext w:val="0"/>
              <w:keepLines w:val="0"/>
              <w:pageBreakBefore w:val="0"/>
              <w:widowControl w:val="0"/>
              <w:suppressLineNumbers w:val="0"/>
              <w:kinsoku/>
              <w:overflowPunct/>
              <w:bidi w:val="0"/>
              <w:spacing w:beforeAutospacing="0" w:afterAutospacing="0" w:line="360" w:lineRule="auto"/>
              <w:ind w:left="0" w:leftChars="0" w:right="0" w:firstLine="480"/>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cs="Times New Roman"/>
                <w:b w:val="0"/>
                <w:bCs/>
                <w:color w:val="auto"/>
                <w:kern w:val="0"/>
                <w:sz w:val="24"/>
                <w:szCs w:val="24"/>
                <w:lang w:val="en-US" w:eastAsia="zh-CN"/>
              </w:rPr>
              <w:t>C.</w:t>
            </w:r>
            <w:r>
              <w:rPr>
                <w:rFonts w:hint="eastAsia" w:cs="Times New Roman"/>
                <w:b w:val="0"/>
                <w:bCs/>
                <w:color w:val="auto"/>
                <w:kern w:val="0"/>
                <w:sz w:val="24"/>
                <w:szCs w:val="24"/>
                <w:lang w:val="en-US" w:eastAsia="zh-CN"/>
              </w:rPr>
              <w:t>大气</w:t>
            </w:r>
            <w:r>
              <w:rPr>
                <w:rFonts w:hint="eastAsia" w:ascii="Times New Roman" w:hAnsi="Times New Roman" w:eastAsia="宋体" w:cs="Times New Roman"/>
                <w:b w:val="0"/>
                <w:bCs/>
                <w:color w:val="auto"/>
                <w:kern w:val="0"/>
                <w:sz w:val="24"/>
                <w:szCs w:val="24"/>
                <w:lang w:val="en-US" w:eastAsia="zh-CN"/>
              </w:rPr>
              <w:t>环境分区管控要求</w:t>
            </w:r>
          </w:p>
          <w:p w14:paraId="50C64E4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重点管</w:t>
            </w:r>
            <w:r>
              <w:rPr>
                <w:rFonts w:hint="eastAsia" w:ascii="Times New Roman" w:hAnsi="Times New Roman" w:eastAsia="宋体" w:cs="Times New Roman"/>
                <w:color w:val="auto"/>
                <w:sz w:val="24"/>
                <w:szCs w:val="24"/>
                <w:lang w:val="en-US" w:eastAsia="zh-CN"/>
              </w:rPr>
              <w:t>控</w:t>
            </w:r>
            <w:r>
              <w:rPr>
                <w:rFonts w:hint="default" w:ascii="Times New Roman" w:hAnsi="Times New Roman" w:eastAsia="宋体" w:cs="Times New Roman"/>
                <w:color w:val="auto"/>
                <w:sz w:val="24"/>
                <w:szCs w:val="24"/>
                <w:lang w:val="en-US" w:eastAsia="zh-CN"/>
              </w:rPr>
              <w:t>区</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vertAlign w:val="baseline"/>
                <w:lang w:val="en-US"/>
              </w:rPr>
              <w:t>落实《安徽省大气污染防治条例》、《“十三五”生态环境保护规划》、《安徽省“十三五”环境保护规划》、《</w:t>
            </w:r>
            <w:r>
              <w:rPr>
                <w:rFonts w:hint="eastAsia" w:ascii="Times New Roman" w:hAnsi="Times New Roman" w:cs="Times New Roman"/>
                <w:color w:val="auto"/>
                <w:sz w:val="24"/>
                <w:szCs w:val="24"/>
                <w:highlight w:val="none"/>
                <w:vertAlign w:val="baseline"/>
                <w:lang w:val="en-US" w:eastAsia="zh-CN"/>
              </w:rPr>
              <w:t>淮南</w:t>
            </w:r>
            <w:r>
              <w:rPr>
                <w:rFonts w:hint="default" w:ascii="Times New Roman" w:hAnsi="Times New Roman" w:cs="Times New Roman"/>
                <w:color w:val="auto"/>
                <w:sz w:val="24"/>
                <w:szCs w:val="24"/>
                <w:highlight w:val="none"/>
                <w:vertAlign w:val="baseline"/>
                <w:lang w:val="en-US"/>
              </w:rPr>
              <w:t>市“十三五”环境保护规划》、《打赢蓝天保卫战三年行动计划》、《安徽省打赢蓝天保卫战三年行动计划实施方案》、《重点行业挥发性有机物综合治理方案》、《</w:t>
            </w:r>
            <w:r>
              <w:rPr>
                <w:rFonts w:hint="eastAsia" w:ascii="Times New Roman" w:hAnsi="Times New Roman" w:cs="Times New Roman"/>
                <w:color w:val="auto"/>
                <w:sz w:val="24"/>
                <w:szCs w:val="24"/>
                <w:highlight w:val="none"/>
                <w:vertAlign w:val="baseline"/>
                <w:lang w:val="en-US" w:eastAsia="zh-CN"/>
              </w:rPr>
              <w:t>淮南</w:t>
            </w:r>
            <w:r>
              <w:rPr>
                <w:rFonts w:hint="default" w:ascii="Times New Roman" w:hAnsi="Times New Roman" w:cs="Times New Roman"/>
                <w:color w:val="auto"/>
                <w:sz w:val="24"/>
                <w:szCs w:val="24"/>
                <w:highlight w:val="none"/>
                <w:vertAlign w:val="baseline"/>
                <w:lang w:val="en-US"/>
              </w:rPr>
              <w:t>市打赢蓝天保卫战三年行动计划实施方案》等要求，严格目标实施计划，加强环境监管，促进生态环境质量好转。若上年度PM</w:t>
            </w:r>
            <w:r>
              <w:rPr>
                <w:rFonts w:hint="default" w:ascii="Times New Roman" w:hAnsi="Times New Roman" w:cs="Times New Roman"/>
                <w:color w:val="auto"/>
                <w:sz w:val="24"/>
                <w:szCs w:val="24"/>
                <w:highlight w:val="none"/>
                <w:vertAlign w:val="subscript"/>
                <w:lang w:val="en-US"/>
              </w:rPr>
              <w:t>2.5</w:t>
            </w:r>
            <w:r>
              <w:rPr>
                <w:rFonts w:hint="default" w:ascii="Times New Roman" w:hAnsi="Times New Roman" w:cs="Times New Roman"/>
                <w:color w:val="auto"/>
                <w:sz w:val="24"/>
                <w:szCs w:val="24"/>
                <w:highlight w:val="none"/>
                <w:vertAlign w:val="baseline"/>
                <w:lang w:val="en-US"/>
              </w:rPr>
              <w:t>不达标，新建、改建和扩建项目大气污染物实施“倍量替代”，执行特别排放标准的行业实施提标升级改造</w:t>
            </w:r>
            <w:r>
              <w:rPr>
                <w:rFonts w:hint="eastAsia" w:ascii="Times New Roman" w:hAnsi="Times New Roman" w:eastAsia="宋体" w:cs="Times New Roman"/>
                <w:color w:val="auto"/>
                <w:sz w:val="24"/>
                <w:szCs w:val="24"/>
                <w:lang w:val="en-US" w:eastAsia="zh-CN"/>
              </w:rPr>
              <w:t>。</w:t>
            </w:r>
          </w:p>
          <w:p w14:paraId="6DBD012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eastAsia="宋体"/>
                <w:color w:val="auto"/>
                <w:sz w:val="24"/>
              </w:rPr>
            </w:pPr>
            <w:r>
              <w:rPr>
                <w:rFonts w:hint="eastAsia" w:cs="Times New Roman"/>
                <w:color w:val="auto"/>
                <w:sz w:val="24"/>
                <w:lang w:val="en-US" w:eastAsia="zh-CN"/>
              </w:rPr>
              <w:t>本项目为扩建项目，项目所在地淮南市2023年为臭氧不达标城市，项目运营期没有相关污染物产生与排放。</w:t>
            </w:r>
          </w:p>
          <w:p w14:paraId="10A4212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③</w:t>
            </w:r>
            <w:r>
              <w:rPr>
                <w:rFonts w:hint="eastAsia" w:ascii="Times New Roman" w:hAnsi="Times New Roman" w:cs="Times New Roman"/>
                <w:b w:val="0"/>
                <w:bCs w:val="0"/>
                <w:color w:val="auto"/>
                <w:sz w:val="24"/>
                <w:szCs w:val="24"/>
                <w:highlight w:val="none"/>
                <w:lang w:eastAsia="zh-CN"/>
              </w:rPr>
              <w:t>土壤环境风险防控底线及分区管控</w:t>
            </w:r>
          </w:p>
          <w:p w14:paraId="3671C1B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A.土壤</w:t>
            </w:r>
            <w:r>
              <w:rPr>
                <w:rFonts w:hint="default" w:ascii="Times New Roman" w:hAnsi="Times New Roman" w:eastAsia="宋体" w:cs="Times New Roman"/>
                <w:color w:val="auto"/>
                <w:sz w:val="24"/>
                <w:szCs w:val="24"/>
                <w:lang w:val="en-US" w:eastAsia="zh-CN"/>
              </w:rPr>
              <w:t>环境</w:t>
            </w:r>
            <w:r>
              <w:rPr>
                <w:rFonts w:hint="eastAsia" w:ascii="Times New Roman" w:hAnsi="Times New Roman" w:eastAsia="宋体" w:cs="Times New Roman"/>
                <w:color w:val="auto"/>
                <w:sz w:val="24"/>
                <w:szCs w:val="24"/>
                <w:lang w:val="en-US" w:eastAsia="zh-CN"/>
              </w:rPr>
              <w:t>风险防控</w:t>
            </w:r>
            <w:r>
              <w:rPr>
                <w:rFonts w:hint="default" w:ascii="Times New Roman" w:hAnsi="Times New Roman" w:eastAsia="宋体" w:cs="Times New Roman"/>
                <w:color w:val="auto"/>
                <w:sz w:val="24"/>
                <w:szCs w:val="24"/>
                <w:lang w:val="en-US" w:eastAsia="zh-CN"/>
              </w:rPr>
              <w:t>底线</w:t>
            </w:r>
          </w:p>
          <w:p w14:paraId="1A14124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淮南市土壤污染防治工作方案》要求，到2020年，全市土壤污染趋势得到初步遏制，土壤环境质量总体保持稳定，农用地和建设用地土壤环境安全得到基本保障，土壤环境风险得到基本控制。受污染耕地安全利用率达到95%左右，污染地块安全利用率达到90%以上；到2030年，全市土壤环境质量稳中向好，农用地和建设用地土壤环境安全得到有效保障，土壤环境风险得到全面管控。受污染耕地安全利用率达到96%以上，污染地块安全利用率达到95%以上。到本世纪中叶，全市土壤环境质量全面改善，生态系统实现良性循环。本项目</w:t>
            </w:r>
            <w:r>
              <w:rPr>
                <w:rFonts w:hint="eastAsia" w:eastAsia="宋体" w:cs="Times New Roman"/>
                <w:color w:val="auto"/>
                <w:sz w:val="24"/>
                <w:szCs w:val="24"/>
                <w:lang w:val="en-US" w:eastAsia="zh-CN"/>
              </w:rPr>
              <w:t>为技改项目，不新增用地，</w:t>
            </w:r>
            <w:r>
              <w:rPr>
                <w:rFonts w:hint="eastAsia" w:eastAsia="宋体" w:cs="Times New Roman"/>
                <w:b w:val="0"/>
                <w:bCs w:val="0"/>
                <w:color w:val="auto"/>
                <w:sz w:val="24"/>
                <w:lang w:val="en-US" w:eastAsia="zh-CN"/>
              </w:rPr>
              <w:t>不存在</w:t>
            </w:r>
            <w:r>
              <w:rPr>
                <w:rFonts w:hint="default" w:ascii="Times New Roman" w:hAnsi="Times New Roman" w:eastAsia="宋体" w:cs="Times New Roman"/>
                <w:b w:val="0"/>
                <w:bCs w:val="0"/>
                <w:color w:val="auto"/>
                <w:sz w:val="24"/>
                <w:lang w:val="en-US" w:eastAsia="zh-CN"/>
              </w:rPr>
              <w:t>土壤、地下水环境污染途径</w:t>
            </w:r>
            <w:r>
              <w:rPr>
                <w:rFonts w:hint="eastAsia" w:ascii="Times New Roman" w:hAnsi="Times New Roman" w:eastAsia="宋体" w:cs="Times New Roman"/>
                <w:color w:val="auto"/>
                <w:sz w:val="24"/>
                <w:szCs w:val="24"/>
                <w:lang w:val="en-US" w:eastAsia="zh-CN"/>
              </w:rPr>
              <w:t>。</w:t>
            </w:r>
          </w:p>
          <w:p w14:paraId="55BF723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B.土壤</w:t>
            </w:r>
            <w:r>
              <w:rPr>
                <w:rFonts w:hint="default" w:ascii="Times New Roman" w:hAnsi="Times New Roman" w:eastAsia="宋体" w:cs="Times New Roman"/>
                <w:color w:val="auto"/>
                <w:sz w:val="24"/>
                <w:szCs w:val="24"/>
                <w:lang w:val="en-US" w:eastAsia="zh-CN"/>
              </w:rPr>
              <w:t>环境</w:t>
            </w:r>
            <w:r>
              <w:rPr>
                <w:rFonts w:hint="eastAsia" w:ascii="Times New Roman" w:hAnsi="Times New Roman" w:eastAsia="宋体" w:cs="Times New Roman"/>
                <w:color w:val="auto"/>
                <w:sz w:val="24"/>
                <w:szCs w:val="24"/>
                <w:lang w:val="en-US" w:eastAsia="zh-CN"/>
              </w:rPr>
              <w:t>风险防控</w:t>
            </w:r>
            <w:r>
              <w:rPr>
                <w:rFonts w:hint="default" w:ascii="Times New Roman" w:hAnsi="Times New Roman" w:eastAsia="宋体" w:cs="Times New Roman"/>
                <w:color w:val="auto"/>
                <w:sz w:val="24"/>
                <w:szCs w:val="24"/>
                <w:lang w:val="en-US" w:eastAsia="zh-CN"/>
              </w:rPr>
              <w:t>分区</w:t>
            </w:r>
          </w:p>
          <w:p w14:paraId="5AE4B73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eastAsia="宋体"/>
                <w:color w:val="auto"/>
                <w:sz w:val="24"/>
              </w:rPr>
            </w:pPr>
            <w:r>
              <w:rPr>
                <w:rFonts w:hint="default" w:ascii="Times New Roman" w:hAnsi="Times New Roman" w:eastAsia="宋体" w:cs="Times New Roman"/>
                <w:color w:val="auto"/>
                <w:sz w:val="24"/>
                <w:szCs w:val="24"/>
                <w:lang w:val="en-US" w:eastAsia="zh-CN"/>
              </w:rPr>
              <w:t>对照《长江经济带战略环境评价安徽省</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市“三线一单”文本》及</w:t>
            </w:r>
            <w:r>
              <w:rPr>
                <w:rFonts w:hint="eastAsia" w:ascii="Times New Roman" w:hAnsi="Times New Roman" w:eastAsia="宋体" w:cs="Times New Roman"/>
                <w:color w:val="auto"/>
                <w:sz w:val="24"/>
                <w:szCs w:val="24"/>
                <w:lang w:val="en-US" w:eastAsia="zh-CN"/>
              </w:rPr>
              <w:t>淮南</w:t>
            </w:r>
            <w:r>
              <w:rPr>
                <w:rFonts w:hint="default"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lang w:val="en-US" w:eastAsia="zh-CN"/>
              </w:rPr>
              <w:t>土壤污染风险</w:t>
            </w:r>
            <w:r>
              <w:rPr>
                <w:rFonts w:hint="default" w:ascii="Times New Roman" w:hAnsi="Times New Roman" w:eastAsia="宋体" w:cs="Times New Roman"/>
                <w:color w:val="auto"/>
                <w:sz w:val="24"/>
                <w:szCs w:val="24"/>
                <w:lang w:val="en-US" w:eastAsia="zh-CN"/>
              </w:rPr>
              <w:t>分区管控图，</w:t>
            </w:r>
            <w:r>
              <w:rPr>
                <w:rFonts w:hint="eastAsia" w:cs="Times New Roman"/>
                <w:color w:val="auto"/>
                <w:sz w:val="24"/>
                <w:szCs w:val="24"/>
                <w:lang w:val="en-US" w:eastAsia="zh-CN"/>
              </w:rPr>
              <w:t>水厂、取水泵房</w:t>
            </w:r>
            <w:r>
              <w:rPr>
                <w:rFonts w:hint="default" w:ascii="Times New Roman" w:hAnsi="Times New Roman" w:eastAsia="宋体" w:cs="Times New Roman"/>
                <w:color w:val="auto"/>
                <w:sz w:val="24"/>
                <w:szCs w:val="24"/>
                <w:lang w:val="en-US" w:eastAsia="zh-CN"/>
              </w:rPr>
              <w:t>位于</w:t>
            </w:r>
            <w:r>
              <w:rPr>
                <w:rFonts w:hint="eastAsia" w:cs="Times New Roman"/>
                <w:color w:val="auto"/>
                <w:sz w:val="24"/>
                <w:szCs w:val="24"/>
                <w:lang w:val="en-US" w:eastAsia="zh-CN"/>
              </w:rPr>
              <w:t>一般管控</w:t>
            </w:r>
            <w:r>
              <w:rPr>
                <w:rFonts w:hint="default" w:ascii="Times New Roman" w:hAnsi="Times New Roman" w:eastAsia="宋体" w:cs="Times New Roman"/>
                <w:color w:val="auto"/>
                <w:sz w:val="24"/>
                <w:szCs w:val="24"/>
                <w:lang w:val="en-US" w:eastAsia="zh-CN"/>
              </w:rPr>
              <w:t>区</w:t>
            </w:r>
            <w:r>
              <w:rPr>
                <w:rFonts w:hint="eastAsia" w:cs="Times New Roman"/>
                <w:color w:val="auto"/>
                <w:sz w:val="24"/>
                <w:szCs w:val="24"/>
                <w:lang w:val="en-US" w:eastAsia="zh-CN"/>
              </w:rPr>
              <w:t>，输水管线部分位于优先保护区内</w:t>
            </w:r>
            <w:r>
              <w:rPr>
                <w:rFonts w:hint="eastAsia" w:ascii="Times New Roman" w:hAnsi="Times New Roman" w:eastAsia="宋体" w:cs="Times New Roman"/>
                <w:color w:val="auto"/>
                <w:sz w:val="24"/>
                <w:szCs w:val="24"/>
                <w:lang w:val="en-US" w:eastAsia="zh-CN"/>
              </w:rPr>
              <w:t>。</w:t>
            </w:r>
          </w:p>
          <w:p w14:paraId="07AA795E">
            <w:pPr>
              <w:keepNext w:val="0"/>
              <w:keepLines w:val="0"/>
              <w:pageBreakBefore w:val="0"/>
              <w:widowControl w:val="0"/>
              <w:suppressLineNumbers w:val="0"/>
              <w:kinsoku/>
              <w:wordWrap/>
              <w:overflowPunct/>
              <w:topLinePunct w:val="0"/>
              <w:autoSpaceDE/>
              <w:autoSpaceDN/>
              <w:bidi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cs="Times New Roman"/>
                <w:b w:val="0"/>
                <w:bCs/>
                <w:color w:val="auto"/>
                <w:kern w:val="0"/>
                <w:sz w:val="24"/>
                <w:szCs w:val="24"/>
                <w:lang w:val="en-US" w:eastAsia="zh-CN"/>
              </w:rPr>
              <w:t>C.土壤</w:t>
            </w:r>
            <w:r>
              <w:rPr>
                <w:rFonts w:hint="eastAsia" w:ascii="Times New Roman" w:hAnsi="Times New Roman" w:eastAsia="宋体" w:cs="Times New Roman"/>
                <w:b w:val="0"/>
                <w:bCs/>
                <w:color w:val="auto"/>
                <w:kern w:val="0"/>
                <w:sz w:val="24"/>
                <w:szCs w:val="24"/>
                <w:lang w:val="en-US" w:eastAsia="zh-CN"/>
              </w:rPr>
              <w:t>环境风险分区防控要求</w:t>
            </w:r>
          </w:p>
          <w:p w14:paraId="2B473BA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优先保护区：依据《中华人民共和国大气污染防治法》《安徽省大气污染防治条例》等法律法规和规章对优先保护区实施管控；依据《国家森林公园管理条例》《安徽省森林公园管理条例》等法律法规和规章对森林公园实施管控；依据《地质遗迹保护管理规定》对地质公园实施管控；依据《国家风景名胜区管理条例》《宣城市敬亭山风景名胜区条例》以及安徽省人民政府办公厅《关于加强风景名胜区规划建设管理工作的意见》等法律法规和规章对各类风景名胜区实施管控；依据《中华人民共和国自然保护区条例》等法律法规和规章对各类自然保护区实施管控。</w:t>
            </w:r>
          </w:p>
          <w:p w14:paraId="2F5FB58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般管控区：依据《中华人民共和国土壤污染防治法》《土壤污染防治行动计划》《安徽省土壤污染防治工作方案》《安徽省“十三五”环境保护规划》等要求及各市土壤污染防治工作方案对一般管控区实施管控。</w:t>
            </w:r>
          </w:p>
          <w:p w14:paraId="1F90E80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lang w:val="en-US" w:eastAsia="zh-CN"/>
              </w:rPr>
              <w:t>本次扩建输水管线施工涉及部分耕地，施工期间采取污染防治措施避免施工过程对大气、地表水、周围村民造成影响，施工结束及时对临时占地进行生态恢复，对耕地及时进行原貌恢复，避免对耕地进行造成破坏，</w:t>
            </w:r>
            <w:r>
              <w:rPr>
                <w:rFonts w:hint="eastAsia" w:ascii="Times New Roman" w:hAnsi="Times New Roman" w:eastAsia="宋体" w:cs="Times New Roman"/>
                <w:color w:val="auto"/>
                <w:sz w:val="24"/>
                <w:lang w:val="en-US" w:eastAsia="zh-CN"/>
              </w:rPr>
              <w:t>按管控要求执行</w:t>
            </w:r>
            <w:r>
              <w:rPr>
                <w:rFonts w:hint="eastAsia" w:cs="Times New Roman"/>
                <w:color w:val="auto"/>
                <w:sz w:val="24"/>
                <w:lang w:val="en-US" w:eastAsia="zh-CN"/>
              </w:rPr>
              <w:t>。</w:t>
            </w:r>
          </w:p>
          <w:p w14:paraId="67CF94E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（3）资源利用上线</w:t>
            </w:r>
            <w:bookmarkStart w:id="1" w:name="_Hlk501389775"/>
          </w:p>
          <w:p w14:paraId="47448D1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本项目位于</w:t>
            </w:r>
            <w:r>
              <w:rPr>
                <w:rFonts w:hint="eastAsia" w:ascii="Times New Roman" w:hAnsi="Times New Roman" w:eastAsia="宋体" w:cs="Times New Roman"/>
                <w:color w:val="auto"/>
                <w:sz w:val="24"/>
                <w:szCs w:val="24"/>
                <w:lang w:val="en-US" w:eastAsia="zh-CN"/>
              </w:rPr>
              <w:t>淮南市潘集区袁庄</w:t>
            </w:r>
            <w:r>
              <w:rPr>
                <w:rFonts w:hint="eastAsia" w:ascii="宋体" w:hAnsi="宋体" w:cs="宋体"/>
                <w:color w:val="auto"/>
                <w:kern w:val="0"/>
                <w:sz w:val="24"/>
                <w:szCs w:val="24"/>
                <w:lang w:val="en-US" w:eastAsia="zh-CN" w:bidi="ar"/>
              </w:rPr>
              <w:t>，</w:t>
            </w:r>
            <w:r>
              <w:rPr>
                <w:rFonts w:hint="default" w:ascii="Times New Roman" w:hAnsi="Times New Roman" w:cs="Times New Roman"/>
                <w:color w:val="auto"/>
                <w:sz w:val="24"/>
                <w:szCs w:val="24"/>
                <w:lang w:eastAsia="zh-CN"/>
              </w:rPr>
              <w:t>本</w:t>
            </w:r>
            <w:r>
              <w:rPr>
                <w:rFonts w:hint="eastAsia" w:ascii="Times New Roman" w:hAnsi="Times New Roman" w:cs="Times New Roman"/>
                <w:color w:val="auto"/>
                <w:sz w:val="24"/>
                <w:szCs w:val="24"/>
                <w:lang w:eastAsia="zh-CN"/>
              </w:rPr>
              <w:t>项目</w:t>
            </w:r>
            <w:r>
              <w:rPr>
                <w:rFonts w:hint="eastAsia" w:cs="Times New Roman"/>
                <w:color w:val="auto"/>
                <w:sz w:val="24"/>
                <w:szCs w:val="24"/>
                <w:lang w:eastAsia="zh-CN"/>
              </w:rPr>
              <w:t>在现有厂区内扩建</w:t>
            </w:r>
            <w:r>
              <w:rPr>
                <w:rFonts w:hint="default" w:ascii="Times New Roman" w:hAnsi="Times New Roman" w:cs="Times New Roman"/>
                <w:color w:val="auto"/>
                <w:sz w:val="24"/>
                <w:szCs w:val="24"/>
              </w:rPr>
              <w:t>，不占用新的土地资源</w:t>
            </w:r>
            <w:r>
              <w:rPr>
                <w:rFonts w:hint="eastAsia"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eastAsia="zh-CN"/>
              </w:rPr>
              <w:t>主要从事自来水供应，</w:t>
            </w:r>
            <w:r>
              <w:rPr>
                <w:rFonts w:hint="eastAsia" w:ascii="Times New Roman" w:hAnsi="Times New Roman" w:eastAsia="宋体" w:cs="Times New Roman"/>
                <w:color w:val="auto"/>
                <w:sz w:val="24"/>
                <w:szCs w:val="24"/>
                <w:highlight w:val="none"/>
                <w:lang w:eastAsia="zh-CN"/>
              </w:rPr>
              <w:t>运营过程消耗一定的电能、水及</w:t>
            </w:r>
            <w:r>
              <w:rPr>
                <w:rFonts w:hint="eastAsia" w:cs="Times New Roman"/>
                <w:color w:val="auto"/>
                <w:sz w:val="24"/>
                <w:szCs w:val="24"/>
                <w:highlight w:val="none"/>
                <w:lang w:eastAsia="zh-CN"/>
              </w:rPr>
              <w:t>煤气</w:t>
            </w:r>
            <w:r>
              <w:rPr>
                <w:rFonts w:hint="eastAsia" w:ascii="Times New Roman" w:hAnsi="Times New Roman" w:eastAsia="宋体" w:cs="Times New Roman"/>
                <w:color w:val="auto"/>
                <w:sz w:val="24"/>
                <w:szCs w:val="24"/>
                <w:highlight w:val="none"/>
                <w:lang w:eastAsia="zh-CN"/>
              </w:rPr>
              <w:t>，资源消耗量相对区域资源利用总量较少，资源和能源消耗指标达国内清洁生产先进水平，符合资源利用上线要求。</w:t>
            </w:r>
          </w:p>
          <w:p w14:paraId="05B901F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，项目建设符合资</w:t>
            </w:r>
            <w:r>
              <w:rPr>
                <w:rFonts w:hint="default" w:ascii="Times New Roman" w:hAnsi="Times New Roman" w:eastAsia="宋体" w:cs="Times New Roman"/>
                <w:color w:val="auto"/>
                <w:sz w:val="24"/>
                <w:highlight w:val="none"/>
              </w:rPr>
              <w:t>源利用上线要求</w:t>
            </w:r>
            <w:r>
              <w:rPr>
                <w:rFonts w:hint="eastAsia" w:ascii="Times New Roman" w:hAnsi="Times New Roman" w:eastAsia="宋体" w:cs="Times New Roman"/>
                <w:color w:val="auto"/>
                <w:sz w:val="24"/>
                <w:szCs w:val="24"/>
                <w:lang w:val="en-US" w:eastAsia="zh-CN"/>
              </w:rPr>
              <w:t>。</w:t>
            </w:r>
          </w:p>
          <w:p w14:paraId="2E861D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（4）生态环境准入清单相符性</w:t>
            </w:r>
          </w:p>
          <w:bookmarkEnd w:id="1"/>
          <w:p w14:paraId="5DC9EC6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cs="Times New Roman"/>
                <w:color w:val="auto"/>
                <w:sz w:val="24"/>
                <w:szCs w:val="24"/>
                <w:highlight w:val="none"/>
                <w:lang w:eastAsia="zh-CN"/>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eastAsia="zh-CN"/>
              </w:rPr>
              <w:t>位于</w:t>
            </w:r>
            <w:r>
              <w:rPr>
                <w:rFonts w:hint="eastAsia" w:ascii="Times New Roman" w:hAnsi="Times New Roman" w:eastAsia="宋体" w:cs="Times New Roman"/>
                <w:color w:val="auto"/>
                <w:sz w:val="24"/>
                <w:szCs w:val="24"/>
                <w:lang w:val="en-US" w:eastAsia="zh-CN"/>
              </w:rPr>
              <w:t>淮南市潘集区袁庄</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highlight w:val="none"/>
              </w:rPr>
              <w:t>目前</w:t>
            </w:r>
            <w:r>
              <w:rPr>
                <w:rFonts w:hint="eastAsia" w:ascii="Times New Roman" w:hAnsi="Times New Roman" w:eastAsia="宋体" w:cs="Times New Roman"/>
                <w:color w:val="auto"/>
                <w:sz w:val="24"/>
                <w:highlight w:val="none"/>
                <w:lang w:val="en-US" w:eastAsia="zh-CN"/>
              </w:rPr>
              <w:t>区域内</w:t>
            </w:r>
            <w:r>
              <w:rPr>
                <w:rFonts w:hint="default" w:ascii="Times New Roman" w:hAnsi="Times New Roman" w:eastAsia="宋体" w:cs="Times New Roman"/>
                <w:color w:val="auto"/>
                <w:sz w:val="24"/>
                <w:highlight w:val="none"/>
              </w:rPr>
              <w:t>未制定环境准入负面清单。本项目</w:t>
            </w:r>
            <w:r>
              <w:rPr>
                <w:rFonts w:hint="eastAsia" w:cs="Times New Roman"/>
                <w:b w:val="0"/>
                <w:bCs/>
                <w:color w:val="auto"/>
                <w:sz w:val="24"/>
                <w:lang w:val="en-US" w:eastAsia="zh-CN"/>
              </w:rPr>
              <w:t>属于</w:t>
            </w:r>
            <w:r>
              <w:rPr>
                <w:rFonts w:hint="eastAsia" w:cs="Times New Roman"/>
                <w:color w:val="auto"/>
                <w:sz w:val="24"/>
                <w:szCs w:val="24"/>
                <w:lang w:eastAsia="zh-CN"/>
              </w:rPr>
              <w:t>D4610自来水生产和供应</w:t>
            </w:r>
            <w:r>
              <w:rPr>
                <w:rFonts w:hint="default" w:ascii="Times New Roman" w:hAnsi="Times New Roman" w:eastAsia="宋体" w:cs="Times New Roman"/>
                <w:color w:val="auto"/>
                <w:sz w:val="24"/>
                <w:highlight w:val="none"/>
              </w:rPr>
              <w:t>，对照《市场准入负面清单（2022版）》，不在负面清单</w:t>
            </w:r>
            <w:r>
              <w:rPr>
                <w:rFonts w:hint="default" w:ascii="Times New Roman" w:hAnsi="Times New Roman" w:eastAsia="宋体" w:cs="Times New Roman"/>
                <w:color w:val="auto"/>
                <w:sz w:val="24"/>
                <w:szCs w:val="24"/>
                <w:highlight w:val="none"/>
              </w:rPr>
              <w:t>范围内</w:t>
            </w:r>
            <w:r>
              <w:rPr>
                <w:rFonts w:hint="eastAsia" w:cs="Times New Roman"/>
                <w:color w:val="auto"/>
                <w:sz w:val="24"/>
                <w:szCs w:val="24"/>
                <w:highlight w:val="none"/>
                <w:lang w:eastAsia="zh-CN"/>
              </w:rPr>
              <w:t>；</w:t>
            </w:r>
            <w:r>
              <w:rPr>
                <w:rFonts w:hint="eastAsia"/>
                <w:color w:val="auto"/>
                <w:sz w:val="24"/>
                <w:szCs w:val="24"/>
              </w:rPr>
              <w:t>根据《产业结构调整指导目录》（20</w:t>
            </w:r>
            <w:r>
              <w:rPr>
                <w:rFonts w:hint="eastAsia"/>
                <w:color w:val="auto"/>
                <w:sz w:val="24"/>
                <w:szCs w:val="24"/>
                <w:lang w:val="en-US" w:eastAsia="zh-CN"/>
              </w:rPr>
              <w:t>24</w:t>
            </w:r>
            <w:r>
              <w:rPr>
                <w:rFonts w:hint="eastAsia"/>
                <w:color w:val="auto"/>
                <w:sz w:val="24"/>
                <w:szCs w:val="24"/>
              </w:rPr>
              <w:t>年本），本项目属于该目录中“鼓励类”中“二、水利—2．节水供水工程：农村供水工程，灌区及配套设施建设、改造，高效输配水、节水灌溉技术推广应用，灌溉排水泵站更新改造工程，合同节水管理，节水改造工程，节水工艺、技术和装备推广应用，城镇用水单位智慧节水系统开发与应用，非常规水源开发利用”项目，属于国家鼓励类项目</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rPr>
              <w:t>项目对生产过程产生的污染物均采</w:t>
            </w:r>
            <w:r>
              <w:rPr>
                <w:rFonts w:hint="default" w:ascii="Times New Roman" w:hAnsi="Times New Roman" w:cs="Times New Roman"/>
                <w:color w:val="auto"/>
                <w:sz w:val="24"/>
                <w:szCs w:val="24"/>
                <w:highlight w:val="none"/>
                <w:lang w:eastAsia="zh-CN"/>
              </w:rPr>
              <w:t>取</w:t>
            </w:r>
            <w:r>
              <w:rPr>
                <w:rFonts w:hint="default" w:ascii="Times New Roman" w:hAnsi="Times New Roman" w:cs="Times New Roman"/>
                <w:color w:val="auto"/>
                <w:sz w:val="24"/>
                <w:szCs w:val="24"/>
                <w:highlight w:val="none"/>
              </w:rPr>
              <w:t>了相应的</w:t>
            </w:r>
            <w:r>
              <w:rPr>
                <w:rFonts w:hint="default" w:ascii="Times New Roman" w:hAnsi="Times New Roman" w:cs="Times New Roman"/>
                <w:color w:val="auto"/>
                <w:sz w:val="24"/>
                <w:szCs w:val="24"/>
                <w:highlight w:val="none"/>
                <w:lang w:eastAsia="zh-CN"/>
              </w:rPr>
              <w:t>污染治理</w:t>
            </w:r>
            <w:r>
              <w:rPr>
                <w:rFonts w:hint="default" w:ascii="Times New Roman" w:hAnsi="Times New Roman" w:cs="Times New Roman"/>
                <w:color w:val="auto"/>
                <w:sz w:val="24"/>
                <w:szCs w:val="24"/>
                <w:highlight w:val="none"/>
              </w:rPr>
              <w:t>措施，可以达标排放，符合环境准入要求</w:t>
            </w:r>
            <w:r>
              <w:rPr>
                <w:rFonts w:hint="eastAsia" w:cs="Times New Roman"/>
                <w:color w:val="auto"/>
                <w:sz w:val="24"/>
                <w:szCs w:val="24"/>
                <w:highlight w:val="none"/>
                <w:lang w:eastAsia="zh-CN"/>
              </w:rPr>
              <w:t>。</w:t>
            </w:r>
          </w:p>
          <w:p w14:paraId="4801FAF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b/>
                <w:bCs/>
                <w:color w:val="auto"/>
                <w:lang w:val="en-US" w:eastAsia="zh-CN"/>
              </w:rPr>
            </w:pPr>
            <w:r>
              <w:rPr>
                <w:rFonts w:hint="default" w:ascii="Times New Roman" w:hAnsi="Times New Roman" w:eastAsia="宋体" w:cs="Times New Roman"/>
                <w:color w:val="auto"/>
                <w:sz w:val="24"/>
                <w:highlight w:val="none"/>
              </w:rPr>
              <w:t>综上，本项目符合生态保护红线、环境质量底线、资源利用上线及</w:t>
            </w:r>
            <w:r>
              <w:rPr>
                <w:rFonts w:hint="default" w:ascii="Times New Roman" w:hAnsi="Times New Roman" w:eastAsia="宋体" w:cs="Times New Roman"/>
                <w:color w:val="auto"/>
                <w:sz w:val="24"/>
                <w:highlight w:val="none"/>
                <w:lang w:val="en-US" w:eastAsia="zh-CN"/>
              </w:rPr>
              <w:t>生态</w:t>
            </w:r>
            <w:r>
              <w:rPr>
                <w:rFonts w:hint="default" w:ascii="Times New Roman" w:hAnsi="Times New Roman" w:eastAsia="宋体" w:cs="Times New Roman"/>
                <w:color w:val="auto"/>
                <w:sz w:val="24"/>
                <w:highlight w:val="none"/>
              </w:rPr>
              <w:t>环境准入清单（三线一单）要求</w:t>
            </w:r>
            <w:r>
              <w:rPr>
                <w:rFonts w:hint="eastAsia"/>
                <w:color w:val="auto"/>
              </w:rPr>
              <w:t>。</w:t>
            </w:r>
          </w:p>
          <w:p w14:paraId="5232A599">
            <w:pPr>
              <w:pStyle w:val="87"/>
              <w:keepNext w:val="0"/>
              <w:keepLines w:val="0"/>
              <w:pageBreakBefore w:val="0"/>
              <w:widowControl w:val="0"/>
              <w:kinsoku/>
              <w:overflowPunct/>
              <w:bidi w:val="0"/>
              <w:spacing w:beforeAutospacing="0" w:afterAutospacing="0"/>
              <w:ind w:left="0" w:leftChars="0" w:firstLine="480"/>
              <w:jc w:val="both"/>
              <w:rPr>
                <w:rFonts w:hint="eastAsia"/>
                <w:b/>
                <w:bCs/>
                <w:color w:val="auto"/>
                <w:lang w:val="en-US" w:eastAsia="zh-CN"/>
              </w:rPr>
            </w:pPr>
            <w:r>
              <w:rPr>
                <w:rFonts w:hint="eastAsia"/>
                <w:b/>
                <w:bCs/>
                <w:color w:val="auto"/>
                <w:lang w:val="en-US" w:eastAsia="zh-CN"/>
              </w:rPr>
              <w:t>3、</w:t>
            </w:r>
            <w:r>
              <w:rPr>
                <w:rFonts w:hint="eastAsia"/>
                <w:b/>
                <w:bCs/>
                <w:color w:val="auto"/>
              </w:rPr>
              <w:t>与</w:t>
            </w:r>
            <w:r>
              <w:rPr>
                <w:rFonts w:hint="eastAsia"/>
                <w:b/>
                <w:bCs/>
                <w:color w:val="auto"/>
                <w:lang w:val="en-US" w:eastAsia="zh-CN"/>
              </w:rPr>
              <w:t>《安徽省淮河流域水污染防治条例》</w:t>
            </w:r>
            <w:r>
              <w:rPr>
                <w:rFonts w:hint="eastAsia"/>
                <w:b/>
                <w:bCs/>
                <w:color w:val="auto"/>
              </w:rPr>
              <w:t>符合性</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
              <w:gridCol w:w="4307"/>
              <w:gridCol w:w="1821"/>
              <w:gridCol w:w="677"/>
            </w:tblGrid>
            <w:tr w14:paraId="4958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noWrap w:val="0"/>
                  <w:vAlign w:val="center"/>
                </w:tcPr>
                <w:p w14:paraId="071B639A">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3005" w:type="pct"/>
                  <w:noWrap w:val="0"/>
                  <w:vAlign w:val="center"/>
                </w:tcPr>
                <w:p w14:paraId="6FE4D6A5">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相关内容</w:t>
                  </w:r>
                </w:p>
              </w:tc>
              <w:tc>
                <w:tcPr>
                  <w:tcW w:w="1270" w:type="pct"/>
                  <w:noWrap w:val="0"/>
                  <w:vAlign w:val="center"/>
                </w:tcPr>
                <w:p w14:paraId="1AF47F01">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项目情况</w:t>
                  </w:r>
                </w:p>
              </w:tc>
              <w:tc>
                <w:tcPr>
                  <w:tcW w:w="472" w:type="pct"/>
                  <w:noWrap w:val="0"/>
                  <w:vAlign w:val="center"/>
                </w:tcPr>
                <w:p w14:paraId="5E11D49B">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是否符合</w:t>
                  </w:r>
                </w:p>
              </w:tc>
            </w:tr>
            <w:tr w14:paraId="4BB8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noWrap w:val="0"/>
                  <w:vAlign w:val="center"/>
                </w:tcPr>
                <w:p w14:paraId="75455B1D">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3005" w:type="pct"/>
                  <w:noWrap w:val="0"/>
                  <w:vAlign w:val="center"/>
                </w:tcPr>
                <w:p w14:paraId="66ED3197">
                  <w:pPr>
                    <w:keepNext w:val="0"/>
                    <w:keepLines w:val="0"/>
                    <w:pageBreakBefore w:val="0"/>
                    <w:widowControl w:val="0"/>
                    <w:kinsoku/>
                    <w:overflowPunct/>
                    <w:bidi w:val="0"/>
                    <w:spacing w:beforeAutospacing="0" w:afterAutospacing="0" w:line="240" w:lineRule="auto"/>
                    <w:ind w:left="0" w:leftChars="0"/>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第四条</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开发利用淮河流域水资源，应当统筹规划，维护水体的自然净化能力，不得降低原有水体的水质。</w:t>
                  </w:r>
                </w:p>
              </w:tc>
              <w:tc>
                <w:tcPr>
                  <w:tcW w:w="1270" w:type="pct"/>
                  <w:noWrap w:val="0"/>
                  <w:vAlign w:val="center"/>
                </w:tcPr>
                <w:p w14:paraId="4030DBED">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本项目属于</w:t>
                  </w:r>
                  <w:r>
                    <w:rPr>
                      <w:rFonts w:hint="default" w:ascii="Times New Roman" w:hAnsi="Times New Roman" w:eastAsia="宋体" w:cs="Times New Roman"/>
                      <w:color w:val="auto"/>
                      <w:sz w:val="21"/>
                      <w:szCs w:val="21"/>
                      <w:lang w:val="en-US" w:eastAsia="zh-CN"/>
                    </w:rPr>
                    <w:t>水的生产和供应</w:t>
                  </w:r>
                  <w:r>
                    <w:rPr>
                      <w:rFonts w:hint="default" w:ascii="Times New Roman" w:hAnsi="Times New Roman" w:eastAsia="宋体"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，主要取水来源于淮河，不会降低淮河水质。</w:t>
                  </w:r>
                </w:p>
              </w:tc>
              <w:tc>
                <w:tcPr>
                  <w:tcW w:w="472" w:type="pct"/>
                  <w:noWrap w:val="0"/>
                  <w:vAlign w:val="center"/>
                </w:tcPr>
                <w:p w14:paraId="011036F3">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14FE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noWrap w:val="0"/>
                  <w:vAlign w:val="center"/>
                </w:tcPr>
                <w:p w14:paraId="438985DF">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3005" w:type="pct"/>
                  <w:noWrap w:val="0"/>
                  <w:vAlign w:val="center"/>
                </w:tcPr>
                <w:p w14:paraId="3BA6F01E">
                  <w:pPr>
                    <w:keepNext w:val="0"/>
                    <w:keepLines w:val="0"/>
                    <w:pageBreakBefore w:val="0"/>
                    <w:widowControl w:val="0"/>
                    <w:kinsoku/>
                    <w:overflowPunct/>
                    <w:bidi w:val="0"/>
                    <w:spacing w:beforeAutospacing="0" w:afterAutospacing="0" w:line="240" w:lineRule="auto"/>
                    <w:ind w:left="0" w:leftChars="0"/>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第十条</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淮河流域应严格限制发展污水排放量大的造纸、酒精、印染、制革、化工等建设项目。</w:t>
                  </w:r>
                </w:p>
              </w:tc>
              <w:tc>
                <w:tcPr>
                  <w:tcW w:w="1270" w:type="pct"/>
                  <w:vMerge w:val="restart"/>
                  <w:noWrap w:val="0"/>
                  <w:vAlign w:val="center"/>
                </w:tcPr>
                <w:p w14:paraId="3E21908D">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本项目距离淮河约5.759km</w:t>
                  </w:r>
                  <w:r>
                    <w:rPr>
                      <w:rFonts w:hint="eastAsia" w:ascii="Times New Roman" w:hAnsi="Times New Roman" w:eastAsia="宋体" w:cs="Times New Roman"/>
                      <w:b w:val="0"/>
                      <w:bCs w:val="0"/>
                      <w:color w:val="auto"/>
                      <w:sz w:val="21"/>
                      <w:szCs w:val="21"/>
                      <w:vertAlign w:val="baseline"/>
                      <w:lang w:val="en-US" w:eastAsia="zh-CN"/>
                    </w:rPr>
                    <w:t>，项目废水依托现有化粪池处理排入污水处理厂处理，不排入淮河</w:t>
                  </w:r>
                  <w:r>
                    <w:rPr>
                      <w:rFonts w:hint="default" w:ascii="Times New Roman" w:hAnsi="Times New Roman" w:eastAsia="宋体" w:cs="Times New Roman"/>
                      <w:b w:val="0"/>
                      <w:bCs w:val="0"/>
                      <w:color w:val="auto"/>
                      <w:sz w:val="21"/>
                      <w:szCs w:val="21"/>
                      <w:vertAlign w:val="baseline"/>
                      <w:lang w:val="en-US" w:eastAsia="zh-CN"/>
                    </w:rPr>
                    <w:t>。</w:t>
                  </w:r>
                </w:p>
              </w:tc>
              <w:tc>
                <w:tcPr>
                  <w:tcW w:w="472" w:type="pct"/>
                  <w:vMerge w:val="restart"/>
                  <w:noWrap w:val="0"/>
                  <w:vAlign w:val="center"/>
                </w:tcPr>
                <w:p w14:paraId="15ADA66C">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303F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noWrap w:val="0"/>
                  <w:vAlign w:val="center"/>
                </w:tcPr>
                <w:p w14:paraId="5F80E8F7">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3005" w:type="pct"/>
                  <w:noWrap w:val="0"/>
                  <w:vAlign w:val="center"/>
                </w:tcPr>
                <w:p w14:paraId="4789E328">
                  <w:pPr>
                    <w:keepNext w:val="0"/>
                    <w:keepLines w:val="0"/>
                    <w:pageBreakBefore w:val="0"/>
                    <w:widowControl w:val="0"/>
                    <w:kinsoku/>
                    <w:overflowPunct/>
                    <w:bidi w:val="0"/>
                    <w:spacing w:beforeAutospacing="0" w:afterAutospacing="0" w:line="240" w:lineRule="auto"/>
                    <w:ind w:left="0" w:leftChars="0"/>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第十一条</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凡在淮河流域建设直接或间接向水体排放污染物的工程设施，必须先经当地环境保护行政主管部门审查，报上一级环境保护行政主管部门批准后，方可办理其他手续。</w:t>
                  </w:r>
                </w:p>
                <w:p w14:paraId="655989C9">
                  <w:pPr>
                    <w:keepNext w:val="0"/>
                    <w:keepLines w:val="0"/>
                    <w:pageBreakBefore w:val="0"/>
                    <w:widowControl w:val="0"/>
                    <w:kinsoku/>
                    <w:overflowPunct/>
                    <w:bidi w:val="0"/>
                    <w:spacing w:beforeAutospacing="0" w:afterAutospacing="0" w:line="240" w:lineRule="auto"/>
                    <w:ind w:left="0" w:leftChars="0"/>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新建、扩建、改建项目，除执行“环境影响报告书（表）”和环境保护设施必须与主体工程同时设计、同时施工、同时投产使用外，还必须遵守下列规定</w:t>
                  </w:r>
                  <w:r>
                    <w:rPr>
                      <w:rFonts w:hint="eastAsia" w:ascii="Times New Roman" w:hAnsi="Times New Roman" w:eastAsia="宋体" w:cs="Times New Roman"/>
                      <w:b w:val="0"/>
                      <w:bCs w:val="0"/>
                      <w:color w:val="auto"/>
                      <w:sz w:val="21"/>
                      <w:szCs w:val="21"/>
                      <w:vertAlign w:val="baseline"/>
                      <w:lang w:val="en-US" w:eastAsia="zh-CN"/>
                    </w:rPr>
                    <w:t>：</w:t>
                  </w:r>
                </w:p>
                <w:p w14:paraId="2B7BDE4E">
                  <w:pPr>
                    <w:keepNext w:val="0"/>
                    <w:keepLines w:val="0"/>
                    <w:pageBreakBefore w:val="0"/>
                    <w:widowControl w:val="0"/>
                    <w:kinsoku/>
                    <w:overflowPunct/>
                    <w:bidi w:val="0"/>
                    <w:spacing w:beforeAutospacing="0" w:afterAutospacing="0" w:line="240" w:lineRule="auto"/>
                    <w:ind w:left="0" w:leftChars="0"/>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（一）新建项目的选址应符合城市总体规划，避开饮用水源地和对环境有特殊要求的功能区；</w:t>
                  </w:r>
                </w:p>
                <w:p w14:paraId="177BECFF">
                  <w:pPr>
                    <w:keepNext w:val="0"/>
                    <w:keepLines w:val="0"/>
                    <w:pageBreakBefore w:val="0"/>
                    <w:widowControl w:val="0"/>
                    <w:kinsoku/>
                    <w:overflowPunct/>
                    <w:bidi w:val="0"/>
                    <w:spacing w:beforeAutospacing="0" w:afterAutospacing="0" w:line="240" w:lineRule="auto"/>
                    <w:ind w:left="0" w:leftChars="0"/>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（二）采用资源利用率高、污染物排放量少的先进设备和先进工艺；</w:t>
                  </w:r>
                </w:p>
                <w:p w14:paraId="6737353C">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（三）扩建和技改项目必须把治理污染问题纳入项目内容。工程设施竣工后，必须有环境保护行政主管部门参与验收，确认符合上述规定的方可投入使用。</w:t>
                  </w:r>
                </w:p>
              </w:tc>
              <w:tc>
                <w:tcPr>
                  <w:tcW w:w="1270" w:type="pct"/>
                  <w:vMerge w:val="continue"/>
                  <w:noWrap w:val="0"/>
                  <w:vAlign w:val="center"/>
                </w:tcPr>
                <w:p w14:paraId="3416E0AE">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p>
              </w:tc>
              <w:tc>
                <w:tcPr>
                  <w:tcW w:w="472" w:type="pct"/>
                  <w:vMerge w:val="continue"/>
                  <w:noWrap w:val="0"/>
                  <w:vAlign w:val="center"/>
                </w:tcPr>
                <w:p w14:paraId="0F932995">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p>
              </w:tc>
            </w:tr>
            <w:tr w14:paraId="61A1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noWrap w:val="0"/>
                  <w:vAlign w:val="center"/>
                </w:tcPr>
                <w:p w14:paraId="72834B56">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3005" w:type="pct"/>
                  <w:noWrap w:val="0"/>
                  <w:vAlign w:val="center"/>
                </w:tcPr>
                <w:p w14:paraId="31652BCF">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第十四条</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在生活饮用水源地、国家和省级风景名胜区、重要渔业水体和对水体环境有特殊要求的水源保护区内，不得兴建排污口。原有排污口排放污染物超过标准的应当限期治理；危害饮用水源的应当限期搬迁。</w:t>
                  </w:r>
                </w:p>
              </w:tc>
              <w:tc>
                <w:tcPr>
                  <w:tcW w:w="1270" w:type="pct"/>
                  <w:vMerge w:val="continue"/>
                  <w:noWrap w:val="0"/>
                  <w:vAlign w:val="center"/>
                </w:tcPr>
                <w:p w14:paraId="065BF408">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p>
              </w:tc>
              <w:tc>
                <w:tcPr>
                  <w:tcW w:w="472" w:type="pct"/>
                  <w:vMerge w:val="continue"/>
                  <w:noWrap w:val="0"/>
                  <w:vAlign w:val="center"/>
                </w:tcPr>
                <w:p w14:paraId="48B17250">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p>
              </w:tc>
            </w:tr>
            <w:tr w14:paraId="5B4A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noWrap w:val="0"/>
                  <w:vAlign w:val="center"/>
                </w:tcPr>
                <w:p w14:paraId="45DD56D4">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3005" w:type="pct"/>
                  <w:noWrap w:val="0"/>
                  <w:vAlign w:val="center"/>
                </w:tcPr>
                <w:p w14:paraId="314BF996">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第十六条</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禁止下列行为：</w:t>
                  </w:r>
                </w:p>
                <w:p w14:paraId="00494FE8">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（一）向水体排放或倾倒油类、酸液、碱液的其他有毒有害液体；</w:t>
                  </w:r>
                </w:p>
                <w:p w14:paraId="78A9BCCD">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（二）在水体中清洗装贮过有毒有害污染物的车辆、船舶和容器；</w:t>
                  </w:r>
                </w:p>
                <w:p w14:paraId="1C1920BE">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（三）向水体排放、倾倒含有汞、镉、砷、铬、铅氰化物、黄磷等可溶性剧毒废液或将上述物质直接埋入地下；</w:t>
                  </w:r>
                </w:p>
                <w:p w14:paraId="064E429D">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（四）向水体排放、倾倒尾矿、矸石、粉煤灰等工业废渣、城市垃圾和其他废弃物；</w:t>
                  </w:r>
                </w:p>
                <w:p w14:paraId="0FA8ADE1">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（五）向水体排放、倾倒放射性固体废弃物或放射性的废水；</w:t>
                  </w:r>
                </w:p>
                <w:p w14:paraId="2385CE8E">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（六）利用渗井、渗坑、裂隙、溶洞、塌陷区和废弃矿坑排放、倾倒含有毒污染物或病原体的废水和其他废弃物；</w:t>
                  </w:r>
                </w:p>
                <w:p w14:paraId="72796AA4">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（七)在河道、湖泊、水库最高水位线以下的滩地和岸坡堆放、贮存固体废弃物和其他污染物；</w:t>
                  </w:r>
                </w:p>
                <w:p w14:paraId="3B770B4A">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（八）围湖和其他破坏水环境生态平衡的活动；</w:t>
                  </w:r>
                </w:p>
                <w:p w14:paraId="7DA9E50C">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（九）引进不符合国家环境保护规定要求的技术和设备。</w:t>
                  </w:r>
                </w:p>
              </w:tc>
              <w:tc>
                <w:tcPr>
                  <w:tcW w:w="1270" w:type="pct"/>
                  <w:vMerge w:val="continue"/>
                  <w:noWrap w:val="0"/>
                  <w:vAlign w:val="center"/>
                </w:tcPr>
                <w:p w14:paraId="4A5A5356">
                  <w:pPr>
                    <w:keepNext w:val="0"/>
                    <w:keepLines w:val="0"/>
                    <w:pageBreakBefore w:val="0"/>
                    <w:widowControl w:val="0"/>
                    <w:kinsoku/>
                    <w:overflowPunct/>
                    <w:bidi w:val="0"/>
                    <w:spacing w:beforeAutospacing="0" w:afterAutospacing="0" w:line="240" w:lineRule="auto"/>
                    <w:ind w:left="0" w:leftChars="0"/>
                    <w:jc w:val="both"/>
                    <w:rPr>
                      <w:rFonts w:hint="default" w:ascii="Times New Roman" w:hAnsi="Times New Roman" w:eastAsia="宋体" w:cs="Times New Roman"/>
                      <w:b w:val="0"/>
                      <w:bCs w:val="0"/>
                      <w:color w:val="auto"/>
                      <w:sz w:val="21"/>
                      <w:szCs w:val="21"/>
                      <w:vertAlign w:val="baseline"/>
                      <w:lang w:val="en-US" w:eastAsia="zh-CN"/>
                    </w:rPr>
                  </w:pPr>
                </w:p>
              </w:tc>
              <w:tc>
                <w:tcPr>
                  <w:tcW w:w="472" w:type="pct"/>
                  <w:vMerge w:val="continue"/>
                  <w:noWrap w:val="0"/>
                  <w:vAlign w:val="center"/>
                </w:tcPr>
                <w:p w14:paraId="6BD130D4">
                  <w:pPr>
                    <w:keepNext w:val="0"/>
                    <w:keepLines w:val="0"/>
                    <w:pageBreakBefore w:val="0"/>
                    <w:widowControl w:val="0"/>
                    <w:kinsoku/>
                    <w:overflowPunct/>
                    <w:bidi w:val="0"/>
                    <w:spacing w:beforeAutospacing="0" w:afterAutospacing="0" w:line="240" w:lineRule="auto"/>
                    <w:ind w:left="0" w:leftChars="0"/>
                    <w:jc w:val="center"/>
                    <w:rPr>
                      <w:rFonts w:hint="default" w:ascii="Times New Roman" w:hAnsi="Times New Roman" w:eastAsia="宋体" w:cs="Times New Roman"/>
                      <w:b w:val="0"/>
                      <w:bCs w:val="0"/>
                      <w:color w:val="auto"/>
                      <w:sz w:val="21"/>
                      <w:szCs w:val="21"/>
                      <w:vertAlign w:val="baseline"/>
                      <w:lang w:val="en-US" w:eastAsia="zh-CN"/>
                    </w:rPr>
                  </w:pPr>
                </w:p>
              </w:tc>
            </w:tr>
          </w:tbl>
          <w:p w14:paraId="77A3EA9E">
            <w:pPr>
              <w:pStyle w:val="87"/>
              <w:keepNext w:val="0"/>
              <w:keepLines w:val="0"/>
              <w:pageBreakBefore w:val="0"/>
              <w:widowControl w:val="0"/>
              <w:kinsoku/>
              <w:overflowPunct/>
              <w:bidi w:val="0"/>
              <w:spacing w:beforeAutospacing="0" w:afterAutospacing="0"/>
              <w:ind w:left="0" w:leftChars="0" w:firstLine="480"/>
              <w:jc w:val="both"/>
              <w:rPr>
                <w:rFonts w:hint="eastAsia"/>
                <w:b/>
                <w:bCs/>
                <w:color w:val="auto"/>
              </w:rPr>
            </w:pPr>
            <w:r>
              <w:rPr>
                <w:rFonts w:hint="eastAsia"/>
                <w:b/>
                <w:bCs/>
                <w:color w:val="auto"/>
                <w:lang w:val="en-US" w:eastAsia="zh-CN"/>
              </w:rPr>
              <w:t>4、与</w:t>
            </w:r>
            <w:r>
              <w:rPr>
                <w:rFonts w:hint="eastAsia"/>
                <w:b/>
                <w:bCs/>
                <w:color w:val="auto"/>
              </w:rPr>
              <w:t>《饮用水水源保护区污染防治管理规定》符合性</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268"/>
              <w:gridCol w:w="1832"/>
              <w:gridCol w:w="647"/>
            </w:tblGrid>
            <w:tr w14:paraId="1F41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92" w:type="pct"/>
                  <w:noWrap w:val="0"/>
                  <w:vAlign w:val="center"/>
                </w:tcPr>
                <w:p w14:paraId="4055602D">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977" w:type="pct"/>
                  <w:noWrap w:val="0"/>
                  <w:vAlign w:val="center"/>
                </w:tcPr>
                <w:p w14:paraId="6D22AC9B">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相关内容</w:t>
                  </w:r>
                </w:p>
              </w:tc>
              <w:tc>
                <w:tcPr>
                  <w:tcW w:w="1278" w:type="pct"/>
                  <w:noWrap w:val="0"/>
                  <w:vAlign w:val="center"/>
                </w:tcPr>
                <w:p w14:paraId="20320F99">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451" w:type="pct"/>
                  <w:noWrap w:val="0"/>
                  <w:vAlign w:val="center"/>
                </w:tcPr>
                <w:p w14:paraId="3A9A8FB6">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是否符合</w:t>
                  </w:r>
                </w:p>
              </w:tc>
            </w:tr>
            <w:tr w14:paraId="26E7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noWrap w:val="0"/>
                  <w:vAlign w:val="center"/>
                </w:tcPr>
                <w:p w14:paraId="557ED609">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977" w:type="pct"/>
                  <w:noWrap w:val="0"/>
                  <w:vAlign w:val="center"/>
                </w:tcPr>
                <w:p w14:paraId="28C750A5">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第八条 在饮用水地表水源取水口附近划定一定的水域和陆域作为饮用水地表水源一级保护区。一级保护区的水质标准不得低于国家规定的《地表水环境质量标准》Ⅱ类标准，并须符合国家规定的《生活饮用水卫生标准》的要求。</w:t>
                  </w:r>
                </w:p>
              </w:tc>
              <w:tc>
                <w:tcPr>
                  <w:tcW w:w="1278" w:type="pct"/>
                  <w:noWrap w:val="0"/>
                  <w:vAlign w:val="center"/>
                </w:tcPr>
                <w:p w14:paraId="348BA6C4">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本工程处理后的水质满足《生活饮用水卫生标准》（GB5749-2022）的要求。</w:t>
                  </w:r>
                </w:p>
              </w:tc>
              <w:tc>
                <w:tcPr>
                  <w:tcW w:w="451" w:type="pct"/>
                  <w:noWrap w:val="0"/>
                  <w:vAlign w:val="center"/>
                </w:tcPr>
                <w:p w14:paraId="4C5298E4">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55D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noWrap w:val="0"/>
                  <w:vAlign w:val="center"/>
                </w:tcPr>
                <w:p w14:paraId="1986E4CC">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977" w:type="pct"/>
                  <w:noWrap w:val="0"/>
                  <w:vAlign w:val="center"/>
                </w:tcPr>
                <w:p w14:paraId="61D1D46C">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第十一条 饮用水地表水源各级保护区及准保护区内均必须遵守下列规定</w:t>
                  </w:r>
                  <w:r>
                    <w:rPr>
                      <w:rFonts w:hint="eastAsia" w:ascii="Times New Roman" w:hAnsi="Times New Roman" w:eastAsia="宋体" w:cs="Times New Roman"/>
                      <w:color w:val="auto"/>
                      <w:sz w:val="21"/>
                      <w:szCs w:val="21"/>
                      <w:lang w:val="en-US" w:eastAsia="zh-CN"/>
                    </w:rPr>
                    <w:t>：</w:t>
                  </w:r>
                </w:p>
                <w:p w14:paraId="1E42E0A7">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一、禁止一切破坏水环境生态平衡的活动以及破坏水源林、护岸林、与水源保护相关植被的活动。</w:t>
                  </w:r>
                </w:p>
                <w:p w14:paraId="4A911EB7">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二、禁止向水域倾倒工业废渣、城市垃圾、粪便及其它废弃物。</w:t>
                  </w:r>
                </w:p>
                <w:p w14:paraId="0F3C2C52">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三、运输有毒有害物质、油类、粪便的船舶和车辆一般不准进入保护区，必须进入者应事先申请并经有关部门批准、登记并设置防渗、防溢、防漏设施。</w:t>
                  </w:r>
                </w:p>
                <w:p w14:paraId="1187EC7F">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四、禁止使用剧毒和高残留农药，不得滥用化肥，不得使用炸药、毒品捕杀鱼类。</w:t>
                  </w:r>
                </w:p>
              </w:tc>
              <w:tc>
                <w:tcPr>
                  <w:tcW w:w="1278" w:type="pct"/>
                  <w:noWrap w:val="0"/>
                  <w:vAlign w:val="center"/>
                </w:tcPr>
                <w:p w14:paraId="39E6BF91">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本项目为水的生产和供应项目，不涉及有毒有害物质运输、不使用剧毒和高残留农药。</w:t>
                  </w: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不新增员工，不新增废水排放</w:t>
                  </w:r>
                  <w:r>
                    <w:rPr>
                      <w:rFonts w:hint="default" w:ascii="Times New Roman" w:hAnsi="Times New Roman" w:eastAsia="宋体" w:cs="Times New Roman"/>
                      <w:color w:val="auto"/>
                      <w:sz w:val="21"/>
                      <w:szCs w:val="21"/>
                      <w:lang w:val="en-US" w:eastAsia="zh-CN"/>
                    </w:rPr>
                    <w:t>，不会对水域造成影响</w:t>
                  </w:r>
                  <w:r>
                    <w:rPr>
                      <w:rFonts w:hint="eastAsia" w:ascii="Times New Roman" w:hAnsi="Times New Roman" w:eastAsia="宋体" w:cs="Times New Roman"/>
                      <w:color w:val="auto"/>
                      <w:sz w:val="21"/>
                      <w:szCs w:val="21"/>
                      <w:lang w:val="en-US" w:eastAsia="zh-CN"/>
                    </w:rPr>
                    <w:t>。</w:t>
                  </w:r>
                </w:p>
              </w:tc>
              <w:tc>
                <w:tcPr>
                  <w:tcW w:w="451" w:type="pct"/>
                  <w:noWrap w:val="0"/>
                  <w:vAlign w:val="center"/>
                </w:tcPr>
                <w:p w14:paraId="252B3B1B">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154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 w:type="pct"/>
                  <w:noWrap w:val="0"/>
                  <w:vAlign w:val="center"/>
                </w:tcPr>
                <w:p w14:paraId="07BA9FB3">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977" w:type="pct"/>
                  <w:noWrap w:val="0"/>
                  <w:vAlign w:val="center"/>
                </w:tcPr>
                <w:p w14:paraId="3CE732D7">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第十二条 饮用水地表水源各级保护区及准保护区内必须分别遵守下列规定：</w:t>
                  </w:r>
                </w:p>
                <w:p w14:paraId="2D0FA8D7">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一、一级保护区内</w:t>
                  </w:r>
                </w:p>
                <w:p w14:paraId="3E204639">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禁止新建、扩建与供水设施和保护水源无关的建设项目；</w:t>
                  </w:r>
                </w:p>
                <w:p w14:paraId="43FE7978">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禁止向水域排放污水，已设置的排污口必须拆除；</w:t>
                  </w:r>
                </w:p>
                <w:p w14:paraId="281F9C73">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不得设置与供水需要无关的码头，禁止停靠船舶；</w:t>
                  </w:r>
                </w:p>
                <w:p w14:paraId="4A5EF005">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禁止堆置和存放工业废渣、城市垃圾、粪便和其他废弃物；</w:t>
                  </w:r>
                </w:p>
                <w:p w14:paraId="7088F5B5">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禁止设置油库；</w:t>
                  </w:r>
                </w:p>
                <w:p w14:paraId="7170E2AB">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禁止从事种植、放养畜禽和网箱养殖活动；</w:t>
                  </w:r>
                </w:p>
                <w:p w14:paraId="741F31B3">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禁止可能污染水源的旅游活动和其他活动。</w:t>
                  </w:r>
                </w:p>
              </w:tc>
              <w:tc>
                <w:tcPr>
                  <w:tcW w:w="1278" w:type="pct"/>
                  <w:noWrap w:val="0"/>
                  <w:vAlign w:val="center"/>
                </w:tcPr>
                <w:p w14:paraId="66FC0E9A">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本项目不建设码头、油库等，不向淮河排放废水、固废等，不会影响淮河水质。</w:t>
                  </w:r>
                </w:p>
              </w:tc>
              <w:tc>
                <w:tcPr>
                  <w:tcW w:w="451" w:type="pct"/>
                  <w:noWrap w:val="0"/>
                  <w:vAlign w:val="center"/>
                </w:tcPr>
                <w:p w14:paraId="54ED2FC6">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6A80BE8A">
            <w:pPr>
              <w:pStyle w:val="87"/>
              <w:keepNext w:val="0"/>
              <w:keepLines w:val="0"/>
              <w:pageBreakBefore w:val="0"/>
              <w:widowControl w:val="0"/>
              <w:kinsoku/>
              <w:overflowPunct/>
              <w:bidi w:val="0"/>
              <w:spacing w:beforeAutospacing="0" w:afterAutospacing="0"/>
              <w:ind w:left="0" w:leftChars="0" w:firstLine="480"/>
              <w:jc w:val="both"/>
              <w:rPr>
                <w:rFonts w:hint="eastAsia"/>
                <w:b/>
                <w:bCs/>
                <w:color w:val="auto"/>
                <w:lang w:val="en-US" w:eastAsia="zh-CN"/>
              </w:rPr>
            </w:pPr>
            <w:r>
              <w:rPr>
                <w:rFonts w:hint="eastAsia"/>
                <w:b/>
                <w:bCs/>
                <w:color w:val="auto"/>
                <w:lang w:val="en-US" w:eastAsia="zh-CN"/>
              </w:rPr>
              <w:t>5、项目选址合理性分析</w:t>
            </w:r>
          </w:p>
          <w:p w14:paraId="40149BEA">
            <w:pPr>
              <w:pStyle w:val="87"/>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jc w:val="both"/>
              <w:textAlignment w:val="auto"/>
              <w:rPr>
                <w:rFonts w:hint="eastAsia"/>
                <w:color w:val="auto"/>
                <w:lang w:val="en-US" w:eastAsia="zh-CN"/>
              </w:rPr>
            </w:pPr>
            <w:r>
              <w:rPr>
                <w:rFonts w:hint="eastAsia"/>
                <w:color w:val="auto"/>
                <w:lang w:val="en-US" w:eastAsia="zh-CN"/>
              </w:rPr>
              <w:t>本项目位于淮南市潘集区袁庄，在现有厂区内进行扩建，项目地北侧为临街居民，西侧、南侧均为农田，东侧为空地。本项目仍依托现有取水口、取水泵房，对现有设备进行淘汰更新，并新增设施建设，使总供水规模达到6万m</w:t>
            </w:r>
            <w:r>
              <w:rPr>
                <w:rFonts w:hint="eastAsia"/>
                <w:color w:val="auto"/>
                <w:vertAlign w:val="superscript"/>
                <w:lang w:val="en-US" w:eastAsia="zh-CN"/>
              </w:rPr>
              <w:t>3</w:t>
            </w:r>
            <w:r>
              <w:rPr>
                <w:rFonts w:hint="eastAsia"/>
                <w:color w:val="auto"/>
                <w:lang w:val="en-US" w:eastAsia="zh-CN"/>
              </w:rPr>
              <w:t>/d；现有取水口、取水泵房位于淮河，本次项目不对泵房进行土建工程施工，只增加设备，新建一根DN1000原水输水管道作为常用管路，现状DN700作为备用管路使用，管道施工，施工期较短，管线为地埋式，施工后恢复原状，不会对淮河流域造成破坏影响。</w:t>
            </w:r>
          </w:p>
          <w:p w14:paraId="35D2330F">
            <w:pPr>
              <w:pStyle w:val="87"/>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jc w:val="both"/>
              <w:textAlignment w:val="auto"/>
              <w:rPr>
                <w:rFonts w:hint="default"/>
                <w:color w:val="auto"/>
                <w:lang w:val="en-US" w:eastAsia="zh-CN"/>
              </w:rPr>
            </w:pPr>
            <w:r>
              <w:rPr>
                <w:rFonts w:hint="eastAsia"/>
                <w:color w:val="auto"/>
                <w:lang w:val="en-US" w:eastAsia="zh-CN"/>
              </w:rPr>
              <w:t>综上所述，本项目项目选址合理可行。</w:t>
            </w:r>
          </w:p>
          <w:p w14:paraId="48F4CDBC">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3186F83F">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3E29AED4">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7601828C">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0060B329">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1A9F62F1">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018F044C">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0C7BDBBD">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0D1CE8AB">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1BCEBA4D">
            <w:pPr>
              <w:pStyle w:val="87"/>
              <w:keepNext w:val="0"/>
              <w:keepLines w:val="0"/>
              <w:pageBreakBefore w:val="0"/>
              <w:widowControl w:val="0"/>
              <w:kinsoku/>
              <w:overflowPunct/>
              <w:bidi w:val="0"/>
              <w:spacing w:beforeAutospacing="0" w:afterAutospacing="0"/>
              <w:ind w:left="0" w:leftChars="0" w:firstLine="480"/>
              <w:jc w:val="both"/>
              <w:rPr>
                <w:rFonts w:hint="eastAsia"/>
                <w:color w:val="auto"/>
                <w:lang w:val="en-US" w:eastAsia="zh-CN"/>
              </w:rPr>
            </w:pPr>
          </w:p>
          <w:p w14:paraId="238E230E">
            <w:pPr>
              <w:pStyle w:val="87"/>
              <w:keepNext w:val="0"/>
              <w:keepLines w:val="0"/>
              <w:pageBreakBefore w:val="0"/>
              <w:widowControl w:val="0"/>
              <w:kinsoku/>
              <w:overflowPunct/>
              <w:bidi w:val="0"/>
              <w:spacing w:beforeAutospacing="0" w:afterAutospacing="0"/>
              <w:ind w:left="0" w:leftChars="0" w:firstLine="480"/>
              <w:jc w:val="both"/>
              <w:rPr>
                <w:rFonts w:hint="default" w:eastAsia="宋体"/>
                <w:color w:val="auto"/>
                <w:lang w:val="en-US" w:eastAsia="zh-CN"/>
              </w:rPr>
            </w:pPr>
          </w:p>
          <w:p w14:paraId="74AA1998">
            <w:pPr>
              <w:pStyle w:val="87"/>
              <w:keepNext w:val="0"/>
              <w:keepLines w:val="0"/>
              <w:pageBreakBefore w:val="0"/>
              <w:widowControl w:val="0"/>
              <w:kinsoku/>
              <w:overflowPunct/>
              <w:bidi w:val="0"/>
              <w:spacing w:beforeAutospacing="0" w:afterAutospacing="0"/>
              <w:ind w:left="0" w:leftChars="0" w:firstLine="480"/>
              <w:jc w:val="both"/>
              <w:rPr>
                <w:rFonts w:hint="default" w:eastAsia="宋体"/>
                <w:color w:val="auto"/>
                <w:lang w:val="en-US" w:eastAsia="zh-CN"/>
              </w:rPr>
            </w:pPr>
          </w:p>
        </w:tc>
      </w:tr>
    </w:tbl>
    <w:p w14:paraId="01A1B416">
      <w:pPr>
        <w:keepNext w:val="0"/>
        <w:keepLines w:val="0"/>
        <w:pageBreakBefore w:val="0"/>
        <w:widowControl w:val="0"/>
        <w:kinsoku/>
        <w:overflowPunct/>
        <w:bidi w:val="0"/>
        <w:spacing w:beforeAutospacing="0" w:afterAutospacing="0" w:line="360" w:lineRule="auto"/>
        <w:ind w:left="0" w:leftChars="0"/>
        <w:outlineLvl w:val="0"/>
        <w:rPr>
          <w:rFonts w:eastAsia="黑体"/>
          <w:color w:val="auto"/>
          <w:sz w:val="30"/>
        </w:rPr>
        <w:sectPr>
          <w:footerReference r:id="rId5" w:type="default"/>
          <w:pgSz w:w="11906" w:h="16838"/>
          <w:pgMar w:top="1417" w:right="1417" w:bottom="1417" w:left="1417" w:header="851" w:footer="1077" w:gutter="0"/>
          <w:pgNumType w:start="1"/>
          <w:cols w:space="720" w:num="1"/>
          <w:docGrid w:linePitch="312" w:charSpace="0"/>
        </w:sectPr>
      </w:pPr>
    </w:p>
    <w:p w14:paraId="5FA1316D">
      <w:pPr>
        <w:pStyle w:val="1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b/>
          <w:bCs/>
          <w:snapToGrid w:val="0"/>
          <w:color w:val="auto"/>
          <w:sz w:val="32"/>
          <w:szCs w:val="32"/>
        </w:rPr>
      </w:pPr>
      <w:r>
        <w:rPr>
          <w:rFonts w:hint="eastAsia" w:ascii="Times New Roman" w:hAnsi="Times New Roman" w:eastAsia="宋体" w:cs="Times New Roman"/>
          <w:b/>
          <w:bCs/>
          <w:snapToGrid w:val="0"/>
          <w:color w:val="auto"/>
          <w:sz w:val="32"/>
          <w:szCs w:val="32"/>
        </w:rPr>
        <w:t>二、建设项目工程分析</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
        <w:gridCol w:w="8826"/>
      </w:tblGrid>
      <w:tr w14:paraId="148CA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dxa"/>
            <w:noWrap w:val="0"/>
            <w:vAlign w:val="center"/>
          </w:tcPr>
          <w:p w14:paraId="22BFD903">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cs="宋体"/>
                <w:color w:val="auto"/>
                <w:sz w:val="21"/>
                <w:szCs w:val="21"/>
              </w:rPr>
            </w:pPr>
            <w:r>
              <w:rPr>
                <w:rFonts w:hint="eastAsia" w:cs="宋体"/>
                <w:b/>
                <w:bCs/>
                <w:color w:val="auto"/>
                <w:sz w:val="24"/>
                <w:szCs w:val="24"/>
              </w:rPr>
              <w:t>建设内容</w:t>
            </w:r>
          </w:p>
        </w:tc>
        <w:tc>
          <w:tcPr>
            <w:tcW w:w="8826" w:type="dxa"/>
            <w:noWrap w:val="0"/>
            <w:vAlign w:val="top"/>
          </w:tcPr>
          <w:p w14:paraId="04F340F5">
            <w:pPr>
              <w:pStyle w:val="61"/>
              <w:keepNext w:val="0"/>
              <w:keepLines w:val="0"/>
              <w:pageBreakBefore w:val="0"/>
              <w:widowControl w:val="0"/>
              <w:kinsoku/>
              <w:wordWrap/>
              <w:overflowPunct/>
              <w:topLinePunct w:val="0"/>
              <w:bidi w:val="0"/>
              <w:spacing w:beforeAutospacing="0" w:afterAutospacing="0"/>
              <w:ind w:left="0" w:leftChars="0" w:right="0" w:firstLine="482"/>
              <w:rPr>
                <w:color w:val="auto"/>
              </w:rPr>
            </w:pPr>
            <w:r>
              <w:rPr>
                <w:color w:val="auto"/>
              </w:rPr>
              <w:t>1、项目由来</w:t>
            </w:r>
          </w:p>
          <w:p w14:paraId="569BBAE1">
            <w:pPr>
              <w:pStyle w:val="87"/>
              <w:keepNext w:val="0"/>
              <w:keepLines w:val="0"/>
              <w:pageBreakBefore w:val="0"/>
              <w:widowControl w:val="0"/>
              <w:kinsoku/>
              <w:wordWrap/>
              <w:overflowPunct/>
              <w:topLinePunct w:val="0"/>
              <w:bidi w:val="0"/>
              <w:spacing w:beforeAutospacing="0" w:afterAutospacing="0"/>
              <w:ind w:left="0" w:leftChars="0" w:right="0" w:firstLine="480"/>
              <w:jc w:val="both"/>
              <w:rPr>
                <w:rFonts w:hint="eastAsia"/>
                <w:color w:val="auto"/>
              </w:rPr>
            </w:pPr>
            <w:r>
              <w:rPr>
                <w:rFonts w:hint="eastAsia"/>
                <w:color w:val="auto"/>
              </w:rPr>
              <w:t>袁庄水厂位于淮南市袁庄，</w:t>
            </w:r>
            <w:r>
              <w:rPr>
                <w:rFonts w:hint="eastAsia"/>
                <w:color w:val="auto"/>
                <w:lang w:val="en-US" w:eastAsia="zh-CN"/>
              </w:rPr>
              <w:t>2008年6月16日</w:t>
            </w:r>
            <w:r>
              <w:commentReference w:id="1"/>
            </w:r>
            <w:r>
              <w:rPr>
                <w:rFonts w:hint="eastAsia"/>
                <w:lang w:eastAsia="zh-CN"/>
              </w:rPr>
              <w:t>原</w:t>
            </w:r>
            <w:r>
              <w:rPr>
                <w:rFonts w:hint="eastAsia"/>
                <w:color w:val="auto"/>
              </w:rPr>
              <w:t>淮南市环境保护局以淮环表批[2016]88号对袁庄水厂</w:t>
            </w:r>
            <w:r>
              <w:rPr>
                <w:rFonts w:hint="eastAsia"/>
                <w:color w:val="auto"/>
                <w:lang w:eastAsia="zh-CN"/>
              </w:rPr>
              <w:t>一期工程予以批复，</w:t>
            </w:r>
            <w:r>
              <w:rPr>
                <w:rFonts w:hint="eastAsia"/>
                <w:color w:val="auto"/>
                <w:lang w:val="en-US" w:eastAsia="zh-CN"/>
              </w:rPr>
              <w:t>2009年开始施工建设，</w:t>
            </w:r>
            <w:r>
              <w:rPr>
                <w:rFonts w:hint="eastAsia"/>
                <w:color w:val="auto"/>
              </w:rPr>
              <w:t>201</w:t>
            </w:r>
            <w:r>
              <w:rPr>
                <w:rFonts w:hint="eastAsia"/>
                <w:color w:val="auto"/>
                <w:lang w:val="en-US" w:eastAsia="zh-CN"/>
              </w:rPr>
              <w:t>1年</w:t>
            </w:r>
            <w:r>
              <w:rPr>
                <w:rFonts w:hint="eastAsia"/>
                <w:color w:val="auto"/>
              </w:rPr>
              <w:t>建设</w:t>
            </w:r>
            <w:r>
              <w:rPr>
                <w:rFonts w:hint="eastAsia"/>
                <w:color w:val="auto"/>
                <w:lang w:eastAsia="zh-CN"/>
              </w:rPr>
              <w:t>完成</w:t>
            </w:r>
            <w:r>
              <w:rPr>
                <w:rFonts w:hint="eastAsia"/>
                <w:color w:val="auto"/>
              </w:rPr>
              <w:t>并投入试运营</w:t>
            </w:r>
            <w:r>
              <w:rPr>
                <w:rFonts w:hint="eastAsia"/>
                <w:color w:val="auto"/>
                <w:lang w:eastAsia="zh-CN"/>
              </w:rPr>
              <w:t>，交由淮南市袁庄水业有限责任公司运营，</w:t>
            </w:r>
            <w:r>
              <w:rPr>
                <w:rFonts w:hint="eastAsia"/>
                <w:color w:val="auto"/>
                <w:lang w:val="en-US" w:eastAsia="zh-CN"/>
              </w:rPr>
              <w:t>项目供</w:t>
            </w:r>
            <w:r>
              <w:rPr>
                <w:rFonts w:hint="eastAsia"/>
                <w:color w:val="auto"/>
                <w:highlight w:val="none"/>
                <w:lang w:val="en-US" w:eastAsia="zh-CN"/>
              </w:rPr>
              <w:t>水规模为30000t/d，2012年通过淮南市</w:t>
            </w:r>
            <w:r>
              <w:rPr>
                <w:rFonts w:hint="eastAsia"/>
                <w:color w:val="auto"/>
                <w:highlight w:val="none"/>
              </w:rPr>
              <w:t>环境保护局</w:t>
            </w:r>
            <w:r>
              <w:rPr>
                <w:rFonts w:hint="eastAsia"/>
                <w:color w:val="auto"/>
                <w:highlight w:val="none"/>
                <w:lang w:val="en-US" w:eastAsia="zh-CN"/>
              </w:rPr>
              <w:t>的环保验收，2020年3月进行项目排污许可登记填报，登记编号：91340422581529761N001Y</w:t>
            </w:r>
            <w:r>
              <w:rPr>
                <w:rFonts w:hint="eastAsia"/>
                <w:color w:val="auto"/>
                <w:highlight w:val="none"/>
              </w:rPr>
              <w:t>。</w:t>
            </w:r>
          </w:p>
          <w:p w14:paraId="221039D9">
            <w:pPr>
              <w:pStyle w:val="87"/>
              <w:keepNext w:val="0"/>
              <w:keepLines w:val="0"/>
              <w:pageBreakBefore w:val="0"/>
              <w:widowControl w:val="0"/>
              <w:kinsoku/>
              <w:wordWrap/>
              <w:overflowPunct/>
              <w:topLinePunct w:val="0"/>
              <w:bidi w:val="0"/>
              <w:spacing w:beforeAutospacing="0" w:afterAutospacing="0"/>
              <w:ind w:left="0" w:leftChars="0" w:right="0" w:firstLine="480"/>
              <w:jc w:val="both"/>
              <w:rPr>
                <w:rFonts w:hint="eastAsia" w:eastAsia="宋体"/>
                <w:color w:val="auto"/>
                <w:lang w:eastAsia="zh-CN"/>
              </w:rPr>
            </w:pPr>
            <w:r>
              <w:rPr>
                <w:rFonts w:hint="eastAsia"/>
                <w:color w:val="auto"/>
              </w:rPr>
              <w:t>袁庄水厂</w:t>
            </w:r>
            <w:r>
              <w:rPr>
                <w:rFonts w:hint="eastAsia"/>
                <w:color w:val="auto"/>
                <w:lang w:eastAsia="zh-CN"/>
              </w:rPr>
              <w:t>服务范围内有</w:t>
            </w:r>
            <w:r>
              <w:rPr>
                <w:rFonts w:hint="default" w:eastAsia="宋体"/>
                <w:color w:val="auto"/>
                <w:lang w:val="en-US" w:eastAsia="zh-CN"/>
              </w:rPr>
              <w:t>安徽（淮南）现代煤化工产业园</w:t>
            </w:r>
            <w:r>
              <w:rPr>
                <w:rFonts w:hint="eastAsia"/>
                <w:color w:val="auto"/>
                <w:lang w:val="en-US" w:eastAsia="zh-CN"/>
              </w:rPr>
              <w:t>，近年来园区迅速发展，目前该园区内企业仅有中安联合煤化有限责任公司建有一座自备水厂，且仅有嘉玺公司（用水量0.75万m</w:t>
            </w:r>
            <w:r>
              <w:rPr>
                <w:rFonts w:hint="eastAsia"/>
                <w:color w:val="auto"/>
                <w:vertAlign w:val="superscript"/>
                <w:lang w:val="en-US" w:eastAsia="zh-CN"/>
              </w:rPr>
              <w:t>3</w:t>
            </w:r>
            <w:r>
              <w:rPr>
                <w:rFonts w:hint="eastAsia"/>
                <w:color w:val="auto"/>
                <w:lang w:val="en-US" w:eastAsia="zh-CN"/>
              </w:rPr>
              <w:t>/天）经政府协调暂由中安联合自备水厂供水，其他企业均取用地下水，无稳定的、符合环保要求的供水水源，该园区急需接通市政供水，同时为了响应淮南市水利局、潘集区政府“同源、同网、同质、同服务，实现城乡供水一体化”的要求，将增加大量尚未通自来水的农饮水用户成为城市集中供水用户，由于供水需求增加，</w:t>
            </w:r>
            <w:r>
              <w:rPr>
                <w:rFonts w:hint="default" w:eastAsia="宋体"/>
                <w:color w:val="auto"/>
                <w:lang w:val="en-US" w:eastAsia="zh-CN"/>
              </w:rPr>
              <w:t>现有水厂供水能力不足，无法满足城市发展需求</w:t>
            </w:r>
            <w:r>
              <w:rPr>
                <w:rFonts w:hint="eastAsia"/>
                <w:color w:val="auto"/>
                <w:lang w:val="en-US" w:eastAsia="zh-CN"/>
              </w:rPr>
              <w:t>，因此</w:t>
            </w:r>
            <w:r>
              <w:rPr>
                <w:rFonts w:hint="eastAsia"/>
                <w:color w:val="auto"/>
              </w:rPr>
              <w:t>安徽淮畔建设投资集团有限公司</w:t>
            </w:r>
            <w:r>
              <w:rPr>
                <w:rFonts w:hint="eastAsia"/>
                <w:color w:val="auto"/>
                <w:lang w:eastAsia="zh-CN"/>
              </w:rPr>
              <w:t>拟利用现有厂区进行扩建，并对取水泵房内设备进行淘汰更新，新增输水管1根，管径DN1000，长度约7200m，在现有厂区内新建絮凝沉淀池、普通快滤池、排水排泥池、污泥浓缩池、脱水机房、加氯加药间改造、二级泵房改造、新建综合楼等及其他附属工程，建成后可达到</w:t>
            </w:r>
            <w:r>
              <w:rPr>
                <w:rFonts w:hint="eastAsia"/>
                <w:color w:val="auto"/>
                <w:lang w:val="en-US" w:eastAsia="zh-CN"/>
              </w:rPr>
              <w:t>供水规模60000t/d的生产能力</w:t>
            </w:r>
            <w:r>
              <w:rPr>
                <w:rFonts w:hint="eastAsia"/>
                <w:color w:val="auto"/>
                <w:lang w:eastAsia="zh-CN"/>
              </w:rPr>
              <w:t>。</w:t>
            </w:r>
          </w:p>
          <w:p w14:paraId="0CC2C0BC">
            <w:pPr>
              <w:pStyle w:val="87"/>
              <w:keepNext w:val="0"/>
              <w:keepLines w:val="0"/>
              <w:pageBreakBefore w:val="0"/>
              <w:widowControl w:val="0"/>
              <w:kinsoku/>
              <w:wordWrap/>
              <w:overflowPunct/>
              <w:topLinePunct w:val="0"/>
              <w:bidi w:val="0"/>
              <w:spacing w:beforeAutospacing="0" w:afterAutospacing="0"/>
              <w:ind w:left="0" w:leftChars="0" w:right="0" w:firstLine="480"/>
              <w:jc w:val="both"/>
              <w:rPr>
                <w:color w:val="auto"/>
              </w:rPr>
            </w:pPr>
            <w:r>
              <w:rPr>
                <w:rFonts w:hint="eastAsia"/>
                <w:color w:val="auto"/>
                <w:lang w:eastAsia="zh-CN"/>
              </w:rPr>
              <w:t>根据《中华人民共和国环境保护法》、《中华人民共和国环境影响评价法》和《建设项目环境影响评价分类管理名录》（2021年版），本项目类别为“四十三、水的生产和供应业—94.自来水生产和供应461（不含供应工程；不含村庄供应工程）—全部”，属于编制报告表的项目</w:t>
            </w:r>
            <w:r>
              <w:rPr>
                <w:color w:val="auto"/>
              </w:rPr>
              <w:t>。</w:t>
            </w:r>
          </w:p>
          <w:p w14:paraId="762725A6">
            <w:pPr>
              <w:pStyle w:val="61"/>
              <w:keepNext w:val="0"/>
              <w:keepLines w:val="0"/>
              <w:pageBreakBefore w:val="0"/>
              <w:widowControl w:val="0"/>
              <w:kinsoku/>
              <w:wordWrap/>
              <w:overflowPunct/>
              <w:topLinePunct w:val="0"/>
              <w:bidi w:val="0"/>
              <w:spacing w:beforeAutospacing="0" w:afterAutospacing="0"/>
              <w:ind w:left="0" w:leftChars="0" w:right="0" w:firstLine="482"/>
              <w:rPr>
                <w:color w:val="auto"/>
              </w:rPr>
            </w:pPr>
            <w:r>
              <w:rPr>
                <w:rFonts w:hint="eastAsia"/>
                <w:color w:val="auto"/>
              </w:rPr>
              <w:t>2</w:t>
            </w:r>
            <w:r>
              <w:rPr>
                <w:color w:val="auto"/>
              </w:rPr>
              <w:t>、</w:t>
            </w:r>
            <w:r>
              <w:rPr>
                <w:rFonts w:hint="eastAsia"/>
                <w:color w:val="auto"/>
              </w:rPr>
              <w:t>本</w:t>
            </w:r>
            <w:r>
              <w:rPr>
                <w:color w:val="auto"/>
              </w:rPr>
              <w:t>项目建设内容及规模</w:t>
            </w:r>
          </w:p>
          <w:p w14:paraId="73683E26">
            <w:pPr>
              <w:pStyle w:val="87"/>
              <w:keepNext w:val="0"/>
              <w:keepLines w:val="0"/>
              <w:pageBreakBefore w:val="0"/>
              <w:widowControl w:val="0"/>
              <w:kinsoku/>
              <w:wordWrap/>
              <w:overflowPunct/>
              <w:topLinePunct w:val="0"/>
              <w:bidi w:val="0"/>
              <w:spacing w:beforeAutospacing="0" w:afterAutospacing="0"/>
              <w:ind w:left="0" w:leftChars="0" w:right="0" w:firstLine="480"/>
              <w:jc w:val="both"/>
              <w:rPr>
                <w:color w:val="auto"/>
              </w:rPr>
            </w:pPr>
            <w:r>
              <w:rPr>
                <w:b/>
                <w:bCs/>
                <w:color w:val="auto"/>
              </w:rPr>
              <w:t>项目名称：</w:t>
            </w:r>
            <w:r>
              <w:rPr>
                <w:rFonts w:hint="eastAsia"/>
                <w:color w:val="auto"/>
                <w:lang w:eastAsia="zh-CN"/>
              </w:rPr>
              <w:t>袁庄水厂扩建工程项目</w:t>
            </w:r>
            <w:r>
              <w:rPr>
                <w:color w:val="auto"/>
              </w:rPr>
              <w:t>；</w:t>
            </w:r>
          </w:p>
          <w:p w14:paraId="7F3AC6E1">
            <w:pPr>
              <w:pStyle w:val="87"/>
              <w:keepNext w:val="0"/>
              <w:keepLines w:val="0"/>
              <w:pageBreakBefore w:val="0"/>
              <w:widowControl w:val="0"/>
              <w:kinsoku/>
              <w:wordWrap/>
              <w:overflowPunct/>
              <w:topLinePunct w:val="0"/>
              <w:bidi w:val="0"/>
              <w:spacing w:beforeAutospacing="0" w:afterAutospacing="0"/>
              <w:ind w:left="0" w:leftChars="0" w:right="0" w:firstLine="480"/>
              <w:jc w:val="both"/>
              <w:rPr>
                <w:color w:val="auto"/>
              </w:rPr>
            </w:pPr>
            <w:r>
              <w:rPr>
                <w:b/>
                <w:bCs/>
                <w:color w:val="auto"/>
              </w:rPr>
              <w:t>建设性质：</w:t>
            </w:r>
            <w:r>
              <w:rPr>
                <w:rFonts w:hint="eastAsia"/>
                <w:color w:val="auto"/>
                <w:lang w:eastAsia="zh-CN"/>
              </w:rPr>
              <w:t>扩</w:t>
            </w:r>
            <w:r>
              <w:rPr>
                <w:color w:val="auto"/>
              </w:rPr>
              <w:t>建；</w:t>
            </w:r>
          </w:p>
          <w:p w14:paraId="67EB9CF5">
            <w:pPr>
              <w:pStyle w:val="87"/>
              <w:keepNext w:val="0"/>
              <w:keepLines w:val="0"/>
              <w:pageBreakBefore w:val="0"/>
              <w:widowControl w:val="0"/>
              <w:kinsoku/>
              <w:wordWrap/>
              <w:overflowPunct/>
              <w:topLinePunct w:val="0"/>
              <w:bidi w:val="0"/>
              <w:spacing w:beforeAutospacing="0" w:afterAutospacing="0"/>
              <w:ind w:left="0" w:leftChars="0" w:right="0" w:firstLine="480"/>
              <w:jc w:val="both"/>
              <w:rPr>
                <w:color w:val="auto"/>
              </w:rPr>
            </w:pPr>
            <w:r>
              <w:rPr>
                <w:b/>
                <w:bCs/>
                <w:color w:val="auto"/>
              </w:rPr>
              <w:t>项目投资：</w:t>
            </w:r>
            <w:r>
              <w:rPr>
                <w:rFonts w:hint="eastAsia"/>
                <w:color w:val="auto"/>
              </w:rPr>
              <w:t>本项目总</w:t>
            </w:r>
            <w:r>
              <w:rPr>
                <w:color w:val="auto"/>
              </w:rPr>
              <w:t>投资</w:t>
            </w:r>
            <w:r>
              <w:rPr>
                <w:rFonts w:hint="eastAsia"/>
                <w:color w:val="auto"/>
                <w:lang w:val="en-US" w:eastAsia="zh-CN"/>
              </w:rPr>
              <w:t>9845.76</w:t>
            </w:r>
            <w:r>
              <w:rPr>
                <w:color w:val="auto"/>
              </w:rPr>
              <w:t>万元，其中环保投资</w:t>
            </w:r>
            <w:r>
              <w:rPr>
                <w:rFonts w:hint="eastAsia"/>
                <w:color w:val="auto"/>
                <w:lang w:val="en-US" w:eastAsia="zh-CN"/>
              </w:rPr>
              <w:t>20</w:t>
            </w:r>
            <w:r>
              <w:rPr>
                <w:color w:val="auto"/>
              </w:rPr>
              <w:t>万元，占总投资的</w:t>
            </w:r>
            <w:r>
              <w:rPr>
                <w:rFonts w:hint="eastAsia"/>
                <w:color w:val="auto"/>
                <w:lang w:val="en-US" w:eastAsia="zh-CN"/>
              </w:rPr>
              <w:t>0.2</w:t>
            </w:r>
            <w:r>
              <w:rPr>
                <w:color w:val="auto"/>
              </w:rPr>
              <w:t>%；</w:t>
            </w:r>
          </w:p>
          <w:p w14:paraId="3DA5CEB7">
            <w:pPr>
              <w:pStyle w:val="87"/>
              <w:keepNext w:val="0"/>
              <w:keepLines w:val="0"/>
              <w:pageBreakBefore w:val="0"/>
              <w:widowControl w:val="0"/>
              <w:kinsoku/>
              <w:wordWrap/>
              <w:overflowPunct/>
              <w:topLinePunct w:val="0"/>
              <w:bidi w:val="0"/>
              <w:spacing w:beforeAutospacing="0" w:afterAutospacing="0"/>
              <w:ind w:left="0" w:leftChars="0" w:right="0" w:firstLine="480"/>
              <w:jc w:val="both"/>
              <w:rPr>
                <w:rFonts w:hint="eastAsia" w:eastAsia="宋体"/>
                <w:color w:val="auto"/>
                <w:lang w:eastAsia="zh-CN"/>
              </w:rPr>
            </w:pPr>
            <w:r>
              <w:rPr>
                <w:rFonts w:hint="eastAsia"/>
                <w:b/>
                <w:bCs/>
                <w:color w:val="auto"/>
              </w:rPr>
              <w:t>建设内容：</w:t>
            </w:r>
            <w:r>
              <w:rPr>
                <w:rFonts w:hint="eastAsia"/>
                <w:color w:val="auto"/>
                <w:lang w:eastAsia="zh-CN"/>
              </w:rPr>
              <w:t>利用现有厂区进行扩建，并对取水泵房内设备进行淘汰更新，新增输水管1根，在现有厂区内新建絮凝沉淀池、普通快滤池、排水排泥池、新建综合楼等及其他附属工程，建成后可达到</w:t>
            </w:r>
            <w:r>
              <w:rPr>
                <w:rFonts w:hint="eastAsia"/>
                <w:color w:val="auto"/>
                <w:lang w:val="en-US" w:eastAsia="zh-CN"/>
              </w:rPr>
              <w:t>供水规模60000t/d的生产能力</w:t>
            </w:r>
            <w:r>
              <w:rPr>
                <w:rFonts w:hint="eastAsia"/>
                <w:color w:val="auto"/>
                <w:lang w:eastAsia="zh-CN"/>
              </w:rPr>
              <w:t>。</w:t>
            </w:r>
          </w:p>
          <w:p w14:paraId="3FD20083">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b/>
                <w:bCs/>
                <w:color w:val="auto"/>
                <w:sz w:val="24"/>
                <w:szCs w:val="24"/>
              </w:rPr>
            </w:pPr>
            <w:r>
              <w:rPr>
                <w:b/>
                <w:bCs/>
                <w:color w:val="auto"/>
                <w:sz w:val="24"/>
                <w:szCs w:val="24"/>
              </w:rPr>
              <w:t>表</w:t>
            </w:r>
            <w:r>
              <w:rPr>
                <w:rFonts w:hint="eastAsia"/>
                <w:b/>
                <w:bCs/>
                <w:color w:val="auto"/>
                <w:sz w:val="24"/>
                <w:szCs w:val="24"/>
              </w:rPr>
              <w:t>2</w:t>
            </w:r>
            <w:r>
              <w:rPr>
                <w:b/>
                <w:bCs/>
                <w:color w:val="auto"/>
                <w:sz w:val="24"/>
                <w:szCs w:val="24"/>
              </w:rPr>
              <w:t>-</w:t>
            </w:r>
            <w:r>
              <w:rPr>
                <w:rFonts w:hint="eastAsia"/>
                <w:b/>
                <w:bCs/>
                <w:color w:val="auto"/>
                <w:sz w:val="24"/>
                <w:szCs w:val="24"/>
              </w:rPr>
              <w:t>1</w:t>
            </w:r>
            <w:r>
              <w:rPr>
                <w:b/>
                <w:bCs/>
                <w:color w:val="auto"/>
                <w:sz w:val="24"/>
                <w:szCs w:val="24"/>
              </w:rPr>
              <w:t xml:space="preserve">   项目组成一览表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
            <w:tblGrid>
              <w:gridCol w:w="637"/>
              <w:gridCol w:w="946"/>
              <w:gridCol w:w="3400"/>
              <w:gridCol w:w="2861"/>
              <w:gridCol w:w="756"/>
            </w:tblGrid>
            <w:tr w14:paraId="47C4BCF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637" w:type="dxa"/>
                  <w:noWrap w:val="0"/>
                  <w:vAlign w:val="center"/>
                </w:tcPr>
                <w:p w14:paraId="547F8F8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
                      <w:color w:val="auto"/>
                      <w:szCs w:val="21"/>
                    </w:rPr>
                  </w:pPr>
                  <w:r>
                    <w:rPr>
                      <w:b/>
                      <w:color w:val="auto"/>
                      <w:szCs w:val="21"/>
                    </w:rPr>
                    <w:t>工程类别</w:t>
                  </w:r>
                </w:p>
              </w:tc>
              <w:tc>
                <w:tcPr>
                  <w:tcW w:w="946" w:type="dxa"/>
                  <w:noWrap w:val="0"/>
                  <w:vAlign w:val="center"/>
                </w:tcPr>
                <w:p w14:paraId="17051CB5">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
                      <w:color w:val="auto"/>
                      <w:szCs w:val="21"/>
                    </w:rPr>
                  </w:pPr>
                  <w:r>
                    <w:rPr>
                      <w:b/>
                      <w:color w:val="auto"/>
                      <w:szCs w:val="21"/>
                    </w:rPr>
                    <w:t>工程名称</w:t>
                  </w:r>
                </w:p>
              </w:tc>
              <w:tc>
                <w:tcPr>
                  <w:tcW w:w="3400" w:type="dxa"/>
                  <w:noWrap w:val="0"/>
                  <w:vAlign w:val="center"/>
                </w:tcPr>
                <w:p w14:paraId="3DC666B3">
                  <w:pPr>
                    <w:keepNext w:val="0"/>
                    <w:keepLines w:val="0"/>
                    <w:pageBreakBefore w:val="0"/>
                    <w:widowControl w:val="0"/>
                    <w:tabs>
                      <w:tab w:val="left" w:pos="3255"/>
                    </w:tabs>
                    <w:kinsoku/>
                    <w:wordWrap/>
                    <w:overflowPunct/>
                    <w:topLinePunct w:val="0"/>
                    <w:bidi w:val="0"/>
                    <w:spacing w:beforeAutospacing="0" w:afterAutospacing="0"/>
                    <w:ind w:left="0" w:leftChars="0" w:right="0"/>
                    <w:jc w:val="center"/>
                    <w:rPr>
                      <w:b/>
                      <w:color w:val="auto"/>
                      <w:szCs w:val="21"/>
                    </w:rPr>
                  </w:pPr>
                  <w:r>
                    <w:rPr>
                      <w:rFonts w:hint="eastAsia"/>
                      <w:b/>
                      <w:color w:val="auto"/>
                      <w:szCs w:val="21"/>
                      <w:lang w:eastAsia="zh-CN"/>
                    </w:rPr>
                    <w:t>现有</w:t>
                  </w:r>
                  <w:r>
                    <w:rPr>
                      <w:rFonts w:hint="eastAsia"/>
                      <w:b/>
                      <w:color w:val="auto"/>
                      <w:szCs w:val="21"/>
                    </w:rPr>
                    <w:t>项目</w:t>
                  </w:r>
                  <w:r>
                    <w:rPr>
                      <w:b/>
                      <w:color w:val="auto"/>
                      <w:szCs w:val="21"/>
                    </w:rPr>
                    <w:t>建设内容</w:t>
                  </w:r>
                </w:p>
              </w:tc>
              <w:tc>
                <w:tcPr>
                  <w:tcW w:w="2861" w:type="dxa"/>
                  <w:noWrap w:val="0"/>
                  <w:vAlign w:val="center"/>
                </w:tcPr>
                <w:p w14:paraId="73D314CD">
                  <w:pPr>
                    <w:keepNext w:val="0"/>
                    <w:keepLines w:val="0"/>
                    <w:pageBreakBefore w:val="0"/>
                    <w:widowControl w:val="0"/>
                    <w:tabs>
                      <w:tab w:val="left" w:pos="3255"/>
                    </w:tabs>
                    <w:kinsoku/>
                    <w:wordWrap/>
                    <w:overflowPunct/>
                    <w:topLinePunct w:val="0"/>
                    <w:bidi w:val="0"/>
                    <w:spacing w:beforeAutospacing="0" w:afterAutospacing="0"/>
                    <w:ind w:left="0" w:leftChars="0" w:right="0"/>
                    <w:jc w:val="center"/>
                    <w:rPr>
                      <w:rFonts w:hint="eastAsia" w:eastAsia="宋体"/>
                      <w:b/>
                      <w:color w:val="auto"/>
                      <w:szCs w:val="21"/>
                      <w:lang w:eastAsia="zh-CN"/>
                    </w:rPr>
                  </w:pPr>
                  <w:r>
                    <w:rPr>
                      <w:rFonts w:hint="eastAsia"/>
                      <w:b/>
                      <w:color w:val="auto"/>
                      <w:szCs w:val="21"/>
                      <w:lang w:eastAsia="zh-CN"/>
                    </w:rPr>
                    <w:t>本次扩建项目</w:t>
                  </w:r>
                </w:p>
              </w:tc>
              <w:tc>
                <w:tcPr>
                  <w:tcW w:w="756" w:type="dxa"/>
                  <w:noWrap w:val="0"/>
                  <w:vAlign w:val="center"/>
                </w:tcPr>
                <w:p w14:paraId="66F24512">
                  <w:pPr>
                    <w:keepNext w:val="0"/>
                    <w:keepLines w:val="0"/>
                    <w:pageBreakBefore w:val="0"/>
                    <w:widowControl w:val="0"/>
                    <w:tabs>
                      <w:tab w:val="left" w:pos="3255"/>
                    </w:tabs>
                    <w:kinsoku/>
                    <w:wordWrap/>
                    <w:overflowPunct/>
                    <w:topLinePunct w:val="0"/>
                    <w:bidi w:val="0"/>
                    <w:spacing w:beforeAutospacing="0" w:afterAutospacing="0"/>
                    <w:ind w:left="0" w:leftChars="0" w:right="0"/>
                    <w:jc w:val="center"/>
                    <w:rPr>
                      <w:rFonts w:hint="eastAsia" w:eastAsia="宋体"/>
                      <w:b/>
                      <w:color w:val="auto"/>
                      <w:szCs w:val="21"/>
                      <w:lang w:eastAsia="zh-CN"/>
                    </w:rPr>
                  </w:pPr>
                  <w:r>
                    <w:rPr>
                      <w:rFonts w:hint="eastAsia"/>
                      <w:b/>
                      <w:color w:val="auto"/>
                      <w:szCs w:val="21"/>
                      <w:lang w:eastAsia="zh-CN"/>
                    </w:rPr>
                    <w:t>备注</w:t>
                  </w:r>
                </w:p>
              </w:tc>
            </w:tr>
            <w:tr w14:paraId="4333B6D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restart"/>
                  <w:noWrap w:val="0"/>
                  <w:vAlign w:val="center"/>
                </w:tcPr>
                <w:p w14:paraId="7F932DF3">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bCs/>
                      <w:color w:val="auto"/>
                      <w:szCs w:val="21"/>
                    </w:rPr>
                    <w:t>主体工程</w:t>
                  </w:r>
                </w:p>
              </w:tc>
              <w:tc>
                <w:tcPr>
                  <w:tcW w:w="946" w:type="dxa"/>
                  <w:noWrap w:val="0"/>
                  <w:vAlign w:val="center"/>
                </w:tcPr>
                <w:p w14:paraId="60EFF644">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eastAsia="宋体"/>
                      <w:bCs/>
                      <w:color w:val="auto"/>
                      <w:szCs w:val="21"/>
                      <w:lang w:eastAsia="zh-CN"/>
                    </w:rPr>
                  </w:pPr>
                  <w:r>
                    <w:rPr>
                      <w:rFonts w:hint="eastAsia"/>
                      <w:bCs/>
                      <w:color w:val="auto"/>
                      <w:szCs w:val="21"/>
                      <w:lang w:eastAsia="zh-CN"/>
                    </w:rPr>
                    <w:t>取水工程</w:t>
                  </w:r>
                </w:p>
              </w:tc>
              <w:tc>
                <w:tcPr>
                  <w:tcW w:w="3400" w:type="dxa"/>
                  <w:noWrap w:val="0"/>
                  <w:vAlign w:val="center"/>
                </w:tcPr>
                <w:p w14:paraId="60F087B3">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bCs/>
                      <w:color w:val="auto"/>
                      <w:szCs w:val="21"/>
                    </w:rPr>
                  </w:pPr>
                  <w:r>
                    <w:rPr>
                      <w:rFonts w:hint="eastAsia"/>
                      <w:bCs/>
                      <w:color w:val="auto"/>
                      <w:szCs w:val="21"/>
                    </w:rPr>
                    <w:t>取水头部、取水管、取水泵房土建均按6万m</w:t>
                  </w:r>
                  <w:r>
                    <w:rPr>
                      <w:rFonts w:hint="eastAsia"/>
                      <w:bCs/>
                      <w:color w:val="auto"/>
                      <w:szCs w:val="21"/>
                      <w:vertAlign w:val="superscript"/>
                    </w:rPr>
                    <w:t>3</w:t>
                  </w:r>
                  <w:r>
                    <w:rPr>
                      <w:rFonts w:hint="eastAsia"/>
                      <w:bCs/>
                      <w:color w:val="auto"/>
                      <w:szCs w:val="21"/>
                    </w:rPr>
                    <w:t>/d的规模</w:t>
                  </w:r>
                  <w:r>
                    <w:rPr>
                      <w:rFonts w:hint="eastAsia"/>
                      <w:bCs/>
                      <w:color w:val="auto"/>
                      <w:szCs w:val="21"/>
                      <w:lang w:eastAsia="zh-CN"/>
                    </w:rPr>
                    <w:t>建设，</w:t>
                  </w:r>
                  <w:r>
                    <w:rPr>
                      <w:rFonts w:hint="eastAsia"/>
                      <w:bCs/>
                      <w:color w:val="auto"/>
                      <w:szCs w:val="21"/>
                    </w:rPr>
                    <w:t>位于淮河北岸，孔李淮河大桥以东1km处</w:t>
                  </w:r>
                  <w:r>
                    <w:rPr>
                      <w:rFonts w:hint="eastAsia"/>
                      <w:bCs/>
                      <w:color w:val="auto"/>
                      <w:szCs w:val="21"/>
                      <w:lang w:eastAsia="zh-CN"/>
                    </w:rPr>
                    <w:t>，</w:t>
                  </w:r>
                  <w:r>
                    <w:rPr>
                      <w:rFonts w:hint="default" w:eastAsia="宋体"/>
                      <w:bCs/>
                      <w:color w:val="auto"/>
                      <w:szCs w:val="21"/>
                      <w:lang w:val="en-US" w:eastAsia="zh-CN"/>
                    </w:rPr>
                    <w:t>采用的是河床分建式取水构筑物，取水头部为箱式格栅取水，自流管进入集水间</w:t>
                  </w:r>
                  <w:r>
                    <w:rPr>
                      <w:rFonts w:hint="eastAsia"/>
                      <w:bCs/>
                      <w:color w:val="auto"/>
                      <w:szCs w:val="21"/>
                    </w:rPr>
                    <w:t>。</w:t>
                  </w:r>
                </w:p>
                <w:p w14:paraId="29D753C7">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default" w:eastAsia="宋体"/>
                      <w:bCs/>
                      <w:color w:val="auto"/>
                      <w:szCs w:val="21"/>
                      <w:lang w:val="en-US" w:eastAsia="zh-CN"/>
                    </w:rPr>
                  </w:pPr>
                  <w:r>
                    <w:rPr>
                      <w:rFonts w:hint="default" w:eastAsia="宋体"/>
                      <w:bCs/>
                      <w:color w:val="auto"/>
                      <w:szCs w:val="21"/>
                      <w:lang w:val="en-US" w:eastAsia="zh-CN"/>
                    </w:rPr>
                    <w:t>取水口</w:t>
                  </w:r>
                  <w:r>
                    <w:rPr>
                      <w:rFonts w:hint="eastAsia"/>
                      <w:bCs/>
                      <w:color w:val="auto"/>
                      <w:szCs w:val="21"/>
                      <w:lang w:val="en-US" w:eastAsia="zh-CN"/>
                    </w:rPr>
                    <w:t>：位于</w:t>
                  </w:r>
                  <w:r>
                    <w:rPr>
                      <w:rFonts w:hint="default" w:eastAsia="宋体"/>
                      <w:bCs/>
                      <w:color w:val="auto"/>
                      <w:szCs w:val="21"/>
                      <w:lang w:val="en-US" w:eastAsia="zh-CN"/>
                    </w:rPr>
                    <w:t>架河乡杨集村陶圩自然庄（江堤桩号为K58+290）处，河水最高（洪水）水位24.99米（黄海标高），最低水位15.25米</w:t>
                  </w:r>
                </w:p>
                <w:p w14:paraId="377BC482">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default" w:eastAsia="宋体"/>
                      <w:bCs/>
                      <w:color w:val="auto"/>
                      <w:szCs w:val="21"/>
                      <w:lang w:val="en-US" w:eastAsia="zh-CN"/>
                    </w:rPr>
                  </w:pPr>
                  <w:r>
                    <w:rPr>
                      <w:rFonts w:hint="default" w:eastAsia="宋体"/>
                      <w:bCs/>
                      <w:color w:val="auto"/>
                      <w:szCs w:val="21"/>
                      <w:lang w:val="en-US" w:eastAsia="zh-CN"/>
                    </w:rPr>
                    <w:t>取水头部：头部位置在淮河北面，距河岸20米处，顶部标高在15.00以下。平面尺寸10.5m×2.45m，深2.00m，从头部引出二条¢800引水管，管材为钢砼管，穿越防洪堤，进入格栅井，引水管全长约318m。取水头部设计流量为6.0万m3/d</w:t>
                  </w:r>
                  <w:r>
                    <w:rPr>
                      <w:rFonts w:hint="eastAsia"/>
                      <w:bCs/>
                      <w:color w:val="auto"/>
                      <w:szCs w:val="21"/>
                      <w:lang w:val="en-US" w:eastAsia="zh-CN"/>
                    </w:rPr>
                    <w:t>，目前按</w:t>
                  </w:r>
                  <w:r>
                    <w:rPr>
                      <w:rFonts w:hint="default" w:eastAsia="宋体"/>
                      <w:bCs/>
                      <w:color w:val="auto"/>
                      <w:szCs w:val="21"/>
                      <w:lang w:val="en-US" w:eastAsia="zh-CN"/>
                    </w:rPr>
                    <w:t>3万m3/d运行</w:t>
                  </w:r>
                  <w:r>
                    <w:rPr>
                      <w:rFonts w:hint="eastAsia"/>
                      <w:bCs/>
                      <w:color w:val="auto"/>
                      <w:szCs w:val="21"/>
                      <w:lang w:val="en-US" w:eastAsia="zh-CN"/>
                    </w:rPr>
                    <w:t>。</w:t>
                  </w:r>
                </w:p>
                <w:p w14:paraId="1905D80C">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bCs/>
                      <w:color w:val="auto"/>
                      <w:szCs w:val="21"/>
                    </w:rPr>
                  </w:pPr>
                  <w:r>
                    <w:rPr>
                      <w:rFonts w:hint="eastAsia"/>
                      <w:bCs/>
                      <w:color w:val="auto"/>
                      <w:szCs w:val="21"/>
                    </w:rPr>
                    <w:t>取水头部与取水泵房之间为两根DN800钢筋混凝土管连通，重力式进水。</w:t>
                  </w:r>
                </w:p>
                <w:p w14:paraId="4F2E7A07">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bCs/>
                      <w:color w:val="auto"/>
                      <w:szCs w:val="21"/>
                    </w:rPr>
                  </w:pPr>
                  <w:r>
                    <w:rPr>
                      <w:rFonts w:hint="default" w:eastAsia="宋体"/>
                      <w:bCs/>
                      <w:color w:val="auto"/>
                      <w:szCs w:val="21"/>
                      <w:lang w:val="en-US" w:eastAsia="zh-CN"/>
                    </w:rPr>
                    <w:t>取水泵房</w:t>
                  </w:r>
                  <w:r>
                    <w:rPr>
                      <w:rFonts w:hint="eastAsia"/>
                      <w:bCs/>
                      <w:color w:val="auto"/>
                      <w:szCs w:val="21"/>
                    </w:rPr>
                    <w:t>1座</w:t>
                  </w:r>
                  <w:r>
                    <w:rPr>
                      <w:rFonts w:hint="eastAsia"/>
                      <w:bCs/>
                      <w:color w:val="auto"/>
                      <w:szCs w:val="21"/>
                      <w:lang w:eastAsia="zh-CN"/>
                    </w:rPr>
                    <w:t>，</w:t>
                  </w:r>
                  <w:r>
                    <w:rPr>
                      <w:rFonts w:hint="eastAsia"/>
                      <w:bCs/>
                      <w:color w:val="auto"/>
                      <w:szCs w:val="21"/>
                    </w:rPr>
                    <w:t>尺寸L×B×H=14.9m×11.45m×9.25m，设置潜水泵3用1备，其中小泵Q=400m</w:t>
                  </w:r>
                  <w:r>
                    <w:rPr>
                      <w:rFonts w:hint="eastAsia"/>
                      <w:bCs/>
                      <w:color w:val="auto"/>
                      <w:szCs w:val="21"/>
                      <w:vertAlign w:val="superscript"/>
                    </w:rPr>
                    <w:t>3</w:t>
                  </w:r>
                  <w:r>
                    <w:rPr>
                      <w:rFonts w:hint="eastAsia"/>
                      <w:bCs/>
                      <w:color w:val="auto"/>
                      <w:szCs w:val="21"/>
                    </w:rPr>
                    <w:t>/h，1用1备；</w:t>
                  </w:r>
                  <w:r>
                    <w:rPr>
                      <w:rFonts w:hint="eastAsia"/>
                      <w:bCs/>
                      <w:color w:val="auto"/>
                      <w:szCs w:val="21"/>
                      <w:lang w:val="en-US" w:eastAsia="zh-CN"/>
                    </w:rPr>
                    <w:t>1台</w:t>
                  </w:r>
                  <w:r>
                    <w:rPr>
                      <w:rFonts w:hint="eastAsia"/>
                      <w:bCs/>
                      <w:color w:val="auto"/>
                      <w:szCs w:val="21"/>
                    </w:rPr>
                    <w:t>中泵Q=600m</w:t>
                  </w:r>
                  <w:r>
                    <w:rPr>
                      <w:rFonts w:hint="eastAsia"/>
                      <w:bCs/>
                      <w:color w:val="auto"/>
                      <w:szCs w:val="21"/>
                      <w:vertAlign w:val="superscript"/>
                    </w:rPr>
                    <w:t>3</w:t>
                  </w:r>
                  <w:r>
                    <w:rPr>
                      <w:rFonts w:hint="eastAsia"/>
                      <w:bCs/>
                      <w:color w:val="auto"/>
                      <w:szCs w:val="21"/>
                    </w:rPr>
                    <w:t>/h，</w:t>
                  </w:r>
                  <w:r>
                    <w:rPr>
                      <w:rFonts w:hint="eastAsia"/>
                      <w:bCs/>
                      <w:color w:val="auto"/>
                      <w:szCs w:val="21"/>
                      <w:lang w:val="en-US" w:eastAsia="zh-CN"/>
                    </w:rPr>
                    <w:t>1</w:t>
                  </w:r>
                  <w:r>
                    <w:rPr>
                      <w:rFonts w:hint="eastAsia"/>
                      <w:bCs/>
                      <w:color w:val="auto"/>
                      <w:szCs w:val="21"/>
                      <w:lang w:eastAsia="zh-CN"/>
                    </w:rPr>
                    <w:t>台</w:t>
                  </w:r>
                  <w:r>
                    <w:rPr>
                      <w:rFonts w:hint="eastAsia"/>
                      <w:bCs/>
                      <w:color w:val="auto"/>
                      <w:szCs w:val="21"/>
                    </w:rPr>
                    <w:t>大泵Q=730m</w:t>
                  </w:r>
                  <w:r>
                    <w:rPr>
                      <w:rFonts w:hint="eastAsia"/>
                      <w:bCs/>
                      <w:color w:val="auto"/>
                      <w:szCs w:val="21"/>
                      <w:vertAlign w:val="superscript"/>
                    </w:rPr>
                    <w:t>3</w:t>
                  </w:r>
                  <w:r>
                    <w:rPr>
                      <w:rFonts w:hint="eastAsia"/>
                      <w:bCs/>
                      <w:color w:val="auto"/>
                      <w:szCs w:val="21"/>
                    </w:rPr>
                    <w:t>/h。</w:t>
                  </w:r>
                </w:p>
              </w:tc>
              <w:tc>
                <w:tcPr>
                  <w:tcW w:w="2861" w:type="dxa"/>
                  <w:noWrap w:val="0"/>
                  <w:vAlign w:val="center"/>
                </w:tcPr>
                <w:p w14:paraId="0AB70662">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lang w:val="en-US" w:eastAsia="zh-CN"/>
                    </w:rPr>
                    <w:t>依托现有取水工程，</w:t>
                  </w:r>
                  <w:r>
                    <w:rPr>
                      <w:rFonts w:hint="default" w:eastAsia="宋体"/>
                      <w:bCs/>
                      <w:color w:val="auto"/>
                      <w:szCs w:val="21"/>
                      <w:lang w:val="en-US" w:eastAsia="zh-CN"/>
                    </w:rPr>
                    <w:t>仅</w:t>
                  </w:r>
                  <w:r>
                    <w:rPr>
                      <w:rFonts w:hint="eastAsia"/>
                      <w:bCs/>
                      <w:color w:val="auto"/>
                      <w:szCs w:val="21"/>
                      <w:lang w:val="en-US" w:eastAsia="zh-CN"/>
                    </w:rPr>
                    <w:t>在</w:t>
                  </w:r>
                  <w:r>
                    <w:rPr>
                      <w:rFonts w:hint="default" w:eastAsia="宋体"/>
                      <w:bCs/>
                      <w:color w:val="auto"/>
                      <w:szCs w:val="21"/>
                      <w:lang w:val="en-US" w:eastAsia="zh-CN"/>
                    </w:rPr>
                    <w:t>取水泵房</w:t>
                  </w:r>
                  <w:r>
                    <w:rPr>
                      <w:rFonts w:hint="eastAsia"/>
                      <w:bCs/>
                      <w:color w:val="auto"/>
                      <w:szCs w:val="21"/>
                      <w:lang w:val="en-US" w:eastAsia="zh-CN"/>
                    </w:rPr>
                    <w:t>内</w:t>
                  </w:r>
                  <w:r>
                    <w:rPr>
                      <w:rFonts w:hint="default" w:eastAsia="宋体"/>
                      <w:bCs/>
                      <w:color w:val="auto"/>
                      <w:szCs w:val="21"/>
                      <w:lang w:val="en-US" w:eastAsia="zh-CN"/>
                    </w:rPr>
                    <w:t>设备</w:t>
                  </w:r>
                  <w:r>
                    <w:rPr>
                      <w:rFonts w:hint="eastAsia"/>
                      <w:bCs/>
                      <w:color w:val="auto"/>
                      <w:szCs w:val="21"/>
                      <w:lang w:val="en-US" w:eastAsia="zh-CN"/>
                    </w:rPr>
                    <w:t>进行</w:t>
                  </w:r>
                  <w:r>
                    <w:rPr>
                      <w:rFonts w:hint="default" w:eastAsia="宋体"/>
                      <w:bCs/>
                      <w:color w:val="auto"/>
                      <w:szCs w:val="21"/>
                      <w:lang w:val="en-US" w:eastAsia="zh-CN"/>
                    </w:rPr>
                    <w:t>改造</w:t>
                  </w:r>
                  <w:r>
                    <w:rPr>
                      <w:rFonts w:hint="eastAsia"/>
                      <w:bCs/>
                      <w:color w:val="auto"/>
                      <w:szCs w:val="21"/>
                      <w:lang w:val="en-US" w:eastAsia="zh-CN"/>
                    </w:rPr>
                    <w:t>，保留现有的一台Q=1000m</w:t>
                  </w:r>
                  <w:r>
                    <w:rPr>
                      <w:rFonts w:hint="eastAsia"/>
                      <w:bCs/>
                      <w:color w:val="auto"/>
                      <w:szCs w:val="21"/>
                      <w:vertAlign w:val="superscript"/>
                      <w:lang w:val="en-US" w:eastAsia="zh-CN"/>
                    </w:rPr>
                    <w:t>3</w:t>
                  </w:r>
                  <w:r>
                    <w:rPr>
                      <w:rFonts w:hint="eastAsia"/>
                      <w:bCs/>
                      <w:color w:val="auto"/>
                      <w:szCs w:val="21"/>
                      <w:lang w:val="en-US" w:eastAsia="zh-CN"/>
                    </w:rPr>
                    <w:t>/h、一台Q=730m</w:t>
                  </w:r>
                  <w:r>
                    <w:rPr>
                      <w:rFonts w:hint="eastAsia"/>
                      <w:bCs/>
                      <w:color w:val="auto"/>
                      <w:szCs w:val="21"/>
                      <w:vertAlign w:val="superscript"/>
                      <w:lang w:val="en-US" w:eastAsia="zh-CN"/>
                    </w:rPr>
                    <w:t>3</w:t>
                  </w:r>
                  <w:r>
                    <w:rPr>
                      <w:rFonts w:hint="eastAsia"/>
                      <w:bCs/>
                      <w:color w:val="auto"/>
                      <w:szCs w:val="21"/>
                      <w:lang w:val="en-US" w:eastAsia="zh-CN"/>
                    </w:rPr>
                    <w:t>/h的水泵，将现有两台Q=400m</w:t>
                  </w:r>
                  <w:r>
                    <w:rPr>
                      <w:rFonts w:hint="eastAsia"/>
                      <w:bCs/>
                      <w:color w:val="auto"/>
                      <w:szCs w:val="21"/>
                      <w:vertAlign w:val="superscript"/>
                      <w:lang w:val="en-US" w:eastAsia="zh-CN"/>
                    </w:rPr>
                    <w:t>3</w:t>
                  </w:r>
                  <w:r>
                    <w:rPr>
                      <w:rFonts w:hint="eastAsia"/>
                      <w:bCs/>
                      <w:color w:val="auto"/>
                      <w:szCs w:val="21"/>
                      <w:lang w:val="en-US" w:eastAsia="zh-CN"/>
                    </w:rPr>
                    <w:t>/h水泵更换为1台Q=600m</w:t>
                  </w:r>
                  <w:r>
                    <w:rPr>
                      <w:rFonts w:hint="eastAsia"/>
                      <w:bCs/>
                      <w:color w:val="auto"/>
                      <w:szCs w:val="21"/>
                      <w:vertAlign w:val="superscript"/>
                      <w:lang w:val="en-US" w:eastAsia="zh-CN"/>
                    </w:rPr>
                    <w:t>3</w:t>
                  </w:r>
                  <w:r>
                    <w:rPr>
                      <w:rFonts w:hint="eastAsia"/>
                      <w:bCs/>
                      <w:color w:val="auto"/>
                      <w:szCs w:val="21"/>
                      <w:lang w:val="en-US" w:eastAsia="zh-CN"/>
                    </w:rPr>
                    <w:t>/h（一用一备）、1台Q=1000m</w:t>
                  </w:r>
                  <w:r>
                    <w:rPr>
                      <w:rFonts w:hint="eastAsia"/>
                      <w:bCs/>
                      <w:color w:val="auto"/>
                      <w:szCs w:val="21"/>
                      <w:vertAlign w:val="superscript"/>
                      <w:lang w:val="en-US" w:eastAsia="zh-CN"/>
                    </w:rPr>
                    <w:t>3</w:t>
                  </w:r>
                  <w:r>
                    <w:rPr>
                      <w:rFonts w:hint="eastAsia"/>
                      <w:bCs/>
                      <w:color w:val="auto"/>
                      <w:szCs w:val="21"/>
                      <w:lang w:val="en-US" w:eastAsia="zh-CN"/>
                    </w:rPr>
                    <w:t>/h（备用）水泵，并新增一台Q=600m</w:t>
                  </w:r>
                  <w:r>
                    <w:rPr>
                      <w:rFonts w:hint="eastAsia"/>
                      <w:bCs/>
                      <w:color w:val="auto"/>
                      <w:szCs w:val="21"/>
                      <w:vertAlign w:val="superscript"/>
                      <w:lang w:val="en-US" w:eastAsia="zh-CN"/>
                    </w:rPr>
                    <w:t>3</w:t>
                  </w:r>
                  <w:r>
                    <w:rPr>
                      <w:rFonts w:hint="eastAsia"/>
                      <w:bCs/>
                      <w:color w:val="auto"/>
                      <w:szCs w:val="21"/>
                      <w:lang w:val="en-US" w:eastAsia="zh-CN"/>
                    </w:rPr>
                    <w:t>/h水泵，最终水泵四用一备，总规模达到2930m</w:t>
                  </w:r>
                  <w:r>
                    <w:rPr>
                      <w:rFonts w:hint="eastAsia"/>
                      <w:bCs/>
                      <w:color w:val="auto"/>
                      <w:szCs w:val="21"/>
                      <w:vertAlign w:val="superscript"/>
                      <w:lang w:val="en-US" w:eastAsia="zh-CN"/>
                    </w:rPr>
                    <w:t>3</w:t>
                  </w:r>
                  <w:r>
                    <w:rPr>
                      <w:rFonts w:hint="eastAsia"/>
                      <w:bCs/>
                      <w:color w:val="auto"/>
                      <w:szCs w:val="21"/>
                      <w:lang w:val="en-US" w:eastAsia="zh-CN"/>
                    </w:rPr>
                    <w:t>/h</w:t>
                  </w:r>
                </w:p>
              </w:tc>
              <w:tc>
                <w:tcPr>
                  <w:tcW w:w="756" w:type="dxa"/>
                  <w:noWrap w:val="0"/>
                  <w:vAlign w:val="center"/>
                </w:tcPr>
                <w:p w14:paraId="5BA4D07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bCs/>
                      <w:color w:val="auto"/>
                      <w:szCs w:val="21"/>
                      <w:lang w:val="en-US" w:eastAsia="zh-CN"/>
                    </w:rPr>
                  </w:pPr>
                  <w:r>
                    <w:rPr>
                      <w:rFonts w:hint="eastAsia"/>
                      <w:bCs/>
                      <w:color w:val="auto"/>
                      <w:szCs w:val="21"/>
                      <w:lang w:eastAsia="zh-CN"/>
                    </w:rPr>
                    <w:t>依托现有</w:t>
                  </w:r>
                  <w:r>
                    <w:rPr>
                      <w:rFonts w:hint="eastAsia"/>
                      <w:bCs/>
                      <w:color w:val="auto"/>
                      <w:szCs w:val="21"/>
                      <w:lang w:val="en-US" w:eastAsia="zh-CN"/>
                    </w:rPr>
                    <w:t>+新增设备</w:t>
                  </w:r>
                </w:p>
              </w:tc>
            </w:tr>
            <w:tr w14:paraId="0A8FA6B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7747387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01BB7C3A">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原水输水管道</w:t>
                  </w:r>
                </w:p>
              </w:tc>
              <w:tc>
                <w:tcPr>
                  <w:tcW w:w="3400" w:type="dxa"/>
                  <w:noWrap w:val="0"/>
                  <w:vAlign w:val="center"/>
                </w:tcPr>
                <w:p w14:paraId="47A56CE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rFonts w:hint="eastAsia"/>
                      <w:bCs/>
                      <w:color w:val="auto"/>
                      <w:szCs w:val="21"/>
                    </w:rPr>
                    <w:t>输水管按3.3万m</w:t>
                  </w:r>
                  <w:r>
                    <w:rPr>
                      <w:rFonts w:hint="eastAsia"/>
                      <w:bCs/>
                      <w:color w:val="auto"/>
                      <w:szCs w:val="21"/>
                      <w:vertAlign w:val="superscript"/>
                    </w:rPr>
                    <w:t>3</w:t>
                  </w:r>
                  <w:r>
                    <w:rPr>
                      <w:rFonts w:hint="eastAsia"/>
                      <w:bCs/>
                      <w:color w:val="auto"/>
                      <w:szCs w:val="21"/>
                    </w:rPr>
                    <w:t>/d（包含10%自用水量）设计并已实施，钢管，管径DN700</w:t>
                  </w:r>
                  <w:r>
                    <w:rPr>
                      <w:rFonts w:hint="eastAsia"/>
                      <w:bCs/>
                      <w:color w:val="auto"/>
                      <w:szCs w:val="21"/>
                      <w:lang w:eastAsia="zh-CN"/>
                    </w:rPr>
                    <w:t>，</w:t>
                  </w:r>
                  <w:r>
                    <w:rPr>
                      <w:rFonts w:hint="eastAsia"/>
                      <w:bCs/>
                      <w:color w:val="auto"/>
                      <w:szCs w:val="21"/>
                    </w:rPr>
                    <w:t>输水管线总长约7.5km</w:t>
                  </w:r>
                  <w:r>
                    <w:rPr>
                      <w:rFonts w:hint="eastAsia"/>
                      <w:bCs/>
                      <w:color w:val="auto"/>
                      <w:szCs w:val="21"/>
                      <w:lang w:eastAsia="zh-CN"/>
                    </w:rPr>
                    <w:t>，</w:t>
                  </w:r>
                  <w:r>
                    <w:rPr>
                      <w:rFonts w:hint="default" w:eastAsia="宋体"/>
                      <w:bCs/>
                      <w:color w:val="auto"/>
                      <w:szCs w:val="21"/>
                      <w:lang w:val="en-US" w:eastAsia="zh-CN"/>
                    </w:rPr>
                    <w:t>沿农田铺设，由北向南敷设，途经陶圩自然庄、陶新庄、吴湖村、朱湖队。在输水管线上设有阀门井</w:t>
                  </w:r>
                </w:p>
              </w:tc>
              <w:tc>
                <w:tcPr>
                  <w:tcW w:w="2861" w:type="dxa"/>
                  <w:noWrap w:val="0"/>
                  <w:vAlign w:val="center"/>
                </w:tcPr>
                <w:p w14:paraId="09217D7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default" w:eastAsia="宋体"/>
                      <w:bCs/>
                      <w:color w:val="auto"/>
                      <w:szCs w:val="21"/>
                      <w:lang w:val="en-US" w:eastAsia="zh-CN"/>
                    </w:rPr>
                    <w:t>新建一根DN1000原水输水管道作为常用管路，</w:t>
                  </w:r>
                  <w:r>
                    <w:rPr>
                      <w:rFonts w:hint="eastAsia"/>
                      <w:bCs/>
                      <w:color w:val="auto"/>
                      <w:szCs w:val="21"/>
                      <w:lang w:val="en-US" w:eastAsia="zh-CN"/>
                    </w:rPr>
                    <w:t>现有输水管</w:t>
                  </w:r>
                  <w:r>
                    <w:rPr>
                      <w:rFonts w:hint="default" w:eastAsia="宋体"/>
                      <w:bCs/>
                      <w:color w:val="auto"/>
                      <w:szCs w:val="21"/>
                      <w:lang w:val="en-US" w:eastAsia="zh-CN"/>
                    </w:rPr>
                    <w:t>DN700作为备用管路使用</w:t>
                  </w:r>
                </w:p>
              </w:tc>
              <w:tc>
                <w:tcPr>
                  <w:tcW w:w="756" w:type="dxa"/>
                  <w:noWrap w:val="0"/>
                  <w:vAlign w:val="center"/>
                </w:tcPr>
                <w:p w14:paraId="5EDD8C1D">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新建</w:t>
                  </w:r>
                </w:p>
              </w:tc>
            </w:tr>
            <w:tr w14:paraId="6A9C93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127591E9">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690331E7">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配水工程</w:t>
                  </w:r>
                </w:p>
              </w:tc>
              <w:tc>
                <w:tcPr>
                  <w:tcW w:w="3400" w:type="dxa"/>
                  <w:noWrap w:val="0"/>
                  <w:vAlign w:val="center"/>
                </w:tcPr>
                <w:p w14:paraId="757ED5CC">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eastAsia="宋体"/>
                      <w:bCs/>
                      <w:color w:val="auto"/>
                      <w:szCs w:val="21"/>
                      <w:lang w:eastAsia="zh-CN"/>
                    </w:rPr>
                  </w:pPr>
                  <w:r>
                    <w:rPr>
                      <w:rFonts w:hint="eastAsia"/>
                      <w:bCs/>
                      <w:color w:val="auto"/>
                      <w:szCs w:val="21"/>
                    </w:rPr>
                    <w:t>袁庄水厂服务范围内配水管网目前主要集中在潘集区主城区，并向周边集镇、村庄扩散。主城区以外，自西向东以长江路-淮潘公路为主要输水通道，沿淮潘公路向两侧辐射供水，东端至平圩镇，在古沟乡设有古沟加压泵站进行中途加压</w:t>
                  </w:r>
                  <w:r>
                    <w:rPr>
                      <w:rFonts w:hint="eastAsia"/>
                      <w:bCs/>
                      <w:color w:val="auto"/>
                      <w:szCs w:val="21"/>
                      <w:lang w:eastAsia="zh-CN"/>
                    </w:rPr>
                    <w:t>。</w:t>
                  </w:r>
                </w:p>
              </w:tc>
              <w:tc>
                <w:tcPr>
                  <w:tcW w:w="2861" w:type="dxa"/>
                  <w:noWrap w:val="0"/>
                  <w:vAlign w:val="center"/>
                </w:tcPr>
                <w:p w14:paraId="76E2EA82">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lang w:val="en-US" w:eastAsia="zh-CN"/>
                    </w:rPr>
                    <w:t>依托现有</w:t>
                  </w:r>
                </w:p>
              </w:tc>
              <w:tc>
                <w:tcPr>
                  <w:tcW w:w="756" w:type="dxa"/>
                  <w:noWrap w:val="0"/>
                  <w:vAlign w:val="center"/>
                </w:tcPr>
                <w:p w14:paraId="72719AD0">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val="en-US" w:eastAsia="zh-CN"/>
                    </w:rPr>
                    <w:t>依托现有</w:t>
                  </w:r>
                </w:p>
              </w:tc>
            </w:tr>
            <w:tr w14:paraId="396D7F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732162CA">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restart"/>
                  <w:noWrap w:val="0"/>
                  <w:vAlign w:val="center"/>
                </w:tcPr>
                <w:p w14:paraId="4265CB85">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净水工程</w:t>
                  </w:r>
                </w:p>
              </w:tc>
              <w:tc>
                <w:tcPr>
                  <w:tcW w:w="3400" w:type="dxa"/>
                  <w:noWrap w:val="0"/>
                  <w:vAlign w:val="center"/>
                </w:tcPr>
                <w:p w14:paraId="5BBC67A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lang w:val="en-US" w:eastAsia="zh-CN"/>
                    </w:rPr>
                    <w:t>/</w:t>
                  </w:r>
                </w:p>
              </w:tc>
              <w:tc>
                <w:tcPr>
                  <w:tcW w:w="2861" w:type="dxa"/>
                  <w:noWrap w:val="0"/>
                  <w:vAlign w:val="center"/>
                </w:tcPr>
                <w:p w14:paraId="1A7D2127">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default" w:eastAsia="宋体"/>
                      <w:bCs/>
                      <w:color w:val="auto"/>
                      <w:szCs w:val="21"/>
                      <w:lang w:val="en-US" w:eastAsia="zh-CN"/>
                    </w:rPr>
                    <w:t>新建一座配水井，地上式钢筋混凝土结构，按规模6.0万m</w:t>
                  </w:r>
                  <w:r>
                    <w:rPr>
                      <w:rFonts w:hint="default" w:eastAsia="宋体"/>
                      <w:bCs/>
                      <w:color w:val="auto"/>
                      <w:szCs w:val="21"/>
                      <w:vertAlign w:val="superscript"/>
                      <w:lang w:val="en-US" w:eastAsia="zh-CN"/>
                    </w:rPr>
                    <w:t>3</w:t>
                  </w:r>
                  <w:r>
                    <w:rPr>
                      <w:rFonts w:hint="default" w:eastAsia="宋体"/>
                      <w:bCs/>
                      <w:color w:val="auto"/>
                      <w:szCs w:val="21"/>
                      <w:lang w:val="en-US" w:eastAsia="zh-CN"/>
                    </w:rPr>
                    <w:t>/d设计，土建及设备均一次性建成</w:t>
                  </w:r>
                  <w:r>
                    <w:rPr>
                      <w:rFonts w:hint="eastAsia"/>
                      <w:bCs/>
                      <w:color w:val="auto"/>
                      <w:szCs w:val="21"/>
                      <w:lang w:val="en-US" w:eastAsia="zh-CN"/>
                    </w:rPr>
                    <w:t>，</w:t>
                  </w:r>
                  <w:r>
                    <w:rPr>
                      <w:rFonts w:hint="default" w:eastAsia="宋体"/>
                      <w:bCs/>
                      <w:color w:val="auto"/>
                      <w:szCs w:val="21"/>
                      <w:lang w:val="en-US" w:eastAsia="zh-CN"/>
                    </w:rPr>
                    <w:t>平面尺寸8.00m×7.10m</w:t>
                  </w:r>
                </w:p>
              </w:tc>
              <w:tc>
                <w:tcPr>
                  <w:tcW w:w="756" w:type="dxa"/>
                  <w:noWrap w:val="0"/>
                  <w:vAlign w:val="center"/>
                </w:tcPr>
                <w:p w14:paraId="2670D2F5">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新建</w:t>
                  </w:r>
                </w:p>
              </w:tc>
            </w:tr>
            <w:tr w14:paraId="339578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4A7F592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6A96C04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p>
              </w:tc>
              <w:tc>
                <w:tcPr>
                  <w:tcW w:w="3400" w:type="dxa"/>
                  <w:noWrap w:val="0"/>
                  <w:vAlign w:val="center"/>
                </w:tcPr>
                <w:p w14:paraId="51CFFB76">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bCs/>
                      <w:color w:val="auto"/>
                      <w:szCs w:val="21"/>
                    </w:rPr>
                  </w:pPr>
                  <w:r>
                    <w:rPr>
                      <w:rFonts w:hint="eastAsia"/>
                      <w:bCs/>
                      <w:color w:val="auto"/>
                      <w:szCs w:val="21"/>
                    </w:rPr>
                    <w:t>混合器井</w:t>
                  </w:r>
                  <w:r>
                    <w:rPr>
                      <w:rFonts w:hint="eastAsia"/>
                      <w:bCs/>
                      <w:color w:val="auto"/>
                      <w:szCs w:val="21"/>
                      <w:lang w:eastAsia="zh-CN"/>
                    </w:rPr>
                    <w:t>：一座规模3万m</w:t>
                  </w:r>
                  <w:r>
                    <w:rPr>
                      <w:rFonts w:hint="eastAsia"/>
                      <w:bCs/>
                      <w:color w:val="auto"/>
                      <w:szCs w:val="21"/>
                      <w:vertAlign w:val="superscript"/>
                      <w:lang w:eastAsia="zh-CN"/>
                    </w:rPr>
                    <w:t>3</w:t>
                  </w:r>
                  <w:r>
                    <w:rPr>
                      <w:rFonts w:hint="eastAsia"/>
                      <w:bCs/>
                      <w:color w:val="auto"/>
                      <w:szCs w:val="21"/>
                      <w:lang w:eastAsia="zh-CN"/>
                    </w:rPr>
                    <w:t>/d的管道混合器井。平面尺寸为4.2×4.4m，设有管道静态混合器2套，DN500，L=2000mm</w:t>
                  </w:r>
                </w:p>
              </w:tc>
              <w:tc>
                <w:tcPr>
                  <w:tcW w:w="2861" w:type="dxa"/>
                  <w:noWrap w:val="0"/>
                  <w:vAlign w:val="center"/>
                </w:tcPr>
                <w:p w14:paraId="0BBFD9EA">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rPr>
                    <w:t>混合器井</w:t>
                  </w:r>
                  <w:r>
                    <w:rPr>
                      <w:rFonts w:hint="eastAsia"/>
                      <w:bCs/>
                      <w:color w:val="auto"/>
                      <w:szCs w:val="21"/>
                      <w:lang w:eastAsia="zh-CN"/>
                    </w:rPr>
                    <w:t>：</w:t>
                  </w:r>
                  <w:r>
                    <w:rPr>
                      <w:rFonts w:hint="default" w:eastAsia="宋体"/>
                      <w:bCs/>
                      <w:color w:val="auto"/>
                      <w:szCs w:val="21"/>
                      <w:lang w:val="en-US" w:eastAsia="zh-CN"/>
                    </w:rPr>
                    <w:t>新建一座规模3万m</w:t>
                  </w:r>
                  <w:r>
                    <w:rPr>
                      <w:rFonts w:hint="default" w:eastAsia="宋体"/>
                      <w:bCs/>
                      <w:color w:val="auto"/>
                      <w:szCs w:val="21"/>
                      <w:vertAlign w:val="superscript"/>
                      <w:lang w:val="en-US" w:eastAsia="zh-CN"/>
                    </w:rPr>
                    <w:t>3</w:t>
                  </w:r>
                  <w:r>
                    <w:rPr>
                      <w:rFonts w:hint="default" w:eastAsia="宋体"/>
                      <w:bCs/>
                      <w:color w:val="auto"/>
                      <w:szCs w:val="21"/>
                      <w:lang w:val="en-US" w:eastAsia="zh-CN"/>
                    </w:rPr>
                    <w:t>/d的管道静态混合器井，B×H=4.2m×4.4m</w:t>
                  </w:r>
                </w:p>
              </w:tc>
              <w:tc>
                <w:tcPr>
                  <w:tcW w:w="756" w:type="dxa"/>
                  <w:noWrap w:val="0"/>
                  <w:vAlign w:val="center"/>
                </w:tcPr>
                <w:p w14:paraId="5D035869">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新建</w:t>
                  </w:r>
                </w:p>
              </w:tc>
            </w:tr>
            <w:tr w14:paraId="7CDA156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7B6F9A3C">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0A45A368">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p>
              </w:tc>
              <w:tc>
                <w:tcPr>
                  <w:tcW w:w="3400" w:type="dxa"/>
                  <w:noWrap w:val="0"/>
                  <w:vAlign w:val="center"/>
                </w:tcPr>
                <w:p w14:paraId="3AE71BA0">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折板絮凝平流沉淀池</w:t>
                  </w:r>
                  <w:r>
                    <w:rPr>
                      <w:rFonts w:hint="eastAsia" w:cs="Times New Roman"/>
                      <w:bCs/>
                      <w:color w:val="auto"/>
                      <w:kern w:val="2"/>
                      <w:sz w:val="21"/>
                      <w:szCs w:val="21"/>
                      <w:lang w:val="en-US" w:eastAsia="zh-CN" w:bidi="ar-SA"/>
                    </w:rPr>
                    <w:t>：絮凝沉淀池1座2池，总规模3万m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w:t>
                  </w:r>
                </w:p>
                <w:p w14:paraId="7A970B07">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单池尺寸：折板絮凝池净尺寸8.6m×5.0m，有效水深3.5m；</w:t>
                  </w:r>
                </w:p>
                <w:p w14:paraId="0465ED64">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bCs/>
                      <w:color w:val="auto"/>
                      <w:szCs w:val="21"/>
                    </w:rPr>
                  </w:pPr>
                  <w:r>
                    <w:rPr>
                      <w:rFonts w:hint="eastAsia" w:cs="Times New Roman"/>
                      <w:bCs/>
                      <w:color w:val="auto"/>
                      <w:kern w:val="2"/>
                      <w:sz w:val="21"/>
                      <w:szCs w:val="21"/>
                      <w:lang w:val="en-US" w:eastAsia="zh-CN" w:bidi="ar-SA"/>
                    </w:rPr>
                    <w:t>平流沉淀池净尺寸89.5×5m，有效水深3.1m。</w:t>
                  </w:r>
                </w:p>
              </w:tc>
              <w:tc>
                <w:tcPr>
                  <w:tcW w:w="2861" w:type="dxa"/>
                  <w:noWrap w:val="0"/>
                  <w:vAlign w:val="center"/>
                </w:tcPr>
                <w:p w14:paraId="1D467426">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cs="Times New Roman"/>
                      <w:bCs/>
                      <w:color w:val="auto"/>
                      <w:kern w:val="2"/>
                      <w:sz w:val="21"/>
                      <w:szCs w:val="21"/>
                      <w:lang w:val="en-US" w:eastAsia="zh-CN" w:bidi="ar-SA"/>
                    </w:rPr>
                  </w:pPr>
                  <w:r>
                    <w:rPr>
                      <w:rFonts w:hint="eastAsia"/>
                      <w:bCs/>
                      <w:color w:val="auto"/>
                      <w:szCs w:val="21"/>
                      <w:lang w:val="en-US" w:eastAsia="zh-CN"/>
                    </w:rPr>
                    <w:t>对现有</w:t>
                  </w:r>
                  <w:r>
                    <w:rPr>
                      <w:rFonts w:hint="eastAsia" w:ascii="Times New Roman" w:hAnsi="Times New Roman" w:eastAsia="宋体" w:cs="Times New Roman"/>
                      <w:bCs/>
                      <w:color w:val="auto"/>
                      <w:kern w:val="2"/>
                      <w:sz w:val="21"/>
                      <w:szCs w:val="21"/>
                      <w:lang w:val="en-US" w:eastAsia="zh-CN" w:bidi="ar-SA"/>
                    </w:rPr>
                    <w:t>沉淀池</w:t>
                  </w:r>
                  <w:r>
                    <w:rPr>
                      <w:rFonts w:hint="eastAsia" w:cs="Times New Roman"/>
                      <w:bCs/>
                      <w:color w:val="auto"/>
                      <w:kern w:val="2"/>
                      <w:sz w:val="21"/>
                      <w:szCs w:val="21"/>
                      <w:lang w:val="en-US" w:eastAsia="zh-CN" w:bidi="ar-SA"/>
                    </w:rPr>
                    <w:t>池体裂缝处进行注浆堵漏维护，并新建一座半地下式钢筋混凝土矩形的絮凝沉淀池，设计规模为3.0万m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/d，1座2池，包括折板絮凝池、平流沉淀池。</w:t>
                  </w:r>
                </w:p>
                <w:p w14:paraId="29796C5B">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default" w:eastAsia="宋体"/>
                      <w:bCs/>
                      <w:color w:val="auto"/>
                      <w:szCs w:val="21"/>
                      <w:lang w:val="en-US" w:eastAsia="zh-CN"/>
                    </w:rPr>
                  </w:pPr>
                  <w:r>
                    <w:rPr>
                      <w:rFonts w:hint="eastAsia" w:cs="Times New Roman"/>
                      <w:bCs/>
                      <w:color w:val="auto"/>
                      <w:kern w:val="2"/>
                      <w:sz w:val="21"/>
                      <w:szCs w:val="21"/>
                      <w:lang w:val="en-US" w:eastAsia="zh-CN" w:bidi="ar-SA"/>
                    </w:rPr>
                    <w:t>尺寸：L×B×H=101.8m×11.05m×3.5m</w:t>
                  </w:r>
                </w:p>
              </w:tc>
              <w:tc>
                <w:tcPr>
                  <w:tcW w:w="756" w:type="dxa"/>
                  <w:noWrap w:val="0"/>
                  <w:vAlign w:val="center"/>
                </w:tcPr>
                <w:p w14:paraId="58F8CE75">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新建</w:t>
                  </w:r>
                </w:p>
              </w:tc>
            </w:tr>
            <w:tr w14:paraId="516BFF3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6E80129B">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6341495E">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p>
              </w:tc>
              <w:tc>
                <w:tcPr>
                  <w:tcW w:w="3400" w:type="dxa"/>
                  <w:noWrap w:val="0"/>
                  <w:vAlign w:val="center"/>
                </w:tcPr>
                <w:p w14:paraId="28831BEB">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bCs/>
                      <w:color w:val="auto"/>
                      <w:szCs w:val="21"/>
                      <w:lang w:eastAsia="zh-CN"/>
                    </w:rPr>
                  </w:pPr>
                  <w:r>
                    <w:rPr>
                      <w:rFonts w:hint="eastAsia"/>
                      <w:bCs/>
                      <w:color w:val="auto"/>
                      <w:szCs w:val="21"/>
                    </w:rPr>
                    <w:t>普通快滤池</w:t>
                  </w:r>
                  <w:r>
                    <w:rPr>
                      <w:rFonts w:hint="eastAsia"/>
                      <w:bCs/>
                      <w:color w:val="auto"/>
                      <w:szCs w:val="21"/>
                      <w:lang w:eastAsia="zh-CN"/>
                    </w:rPr>
                    <w:t>：普通快滤池，1座2组6格，分为二排对称布置，中间为管廊，总规模3万m</w:t>
                  </w:r>
                  <w:r>
                    <w:rPr>
                      <w:rFonts w:hint="eastAsia"/>
                      <w:bCs/>
                      <w:color w:val="auto"/>
                      <w:szCs w:val="21"/>
                      <w:vertAlign w:val="superscript"/>
                      <w:lang w:eastAsia="zh-CN"/>
                    </w:rPr>
                    <w:t>3</w:t>
                  </w:r>
                  <w:r>
                    <w:rPr>
                      <w:rFonts w:hint="eastAsia"/>
                      <w:bCs/>
                      <w:color w:val="auto"/>
                      <w:szCs w:val="21"/>
                      <w:lang w:eastAsia="zh-CN"/>
                    </w:rPr>
                    <w:t>/d。采用高位水箱进行单水反冲洗，高位水箱位于普通快滤池正上方。</w:t>
                  </w:r>
                </w:p>
                <w:p w14:paraId="14264B85">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eastAsia="宋体"/>
                      <w:bCs/>
                      <w:color w:val="auto"/>
                      <w:szCs w:val="21"/>
                      <w:lang w:eastAsia="zh-CN"/>
                    </w:rPr>
                  </w:pPr>
                  <w:r>
                    <w:rPr>
                      <w:rFonts w:hint="eastAsia"/>
                      <w:bCs/>
                      <w:color w:val="auto"/>
                      <w:szCs w:val="21"/>
                      <w:lang w:eastAsia="zh-CN"/>
                    </w:rPr>
                    <w:t>平面尺寸：24.3m×17.4m，有效水深3.2m</w:t>
                  </w:r>
                </w:p>
              </w:tc>
              <w:tc>
                <w:tcPr>
                  <w:tcW w:w="2861" w:type="dxa"/>
                  <w:noWrap w:val="0"/>
                  <w:vAlign w:val="center"/>
                </w:tcPr>
                <w:p w14:paraId="3B786453">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bCs/>
                      <w:color w:val="auto"/>
                      <w:szCs w:val="21"/>
                      <w:lang w:val="en-US" w:eastAsia="zh-CN"/>
                    </w:rPr>
                  </w:pPr>
                  <w:r>
                    <w:rPr>
                      <w:rFonts w:hint="eastAsia"/>
                      <w:bCs/>
                      <w:color w:val="auto"/>
                      <w:szCs w:val="21"/>
                      <w:lang w:val="en-US" w:eastAsia="zh-CN"/>
                    </w:rPr>
                    <w:t>现有</w:t>
                  </w:r>
                  <w:r>
                    <w:rPr>
                      <w:rFonts w:hint="default" w:eastAsia="宋体"/>
                      <w:bCs/>
                      <w:color w:val="auto"/>
                      <w:szCs w:val="21"/>
                      <w:lang w:val="en-US" w:eastAsia="zh-CN"/>
                    </w:rPr>
                    <w:t>普通快滤池</w:t>
                  </w:r>
                  <w:r>
                    <w:rPr>
                      <w:rFonts w:hint="eastAsia"/>
                      <w:bCs/>
                      <w:color w:val="auto"/>
                      <w:szCs w:val="21"/>
                      <w:lang w:val="en-US" w:eastAsia="zh-CN"/>
                    </w:rPr>
                    <w:t>仍继续使用，并</w:t>
                  </w:r>
                  <w:r>
                    <w:rPr>
                      <w:rFonts w:hint="default" w:eastAsia="宋体"/>
                      <w:bCs/>
                      <w:color w:val="auto"/>
                      <w:szCs w:val="21"/>
                      <w:lang w:val="en-US" w:eastAsia="zh-CN"/>
                    </w:rPr>
                    <w:t>新建</w:t>
                  </w:r>
                  <w:r>
                    <w:rPr>
                      <w:rFonts w:hint="eastAsia"/>
                      <w:bCs/>
                      <w:color w:val="auto"/>
                      <w:szCs w:val="21"/>
                      <w:lang w:val="en-US" w:eastAsia="zh-CN"/>
                    </w:rPr>
                    <w:t>一座</w:t>
                  </w:r>
                  <w:r>
                    <w:rPr>
                      <w:rFonts w:hint="default" w:eastAsia="宋体"/>
                      <w:bCs/>
                      <w:color w:val="auto"/>
                      <w:szCs w:val="21"/>
                      <w:lang w:val="en-US" w:eastAsia="zh-CN"/>
                    </w:rPr>
                    <w:t>反冲洗泵站进行快滤池的反冲洗，</w:t>
                  </w:r>
                  <w:r>
                    <w:rPr>
                      <w:rFonts w:hint="eastAsia"/>
                      <w:bCs/>
                      <w:color w:val="auto"/>
                      <w:szCs w:val="21"/>
                      <w:lang w:val="en-US" w:eastAsia="zh-CN"/>
                    </w:rPr>
                    <w:t>现有</w:t>
                  </w:r>
                  <w:r>
                    <w:rPr>
                      <w:rFonts w:hint="default" w:eastAsia="宋体"/>
                      <w:bCs/>
                      <w:color w:val="auto"/>
                      <w:szCs w:val="21"/>
                      <w:lang w:val="en-US" w:eastAsia="zh-CN"/>
                    </w:rPr>
                    <w:t>高位水箱留作备用</w:t>
                  </w:r>
                  <w:r>
                    <w:rPr>
                      <w:rFonts w:hint="eastAsia"/>
                      <w:bCs/>
                      <w:color w:val="auto"/>
                      <w:szCs w:val="21"/>
                      <w:lang w:val="en-US" w:eastAsia="zh-CN"/>
                    </w:rPr>
                    <w:t>，</w:t>
                  </w:r>
                  <w:r>
                    <w:rPr>
                      <w:rFonts w:hint="default" w:eastAsia="宋体"/>
                      <w:bCs/>
                      <w:color w:val="auto"/>
                      <w:szCs w:val="21"/>
                      <w:lang w:val="en-US" w:eastAsia="zh-CN"/>
                    </w:rPr>
                    <w:t>反冲洗泵站</w:t>
                  </w:r>
                  <w:r>
                    <w:rPr>
                      <w:rFonts w:hint="eastAsia"/>
                      <w:bCs/>
                      <w:color w:val="auto"/>
                      <w:szCs w:val="21"/>
                      <w:lang w:val="en-US" w:eastAsia="zh-CN"/>
                    </w:rPr>
                    <w:t>尺寸为14m×8.0m，采用单水反冲洗，同一时间仅冲洗一格滤池。</w:t>
                  </w:r>
                </w:p>
                <w:p w14:paraId="4E7F4B53">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default" w:eastAsia="宋体"/>
                      <w:bCs/>
                      <w:color w:val="auto"/>
                      <w:szCs w:val="21"/>
                      <w:lang w:val="en-US" w:eastAsia="zh-CN"/>
                    </w:rPr>
                  </w:pPr>
                  <w:r>
                    <w:rPr>
                      <w:rFonts w:hint="eastAsia"/>
                      <w:bCs/>
                      <w:color w:val="auto"/>
                      <w:szCs w:val="21"/>
                      <w:lang w:val="en-US" w:eastAsia="zh-CN"/>
                    </w:rPr>
                    <w:t>新建一座普通快滤池，设计规模3.0万m</w:t>
                  </w:r>
                  <w:r>
                    <w:rPr>
                      <w:rFonts w:hint="eastAsia"/>
                      <w:bCs/>
                      <w:color w:val="auto"/>
                      <w:szCs w:val="21"/>
                      <w:vertAlign w:val="superscript"/>
                      <w:lang w:val="en-US" w:eastAsia="zh-CN"/>
                    </w:rPr>
                    <w:t>3</w:t>
                  </w:r>
                  <w:r>
                    <w:rPr>
                      <w:rFonts w:hint="eastAsia"/>
                      <w:bCs/>
                      <w:color w:val="auto"/>
                      <w:szCs w:val="21"/>
                      <w:lang w:val="en-US" w:eastAsia="zh-CN"/>
                    </w:rPr>
                    <w:t>/d，1座6格，3格一排（单格滤池面积为28.8m</w:t>
                  </w:r>
                  <w:r>
                    <w:rPr>
                      <w:rFonts w:hint="eastAsia"/>
                      <w:bCs/>
                      <w:color w:val="auto"/>
                      <w:szCs w:val="21"/>
                      <w:vertAlign w:val="superscript"/>
                      <w:lang w:val="en-US" w:eastAsia="zh-CN"/>
                    </w:rPr>
                    <w:t>2</w:t>
                  </w:r>
                  <w:r>
                    <w:rPr>
                      <w:rFonts w:hint="eastAsia"/>
                      <w:bCs/>
                      <w:color w:val="auto"/>
                      <w:szCs w:val="21"/>
                      <w:lang w:val="en-US" w:eastAsia="zh-CN"/>
                    </w:rPr>
                    <w:t>），分为二排对称布置，中间为管廊。</w:t>
                  </w:r>
                </w:p>
              </w:tc>
              <w:tc>
                <w:tcPr>
                  <w:tcW w:w="756" w:type="dxa"/>
                  <w:noWrap w:val="0"/>
                  <w:vAlign w:val="center"/>
                </w:tcPr>
                <w:p w14:paraId="05E3B668">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新建</w:t>
                  </w:r>
                </w:p>
              </w:tc>
            </w:tr>
            <w:tr w14:paraId="795BA67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7F030C28">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1E3104B7">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p>
              </w:tc>
              <w:tc>
                <w:tcPr>
                  <w:tcW w:w="3400" w:type="dxa"/>
                  <w:noWrap w:val="0"/>
                  <w:vAlign w:val="center"/>
                </w:tcPr>
                <w:p w14:paraId="3149515F">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eastAsia="宋体"/>
                      <w:bCs/>
                      <w:color w:val="auto"/>
                      <w:szCs w:val="21"/>
                      <w:lang w:eastAsia="zh-CN"/>
                    </w:rPr>
                  </w:pPr>
                  <w:r>
                    <w:rPr>
                      <w:rFonts w:hint="eastAsia"/>
                      <w:bCs/>
                      <w:color w:val="auto"/>
                      <w:szCs w:val="21"/>
                    </w:rPr>
                    <w:t>清水池</w:t>
                  </w:r>
                  <w:r>
                    <w:rPr>
                      <w:rFonts w:hint="eastAsia"/>
                      <w:bCs/>
                      <w:color w:val="auto"/>
                      <w:szCs w:val="21"/>
                      <w:lang w:eastAsia="zh-CN"/>
                    </w:rPr>
                    <w:t>：清水池，2座共4格，单座平面尺寸B</w:t>
                  </w:r>
                  <w:r>
                    <w:rPr>
                      <w:rFonts w:hint="eastAsia"/>
                      <w:bCs/>
                      <w:color w:val="auto"/>
                      <w:szCs w:val="21"/>
                      <w:lang w:val="en-US" w:eastAsia="zh-CN"/>
                    </w:rPr>
                    <w:t>*</w:t>
                  </w:r>
                  <w:r>
                    <w:rPr>
                      <w:rFonts w:hint="eastAsia"/>
                      <w:bCs/>
                      <w:color w:val="auto"/>
                      <w:szCs w:val="21"/>
                      <w:lang w:eastAsia="zh-CN"/>
                    </w:rPr>
                    <w:t>H=37.7m×24m，有效水深4.5m，两座清水池总容积为7600m</w:t>
                  </w:r>
                  <w:r>
                    <w:rPr>
                      <w:rFonts w:hint="eastAsia"/>
                      <w:bCs/>
                      <w:color w:val="auto"/>
                      <w:szCs w:val="21"/>
                      <w:vertAlign w:val="superscript"/>
                      <w:lang w:eastAsia="zh-CN"/>
                    </w:rPr>
                    <w:t>3</w:t>
                  </w:r>
                </w:p>
              </w:tc>
              <w:tc>
                <w:tcPr>
                  <w:tcW w:w="2861" w:type="dxa"/>
                  <w:noWrap w:val="0"/>
                  <w:vAlign w:val="center"/>
                </w:tcPr>
                <w:p w14:paraId="0C263F0E">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lang w:val="en-US" w:eastAsia="zh-CN"/>
                    </w:rPr>
                    <w:t>依托现有</w:t>
                  </w:r>
                </w:p>
              </w:tc>
              <w:tc>
                <w:tcPr>
                  <w:tcW w:w="756" w:type="dxa"/>
                  <w:noWrap w:val="0"/>
                  <w:vAlign w:val="center"/>
                </w:tcPr>
                <w:p w14:paraId="35AC6725">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val="en-US" w:eastAsia="zh-CN"/>
                    </w:rPr>
                    <w:t>依托现有</w:t>
                  </w:r>
                </w:p>
              </w:tc>
            </w:tr>
            <w:tr w14:paraId="07C427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738F680E">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512B273B">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p>
              </w:tc>
              <w:tc>
                <w:tcPr>
                  <w:tcW w:w="3400" w:type="dxa"/>
                  <w:noWrap w:val="0"/>
                  <w:vAlign w:val="center"/>
                </w:tcPr>
                <w:p w14:paraId="2C51B186">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eastAsia="宋体"/>
                      <w:bCs/>
                      <w:color w:val="auto"/>
                      <w:szCs w:val="21"/>
                      <w:lang w:eastAsia="zh-CN"/>
                    </w:rPr>
                  </w:pPr>
                  <w:r>
                    <w:rPr>
                      <w:rFonts w:hint="eastAsia"/>
                      <w:bCs/>
                      <w:color w:val="auto"/>
                      <w:szCs w:val="21"/>
                    </w:rPr>
                    <w:t>二级泵房</w:t>
                  </w:r>
                  <w:r>
                    <w:rPr>
                      <w:rFonts w:hint="eastAsia"/>
                      <w:bCs/>
                      <w:color w:val="auto"/>
                      <w:szCs w:val="21"/>
                      <w:lang w:eastAsia="zh-CN"/>
                    </w:rPr>
                    <w:t>：3万m</w:t>
                  </w:r>
                  <w:r>
                    <w:rPr>
                      <w:rFonts w:hint="eastAsia"/>
                      <w:bCs/>
                      <w:color w:val="auto"/>
                      <w:szCs w:val="21"/>
                      <w:vertAlign w:val="superscript"/>
                      <w:lang w:eastAsia="zh-CN"/>
                    </w:rPr>
                    <w:t>3</w:t>
                  </w:r>
                  <w:r>
                    <w:rPr>
                      <w:rFonts w:hint="eastAsia"/>
                      <w:bCs/>
                      <w:color w:val="auto"/>
                      <w:szCs w:val="21"/>
                      <w:lang w:eastAsia="zh-CN"/>
                    </w:rPr>
                    <w:t>/d的二级泵房，平面尺寸为25.2×9.3m，现状配置清水泵5台，中泵3台，单台Q=450m</w:t>
                  </w:r>
                  <w:r>
                    <w:rPr>
                      <w:rFonts w:hint="eastAsia"/>
                      <w:bCs/>
                      <w:color w:val="auto"/>
                      <w:szCs w:val="21"/>
                      <w:vertAlign w:val="superscript"/>
                      <w:lang w:eastAsia="zh-CN"/>
                    </w:rPr>
                    <w:t>3</w:t>
                  </w:r>
                  <w:r>
                    <w:rPr>
                      <w:rFonts w:hint="eastAsia"/>
                      <w:bCs/>
                      <w:color w:val="auto"/>
                      <w:szCs w:val="21"/>
                      <w:lang w:eastAsia="zh-CN"/>
                    </w:rPr>
                    <w:t>/h；吸水井一座两格，平面尺寸为13.8m×3.6m，有效水深4.5m</w:t>
                  </w:r>
                </w:p>
              </w:tc>
              <w:tc>
                <w:tcPr>
                  <w:tcW w:w="2861" w:type="dxa"/>
                  <w:noWrap w:val="0"/>
                  <w:vAlign w:val="center"/>
                </w:tcPr>
                <w:p w14:paraId="79A68360">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lang w:val="en-US" w:eastAsia="zh-CN"/>
                    </w:rPr>
                    <w:t>泵房仍依托现有，将现有1#、2#、3#泵Q=450m</w:t>
                  </w:r>
                  <w:r>
                    <w:rPr>
                      <w:rFonts w:hint="eastAsia"/>
                      <w:bCs/>
                      <w:color w:val="auto"/>
                      <w:szCs w:val="21"/>
                      <w:vertAlign w:val="superscript"/>
                      <w:lang w:val="en-US" w:eastAsia="zh-CN"/>
                    </w:rPr>
                    <w:t>3</w:t>
                  </w:r>
                  <w:r>
                    <w:rPr>
                      <w:rFonts w:hint="eastAsia"/>
                      <w:bCs/>
                      <w:color w:val="auto"/>
                      <w:szCs w:val="21"/>
                      <w:lang w:val="en-US" w:eastAsia="zh-CN"/>
                    </w:rPr>
                    <w:t>/h水泵更换为3台Q=1200m</w:t>
                  </w:r>
                  <w:r>
                    <w:rPr>
                      <w:rFonts w:hint="eastAsia"/>
                      <w:bCs/>
                      <w:color w:val="auto"/>
                      <w:szCs w:val="21"/>
                      <w:vertAlign w:val="superscript"/>
                      <w:lang w:val="en-US" w:eastAsia="zh-CN"/>
                    </w:rPr>
                    <w:t>3</w:t>
                  </w:r>
                  <w:r>
                    <w:rPr>
                      <w:rFonts w:hint="eastAsia"/>
                      <w:bCs/>
                      <w:color w:val="auto"/>
                      <w:szCs w:val="21"/>
                      <w:lang w:val="en-US" w:eastAsia="zh-CN"/>
                    </w:rPr>
                    <w:t>/h水泵，与现状5#泵，三用一备，总流量达到3600m</w:t>
                  </w:r>
                  <w:r>
                    <w:rPr>
                      <w:rFonts w:hint="eastAsia"/>
                      <w:bCs/>
                      <w:color w:val="auto"/>
                      <w:szCs w:val="21"/>
                      <w:vertAlign w:val="superscript"/>
                      <w:lang w:val="en-US" w:eastAsia="zh-CN"/>
                    </w:rPr>
                    <w:t>3</w:t>
                  </w:r>
                  <w:r>
                    <w:rPr>
                      <w:rFonts w:hint="eastAsia"/>
                      <w:bCs/>
                      <w:color w:val="auto"/>
                      <w:szCs w:val="21"/>
                      <w:lang w:val="en-US" w:eastAsia="zh-CN"/>
                    </w:rPr>
                    <w:t>/h，将现有1#、2#、4#泵进水管进行更换，更换为DN700，1#、2#、4#泵出水管进行更换，更换为DN600</w:t>
                  </w:r>
                </w:p>
              </w:tc>
              <w:tc>
                <w:tcPr>
                  <w:tcW w:w="756" w:type="dxa"/>
                  <w:noWrap w:val="0"/>
                  <w:vAlign w:val="center"/>
                </w:tcPr>
                <w:p w14:paraId="2AB16DA9">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改建</w:t>
                  </w:r>
                </w:p>
              </w:tc>
            </w:tr>
            <w:tr w14:paraId="29EA8DA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637" w:type="dxa"/>
                  <w:vMerge w:val="continue"/>
                  <w:noWrap w:val="0"/>
                  <w:vAlign w:val="center"/>
                </w:tcPr>
                <w:p w14:paraId="46469E9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2B291519">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p>
              </w:tc>
              <w:tc>
                <w:tcPr>
                  <w:tcW w:w="3400" w:type="dxa"/>
                  <w:noWrap w:val="0"/>
                  <w:vAlign w:val="center"/>
                </w:tcPr>
                <w:p w14:paraId="015CE026">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eastAsia="宋体"/>
                      <w:bCs/>
                      <w:color w:val="auto"/>
                      <w:szCs w:val="21"/>
                      <w:lang w:eastAsia="zh-CN"/>
                    </w:rPr>
                  </w:pPr>
                  <w:r>
                    <w:rPr>
                      <w:rFonts w:hint="eastAsia"/>
                      <w:bCs/>
                      <w:color w:val="auto"/>
                      <w:szCs w:val="21"/>
                    </w:rPr>
                    <w:t>加药间</w:t>
                  </w:r>
                  <w:r>
                    <w:rPr>
                      <w:rFonts w:hint="eastAsia"/>
                      <w:bCs/>
                      <w:color w:val="auto"/>
                      <w:szCs w:val="21"/>
                      <w:lang w:eastAsia="zh-CN"/>
                    </w:rPr>
                    <w:t>：</w:t>
                  </w:r>
                  <w:r>
                    <w:rPr>
                      <w:rFonts w:cs="Times New Roman"/>
                      <w:color w:val="auto"/>
                    </w:rPr>
                    <w:t>平面尺寸为32.4</w:t>
                  </w:r>
                  <w:r>
                    <w:rPr>
                      <w:rFonts w:hint="eastAsia" w:cs="Times New Roman"/>
                      <w:color w:val="auto"/>
                    </w:rPr>
                    <w:t>m</w:t>
                  </w:r>
                  <w:r>
                    <w:rPr>
                      <w:rFonts w:cs="Times New Roman"/>
                      <w:color w:val="auto"/>
                    </w:rPr>
                    <w:t>×8.3m，用于</w:t>
                  </w:r>
                  <w:r>
                    <w:rPr>
                      <w:rFonts w:hint="eastAsia" w:cs="Times New Roman"/>
                      <w:color w:val="auto"/>
                    </w:rPr>
                    <w:t>Na</w:t>
                  </w:r>
                  <w:r>
                    <w:rPr>
                      <w:rFonts w:cs="Times New Roman"/>
                      <w:color w:val="auto"/>
                    </w:rPr>
                    <w:t>C</w:t>
                  </w:r>
                  <w:r>
                    <w:rPr>
                      <w:rFonts w:hint="eastAsia" w:cs="Times New Roman"/>
                      <w:color w:val="auto"/>
                    </w:rPr>
                    <w:t>l</w:t>
                  </w:r>
                  <w:r>
                    <w:rPr>
                      <w:rFonts w:cs="Times New Roman"/>
                      <w:color w:val="auto"/>
                    </w:rPr>
                    <w:t>O</w:t>
                  </w:r>
                  <w:r>
                    <w:rPr>
                      <w:rFonts w:hint="eastAsia" w:cs="Times New Roman"/>
                      <w:color w:val="auto"/>
                    </w:rPr>
                    <w:t>和</w:t>
                  </w:r>
                  <w:r>
                    <w:rPr>
                      <w:rFonts w:cs="Times New Roman"/>
                      <w:color w:val="auto"/>
                    </w:rPr>
                    <w:t>PAC药剂的存储和投加</w:t>
                  </w:r>
                  <w:r>
                    <w:rPr>
                      <w:rFonts w:hint="eastAsia" w:cs="Times New Roman"/>
                      <w:color w:val="auto"/>
                    </w:rPr>
                    <w:t>，以及应急工况下活性炭的投加</w:t>
                  </w:r>
                </w:p>
              </w:tc>
              <w:tc>
                <w:tcPr>
                  <w:tcW w:w="2861" w:type="dxa"/>
                  <w:noWrap w:val="0"/>
                  <w:vAlign w:val="center"/>
                </w:tcPr>
                <w:p w14:paraId="69CBD99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rPr>
                    <w:t>加药间</w:t>
                  </w:r>
                  <w:r>
                    <w:rPr>
                      <w:rFonts w:hint="eastAsia"/>
                      <w:bCs/>
                      <w:color w:val="auto"/>
                      <w:szCs w:val="21"/>
                      <w:lang w:val="en-US" w:eastAsia="zh-CN"/>
                    </w:rPr>
                    <w:t>仍依托现有，</w:t>
                  </w:r>
                  <w:r>
                    <w:rPr>
                      <w:rFonts w:hint="default" w:eastAsia="宋体"/>
                      <w:bCs/>
                      <w:color w:val="auto"/>
                      <w:szCs w:val="21"/>
                      <w:lang w:val="en-US" w:eastAsia="zh-CN"/>
                    </w:rPr>
                    <w:t>增加NaClO投加计量泵，更换PAC药剂的投加系统，将活性炭投加系统迁移至室外，</w:t>
                  </w:r>
                  <w:r>
                    <w:rPr>
                      <w:rFonts w:hint="eastAsia"/>
                      <w:bCs/>
                      <w:color w:val="auto"/>
                      <w:szCs w:val="21"/>
                      <w:lang w:val="en-US" w:eastAsia="zh-CN"/>
                    </w:rPr>
                    <w:t>并</w:t>
                  </w:r>
                  <w:r>
                    <w:rPr>
                      <w:rFonts w:hint="default" w:eastAsia="宋体"/>
                      <w:bCs/>
                      <w:color w:val="auto"/>
                      <w:szCs w:val="21"/>
                      <w:lang w:val="en-US" w:eastAsia="zh-CN"/>
                    </w:rPr>
                    <w:t>增加硫酸亚铁投加系统</w:t>
                  </w:r>
                </w:p>
              </w:tc>
              <w:tc>
                <w:tcPr>
                  <w:tcW w:w="756" w:type="dxa"/>
                  <w:noWrap w:val="0"/>
                  <w:vAlign w:val="center"/>
                </w:tcPr>
                <w:p w14:paraId="4EE381A2">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扩建</w:t>
                  </w:r>
                </w:p>
              </w:tc>
            </w:tr>
            <w:tr w14:paraId="6A7ED1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7A96B944">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34D4F4E3">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p>
              </w:tc>
              <w:tc>
                <w:tcPr>
                  <w:tcW w:w="3400" w:type="dxa"/>
                  <w:noWrap w:val="0"/>
                  <w:vAlign w:val="center"/>
                </w:tcPr>
                <w:p w14:paraId="07017066">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eastAsia="宋体"/>
                      <w:bCs/>
                      <w:color w:val="auto"/>
                      <w:szCs w:val="21"/>
                      <w:lang w:eastAsia="zh-CN"/>
                    </w:rPr>
                  </w:pPr>
                  <w:r>
                    <w:rPr>
                      <w:rFonts w:hint="eastAsia"/>
                      <w:bCs/>
                      <w:color w:val="auto"/>
                      <w:szCs w:val="21"/>
                    </w:rPr>
                    <w:t>接触氧化池</w:t>
                  </w:r>
                  <w:r>
                    <w:rPr>
                      <w:rFonts w:hint="eastAsia"/>
                      <w:bCs/>
                      <w:color w:val="auto"/>
                      <w:szCs w:val="21"/>
                      <w:lang w:eastAsia="zh-CN"/>
                    </w:rPr>
                    <w:t>：1座接触氧化池，平面尺寸BXH=28.5m×10.8m处理能力1.5万m</w:t>
                  </w:r>
                  <w:r>
                    <w:rPr>
                      <w:rFonts w:hint="eastAsia"/>
                      <w:bCs/>
                      <w:color w:val="auto"/>
                      <w:szCs w:val="21"/>
                      <w:vertAlign w:val="superscript"/>
                      <w:lang w:eastAsia="zh-CN"/>
                    </w:rPr>
                    <w:t>3</w:t>
                  </w:r>
                  <w:r>
                    <w:rPr>
                      <w:rFonts w:hint="eastAsia"/>
                      <w:bCs/>
                      <w:color w:val="auto"/>
                      <w:szCs w:val="21"/>
                      <w:lang w:eastAsia="zh-CN"/>
                    </w:rPr>
                    <w:t>/d，现已停用</w:t>
                  </w:r>
                </w:p>
              </w:tc>
              <w:tc>
                <w:tcPr>
                  <w:tcW w:w="2861" w:type="dxa"/>
                  <w:noWrap w:val="0"/>
                  <w:vAlign w:val="center"/>
                </w:tcPr>
                <w:p w14:paraId="4C49A685">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lang w:val="en-US" w:eastAsia="zh-CN"/>
                    </w:rPr>
                    <w:t>拆除</w:t>
                  </w:r>
                </w:p>
              </w:tc>
              <w:tc>
                <w:tcPr>
                  <w:tcW w:w="756" w:type="dxa"/>
                  <w:noWrap w:val="0"/>
                  <w:vAlign w:val="center"/>
                </w:tcPr>
                <w:p w14:paraId="54CB1809">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bCs/>
                      <w:color w:val="auto"/>
                      <w:szCs w:val="21"/>
                      <w:lang w:val="en-US" w:eastAsia="zh-CN"/>
                    </w:rPr>
                  </w:pPr>
                  <w:r>
                    <w:rPr>
                      <w:rFonts w:hint="eastAsia"/>
                      <w:bCs/>
                      <w:color w:val="auto"/>
                      <w:szCs w:val="21"/>
                      <w:lang w:val="en-US" w:eastAsia="zh-CN"/>
                    </w:rPr>
                    <w:t>/</w:t>
                  </w:r>
                </w:p>
              </w:tc>
            </w:tr>
            <w:tr w14:paraId="0C5D58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04E30F38">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7AB1DBB2">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p>
              </w:tc>
              <w:tc>
                <w:tcPr>
                  <w:tcW w:w="3400" w:type="dxa"/>
                  <w:noWrap w:val="0"/>
                  <w:vAlign w:val="center"/>
                </w:tcPr>
                <w:p w14:paraId="60C8BB70">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eastAsia="宋体"/>
                      <w:bCs/>
                      <w:color w:val="auto"/>
                      <w:szCs w:val="21"/>
                      <w:lang w:eastAsia="zh-CN"/>
                    </w:rPr>
                  </w:pPr>
                  <w:r>
                    <w:rPr>
                      <w:rFonts w:hint="eastAsia"/>
                      <w:bCs/>
                      <w:color w:val="auto"/>
                      <w:szCs w:val="21"/>
                    </w:rPr>
                    <w:t>机械澄清池</w:t>
                  </w:r>
                  <w:r>
                    <w:rPr>
                      <w:rFonts w:hint="eastAsia"/>
                      <w:bCs/>
                      <w:color w:val="auto"/>
                      <w:szCs w:val="21"/>
                      <w:lang w:eastAsia="zh-CN"/>
                    </w:rPr>
                    <w:t>：2座机械澄清池，直径∅12.4m，处理能力1.5万m</w:t>
                  </w:r>
                  <w:r>
                    <w:rPr>
                      <w:rFonts w:hint="eastAsia"/>
                      <w:bCs/>
                      <w:color w:val="auto"/>
                      <w:szCs w:val="21"/>
                      <w:vertAlign w:val="superscript"/>
                      <w:lang w:eastAsia="zh-CN"/>
                    </w:rPr>
                    <w:t>3</w:t>
                  </w:r>
                  <w:r>
                    <w:rPr>
                      <w:rFonts w:hint="eastAsia"/>
                      <w:bCs/>
                      <w:color w:val="auto"/>
                      <w:szCs w:val="21"/>
                      <w:lang w:eastAsia="zh-CN"/>
                    </w:rPr>
                    <w:t>/d，现已停用</w:t>
                  </w:r>
                </w:p>
              </w:tc>
              <w:tc>
                <w:tcPr>
                  <w:tcW w:w="2861" w:type="dxa"/>
                  <w:noWrap w:val="0"/>
                  <w:vAlign w:val="center"/>
                </w:tcPr>
                <w:p w14:paraId="45617663">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eastAsia="宋体"/>
                      <w:bCs/>
                      <w:color w:val="auto"/>
                      <w:szCs w:val="21"/>
                      <w:lang w:val="en-US" w:eastAsia="zh-CN"/>
                    </w:rPr>
                  </w:pPr>
                  <w:r>
                    <w:rPr>
                      <w:rFonts w:hint="eastAsia"/>
                      <w:bCs/>
                      <w:color w:val="auto"/>
                      <w:szCs w:val="21"/>
                      <w:lang w:val="en-US" w:eastAsia="zh-CN"/>
                    </w:rPr>
                    <w:t>拆除</w:t>
                  </w:r>
                </w:p>
              </w:tc>
              <w:tc>
                <w:tcPr>
                  <w:tcW w:w="756" w:type="dxa"/>
                  <w:noWrap w:val="0"/>
                  <w:vAlign w:val="center"/>
                </w:tcPr>
                <w:p w14:paraId="717AF07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bCs/>
                      <w:color w:val="auto"/>
                      <w:szCs w:val="21"/>
                      <w:lang w:val="en-US" w:eastAsia="zh-CN"/>
                    </w:rPr>
                  </w:pPr>
                  <w:r>
                    <w:rPr>
                      <w:rFonts w:hint="eastAsia"/>
                      <w:bCs/>
                      <w:color w:val="auto"/>
                      <w:szCs w:val="21"/>
                      <w:lang w:val="en-US" w:eastAsia="zh-CN"/>
                    </w:rPr>
                    <w:t>/</w:t>
                  </w:r>
                </w:p>
              </w:tc>
            </w:tr>
            <w:tr w14:paraId="078DAF0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5B59248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4278216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p>
              </w:tc>
              <w:tc>
                <w:tcPr>
                  <w:tcW w:w="3400" w:type="dxa"/>
                  <w:noWrap w:val="0"/>
                  <w:vAlign w:val="center"/>
                </w:tcPr>
                <w:p w14:paraId="656B4935">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超滤膜系统</w:t>
                  </w:r>
                  <w:r>
                    <w:rPr>
                      <w:rFonts w:hint="eastAsia" w:cs="Times New Roman"/>
                      <w:bCs/>
                      <w:color w:val="auto"/>
                      <w:kern w:val="2"/>
                      <w:sz w:val="21"/>
                      <w:szCs w:val="21"/>
                      <w:lang w:val="en-US" w:eastAsia="zh-CN" w:bidi="ar-SA"/>
                    </w:rPr>
                    <w:t>：1座膜车间、1座废水池和1座缓冲水池，土建规模3万m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/d，设备安装规模1.5万m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w:t>
                  </w:r>
                </w:p>
              </w:tc>
              <w:tc>
                <w:tcPr>
                  <w:tcW w:w="2861" w:type="dxa"/>
                  <w:noWrap w:val="0"/>
                  <w:vAlign w:val="center"/>
                </w:tcPr>
                <w:p w14:paraId="34604DC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依托现有</w:t>
                  </w:r>
                </w:p>
              </w:tc>
              <w:tc>
                <w:tcPr>
                  <w:tcW w:w="756" w:type="dxa"/>
                  <w:noWrap w:val="0"/>
                  <w:vAlign w:val="center"/>
                </w:tcPr>
                <w:p w14:paraId="12453DFD">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bCs/>
                      <w:color w:val="auto"/>
                      <w:szCs w:val="21"/>
                      <w:lang w:val="en-US" w:eastAsia="zh-CN"/>
                    </w:rPr>
                  </w:pPr>
                  <w:r>
                    <w:rPr>
                      <w:rFonts w:hint="eastAsia"/>
                      <w:bCs/>
                      <w:color w:val="auto"/>
                      <w:szCs w:val="21"/>
                      <w:lang w:val="en-US" w:eastAsia="zh-CN"/>
                    </w:rPr>
                    <w:t>/</w:t>
                  </w:r>
                </w:p>
              </w:tc>
            </w:tr>
            <w:tr w14:paraId="455B3B7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4B6533AC">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2C37FDCC">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p>
              </w:tc>
              <w:tc>
                <w:tcPr>
                  <w:tcW w:w="3400" w:type="dxa"/>
                  <w:noWrap w:val="0"/>
                  <w:vAlign w:val="center"/>
                </w:tcPr>
                <w:p w14:paraId="58F6D428">
                  <w:pPr>
                    <w:keepNext w:val="0"/>
                    <w:keepLines w:val="0"/>
                    <w:pageBreakBefore w:val="0"/>
                    <w:widowControl w:val="0"/>
                    <w:kinsoku/>
                    <w:wordWrap/>
                    <w:overflowPunct/>
                    <w:topLinePunct w:val="0"/>
                    <w:bidi w:val="0"/>
                    <w:adjustRightInd w:val="0"/>
                    <w:snapToGrid w:val="0"/>
                    <w:spacing w:beforeAutospacing="0" w:afterAutospacing="0"/>
                    <w:ind w:left="0" w:leftChars="0" w:right="0"/>
                    <w:jc w:val="both"/>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污泥系统</w:t>
                  </w:r>
                  <w:r>
                    <w:rPr>
                      <w:rFonts w:hint="eastAsia" w:cs="Times New Roman"/>
                      <w:bCs/>
                      <w:color w:val="auto"/>
                      <w:kern w:val="2"/>
                      <w:sz w:val="21"/>
                      <w:szCs w:val="21"/>
                      <w:lang w:val="en-US" w:eastAsia="zh-CN" w:bidi="ar-SA"/>
                    </w:rPr>
                    <w:t>：1座污泥浓缩池（∅10m，1.5万m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/d）、1座污泥平衡池（BXH=8.85m×5.6m，3万m3/d）和1座污泥脱水机房（BXH=16m×10m，土建3万m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/d，设备1.5万m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/d），一直未启用</w:t>
                  </w:r>
                </w:p>
              </w:tc>
              <w:tc>
                <w:tcPr>
                  <w:tcW w:w="2861" w:type="dxa"/>
                  <w:noWrap w:val="0"/>
                  <w:vAlign w:val="center"/>
                </w:tcPr>
                <w:p w14:paraId="35D683AB">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拆除</w:t>
                  </w:r>
                </w:p>
              </w:tc>
              <w:tc>
                <w:tcPr>
                  <w:tcW w:w="756" w:type="dxa"/>
                  <w:noWrap w:val="0"/>
                  <w:vAlign w:val="center"/>
                </w:tcPr>
                <w:p w14:paraId="6C3B524A">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bCs/>
                      <w:color w:val="auto"/>
                      <w:szCs w:val="21"/>
                      <w:lang w:val="en-US" w:eastAsia="zh-CN"/>
                    </w:rPr>
                  </w:pPr>
                  <w:r>
                    <w:rPr>
                      <w:rFonts w:hint="eastAsia"/>
                      <w:bCs/>
                      <w:color w:val="auto"/>
                      <w:szCs w:val="21"/>
                      <w:lang w:val="en-US" w:eastAsia="zh-CN"/>
                    </w:rPr>
                    <w:t>/</w:t>
                  </w:r>
                </w:p>
              </w:tc>
            </w:tr>
            <w:tr w14:paraId="093B2D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32344C93">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061F4147">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p>
              </w:tc>
              <w:tc>
                <w:tcPr>
                  <w:tcW w:w="3400" w:type="dxa"/>
                  <w:noWrap w:val="0"/>
                  <w:vAlign w:val="center"/>
                </w:tcPr>
                <w:p w14:paraId="6A56BE86">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2861" w:type="dxa"/>
                  <w:noWrap w:val="0"/>
                  <w:vAlign w:val="center"/>
                </w:tcPr>
                <w:p w14:paraId="04085380">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新建排水排泥1座，建设规模为6.0万m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/d，平面尺寸21m×8.5m×3.5m（有效水深）</w:t>
                  </w:r>
                </w:p>
              </w:tc>
              <w:tc>
                <w:tcPr>
                  <w:tcW w:w="756" w:type="dxa"/>
                  <w:noWrap w:val="0"/>
                  <w:vAlign w:val="center"/>
                </w:tcPr>
                <w:p w14:paraId="68610AFE">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val="en-US" w:eastAsia="zh-CN"/>
                    </w:rPr>
                  </w:pPr>
                  <w:r>
                    <w:rPr>
                      <w:rFonts w:hint="eastAsia"/>
                      <w:bCs/>
                      <w:color w:val="auto"/>
                      <w:szCs w:val="21"/>
                      <w:lang w:eastAsia="zh-CN"/>
                    </w:rPr>
                    <w:t>新建</w:t>
                  </w:r>
                </w:p>
              </w:tc>
            </w:tr>
            <w:tr w14:paraId="287812A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564C12DE">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60F03268">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p>
              </w:tc>
              <w:tc>
                <w:tcPr>
                  <w:tcW w:w="3400" w:type="dxa"/>
                  <w:noWrap w:val="0"/>
                  <w:vAlign w:val="center"/>
                </w:tcPr>
                <w:p w14:paraId="14D2189A">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2861" w:type="dxa"/>
                  <w:noWrap w:val="0"/>
                  <w:vAlign w:val="center"/>
                </w:tcPr>
                <w:p w14:paraId="15A99DFB">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新建2座污泥浓缩池，单池直径13m，有效水深3.6m</w:t>
                  </w:r>
                </w:p>
              </w:tc>
              <w:tc>
                <w:tcPr>
                  <w:tcW w:w="756" w:type="dxa"/>
                  <w:noWrap w:val="0"/>
                  <w:vAlign w:val="center"/>
                </w:tcPr>
                <w:p w14:paraId="5ABC0592">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新建</w:t>
                  </w:r>
                </w:p>
              </w:tc>
            </w:tr>
            <w:tr w14:paraId="4752962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4C5D8374">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0867E40A">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p>
              </w:tc>
              <w:tc>
                <w:tcPr>
                  <w:tcW w:w="3400" w:type="dxa"/>
                  <w:noWrap w:val="0"/>
                  <w:vAlign w:val="center"/>
                </w:tcPr>
                <w:p w14:paraId="775F78C4">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2861" w:type="dxa"/>
                  <w:noWrap w:val="0"/>
                  <w:vAlign w:val="center"/>
                </w:tcPr>
                <w:p w14:paraId="7B918E9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新建</w:t>
                  </w:r>
                  <w:r>
                    <w:rPr>
                      <w:rFonts w:hint="eastAsia" w:cs="Times New Roman"/>
                      <w:bCs/>
                      <w:color w:val="auto"/>
                      <w:kern w:val="2"/>
                      <w:sz w:val="21"/>
                      <w:szCs w:val="21"/>
                      <w:lang w:val="en-US" w:eastAsia="zh-CN" w:bidi="ar-SA"/>
                    </w:rPr>
                    <w:t>1</w:t>
                  </w:r>
                  <w:r>
                    <w:rPr>
                      <w:rFonts w:hint="eastAsia" w:ascii="Times New Roman" w:hAnsi="Times New Roman" w:eastAsia="宋体" w:cs="Times New Roman"/>
                      <w:bCs/>
                      <w:color w:val="auto"/>
                      <w:kern w:val="2"/>
                      <w:sz w:val="21"/>
                      <w:szCs w:val="21"/>
                      <w:lang w:val="en-US" w:eastAsia="zh-CN" w:bidi="ar-SA"/>
                    </w:rPr>
                    <w:t>座</w:t>
                  </w:r>
                  <w:r>
                    <w:rPr>
                      <w:rFonts w:hint="eastAsia" w:cs="Times New Roman"/>
                      <w:bCs/>
                      <w:color w:val="auto"/>
                      <w:kern w:val="2"/>
                      <w:sz w:val="21"/>
                      <w:szCs w:val="21"/>
                      <w:lang w:val="en-US" w:eastAsia="zh-CN" w:bidi="ar-SA"/>
                    </w:rPr>
                    <w:t>污泥平衡池，1座2池</w:t>
                  </w:r>
                </w:p>
                <w:p w14:paraId="5FF77D0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尺寸：L×B×H=9.85×5.60×4.0m（有效水深）</w:t>
                  </w:r>
                </w:p>
              </w:tc>
              <w:tc>
                <w:tcPr>
                  <w:tcW w:w="756" w:type="dxa"/>
                  <w:noWrap w:val="0"/>
                  <w:vAlign w:val="center"/>
                </w:tcPr>
                <w:p w14:paraId="03EC5E9B">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新建</w:t>
                  </w:r>
                </w:p>
              </w:tc>
            </w:tr>
            <w:tr w14:paraId="047A0FD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0FB0CA46">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vMerge w:val="continue"/>
                  <w:noWrap w:val="0"/>
                  <w:vAlign w:val="center"/>
                </w:tcPr>
                <w:p w14:paraId="6F4A562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p>
              </w:tc>
              <w:tc>
                <w:tcPr>
                  <w:tcW w:w="3400" w:type="dxa"/>
                  <w:noWrap w:val="0"/>
                  <w:vAlign w:val="center"/>
                </w:tcPr>
                <w:p w14:paraId="1CB672CD">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2861" w:type="dxa"/>
                  <w:noWrap w:val="0"/>
                  <w:vAlign w:val="center"/>
                </w:tcPr>
                <w:p w14:paraId="4A8257BF">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新建一间</w:t>
                  </w:r>
                  <w:r>
                    <w:rPr>
                      <w:rFonts w:hint="eastAsia" w:ascii="Times New Roman" w:hAnsi="Times New Roman" w:eastAsia="宋体" w:cs="Times New Roman"/>
                      <w:bCs/>
                      <w:color w:val="auto"/>
                      <w:kern w:val="2"/>
                      <w:sz w:val="21"/>
                      <w:szCs w:val="21"/>
                      <w:lang w:val="en-US" w:eastAsia="zh-CN" w:bidi="ar-SA"/>
                    </w:rPr>
                    <w:t>脱水机房</w:t>
                  </w:r>
                  <w:r>
                    <w:rPr>
                      <w:rFonts w:hint="eastAsia" w:cs="Times New Roman"/>
                      <w:bCs/>
                      <w:color w:val="auto"/>
                      <w:kern w:val="2"/>
                      <w:sz w:val="21"/>
                      <w:szCs w:val="21"/>
                      <w:lang w:val="en-US" w:eastAsia="zh-CN" w:bidi="ar-SA"/>
                    </w:rPr>
                    <w:t>，尺寸：L×B×H=21m×12.8m×7.5m</w:t>
                  </w:r>
                </w:p>
              </w:tc>
              <w:tc>
                <w:tcPr>
                  <w:tcW w:w="756" w:type="dxa"/>
                  <w:noWrap w:val="0"/>
                  <w:vAlign w:val="center"/>
                </w:tcPr>
                <w:p w14:paraId="0783397A">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bCs/>
                      <w:color w:val="auto"/>
                      <w:szCs w:val="21"/>
                      <w:lang w:eastAsia="zh-CN"/>
                    </w:rPr>
                  </w:pPr>
                  <w:r>
                    <w:rPr>
                      <w:rFonts w:hint="eastAsia"/>
                      <w:bCs/>
                      <w:color w:val="auto"/>
                      <w:szCs w:val="21"/>
                      <w:lang w:eastAsia="zh-CN"/>
                    </w:rPr>
                    <w:t>新建</w:t>
                  </w:r>
                </w:p>
              </w:tc>
            </w:tr>
            <w:tr w14:paraId="5BC7A81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restart"/>
                  <w:noWrap w:val="0"/>
                  <w:vAlign w:val="center"/>
                </w:tcPr>
                <w:p w14:paraId="258457C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bCs/>
                      <w:color w:val="auto"/>
                      <w:szCs w:val="21"/>
                    </w:rPr>
                    <w:t>辅助工程</w:t>
                  </w:r>
                </w:p>
              </w:tc>
              <w:tc>
                <w:tcPr>
                  <w:tcW w:w="946" w:type="dxa"/>
                  <w:noWrap w:val="0"/>
                  <w:vAlign w:val="center"/>
                </w:tcPr>
                <w:p w14:paraId="7CF6415D">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辅助用房</w:t>
                  </w:r>
                </w:p>
              </w:tc>
              <w:tc>
                <w:tcPr>
                  <w:tcW w:w="3400" w:type="dxa"/>
                  <w:noWrap w:val="0"/>
                  <w:vAlign w:val="center"/>
                </w:tcPr>
                <w:p w14:paraId="436C7CEE">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主要作为办公场所使用，建筑面积约800m</w:t>
                  </w:r>
                  <w:r>
                    <w:rPr>
                      <w:rFonts w:hint="eastAsia" w:cs="Times New Roman"/>
                      <w:bCs/>
                      <w:color w:val="auto"/>
                      <w:kern w:val="2"/>
                      <w:sz w:val="21"/>
                      <w:szCs w:val="21"/>
                      <w:vertAlign w:val="superscript"/>
                      <w:lang w:val="en-US" w:eastAsia="zh-CN" w:bidi="ar-SA"/>
                    </w:rPr>
                    <w:t>2</w:t>
                  </w:r>
                </w:p>
              </w:tc>
              <w:tc>
                <w:tcPr>
                  <w:tcW w:w="2861" w:type="dxa"/>
                  <w:noWrap w:val="0"/>
                  <w:vAlign w:val="center"/>
                </w:tcPr>
                <w:p w14:paraId="4967D20F">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拆除</w:t>
                  </w:r>
                </w:p>
              </w:tc>
              <w:tc>
                <w:tcPr>
                  <w:tcW w:w="756" w:type="dxa"/>
                  <w:noWrap w:val="0"/>
                  <w:vAlign w:val="center"/>
                </w:tcPr>
                <w:p w14:paraId="3E0654E8">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0AE4116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29674689">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5C3C6976">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cs="Times New Roman"/>
                      <w:bCs/>
                      <w:color w:val="auto"/>
                      <w:kern w:val="2"/>
                      <w:sz w:val="21"/>
                      <w:szCs w:val="21"/>
                      <w:lang w:val="en-US" w:eastAsia="zh-CN" w:bidi="ar-SA"/>
                    </w:rPr>
                  </w:pPr>
                  <w:r>
                    <w:rPr>
                      <w:rFonts w:hint="eastAsia"/>
                      <w:color w:val="auto"/>
                      <w:szCs w:val="21"/>
                      <w:lang w:eastAsia="zh-CN"/>
                    </w:rPr>
                    <w:t>仓库</w:t>
                  </w:r>
                </w:p>
              </w:tc>
              <w:tc>
                <w:tcPr>
                  <w:tcW w:w="3400" w:type="dxa"/>
                  <w:noWrap w:val="0"/>
                  <w:vAlign w:val="center"/>
                </w:tcPr>
                <w:p w14:paraId="604051A2">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主要用于堆放杂物，占地面积约400m</w:t>
                  </w:r>
                  <w:r>
                    <w:rPr>
                      <w:rFonts w:hint="eastAsia" w:cs="Times New Roman"/>
                      <w:bCs/>
                      <w:color w:val="auto"/>
                      <w:kern w:val="2"/>
                      <w:sz w:val="21"/>
                      <w:szCs w:val="21"/>
                      <w:vertAlign w:val="superscript"/>
                      <w:lang w:val="en-US" w:eastAsia="zh-CN" w:bidi="ar-SA"/>
                    </w:rPr>
                    <w:t>2</w:t>
                  </w:r>
                </w:p>
              </w:tc>
              <w:tc>
                <w:tcPr>
                  <w:tcW w:w="2861" w:type="dxa"/>
                  <w:noWrap w:val="0"/>
                  <w:vAlign w:val="center"/>
                </w:tcPr>
                <w:p w14:paraId="4E3D8B6C">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拆除</w:t>
                  </w:r>
                </w:p>
              </w:tc>
              <w:tc>
                <w:tcPr>
                  <w:tcW w:w="756" w:type="dxa"/>
                  <w:noWrap w:val="0"/>
                  <w:vAlign w:val="center"/>
                </w:tcPr>
                <w:p w14:paraId="0DE64065">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39C2B2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791E2BD2">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6E013C0E">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bCs/>
                      <w:color w:val="auto"/>
                      <w:kern w:val="2"/>
                      <w:sz w:val="21"/>
                      <w:szCs w:val="21"/>
                      <w:lang w:val="en-US" w:eastAsia="zh-CN" w:bidi="ar-SA"/>
                    </w:rPr>
                    <w:t>综合楼</w:t>
                  </w:r>
                </w:p>
              </w:tc>
              <w:tc>
                <w:tcPr>
                  <w:tcW w:w="3400" w:type="dxa"/>
                  <w:noWrap w:val="0"/>
                  <w:vAlign w:val="center"/>
                </w:tcPr>
                <w:p w14:paraId="790DC946">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2861" w:type="dxa"/>
                  <w:noWrap w:val="0"/>
                  <w:vAlign w:val="center"/>
                </w:tcPr>
                <w:p w14:paraId="3FCC7CF6">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新建一栋</w:t>
                  </w:r>
                  <w:r>
                    <w:rPr>
                      <w:rFonts w:hint="eastAsia"/>
                      <w:color w:val="auto"/>
                      <w:szCs w:val="21"/>
                      <w:lang w:val="en-US" w:eastAsia="zh-CN"/>
                    </w:rPr>
                    <w:t>3F</w:t>
                  </w:r>
                  <w:r>
                    <w:rPr>
                      <w:rFonts w:hint="eastAsia"/>
                      <w:color w:val="auto"/>
                      <w:szCs w:val="21"/>
                      <w:lang w:eastAsia="zh-CN"/>
                    </w:rPr>
                    <w:t>综合楼，框架结构，建筑面积约1000.2</w:t>
                  </w:r>
                  <w:r>
                    <w:rPr>
                      <w:rFonts w:hint="eastAsia" w:cs="Times New Roman"/>
                      <w:bCs/>
                      <w:color w:val="auto"/>
                      <w:kern w:val="2"/>
                      <w:sz w:val="21"/>
                      <w:szCs w:val="21"/>
                      <w:lang w:val="en-US" w:eastAsia="zh-CN" w:bidi="ar-SA"/>
                    </w:rPr>
                    <w:t>m</w:t>
                  </w:r>
                  <w:r>
                    <w:rPr>
                      <w:rFonts w:hint="eastAsia" w:cs="Times New Roman"/>
                      <w:bCs/>
                      <w:color w:val="auto"/>
                      <w:kern w:val="2"/>
                      <w:sz w:val="21"/>
                      <w:szCs w:val="21"/>
                      <w:vertAlign w:val="superscript"/>
                      <w:lang w:val="en-US" w:eastAsia="zh-CN" w:bidi="ar-SA"/>
                    </w:rPr>
                    <w:t>2</w:t>
                  </w:r>
                  <w:r>
                    <w:rPr>
                      <w:rFonts w:hint="eastAsia" w:cs="Times New Roman"/>
                      <w:bCs/>
                      <w:color w:val="auto"/>
                      <w:kern w:val="2"/>
                      <w:sz w:val="21"/>
                      <w:szCs w:val="21"/>
                      <w:vertAlign w:val="baseline"/>
                      <w:lang w:val="en-US" w:eastAsia="zh-CN" w:bidi="ar-SA"/>
                    </w:rPr>
                    <w:t>，主要用于员工办公和生活，1F设置一间药剂储存室（建筑面积约100m</w:t>
                  </w:r>
                  <w:r>
                    <w:rPr>
                      <w:rFonts w:hint="eastAsia" w:cs="Times New Roman"/>
                      <w:bCs/>
                      <w:color w:val="auto"/>
                      <w:kern w:val="2"/>
                      <w:sz w:val="21"/>
                      <w:szCs w:val="21"/>
                      <w:vertAlign w:val="superscript"/>
                      <w:lang w:val="en-US" w:eastAsia="zh-CN" w:bidi="ar-SA"/>
                    </w:rPr>
                    <w:t>2</w:t>
                  </w:r>
                  <w:r>
                    <w:rPr>
                      <w:rFonts w:hint="eastAsia" w:cs="Times New Roman"/>
                      <w:bCs/>
                      <w:color w:val="auto"/>
                      <w:kern w:val="2"/>
                      <w:sz w:val="21"/>
                      <w:szCs w:val="21"/>
                      <w:vertAlign w:val="baseline"/>
                      <w:lang w:val="en-US" w:eastAsia="zh-CN" w:bidi="ar-SA"/>
                    </w:rPr>
                    <w:t>）、一间润滑油储存室（建筑面积约10m</w:t>
                  </w:r>
                  <w:r>
                    <w:rPr>
                      <w:rFonts w:hint="eastAsia" w:cs="Times New Roman"/>
                      <w:bCs/>
                      <w:color w:val="auto"/>
                      <w:kern w:val="2"/>
                      <w:sz w:val="21"/>
                      <w:szCs w:val="21"/>
                      <w:vertAlign w:val="superscript"/>
                      <w:lang w:val="en-US" w:eastAsia="zh-CN" w:bidi="ar-SA"/>
                    </w:rPr>
                    <w:t>2</w:t>
                  </w:r>
                  <w:r>
                    <w:rPr>
                      <w:rFonts w:hint="eastAsia" w:cs="Times New Roman"/>
                      <w:bCs/>
                      <w:color w:val="auto"/>
                      <w:kern w:val="2"/>
                      <w:sz w:val="21"/>
                      <w:szCs w:val="21"/>
                      <w:vertAlign w:val="baseline"/>
                      <w:lang w:val="en-US" w:eastAsia="zh-CN" w:bidi="ar-SA"/>
                    </w:rPr>
                    <w:t>）</w:t>
                  </w:r>
                </w:p>
              </w:tc>
              <w:tc>
                <w:tcPr>
                  <w:tcW w:w="756" w:type="dxa"/>
                  <w:noWrap w:val="0"/>
                  <w:vAlign w:val="center"/>
                </w:tcPr>
                <w:p w14:paraId="56A5200C">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ascii="Times New Roman" w:hAnsi="Times New Roman" w:eastAsia="宋体" w:cs="Times New Roman"/>
                      <w:color w:val="auto"/>
                      <w:kern w:val="2"/>
                      <w:sz w:val="21"/>
                      <w:szCs w:val="21"/>
                      <w:lang w:val="en-US" w:eastAsia="zh-CN" w:bidi="ar-SA"/>
                    </w:rPr>
                  </w:pPr>
                  <w:r>
                    <w:rPr>
                      <w:rFonts w:hint="eastAsia"/>
                      <w:bCs/>
                      <w:color w:val="auto"/>
                      <w:szCs w:val="21"/>
                      <w:lang w:eastAsia="zh-CN"/>
                    </w:rPr>
                    <w:t>新建</w:t>
                  </w:r>
                </w:p>
              </w:tc>
            </w:tr>
            <w:tr w14:paraId="57A423E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1D5C1569">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03B59F6F">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eastAsia="宋体"/>
                      <w:color w:val="auto"/>
                      <w:szCs w:val="21"/>
                      <w:lang w:eastAsia="zh-CN"/>
                    </w:rPr>
                  </w:pPr>
                  <w:r>
                    <w:rPr>
                      <w:rFonts w:hint="eastAsia"/>
                      <w:color w:val="auto"/>
                      <w:szCs w:val="21"/>
                      <w:lang w:eastAsia="zh-CN"/>
                    </w:rPr>
                    <w:t>化验室</w:t>
                  </w:r>
                </w:p>
              </w:tc>
              <w:tc>
                <w:tcPr>
                  <w:tcW w:w="3400" w:type="dxa"/>
                  <w:noWrap w:val="0"/>
                  <w:vAlign w:val="center"/>
                </w:tcPr>
                <w:p w14:paraId="63A38273">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color w:val="auto"/>
                      <w:szCs w:val="21"/>
                      <w:lang w:val="en-US" w:eastAsia="zh-CN"/>
                    </w:rPr>
                  </w:pPr>
                  <w:r>
                    <w:rPr>
                      <w:rFonts w:hint="eastAsia"/>
                      <w:color w:val="auto"/>
                      <w:szCs w:val="21"/>
                      <w:lang w:val="en-US" w:eastAsia="zh-CN"/>
                    </w:rPr>
                    <w:t>位于辅助用房内，建筑面积约50m</w:t>
                  </w:r>
                  <w:r>
                    <w:rPr>
                      <w:rFonts w:hint="eastAsia"/>
                      <w:color w:val="auto"/>
                      <w:szCs w:val="21"/>
                      <w:vertAlign w:val="superscript"/>
                      <w:lang w:val="en-US" w:eastAsia="zh-CN"/>
                    </w:rPr>
                    <w:t>2</w:t>
                  </w:r>
                  <w:r>
                    <w:rPr>
                      <w:rFonts w:hint="eastAsia"/>
                      <w:color w:val="auto"/>
                      <w:szCs w:val="21"/>
                      <w:lang w:val="en-US" w:eastAsia="zh-CN"/>
                    </w:rPr>
                    <w:t>，用于检测pH、溶解氧、BOD和COD等</w:t>
                  </w:r>
                </w:p>
              </w:tc>
              <w:tc>
                <w:tcPr>
                  <w:tcW w:w="2861" w:type="dxa"/>
                  <w:noWrap w:val="0"/>
                  <w:vAlign w:val="center"/>
                </w:tcPr>
                <w:p w14:paraId="650E4D54">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color w:val="auto"/>
                      <w:szCs w:val="21"/>
                      <w:lang w:val="en-US" w:eastAsia="zh-CN"/>
                    </w:rPr>
                  </w:pPr>
                  <w:r>
                    <w:rPr>
                      <w:rFonts w:hint="eastAsia"/>
                      <w:color w:val="auto"/>
                      <w:szCs w:val="21"/>
                      <w:lang w:eastAsia="zh-CN"/>
                    </w:rPr>
                    <w:t>位于综合楼的</w:t>
                  </w:r>
                  <w:r>
                    <w:rPr>
                      <w:rFonts w:hint="eastAsia"/>
                      <w:color w:val="auto"/>
                      <w:szCs w:val="21"/>
                      <w:lang w:val="en-US" w:eastAsia="zh-CN"/>
                    </w:rPr>
                    <w:t>1F，建筑面积约100m</w:t>
                  </w:r>
                  <w:r>
                    <w:rPr>
                      <w:rFonts w:hint="eastAsia"/>
                      <w:color w:val="auto"/>
                      <w:szCs w:val="21"/>
                      <w:vertAlign w:val="superscript"/>
                      <w:lang w:val="en-US" w:eastAsia="zh-CN"/>
                    </w:rPr>
                    <w:t>2</w:t>
                  </w:r>
                  <w:r>
                    <w:rPr>
                      <w:rFonts w:hint="eastAsia"/>
                      <w:color w:val="auto"/>
                      <w:szCs w:val="21"/>
                      <w:lang w:val="en-US" w:eastAsia="zh-CN"/>
                    </w:rPr>
                    <w:t>，用于检测pH、溶解氧、BOD和COD等</w:t>
                  </w:r>
                </w:p>
              </w:tc>
              <w:tc>
                <w:tcPr>
                  <w:tcW w:w="756" w:type="dxa"/>
                  <w:noWrap w:val="0"/>
                  <w:vAlign w:val="center"/>
                </w:tcPr>
                <w:p w14:paraId="10882017">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color w:val="auto"/>
                      <w:szCs w:val="21"/>
                      <w:lang w:val="en-US" w:eastAsia="zh-CN"/>
                    </w:rPr>
                  </w:pPr>
                  <w:r>
                    <w:rPr>
                      <w:rFonts w:hint="eastAsia"/>
                      <w:color w:val="auto"/>
                      <w:szCs w:val="21"/>
                      <w:lang w:val="en-US" w:eastAsia="zh-CN"/>
                    </w:rPr>
                    <w:t>改建</w:t>
                  </w:r>
                </w:p>
              </w:tc>
            </w:tr>
            <w:tr w14:paraId="4609791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637" w:type="dxa"/>
                  <w:vMerge w:val="restart"/>
                  <w:noWrap w:val="0"/>
                  <w:vAlign w:val="center"/>
                </w:tcPr>
                <w:p w14:paraId="7202144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bCs/>
                      <w:color w:val="auto"/>
                      <w:szCs w:val="21"/>
                    </w:rPr>
                    <w:t>公用工程</w:t>
                  </w:r>
                </w:p>
              </w:tc>
              <w:tc>
                <w:tcPr>
                  <w:tcW w:w="946" w:type="dxa"/>
                  <w:noWrap w:val="0"/>
                  <w:vAlign w:val="center"/>
                </w:tcPr>
                <w:p w14:paraId="6711324B">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供水工程</w:t>
                  </w:r>
                </w:p>
              </w:tc>
              <w:tc>
                <w:tcPr>
                  <w:tcW w:w="3400" w:type="dxa"/>
                  <w:noWrap w:val="0"/>
                  <w:vAlign w:val="center"/>
                </w:tcPr>
                <w:p w14:paraId="6994A770">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取自淮河</w:t>
                  </w:r>
                  <w:r>
                    <w:rPr>
                      <w:rFonts w:hint="eastAsia" w:ascii="Calibri" w:hAnsi="Calibri"/>
                      <w:color w:val="auto"/>
                      <w:lang w:eastAsia="en-US"/>
                    </w:rPr>
                    <w:t>淮河架河镇段</w:t>
                  </w:r>
                  <w:r>
                    <w:rPr>
                      <w:rFonts w:hint="default" w:ascii="Times New Roman" w:hAnsi="Times New Roman" w:eastAsia="宋体" w:cs="Times New Roman"/>
                      <w:bCs/>
                      <w:color w:val="auto"/>
                      <w:szCs w:val="21"/>
                    </w:rPr>
                    <w:t>水</w:t>
                  </w:r>
                  <w:r>
                    <w:rPr>
                      <w:rFonts w:hint="eastAsia" w:cs="Times New Roman"/>
                      <w:bCs/>
                      <w:color w:val="auto"/>
                      <w:szCs w:val="21"/>
                      <w:lang w:eastAsia="zh-CN"/>
                    </w:rPr>
                    <w:t>，</w:t>
                  </w:r>
                  <w:r>
                    <w:rPr>
                      <w:rFonts w:hint="eastAsia" w:cs="Times New Roman"/>
                      <w:bCs/>
                      <w:color w:val="auto"/>
                      <w:kern w:val="2"/>
                      <w:sz w:val="21"/>
                      <w:szCs w:val="21"/>
                      <w:lang w:val="en-US" w:eastAsia="zh-CN" w:bidi="ar-SA"/>
                    </w:rPr>
                    <w:t>3万m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w:t>
                  </w:r>
                </w:p>
              </w:tc>
              <w:tc>
                <w:tcPr>
                  <w:tcW w:w="2861" w:type="dxa"/>
                  <w:noWrap w:val="0"/>
                  <w:vAlign w:val="center"/>
                </w:tcPr>
                <w:p w14:paraId="015E91BD">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取自淮河</w:t>
                  </w:r>
                  <w:r>
                    <w:rPr>
                      <w:rFonts w:hint="eastAsia" w:ascii="Calibri" w:hAnsi="Calibri"/>
                      <w:color w:val="auto"/>
                      <w:lang w:eastAsia="en-US"/>
                    </w:rPr>
                    <w:t>淮河架河镇段</w:t>
                  </w:r>
                  <w:r>
                    <w:rPr>
                      <w:rFonts w:hint="default" w:ascii="Times New Roman" w:hAnsi="Times New Roman" w:eastAsia="宋体" w:cs="Times New Roman"/>
                      <w:bCs/>
                      <w:color w:val="auto"/>
                      <w:szCs w:val="21"/>
                    </w:rPr>
                    <w:t>水</w:t>
                  </w:r>
                  <w:r>
                    <w:rPr>
                      <w:rFonts w:hint="eastAsia" w:cs="Times New Roman"/>
                      <w:bCs/>
                      <w:color w:val="auto"/>
                      <w:szCs w:val="21"/>
                      <w:lang w:eastAsia="zh-CN"/>
                    </w:rPr>
                    <w:t>，</w:t>
                  </w:r>
                  <w:r>
                    <w:rPr>
                      <w:rFonts w:hint="eastAsia" w:cs="Times New Roman"/>
                      <w:bCs/>
                      <w:color w:val="auto"/>
                      <w:kern w:val="2"/>
                      <w:sz w:val="21"/>
                      <w:szCs w:val="21"/>
                      <w:lang w:val="en-US" w:eastAsia="zh-CN" w:bidi="ar-SA"/>
                    </w:rPr>
                    <w:t>6万m</w:t>
                  </w:r>
                  <w:r>
                    <w:rPr>
                      <w:rFonts w:hint="eastAsia" w:cs="Times New Roman"/>
                      <w:bCs/>
                      <w:color w:val="auto"/>
                      <w:kern w:val="2"/>
                      <w:sz w:val="21"/>
                      <w:szCs w:val="21"/>
                      <w:vertAlign w:val="superscript"/>
                      <w:lang w:val="en-US" w:eastAsia="zh-CN" w:bidi="ar-SA"/>
                    </w:rPr>
                    <w:t>3</w:t>
                  </w:r>
                  <w:r>
                    <w:rPr>
                      <w:rFonts w:hint="eastAsia" w:cs="Times New Roman"/>
                      <w:bCs/>
                      <w:color w:val="auto"/>
                      <w:kern w:val="2"/>
                      <w:sz w:val="21"/>
                      <w:szCs w:val="21"/>
                      <w:lang w:val="en-US" w:eastAsia="zh-CN" w:bidi="ar-SA"/>
                    </w:rPr>
                    <w:t>/d</w:t>
                  </w:r>
                </w:p>
              </w:tc>
              <w:tc>
                <w:tcPr>
                  <w:tcW w:w="756" w:type="dxa"/>
                  <w:noWrap w:val="0"/>
                  <w:vAlign w:val="center"/>
                </w:tcPr>
                <w:p w14:paraId="0733288D">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52822E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637" w:type="dxa"/>
                  <w:vMerge w:val="continue"/>
                  <w:noWrap w:val="0"/>
                  <w:vAlign w:val="center"/>
                </w:tcPr>
                <w:p w14:paraId="39ABAB1B">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7B84EC63">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排水工程</w:t>
                  </w:r>
                </w:p>
              </w:tc>
              <w:tc>
                <w:tcPr>
                  <w:tcW w:w="3400" w:type="dxa"/>
                  <w:noWrap w:val="0"/>
                  <w:vAlign w:val="center"/>
                </w:tcPr>
                <w:p w14:paraId="106822F9">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生活污水经化粪池处理后排入污水处理厂处理，排泥水和反冲洗废水直接排入厂区外的朱大沟水渠</w:t>
                  </w:r>
                </w:p>
              </w:tc>
              <w:tc>
                <w:tcPr>
                  <w:tcW w:w="2861" w:type="dxa"/>
                  <w:noWrap w:val="0"/>
                  <w:vAlign w:val="center"/>
                </w:tcPr>
                <w:p w14:paraId="29CA8992">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反冲洗废水和排泥水经污泥池上清液回用于生产，污泥压滤液排入潘集污水处理厂</w:t>
                  </w:r>
                </w:p>
              </w:tc>
              <w:tc>
                <w:tcPr>
                  <w:tcW w:w="756" w:type="dxa"/>
                  <w:noWrap w:val="0"/>
                  <w:vAlign w:val="center"/>
                </w:tcPr>
                <w:p w14:paraId="742657B1">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新建</w:t>
                  </w:r>
                </w:p>
              </w:tc>
            </w:tr>
            <w:tr w14:paraId="506410F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restart"/>
                  <w:noWrap w:val="0"/>
                  <w:vAlign w:val="center"/>
                </w:tcPr>
                <w:p w14:paraId="1A80E3B0">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bCs/>
                      <w:color w:val="auto"/>
                      <w:szCs w:val="21"/>
                    </w:rPr>
                    <w:t>环保工程</w:t>
                  </w:r>
                </w:p>
              </w:tc>
              <w:tc>
                <w:tcPr>
                  <w:tcW w:w="946" w:type="dxa"/>
                  <w:noWrap w:val="0"/>
                  <w:vAlign w:val="center"/>
                </w:tcPr>
                <w:p w14:paraId="2600519E">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bCs/>
                      <w:color w:val="auto"/>
                      <w:szCs w:val="21"/>
                    </w:rPr>
                    <w:t>废</w:t>
                  </w:r>
                  <w:r>
                    <w:rPr>
                      <w:rFonts w:hint="eastAsia"/>
                      <w:bCs/>
                      <w:color w:val="auto"/>
                      <w:szCs w:val="21"/>
                      <w:lang w:eastAsia="zh-CN"/>
                    </w:rPr>
                    <w:t>气</w:t>
                  </w:r>
                  <w:r>
                    <w:rPr>
                      <w:bCs/>
                      <w:color w:val="auto"/>
                      <w:szCs w:val="21"/>
                    </w:rPr>
                    <w:t>治理</w:t>
                  </w:r>
                </w:p>
              </w:tc>
              <w:tc>
                <w:tcPr>
                  <w:tcW w:w="3400" w:type="dxa"/>
                  <w:noWrap w:val="0"/>
                  <w:vAlign w:val="center"/>
                </w:tcPr>
                <w:p w14:paraId="36D2D4CF">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eastAsia="宋体"/>
                      <w:bCs/>
                      <w:color w:val="auto"/>
                      <w:szCs w:val="21"/>
                      <w:lang w:val="en-US" w:eastAsia="zh-CN"/>
                    </w:rPr>
                  </w:pPr>
                  <w:r>
                    <w:rPr>
                      <w:rFonts w:hint="eastAsia"/>
                      <w:bCs/>
                      <w:color w:val="auto"/>
                      <w:szCs w:val="21"/>
                      <w:lang w:val="en-US" w:eastAsia="zh-CN"/>
                    </w:rPr>
                    <w:t>食堂油烟经油烟净化器处理后于楼顶排放</w:t>
                  </w:r>
                </w:p>
              </w:tc>
              <w:tc>
                <w:tcPr>
                  <w:tcW w:w="2861" w:type="dxa"/>
                  <w:noWrap w:val="0"/>
                  <w:vAlign w:val="center"/>
                </w:tcPr>
                <w:p w14:paraId="517F06FE">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color w:val="auto"/>
                      <w:szCs w:val="21"/>
                      <w:lang w:val="en-US" w:eastAsia="zh-CN"/>
                    </w:rPr>
                  </w:pPr>
                  <w:r>
                    <w:rPr>
                      <w:rFonts w:hint="eastAsia"/>
                      <w:color w:val="auto"/>
                      <w:szCs w:val="21"/>
                      <w:lang w:val="en-US" w:eastAsia="zh-CN"/>
                    </w:rPr>
                    <w:t>/</w:t>
                  </w:r>
                </w:p>
              </w:tc>
              <w:tc>
                <w:tcPr>
                  <w:tcW w:w="756" w:type="dxa"/>
                  <w:noWrap w:val="0"/>
                  <w:vAlign w:val="center"/>
                </w:tcPr>
                <w:p w14:paraId="3D6613D6">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color w:val="auto"/>
                      <w:szCs w:val="21"/>
                      <w:lang w:eastAsia="zh-CN"/>
                    </w:rPr>
                  </w:pPr>
                  <w:r>
                    <w:rPr>
                      <w:rFonts w:hint="eastAsia"/>
                      <w:color w:val="auto"/>
                      <w:szCs w:val="21"/>
                      <w:lang w:eastAsia="zh-CN"/>
                    </w:rPr>
                    <w:t>新建</w:t>
                  </w:r>
                </w:p>
              </w:tc>
            </w:tr>
            <w:tr w14:paraId="53EF21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4DCADAAC">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3EFEA4B3">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bCs/>
                      <w:color w:val="auto"/>
                      <w:szCs w:val="21"/>
                    </w:rPr>
                    <w:t>废</w:t>
                  </w:r>
                  <w:r>
                    <w:rPr>
                      <w:rFonts w:hint="eastAsia"/>
                      <w:bCs/>
                      <w:color w:val="auto"/>
                      <w:szCs w:val="21"/>
                      <w:lang w:eastAsia="zh-CN"/>
                    </w:rPr>
                    <w:t>水</w:t>
                  </w:r>
                  <w:r>
                    <w:rPr>
                      <w:bCs/>
                      <w:color w:val="auto"/>
                      <w:szCs w:val="21"/>
                    </w:rPr>
                    <w:t>治理</w:t>
                  </w:r>
                </w:p>
              </w:tc>
              <w:tc>
                <w:tcPr>
                  <w:tcW w:w="3400" w:type="dxa"/>
                  <w:noWrap w:val="0"/>
                  <w:vAlign w:val="center"/>
                </w:tcPr>
                <w:p w14:paraId="0F5F54DE">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eastAsia="宋体"/>
                      <w:bCs/>
                      <w:color w:val="auto"/>
                      <w:szCs w:val="21"/>
                      <w:lang w:eastAsia="zh-CN"/>
                    </w:rPr>
                  </w:pPr>
                  <w:r>
                    <w:rPr>
                      <w:rFonts w:hint="eastAsia" w:cs="Times New Roman"/>
                      <w:bCs/>
                      <w:color w:val="auto"/>
                      <w:kern w:val="2"/>
                      <w:sz w:val="21"/>
                      <w:szCs w:val="21"/>
                      <w:lang w:val="en-US" w:eastAsia="zh-CN" w:bidi="ar-SA"/>
                    </w:rPr>
                    <w:t>生活污水经化粪池处理后排入潘集镇污水处理厂处理，排泥水和反冲洗废水直接排入厂区外的朱大沟水渠</w:t>
                  </w:r>
                </w:p>
              </w:tc>
              <w:tc>
                <w:tcPr>
                  <w:tcW w:w="2861" w:type="dxa"/>
                  <w:noWrap w:val="0"/>
                  <w:vAlign w:val="center"/>
                </w:tcPr>
                <w:p w14:paraId="70DB779B">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eastAsia" w:eastAsia="宋体"/>
                      <w:color w:val="auto"/>
                      <w:szCs w:val="21"/>
                      <w:lang w:eastAsia="zh-CN"/>
                    </w:rPr>
                  </w:pPr>
                  <w:r>
                    <w:rPr>
                      <w:rFonts w:hint="eastAsia"/>
                      <w:color w:val="auto"/>
                      <w:szCs w:val="21"/>
                      <w:lang w:eastAsia="zh-CN"/>
                    </w:rPr>
                    <w:t>反冲洗废水和排泥水经污泥池上清液回用于生产，污泥压滤液排入潘集污水处理厂</w:t>
                  </w:r>
                </w:p>
              </w:tc>
              <w:tc>
                <w:tcPr>
                  <w:tcW w:w="756" w:type="dxa"/>
                  <w:noWrap w:val="0"/>
                  <w:vAlign w:val="center"/>
                </w:tcPr>
                <w:p w14:paraId="19741BE1">
                  <w:pPr>
                    <w:keepNext w:val="0"/>
                    <w:keepLines w:val="0"/>
                    <w:pageBreakBefore w:val="0"/>
                    <w:widowControl w:val="0"/>
                    <w:kinsoku/>
                    <w:wordWrap/>
                    <w:overflowPunct/>
                    <w:topLinePunct w:val="0"/>
                    <w:bidi w:val="0"/>
                    <w:spacing w:beforeAutospacing="0" w:afterAutospacing="0" w:line="320" w:lineRule="exact"/>
                    <w:ind w:left="0" w:leftChars="0" w:right="0"/>
                    <w:jc w:val="center"/>
                    <w:rPr>
                      <w:rFonts w:hint="default"/>
                      <w:color w:val="auto"/>
                      <w:szCs w:val="21"/>
                      <w:lang w:val="en-US" w:eastAsia="zh-CN"/>
                    </w:rPr>
                  </w:pPr>
                  <w:r>
                    <w:rPr>
                      <w:rFonts w:hint="eastAsia"/>
                      <w:color w:val="auto"/>
                      <w:szCs w:val="21"/>
                      <w:lang w:eastAsia="zh-CN"/>
                    </w:rPr>
                    <w:t>新建</w:t>
                  </w:r>
                </w:p>
              </w:tc>
            </w:tr>
            <w:tr w14:paraId="2EEC5A5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3AD806D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763AB698">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bCs/>
                      <w:color w:val="auto"/>
                      <w:szCs w:val="21"/>
                    </w:rPr>
                    <w:t>固废治理</w:t>
                  </w:r>
                </w:p>
              </w:tc>
              <w:tc>
                <w:tcPr>
                  <w:tcW w:w="3400" w:type="dxa"/>
                  <w:noWrap w:val="0"/>
                  <w:vAlign w:val="center"/>
                </w:tcPr>
                <w:p w14:paraId="136A1345">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eastAsia="宋体"/>
                      <w:bCs/>
                      <w:color w:val="auto"/>
                      <w:szCs w:val="21"/>
                      <w:lang w:eastAsia="zh-CN"/>
                    </w:rPr>
                  </w:pPr>
                  <w:r>
                    <w:rPr>
                      <w:rFonts w:hint="eastAsia"/>
                      <w:bCs/>
                      <w:color w:val="auto"/>
                      <w:szCs w:val="21"/>
                      <w:lang w:eastAsia="zh-CN"/>
                    </w:rPr>
                    <w:t>生活垃圾交由环卫部门处理，废包装材料、废培养基等收集后外售综合利用；实验废液、废润滑油、废包装瓶/桶等收集厂区暂存</w:t>
                  </w:r>
                </w:p>
              </w:tc>
              <w:tc>
                <w:tcPr>
                  <w:tcW w:w="2861" w:type="dxa"/>
                  <w:noWrap w:val="0"/>
                  <w:vAlign w:val="center"/>
                </w:tcPr>
                <w:p w14:paraId="54E918CB">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color w:val="auto"/>
                      <w:szCs w:val="21"/>
                      <w:lang w:eastAsia="zh-CN"/>
                    </w:rPr>
                  </w:pPr>
                  <w:r>
                    <w:rPr>
                      <w:rFonts w:hint="eastAsia"/>
                      <w:color w:val="auto"/>
                      <w:szCs w:val="21"/>
                      <w:lang w:eastAsia="zh-CN"/>
                    </w:rPr>
                    <w:t>新建一间危废暂存间（</w:t>
                  </w:r>
                  <w:r>
                    <w:rPr>
                      <w:rFonts w:hint="default" w:ascii="Times New Roman" w:hAnsi="Times New Roman" w:eastAsia="宋体" w:cs="Times New Roman"/>
                      <w:i w:val="0"/>
                      <w:iCs w:val="0"/>
                      <w:color w:val="auto"/>
                      <w:kern w:val="2"/>
                      <w:sz w:val="21"/>
                      <w:szCs w:val="21"/>
                      <w:highlight w:val="none"/>
                      <w:lang w:val="en-US" w:eastAsia="zh-CN" w:bidi="ar"/>
                    </w:rPr>
                    <w:t>位于</w:t>
                  </w:r>
                  <w:r>
                    <w:rPr>
                      <w:rFonts w:hint="eastAsia" w:ascii="Times New Roman" w:hAnsi="Times New Roman" w:cs="Times New Roman"/>
                      <w:i w:val="0"/>
                      <w:iCs w:val="0"/>
                      <w:color w:val="auto"/>
                      <w:kern w:val="2"/>
                      <w:sz w:val="21"/>
                      <w:szCs w:val="21"/>
                      <w:highlight w:val="none"/>
                      <w:lang w:val="en-US" w:eastAsia="zh-CN" w:bidi="ar"/>
                    </w:rPr>
                    <w:t>综合楼1F</w:t>
                  </w:r>
                  <w:r>
                    <w:rPr>
                      <w:rFonts w:hint="default" w:ascii="Times New Roman" w:hAnsi="Times New Roman" w:eastAsia="宋体" w:cs="Times New Roman"/>
                      <w:i w:val="0"/>
                      <w:iCs w:val="0"/>
                      <w:color w:val="auto"/>
                      <w:kern w:val="2"/>
                      <w:sz w:val="21"/>
                      <w:szCs w:val="21"/>
                      <w:highlight w:val="none"/>
                      <w:lang w:val="en-US" w:eastAsia="zh-CN" w:bidi="ar"/>
                    </w:rPr>
                    <w:t>，建筑面积约</w:t>
                  </w:r>
                  <w:r>
                    <w:rPr>
                      <w:rFonts w:hint="eastAsia" w:ascii="Times New Roman" w:hAnsi="Times New Roman" w:eastAsia="宋体" w:cs="Times New Roman"/>
                      <w:i w:val="0"/>
                      <w:iCs w:val="0"/>
                      <w:color w:val="auto"/>
                      <w:kern w:val="2"/>
                      <w:sz w:val="21"/>
                      <w:szCs w:val="21"/>
                      <w:highlight w:val="none"/>
                      <w:lang w:val="en-US" w:eastAsia="zh-CN" w:bidi="ar"/>
                    </w:rPr>
                    <w:t>10</w:t>
                  </w:r>
                  <w:r>
                    <w:rPr>
                      <w:rFonts w:hint="default" w:ascii="Times New Roman" w:hAnsi="Times New Roman" w:eastAsia="宋体" w:cs="Times New Roman"/>
                      <w:i w:val="0"/>
                      <w:iCs w:val="0"/>
                      <w:color w:val="auto"/>
                      <w:kern w:val="2"/>
                      <w:sz w:val="21"/>
                      <w:szCs w:val="21"/>
                      <w:highlight w:val="none"/>
                      <w:lang w:val="en-US" w:eastAsia="zh-CN" w:bidi="ar"/>
                    </w:rPr>
                    <w:t>m</w:t>
                  </w:r>
                  <w:r>
                    <w:rPr>
                      <w:rFonts w:hint="default" w:ascii="Times New Roman" w:hAnsi="Times New Roman" w:eastAsia="宋体" w:cs="Times New Roman"/>
                      <w:i w:val="0"/>
                      <w:iCs w:val="0"/>
                      <w:color w:val="auto"/>
                      <w:kern w:val="2"/>
                      <w:sz w:val="21"/>
                      <w:szCs w:val="21"/>
                      <w:highlight w:val="none"/>
                      <w:vertAlign w:val="superscript"/>
                      <w:lang w:val="en-US" w:eastAsia="zh-CN" w:bidi="ar"/>
                    </w:rPr>
                    <w:t>2</w:t>
                  </w:r>
                  <w:r>
                    <w:rPr>
                      <w:rFonts w:hint="eastAsia"/>
                      <w:color w:val="auto"/>
                      <w:szCs w:val="21"/>
                      <w:lang w:eastAsia="zh-CN"/>
                    </w:rPr>
                    <w:t>），试验废液、废润滑油、废包装桶等收集暂存于危废暂存间，定期交由有资质单位处置；污泥</w:t>
                  </w:r>
                  <w:r>
                    <w:rPr>
                      <w:rFonts w:hint="eastAsia" w:ascii="Times New Roman" w:hAnsi="Times New Roman" w:cs="Times New Roman"/>
                      <w:color w:val="auto"/>
                      <w:sz w:val="21"/>
                      <w:szCs w:val="21"/>
                      <w:lang w:eastAsia="zh-CN"/>
                    </w:rPr>
                    <w:t>交由</w:t>
                  </w:r>
                  <w:r>
                    <w:rPr>
                      <w:rFonts w:hint="default" w:ascii="Times New Roman" w:hAnsi="Times New Roman" w:cs="Times New Roman"/>
                      <w:color w:val="auto"/>
                      <w:sz w:val="21"/>
                      <w:szCs w:val="21"/>
                      <w:lang w:eastAsia="zh-CN"/>
                    </w:rPr>
                    <w:t>八公山陶粒厂</w:t>
                  </w:r>
                  <w:r>
                    <w:rPr>
                      <w:rFonts w:hint="eastAsia" w:ascii="Times New Roman" w:hAnsi="Times New Roman" w:cs="Times New Roman"/>
                      <w:color w:val="auto"/>
                      <w:sz w:val="21"/>
                      <w:szCs w:val="21"/>
                      <w:lang w:eastAsia="zh-CN"/>
                    </w:rPr>
                    <w:t>综合利用，</w:t>
                  </w:r>
                  <w:r>
                    <w:rPr>
                      <w:rFonts w:hint="eastAsia"/>
                      <w:bCs/>
                      <w:color w:val="auto"/>
                      <w:szCs w:val="21"/>
                      <w:lang w:eastAsia="zh-CN"/>
                    </w:rPr>
                    <w:t>废包装材料、废培养基等收集后外售综合利用</w:t>
                  </w:r>
                </w:p>
              </w:tc>
              <w:tc>
                <w:tcPr>
                  <w:tcW w:w="756" w:type="dxa"/>
                  <w:noWrap w:val="0"/>
                  <w:vAlign w:val="center"/>
                </w:tcPr>
                <w:p w14:paraId="79170D64">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color w:val="auto"/>
                      <w:szCs w:val="21"/>
                      <w:lang w:eastAsia="zh-CN"/>
                    </w:rPr>
                  </w:pPr>
                  <w:r>
                    <w:rPr>
                      <w:rFonts w:hint="eastAsia"/>
                      <w:color w:val="auto"/>
                      <w:szCs w:val="21"/>
                      <w:lang w:eastAsia="zh-CN"/>
                    </w:rPr>
                    <w:t>新建</w:t>
                  </w:r>
                </w:p>
              </w:tc>
            </w:tr>
            <w:tr w14:paraId="7AA731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637" w:type="dxa"/>
                  <w:vMerge w:val="continue"/>
                  <w:noWrap w:val="0"/>
                  <w:vAlign w:val="center"/>
                </w:tcPr>
                <w:p w14:paraId="1B83700D">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p>
              </w:tc>
              <w:tc>
                <w:tcPr>
                  <w:tcW w:w="946" w:type="dxa"/>
                  <w:noWrap w:val="0"/>
                  <w:vAlign w:val="center"/>
                </w:tcPr>
                <w:p w14:paraId="755D42C7">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bCs/>
                      <w:color w:val="auto"/>
                      <w:szCs w:val="21"/>
                    </w:rPr>
                    <w:t>噪声治理</w:t>
                  </w:r>
                </w:p>
              </w:tc>
              <w:tc>
                <w:tcPr>
                  <w:tcW w:w="3400" w:type="dxa"/>
                  <w:noWrap w:val="0"/>
                  <w:vAlign w:val="center"/>
                </w:tcPr>
                <w:p w14:paraId="3A20CDD8">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rFonts w:hint="eastAsia" w:eastAsia="宋体"/>
                      <w:bCs/>
                      <w:color w:val="auto"/>
                      <w:szCs w:val="21"/>
                      <w:lang w:eastAsia="zh-CN"/>
                    </w:rPr>
                  </w:pPr>
                  <w:r>
                    <w:rPr>
                      <w:rFonts w:hint="eastAsia"/>
                      <w:bCs/>
                      <w:color w:val="auto"/>
                      <w:szCs w:val="21"/>
                      <w:lang w:eastAsia="zh-CN"/>
                    </w:rPr>
                    <w:t>隔声、减振等措施，厂区绿化</w:t>
                  </w:r>
                </w:p>
              </w:tc>
              <w:tc>
                <w:tcPr>
                  <w:tcW w:w="2861" w:type="dxa"/>
                  <w:noWrap w:val="0"/>
                  <w:vAlign w:val="center"/>
                </w:tcPr>
                <w:p w14:paraId="66E104F1">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rFonts w:hint="eastAsia"/>
                      <w:bCs/>
                      <w:color w:val="auto"/>
                      <w:szCs w:val="21"/>
                      <w:lang w:eastAsia="zh-CN"/>
                    </w:rPr>
                    <w:t>隔声、减振等措施</w:t>
                  </w:r>
                </w:p>
              </w:tc>
              <w:tc>
                <w:tcPr>
                  <w:tcW w:w="756" w:type="dxa"/>
                  <w:noWrap w:val="0"/>
                  <w:vAlign w:val="center"/>
                </w:tcPr>
                <w:p w14:paraId="5F2EEF6A">
                  <w:pPr>
                    <w:keepNext w:val="0"/>
                    <w:keepLines w:val="0"/>
                    <w:pageBreakBefore w:val="0"/>
                    <w:widowControl w:val="0"/>
                    <w:kinsoku/>
                    <w:wordWrap/>
                    <w:overflowPunct/>
                    <w:topLinePunct w:val="0"/>
                    <w:bidi w:val="0"/>
                    <w:adjustRightInd w:val="0"/>
                    <w:snapToGrid w:val="0"/>
                    <w:spacing w:beforeAutospacing="0" w:afterAutospacing="0"/>
                    <w:ind w:left="0" w:leftChars="0" w:right="0"/>
                    <w:jc w:val="center"/>
                    <w:rPr>
                      <w:bCs/>
                      <w:color w:val="auto"/>
                      <w:szCs w:val="21"/>
                    </w:rPr>
                  </w:pPr>
                  <w:r>
                    <w:rPr>
                      <w:rFonts w:hint="eastAsia"/>
                      <w:color w:val="auto"/>
                      <w:szCs w:val="21"/>
                      <w:lang w:eastAsia="zh-CN"/>
                    </w:rPr>
                    <w:t>新建</w:t>
                  </w:r>
                </w:p>
              </w:tc>
            </w:tr>
          </w:tbl>
          <w:p w14:paraId="54FB710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rPr>
                <w:rFonts w:hint="default" w:ascii="Times New Roman" w:hAnsi="Times New Roman" w:cs="Times New Roman"/>
                <w:b/>
                <w:color w:val="auto"/>
                <w:kern w:val="2"/>
                <w:sz w:val="24"/>
                <w:szCs w:val="24"/>
                <w:highlight w:val="none"/>
              </w:rPr>
            </w:pPr>
            <w:r>
              <w:rPr>
                <w:rFonts w:hint="eastAsia" w:cs="Times New Roman"/>
                <w:b/>
                <w:color w:val="auto"/>
                <w:kern w:val="2"/>
                <w:sz w:val="24"/>
                <w:szCs w:val="24"/>
                <w:highlight w:val="none"/>
                <w:lang w:val="en-US" w:eastAsia="zh-CN"/>
              </w:rPr>
              <w:t>3</w:t>
            </w:r>
            <w:r>
              <w:rPr>
                <w:rFonts w:hint="default" w:ascii="Times New Roman" w:hAnsi="Times New Roman" w:cs="Times New Roman"/>
                <w:b/>
                <w:color w:val="auto"/>
                <w:kern w:val="2"/>
                <w:sz w:val="24"/>
                <w:szCs w:val="24"/>
                <w:highlight w:val="none"/>
              </w:rPr>
              <w:t>、项目产品方案</w:t>
            </w:r>
          </w:p>
          <w:p w14:paraId="79326551">
            <w:pPr>
              <w:pStyle w:val="30"/>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360" w:lineRule="auto"/>
              <w:ind w:left="0" w:leftChars="0" w:right="0" w:rightChars="0" w:firstLine="480" w:firstLineChars="200"/>
              <w:jc w:val="left"/>
              <w:textAlignment w:val="auto"/>
              <w:rPr>
                <w:rFonts w:hint="default"/>
                <w:color w:val="auto"/>
                <w:sz w:val="24"/>
                <w:szCs w:val="24"/>
                <w:highlight w:val="none"/>
                <w:lang w:val="en-US" w:eastAsia="zh-CN"/>
              </w:rPr>
            </w:pPr>
            <w:r>
              <w:rPr>
                <w:rFonts w:hint="eastAsia" w:ascii="Times New Roman" w:hAnsi="Times New Roman" w:cs="Times New Roman"/>
                <w:color w:val="auto"/>
                <w:kern w:val="2"/>
                <w:sz w:val="24"/>
                <w:szCs w:val="24"/>
                <w:highlight w:val="none"/>
                <w:lang w:val="en-US" w:eastAsia="zh-CN"/>
              </w:rPr>
              <w:t>本</w:t>
            </w:r>
            <w:r>
              <w:rPr>
                <w:rFonts w:hint="default" w:ascii="Times New Roman" w:hAnsi="Times New Roman" w:cs="Times New Roman"/>
                <w:color w:val="auto"/>
                <w:kern w:val="2"/>
                <w:sz w:val="24"/>
                <w:szCs w:val="24"/>
                <w:highlight w:val="none"/>
              </w:rPr>
              <w:t>项目产品方案详见</w:t>
            </w:r>
            <w:r>
              <w:rPr>
                <w:rFonts w:hint="default" w:ascii="Times New Roman" w:hAnsi="Times New Roman" w:cs="Times New Roman"/>
                <w:color w:val="auto"/>
                <w:kern w:val="2"/>
                <w:sz w:val="24"/>
                <w:szCs w:val="24"/>
                <w:highlight w:val="none"/>
                <w:lang w:val="en-US" w:eastAsia="zh-CN"/>
              </w:rPr>
              <w:t>下</w:t>
            </w:r>
            <w:r>
              <w:rPr>
                <w:rFonts w:hint="default" w:ascii="Times New Roman" w:hAnsi="Times New Roman" w:cs="Times New Roman"/>
                <w:color w:val="auto"/>
                <w:kern w:val="2"/>
                <w:sz w:val="24"/>
                <w:szCs w:val="24"/>
                <w:highlight w:val="none"/>
              </w:rPr>
              <w:t>表。</w:t>
            </w:r>
          </w:p>
          <w:p w14:paraId="2DD268B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表2-</w:t>
            </w:r>
            <w:r>
              <w:rPr>
                <w:rFonts w:hint="eastAsia" w:cs="Times New Roman"/>
                <w:b/>
                <w:bCs/>
                <w:color w:val="auto"/>
                <w:spacing w:val="0"/>
                <w:sz w:val="24"/>
                <w:szCs w:val="24"/>
                <w:highlight w:val="none"/>
                <w:lang w:val="en-US" w:eastAsia="zh-CN"/>
              </w:rPr>
              <w:t>3</w:t>
            </w:r>
            <w:r>
              <w:rPr>
                <w:rFonts w:hint="eastAsia" w:ascii="Times New Roman" w:hAnsi="Times New Roman" w:eastAsia="宋体" w:cs="Times New Roman"/>
                <w:b/>
                <w:bCs/>
                <w:color w:val="auto"/>
                <w:spacing w:val="0"/>
                <w:sz w:val="24"/>
                <w:szCs w:val="24"/>
                <w:highlight w:val="none"/>
                <w:lang w:val="en-US" w:eastAsia="zh-CN"/>
              </w:rPr>
              <w:t xml:space="preserve">  建设项目产品方案</w:t>
            </w:r>
          </w:p>
          <w:tbl>
            <w:tblPr>
              <w:tblStyle w:val="31"/>
              <w:tblW w:w="86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9"/>
              <w:gridCol w:w="1221"/>
              <w:gridCol w:w="1146"/>
              <w:gridCol w:w="1113"/>
              <w:gridCol w:w="1115"/>
              <w:gridCol w:w="3186"/>
            </w:tblGrid>
            <w:tr w14:paraId="1833F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29" w:type="dxa"/>
                  <w:vMerge w:val="restart"/>
                  <w:tcBorders>
                    <w:top w:val="single" w:color="000000" w:sz="4" w:space="0"/>
                    <w:left w:val="single" w:color="000000" w:sz="4" w:space="0"/>
                    <w:right w:val="single" w:color="000000" w:sz="4" w:space="0"/>
                  </w:tcBorders>
                  <w:shd w:val="clear" w:color="auto" w:fill="auto"/>
                  <w:vAlign w:val="center"/>
                </w:tcPr>
                <w:p w14:paraId="2EF1E408">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品种</w:t>
                  </w:r>
                </w:p>
              </w:tc>
              <w:tc>
                <w:tcPr>
                  <w:tcW w:w="1221" w:type="dxa"/>
                  <w:vMerge w:val="restart"/>
                  <w:tcBorders>
                    <w:top w:val="single" w:color="000000" w:sz="4" w:space="0"/>
                    <w:left w:val="single" w:color="000000" w:sz="4" w:space="0"/>
                    <w:right w:val="single" w:color="000000" w:sz="4" w:space="0"/>
                  </w:tcBorders>
                  <w:shd w:val="clear" w:color="auto" w:fill="auto"/>
                  <w:vAlign w:val="center"/>
                </w:tcPr>
                <w:p w14:paraId="0B523BC5">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单位</w:t>
                  </w:r>
                </w:p>
              </w:tc>
              <w:tc>
                <w:tcPr>
                  <w:tcW w:w="33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58907F">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产能</w:t>
                  </w:r>
                </w:p>
              </w:tc>
              <w:tc>
                <w:tcPr>
                  <w:tcW w:w="3186" w:type="dxa"/>
                  <w:vMerge w:val="restart"/>
                  <w:tcBorders>
                    <w:top w:val="single" w:color="000000" w:sz="4" w:space="0"/>
                    <w:left w:val="single" w:color="000000" w:sz="4" w:space="0"/>
                    <w:right w:val="single" w:color="000000" w:sz="4" w:space="0"/>
                  </w:tcBorders>
                  <w:shd w:val="clear" w:color="auto" w:fill="auto"/>
                  <w:vAlign w:val="center"/>
                </w:tcPr>
                <w:p w14:paraId="4167D11A">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备注</w:t>
                  </w:r>
                </w:p>
              </w:tc>
            </w:tr>
            <w:tr w14:paraId="62C90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829" w:type="dxa"/>
                  <w:vMerge w:val="continue"/>
                  <w:tcBorders>
                    <w:left w:val="single" w:color="000000" w:sz="4" w:space="0"/>
                    <w:bottom w:val="single" w:color="000000" w:sz="4" w:space="0"/>
                    <w:right w:val="single" w:color="000000" w:sz="4" w:space="0"/>
                  </w:tcBorders>
                  <w:shd w:val="clear" w:color="auto" w:fill="auto"/>
                  <w:vAlign w:val="center"/>
                </w:tcPr>
                <w:p w14:paraId="6A9B29B7">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221" w:type="dxa"/>
                  <w:vMerge w:val="continue"/>
                  <w:tcBorders>
                    <w:left w:val="single" w:color="000000" w:sz="4" w:space="0"/>
                    <w:bottom w:val="single" w:color="000000" w:sz="4" w:space="0"/>
                    <w:right w:val="single" w:color="000000" w:sz="4" w:space="0"/>
                  </w:tcBorders>
                  <w:shd w:val="clear" w:color="auto" w:fill="auto"/>
                  <w:vAlign w:val="center"/>
                </w:tcPr>
                <w:p w14:paraId="506F4366">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E441">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扩建前</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0E07">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扩建后</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6926">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变化量</w:t>
                  </w:r>
                </w:p>
              </w:tc>
              <w:tc>
                <w:tcPr>
                  <w:tcW w:w="3186" w:type="dxa"/>
                  <w:vMerge w:val="continue"/>
                  <w:tcBorders>
                    <w:left w:val="single" w:color="000000" w:sz="4" w:space="0"/>
                    <w:bottom w:val="single" w:color="000000" w:sz="4" w:space="0"/>
                    <w:right w:val="single" w:color="000000" w:sz="4" w:space="0"/>
                  </w:tcBorders>
                  <w:shd w:val="clear" w:color="auto" w:fill="auto"/>
                  <w:vAlign w:val="center"/>
                </w:tcPr>
                <w:p w14:paraId="5C435940">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r>
            <w:tr w14:paraId="18CE6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5F84">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eastAsia" w:ascii="Times New Roman" w:hAnsi="Times New Roman" w:eastAsia="宋体" w:cs="Times New Roman"/>
                      <w:i w:val="0"/>
                      <w:iCs w:val="0"/>
                      <w:color w:val="auto"/>
                      <w:sz w:val="21"/>
                      <w:szCs w:val="21"/>
                      <w:u w:val="none"/>
                      <w:lang w:eastAsia="zh-CN"/>
                    </w:rPr>
                  </w:pPr>
                  <w:r>
                    <w:rPr>
                      <w:rFonts w:hint="eastAsia" w:cs="Times New Roman"/>
                      <w:i w:val="0"/>
                      <w:iCs w:val="0"/>
                      <w:color w:val="auto"/>
                      <w:sz w:val="21"/>
                      <w:szCs w:val="21"/>
                      <w:u w:val="none"/>
                      <w:lang w:eastAsia="zh-CN"/>
                    </w:rPr>
                    <w:t>水</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D5B4">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t/d</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D6A0">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300</w:t>
                  </w:r>
                  <w:r>
                    <w:rPr>
                      <w:rFonts w:hint="eastAsia" w:ascii="Times New Roman" w:hAnsi="Times New Roman" w:eastAsia="宋体" w:cs="Times New Roman"/>
                      <w:i w:val="0"/>
                      <w:iCs w:val="0"/>
                      <w:color w:val="auto"/>
                      <w:sz w:val="21"/>
                      <w:szCs w:val="21"/>
                      <w:u w:val="none"/>
                      <w:lang w:val="en-US" w:eastAsia="zh-CN"/>
                    </w:rPr>
                    <w:t>00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7FCE">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600</w:t>
                  </w:r>
                  <w:r>
                    <w:rPr>
                      <w:rFonts w:hint="eastAsia" w:ascii="Times New Roman" w:hAnsi="Times New Roman" w:eastAsia="宋体" w:cs="Times New Roman"/>
                      <w:i w:val="0"/>
                      <w:iCs w:val="0"/>
                      <w:color w:val="auto"/>
                      <w:sz w:val="21"/>
                      <w:szCs w:val="21"/>
                      <w:u w:val="none"/>
                      <w:lang w:val="en-US" w:eastAsia="zh-CN"/>
                    </w:rPr>
                    <w:t>00</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2071">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3</w:t>
                  </w:r>
                  <w:r>
                    <w:rPr>
                      <w:rFonts w:hint="eastAsia" w:cs="Times New Roman"/>
                      <w:i w:val="0"/>
                      <w:iCs w:val="0"/>
                      <w:color w:val="auto"/>
                      <w:sz w:val="21"/>
                      <w:szCs w:val="21"/>
                      <w:u w:val="none"/>
                      <w:lang w:val="en-US" w:eastAsia="zh-CN"/>
                    </w:rPr>
                    <w:t>00</w:t>
                  </w:r>
                  <w:r>
                    <w:rPr>
                      <w:rFonts w:hint="eastAsia" w:ascii="Times New Roman" w:hAnsi="Times New Roman" w:eastAsia="宋体" w:cs="Times New Roman"/>
                      <w:i w:val="0"/>
                      <w:iCs w:val="0"/>
                      <w:color w:val="auto"/>
                      <w:sz w:val="21"/>
                      <w:szCs w:val="21"/>
                      <w:u w:val="none"/>
                      <w:lang w:val="en-US" w:eastAsia="zh-CN"/>
                    </w:rPr>
                    <w:t>00</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0A85">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right="0"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满足</w:t>
                  </w:r>
                  <w:r>
                    <w:rPr>
                      <w:rFonts w:hint="eastAsia" w:ascii="Times New Roman" w:hAnsi="Times New Roman" w:eastAsia="宋体" w:cs="Times New Roman"/>
                      <w:i w:val="0"/>
                      <w:iCs w:val="0"/>
                      <w:color w:val="auto"/>
                      <w:kern w:val="0"/>
                      <w:sz w:val="21"/>
                      <w:szCs w:val="21"/>
                      <w:u w:val="none"/>
                      <w:lang w:val="en-US" w:eastAsia="zh-CN" w:bidi="ar"/>
                    </w:rPr>
                    <w:t>《生活饮用水卫生标准》（GB5749-2022）要求</w:t>
                  </w:r>
                </w:p>
              </w:tc>
            </w:tr>
          </w:tbl>
          <w:p w14:paraId="5941848E">
            <w:pPr>
              <w:pStyle w:val="61"/>
              <w:keepNext w:val="0"/>
              <w:keepLines w:val="0"/>
              <w:pageBreakBefore w:val="0"/>
              <w:widowControl w:val="0"/>
              <w:kinsoku/>
              <w:wordWrap/>
              <w:overflowPunct/>
              <w:topLinePunct w:val="0"/>
              <w:bidi w:val="0"/>
              <w:spacing w:beforeAutospacing="0" w:afterAutospacing="0"/>
              <w:ind w:left="0" w:leftChars="0" w:right="0" w:firstLine="482"/>
              <w:rPr>
                <w:rFonts w:hint="eastAsia" w:ascii="Times New Roman" w:hAnsi="Times New Roman" w:eastAsia="宋体" w:cs="Times New Roman"/>
                <w:b w:val="0"/>
                <w:bCs w:val="0"/>
                <w:color w:val="auto"/>
                <w:lang w:val="en-US" w:eastAsia="zh-CN"/>
              </w:rPr>
            </w:pPr>
            <w:r>
              <w:rPr>
                <w:rFonts w:hint="eastAsia"/>
                <w:b w:val="0"/>
                <w:bCs w:val="0"/>
                <w:color w:val="auto"/>
                <w:lang w:val="en-US" w:eastAsia="zh-CN"/>
              </w:rPr>
              <w:t>根据《潘集区农村居民供水安全保障规划》及袁庄水业与潘集区政府达成的《框架协议》约定，袁庄水厂扩建后主要供水范围为潘集区115个村的农村居民用户及潘集区主城区用水。袁庄水厂供水对象包括了田集街道和泥河镇、架河镇、夹沟镇、古沟回族乡、祁集镇等乡镇的城镇及农村人口，随着袁庄水厂供水规模的扩大及潘集区的</w:t>
            </w:r>
            <w:r>
              <w:rPr>
                <w:rFonts w:hint="eastAsia" w:ascii="Times New Roman" w:hAnsi="Times New Roman" w:eastAsia="宋体" w:cs="Times New Roman"/>
                <w:b w:val="0"/>
                <w:bCs w:val="0"/>
                <w:color w:val="auto"/>
                <w:lang w:val="en-US" w:eastAsia="zh-CN"/>
              </w:rPr>
              <w:t>整体发展需求，后期高平水厂服务的高皇镇也将纳入袁庄水厂服务范围，高平水厂作为中间加压泵站使用。</w:t>
            </w:r>
          </w:p>
          <w:p w14:paraId="0BC71096">
            <w:pPr>
              <w:pStyle w:val="61"/>
              <w:keepNext w:val="0"/>
              <w:keepLines w:val="0"/>
              <w:pageBreakBefore w:val="0"/>
              <w:widowControl w:val="0"/>
              <w:kinsoku/>
              <w:wordWrap/>
              <w:overflowPunct/>
              <w:topLinePunct w:val="0"/>
              <w:bidi w:val="0"/>
              <w:spacing w:beforeAutospacing="0" w:afterAutospacing="0"/>
              <w:ind w:left="0" w:leftChars="0" w:right="0" w:firstLine="482"/>
              <w:rPr>
                <w:rFonts w:hint="eastAsia" w:ascii="Times New Roman" w:hAnsi="Times New Roman" w:eastAsia="宋体" w:cs="Times New Roman"/>
                <w:b w:val="0"/>
                <w:bCs w:val="0"/>
                <w:color w:val="auto"/>
                <w:lang w:val="en-US" w:eastAsia="zh-CN"/>
              </w:rPr>
            </w:pPr>
            <w:bookmarkStart w:id="2" w:name="_Toc20249"/>
            <w:r>
              <w:rPr>
                <w:rFonts w:hint="eastAsia" w:ascii="Times New Roman" w:hAnsi="Times New Roman" w:eastAsia="宋体" w:cs="Times New Roman"/>
                <w:b w:val="0"/>
                <w:bCs w:val="0"/>
                <w:color w:val="auto"/>
                <w:lang w:val="en-US" w:eastAsia="zh-CN"/>
              </w:rPr>
              <w:t>（1）人口预测</w:t>
            </w:r>
            <w:bookmarkEnd w:id="2"/>
          </w:p>
          <w:p w14:paraId="6ED3FFC4">
            <w:pPr>
              <w:pStyle w:val="61"/>
              <w:keepNext w:val="0"/>
              <w:keepLines w:val="0"/>
              <w:pageBreakBefore w:val="0"/>
              <w:widowControl w:val="0"/>
              <w:kinsoku/>
              <w:wordWrap/>
              <w:overflowPunct/>
              <w:topLinePunct w:val="0"/>
              <w:bidi w:val="0"/>
              <w:spacing w:beforeAutospacing="0" w:afterAutospacing="0"/>
              <w:ind w:left="0" w:leftChars="0" w:right="0" w:firstLine="482"/>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近几年潘集区现状人口统计详见下表。</w:t>
            </w:r>
          </w:p>
          <w:p w14:paraId="5607E1A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表2-4  潘集区近年人口统计表</w:t>
            </w:r>
          </w:p>
          <w:tbl>
            <w:tblPr>
              <w:tblStyle w:val="31"/>
              <w:tblW w:w="4999" w:type="pct"/>
              <w:jc w:val="center"/>
              <w:tblLayout w:type="fixed"/>
              <w:tblCellMar>
                <w:top w:w="0" w:type="dxa"/>
                <w:left w:w="108" w:type="dxa"/>
                <w:bottom w:w="0" w:type="dxa"/>
                <w:right w:w="108" w:type="dxa"/>
              </w:tblCellMar>
            </w:tblPr>
            <w:tblGrid>
              <w:gridCol w:w="2349"/>
              <w:gridCol w:w="3129"/>
              <w:gridCol w:w="3130"/>
            </w:tblGrid>
            <w:tr w14:paraId="2AF846B8">
              <w:tblPrEx>
                <w:tblCellMar>
                  <w:top w:w="0" w:type="dxa"/>
                  <w:left w:w="108" w:type="dxa"/>
                  <w:bottom w:w="0" w:type="dxa"/>
                  <w:right w:w="108" w:type="dxa"/>
                </w:tblCellMar>
              </w:tblPrEx>
              <w:trPr>
                <w:trHeight w:val="270" w:hRule="atLeast"/>
                <w:jc w:val="center"/>
              </w:trPr>
              <w:tc>
                <w:tcPr>
                  <w:tcW w:w="1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FA1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年份</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72C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全区户籍人口（万人）</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07E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全区常住人口（万人）</w:t>
                  </w:r>
                </w:p>
              </w:tc>
            </w:tr>
            <w:tr w14:paraId="6305A8C2">
              <w:tblPrEx>
                <w:tblCellMar>
                  <w:top w:w="0" w:type="dxa"/>
                  <w:left w:w="108" w:type="dxa"/>
                  <w:bottom w:w="0" w:type="dxa"/>
                  <w:right w:w="108" w:type="dxa"/>
                </w:tblCellMar>
              </w:tblPrEx>
              <w:trPr>
                <w:trHeight w:val="270" w:hRule="atLeast"/>
                <w:jc w:val="center"/>
              </w:trPr>
              <w:tc>
                <w:tcPr>
                  <w:tcW w:w="1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DC8D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2018年末</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1C0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45.6</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014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41.2</w:t>
                  </w:r>
                </w:p>
              </w:tc>
            </w:tr>
            <w:tr w14:paraId="018ABB4A">
              <w:tblPrEx>
                <w:tblCellMar>
                  <w:top w:w="0" w:type="dxa"/>
                  <w:left w:w="108" w:type="dxa"/>
                  <w:bottom w:w="0" w:type="dxa"/>
                  <w:right w:w="108" w:type="dxa"/>
                </w:tblCellMar>
              </w:tblPrEx>
              <w:trPr>
                <w:trHeight w:val="270" w:hRule="atLeast"/>
                <w:jc w:val="center"/>
              </w:trPr>
              <w:tc>
                <w:tcPr>
                  <w:tcW w:w="1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06E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2019年末</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D790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45.8</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8C28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41.2</w:t>
                  </w:r>
                </w:p>
              </w:tc>
            </w:tr>
            <w:tr w14:paraId="6A70E55F">
              <w:tblPrEx>
                <w:tblCellMar>
                  <w:top w:w="0" w:type="dxa"/>
                  <w:left w:w="108" w:type="dxa"/>
                  <w:bottom w:w="0" w:type="dxa"/>
                  <w:right w:w="108" w:type="dxa"/>
                </w:tblCellMar>
              </w:tblPrEx>
              <w:trPr>
                <w:trHeight w:val="270" w:hRule="atLeast"/>
                <w:jc w:val="center"/>
              </w:trPr>
              <w:tc>
                <w:tcPr>
                  <w:tcW w:w="1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B2F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2021年末</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7B1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45.8</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E4D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32.48</w:t>
                  </w:r>
                </w:p>
              </w:tc>
            </w:tr>
            <w:tr w14:paraId="3647582D">
              <w:tblPrEx>
                <w:tblCellMar>
                  <w:top w:w="0" w:type="dxa"/>
                  <w:left w:w="108" w:type="dxa"/>
                  <w:bottom w:w="0" w:type="dxa"/>
                  <w:right w:w="108" w:type="dxa"/>
                </w:tblCellMar>
              </w:tblPrEx>
              <w:trPr>
                <w:trHeight w:val="270" w:hRule="atLeast"/>
                <w:jc w:val="center"/>
              </w:trPr>
              <w:tc>
                <w:tcPr>
                  <w:tcW w:w="1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C6DB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2022年末</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9D72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45.56</w:t>
                  </w:r>
                </w:p>
              </w:tc>
              <w:tc>
                <w:tcPr>
                  <w:tcW w:w="1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CC8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32.27</w:t>
                  </w:r>
                </w:p>
              </w:tc>
            </w:tr>
          </w:tbl>
          <w:p w14:paraId="49A1EB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根据表格统计可以看出，自2018年以来，全区户籍人口呈平稳略有减少趋势，全区常住人口逐年减少，故项目区人口增长率取零，以2022年末统计人口数来预测需水量。</w:t>
            </w:r>
          </w:p>
          <w:p w14:paraId="63D16F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潘集区规模水厂供水村（居）统计可知，水厂供水152个村；涉及总人口36.52万人，9.63万户，（贫困人口16102人,6585户）。袁庄水厂供水94个村，受益人口230393人，60004户，贫困人口9350人，3825户；茨源水厂供水37个村，受益人口91854人，24537户，贫困人口4489人，1774户；高平水厂供水21个村；受益人口43071人，11833户，贫困人口2263人，986户。由以上数据可知，三个水厂供水范围内共有农村人口数36.52万人。</w:t>
            </w:r>
          </w:p>
          <w:p w14:paraId="74A0A6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考虑到高平水厂供水范围纳入袁庄水厂，以2022年末全区户籍人口45.56万人考虑，其中袁庄水厂和高平水厂供水范围内农村人口数量为27.34万人，全区户籍人口45.56万人扣除农村人口27.34万人，其余城镇人口数量为9.04万人。</w:t>
            </w:r>
          </w:p>
          <w:p w14:paraId="521D2C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故袁庄水厂现状服务农村人口数为27.34万人，服务城镇人口数为9.04万人。</w:t>
            </w:r>
          </w:p>
          <w:p w14:paraId="44418F1B">
            <w:pPr>
              <w:pStyle w:val="2"/>
              <w:keepNext w:val="0"/>
              <w:keepLines w:val="0"/>
              <w:pageBreakBefore w:val="0"/>
              <w:widowControl w:val="0"/>
              <w:kinsoku/>
              <w:wordWrap/>
              <w:overflowPunct/>
              <w:topLinePunct w:val="0"/>
              <w:autoSpaceDE/>
              <w:autoSpaceDN/>
              <w:bidi w:val="0"/>
              <w:adjustRightInd/>
              <w:snapToGrid/>
              <w:spacing w:before="0" w:beforeLines="0"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bookmarkStart w:id="3" w:name="_Toc14702925"/>
            <w:bookmarkStart w:id="4" w:name="_Toc23048"/>
            <w:r>
              <w:rPr>
                <w:rFonts w:hint="eastAsia" w:ascii="Times New Roman" w:hAnsi="Times New Roman" w:eastAsia="宋体" w:cs="Times New Roman"/>
                <w:b w:val="0"/>
                <w:bCs w:val="0"/>
                <w:color w:val="auto"/>
                <w:kern w:val="2"/>
                <w:sz w:val="24"/>
                <w:szCs w:val="24"/>
                <w:lang w:val="en-US" w:eastAsia="zh-CN" w:bidi="ar-SA"/>
              </w:rPr>
              <w:t>（2）需水量预测</w:t>
            </w:r>
            <w:bookmarkEnd w:id="3"/>
            <w:bookmarkEnd w:id="4"/>
          </w:p>
          <w:p w14:paraId="221BDFC5">
            <w:pPr>
              <w:pStyle w:val="6"/>
              <w:keepNext w:val="0"/>
              <w:keepLines w:val="0"/>
              <w:pageBreakBefore w:val="0"/>
              <w:widowControl w:val="0"/>
              <w:numPr>
                <w:ilvl w:val="4"/>
                <w:numId w:val="0"/>
              </w:numPr>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bookmarkStart w:id="5" w:name="_Toc10724"/>
            <w:r>
              <w:rPr>
                <w:rFonts w:hint="eastAsia" w:ascii="Times New Roman" w:hAnsi="Times New Roman" w:eastAsia="宋体" w:cs="Times New Roman"/>
                <w:b w:val="0"/>
                <w:bCs w:val="0"/>
                <w:color w:val="auto"/>
                <w:kern w:val="2"/>
                <w:sz w:val="24"/>
                <w:szCs w:val="24"/>
                <w:lang w:val="en-US" w:eastAsia="zh-CN" w:bidi="ar-SA"/>
              </w:rPr>
              <w:t>①农村人口用水量预测</w:t>
            </w:r>
            <w:bookmarkEnd w:id="5"/>
          </w:p>
          <w:p w14:paraId="22643D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依据《安徽省淮南市潘集区农村居民供水安全保障规划（报批稿）》，近年来潘集区村庄居民用水量约为30-60L/（人·d），结合《村镇供水工程技术规范》（SL310-2019）和《镇（乡）给水工程规划规范）》（CJJ/T246-2016），采用综合用水量指标法和分项指标法，进行预测片区农村用水量，选择村庄人均综合用水量为100L/（人·d），人均生活用水指标为70L/（人·d）。</w:t>
            </w:r>
          </w:p>
          <w:p w14:paraId="7A9F80D2">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综合用水量指标法</w:t>
            </w:r>
          </w:p>
          <w:p w14:paraId="541DEA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选择村庄人均综合用水量为100L/（人·d），则服务范围内水量预测见下表。</w:t>
            </w:r>
          </w:p>
          <w:p w14:paraId="1AAAE45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表2-5  袁庄水厂服务范围内农村人口需水量（综合用水量指标法）预测一览表</w:t>
            </w:r>
          </w:p>
          <w:tbl>
            <w:tblPr>
              <w:tblStyle w:val="31"/>
              <w:tblW w:w="5000" w:type="pct"/>
              <w:jc w:val="center"/>
              <w:tblLayout w:type="fixed"/>
              <w:tblCellMar>
                <w:top w:w="0" w:type="dxa"/>
                <w:left w:w="108" w:type="dxa"/>
                <w:bottom w:w="0" w:type="dxa"/>
                <w:right w:w="108" w:type="dxa"/>
              </w:tblCellMar>
            </w:tblPr>
            <w:tblGrid>
              <w:gridCol w:w="4385"/>
              <w:gridCol w:w="4225"/>
            </w:tblGrid>
            <w:tr w14:paraId="0531A8ED">
              <w:tblPrEx>
                <w:tblCellMar>
                  <w:top w:w="0" w:type="dxa"/>
                  <w:left w:w="108" w:type="dxa"/>
                  <w:bottom w:w="0" w:type="dxa"/>
                  <w:right w:w="108" w:type="dxa"/>
                </w:tblCellMar>
              </w:tblPrEx>
              <w:trPr>
                <w:trHeight w:val="272" w:hRule="atLeast"/>
                <w:jc w:val="center"/>
              </w:trPr>
              <w:tc>
                <w:tcPr>
                  <w:tcW w:w="3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22A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2"/>
                    </w:rPr>
                  </w:pPr>
                  <w:r>
                    <w:rPr>
                      <w:b/>
                      <w:bCs/>
                      <w:color w:val="auto"/>
                      <w:kern w:val="0"/>
                      <w:sz w:val="22"/>
                      <w:lang w:bidi="ar"/>
                    </w:rPr>
                    <w:t>名称</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C90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2"/>
                    </w:rPr>
                  </w:pPr>
                  <w:r>
                    <w:rPr>
                      <w:b/>
                      <w:bCs/>
                      <w:color w:val="auto"/>
                      <w:sz w:val="22"/>
                    </w:rPr>
                    <w:t>2022年</w:t>
                  </w:r>
                </w:p>
              </w:tc>
            </w:tr>
            <w:tr w14:paraId="1C6780AA">
              <w:tblPrEx>
                <w:tblCellMar>
                  <w:top w:w="0" w:type="dxa"/>
                  <w:left w:w="108" w:type="dxa"/>
                  <w:bottom w:w="0" w:type="dxa"/>
                  <w:right w:w="108" w:type="dxa"/>
                </w:tblCellMar>
              </w:tblPrEx>
              <w:trPr>
                <w:trHeight w:val="272" w:hRule="atLeast"/>
                <w:jc w:val="center"/>
              </w:trPr>
              <w:tc>
                <w:tcPr>
                  <w:tcW w:w="3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32F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服务人口（万人）</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2D1C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27.34</w:t>
                  </w:r>
                </w:p>
              </w:tc>
            </w:tr>
            <w:tr w14:paraId="29F6DBD0">
              <w:tblPrEx>
                <w:tblCellMar>
                  <w:top w:w="0" w:type="dxa"/>
                  <w:left w:w="108" w:type="dxa"/>
                  <w:bottom w:w="0" w:type="dxa"/>
                  <w:right w:w="108" w:type="dxa"/>
                </w:tblCellMar>
              </w:tblPrEx>
              <w:trPr>
                <w:trHeight w:val="272" w:hRule="atLeast"/>
                <w:jc w:val="center"/>
              </w:trPr>
              <w:tc>
                <w:tcPr>
                  <w:tcW w:w="3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AF6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综合用水量指标（L/cap.d）</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904B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100</w:t>
                  </w:r>
                </w:p>
              </w:tc>
            </w:tr>
            <w:tr w14:paraId="1564F9D7">
              <w:tblPrEx>
                <w:tblCellMar>
                  <w:top w:w="0" w:type="dxa"/>
                  <w:left w:w="108" w:type="dxa"/>
                  <w:bottom w:w="0" w:type="dxa"/>
                  <w:right w:w="108" w:type="dxa"/>
                </w:tblCellMar>
              </w:tblPrEx>
              <w:trPr>
                <w:trHeight w:val="272" w:hRule="atLeast"/>
                <w:jc w:val="center"/>
              </w:trPr>
              <w:tc>
                <w:tcPr>
                  <w:tcW w:w="3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93A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需水量（万m</w:t>
                  </w:r>
                  <w:r>
                    <w:rPr>
                      <w:color w:val="auto"/>
                      <w:kern w:val="0"/>
                      <w:sz w:val="22"/>
                      <w:vertAlign w:val="superscript"/>
                      <w:lang w:bidi="ar"/>
                    </w:rPr>
                    <w:t>3</w:t>
                  </w:r>
                  <w:r>
                    <w:rPr>
                      <w:color w:val="auto"/>
                      <w:kern w:val="0"/>
                      <w:sz w:val="22"/>
                      <w:lang w:bidi="ar"/>
                    </w:rPr>
                    <w:t>/d）</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466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2.73</w:t>
                  </w:r>
                </w:p>
              </w:tc>
            </w:tr>
          </w:tbl>
          <w:p w14:paraId="47E57E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采用综合用水量指标法预测袁庄水厂服务范围内的农村人口需水量约为2.73万m3/d。</w:t>
            </w:r>
          </w:p>
          <w:p w14:paraId="4A235F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2）分项预测指标法</w:t>
            </w:r>
          </w:p>
          <w:p w14:paraId="4A0BB4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分项预测指标为居民生活用水量、公共建筑用水量、企业用水量以及管网漏算水量和未预见水量几部分组成。</w:t>
            </w:r>
          </w:p>
          <w:p w14:paraId="3E2261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规划2022年人均生活用水指标取70L/cap.d，给水普及率按100%计；公共建筑用水量取居民生活用水量的10%；企业用水量按照居民生活用水量的10%计算；管网漏算水量和未预见水量取上述用水量之和的15%。设计供水规模见下表：</w:t>
            </w:r>
          </w:p>
          <w:p w14:paraId="4808073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表2-6  袁庄水厂服务范围内需水量(分项预测指标法)预测一览表</w:t>
            </w:r>
          </w:p>
          <w:tbl>
            <w:tblPr>
              <w:tblStyle w:val="31"/>
              <w:tblW w:w="4999" w:type="pct"/>
              <w:jc w:val="center"/>
              <w:tblLayout w:type="fixed"/>
              <w:tblCellMar>
                <w:top w:w="0" w:type="dxa"/>
                <w:left w:w="108" w:type="dxa"/>
                <w:bottom w:w="0" w:type="dxa"/>
                <w:right w:w="108" w:type="dxa"/>
              </w:tblCellMar>
            </w:tblPr>
            <w:tblGrid>
              <w:gridCol w:w="4840"/>
              <w:gridCol w:w="3768"/>
            </w:tblGrid>
            <w:tr w14:paraId="6E6ACE23">
              <w:tblPrEx>
                <w:tblCellMar>
                  <w:top w:w="0" w:type="dxa"/>
                  <w:left w:w="108" w:type="dxa"/>
                  <w:bottom w:w="0" w:type="dxa"/>
                  <w:right w:w="108" w:type="dxa"/>
                </w:tblCellMar>
              </w:tblPrEx>
              <w:trPr>
                <w:trHeight w:val="270" w:hRule="atLeast"/>
                <w:jc w:val="center"/>
              </w:trPr>
              <w:tc>
                <w:tcPr>
                  <w:tcW w:w="2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F636">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名称</w:t>
                  </w:r>
                </w:p>
              </w:tc>
              <w:tc>
                <w:tcPr>
                  <w:tcW w:w="2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7405">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2022年</w:t>
                  </w:r>
                </w:p>
              </w:tc>
            </w:tr>
            <w:tr w14:paraId="6980DC3B">
              <w:tblPrEx>
                <w:tblCellMar>
                  <w:top w:w="0" w:type="dxa"/>
                  <w:left w:w="108" w:type="dxa"/>
                  <w:bottom w:w="0" w:type="dxa"/>
                  <w:right w:w="108" w:type="dxa"/>
                </w:tblCellMar>
              </w:tblPrEx>
              <w:trPr>
                <w:trHeight w:val="270" w:hRule="atLeast"/>
                <w:jc w:val="center"/>
              </w:trPr>
              <w:tc>
                <w:tcPr>
                  <w:tcW w:w="2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30B41">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服务人口（万人）</w:t>
                  </w:r>
                </w:p>
              </w:tc>
              <w:tc>
                <w:tcPr>
                  <w:tcW w:w="2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37DE0">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27.34</w:t>
                  </w:r>
                </w:p>
              </w:tc>
            </w:tr>
            <w:tr w14:paraId="69B6DE5E">
              <w:tblPrEx>
                <w:tblCellMar>
                  <w:top w:w="0" w:type="dxa"/>
                  <w:left w:w="108" w:type="dxa"/>
                  <w:bottom w:w="0" w:type="dxa"/>
                  <w:right w:w="108" w:type="dxa"/>
                </w:tblCellMar>
              </w:tblPrEx>
              <w:trPr>
                <w:trHeight w:val="270" w:hRule="atLeast"/>
                <w:jc w:val="center"/>
              </w:trPr>
              <w:tc>
                <w:tcPr>
                  <w:tcW w:w="2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A5D1">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居民生活用水量</w:t>
                  </w:r>
                </w:p>
              </w:tc>
              <w:tc>
                <w:tcPr>
                  <w:tcW w:w="2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095C">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1.91</w:t>
                  </w:r>
                </w:p>
              </w:tc>
            </w:tr>
            <w:tr w14:paraId="2C13C225">
              <w:tblPrEx>
                <w:tblCellMar>
                  <w:top w:w="0" w:type="dxa"/>
                  <w:left w:w="108" w:type="dxa"/>
                  <w:bottom w:w="0" w:type="dxa"/>
                  <w:right w:w="108" w:type="dxa"/>
                </w:tblCellMar>
              </w:tblPrEx>
              <w:trPr>
                <w:trHeight w:val="285" w:hRule="atLeast"/>
                <w:jc w:val="center"/>
              </w:trPr>
              <w:tc>
                <w:tcPr>
                  <w:tcW w:w="2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DB516">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公共建筑用水量</w:t>
                  </w:r>
                </w:p>
              </w:tc>
              <w:tc>
                <w:tcPr>
                  <w:tcW w:w="2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8C6EA">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0.19</w:t>
                  </w:r>
                </w:p>
              </w:tc>
            </w:tr>
            <w:tr w14:paraId="33821267">
              <w:tblPrEx>
                <w:tblCellMar>
                  <w:top w:w="0" w:type="dxa"/>
                  <w:left w:w="108" w:type="dxa"/>
                  <w:bottom w:w="0" w:type="dxa"/>
                  <w:right w:w="108" w:type="dxa"/>
                </w:tblCellMar>
              </w:tblPrEx>
              <w:trPr>
                <w:trHeight w:val="270" w:hRule="atLeast"/>
                <w:jc w:val="center"/>
              </w:trPr>
              <w:tc>
                <w:tcPr>
                  <w:tcW w:w="2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BD5B1">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企业用水量</w:t>
                  </w:r>
                </w:p>
              </w:tc>
              <w:tc>
                <w:tcPr>
                  <w:tcW w:w="2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1AF62">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0.19</w:t>
                  </w:r>
                </w:p>
              </w:tc>
            </w:tr>
            <w:tr w14:paraId="012116A4">
              <w:tblPrEx>
                <w:tblCellMar>
                  <w:top w:w="0" w:type="dxa"/>
                  <w:left w:w="108" w:type="dxa"/>
                  <w:bottom w:w="0" w:type="dxa"/>
                  <w:right w:w="108" w:type="dxa"/>
                </w:tblCellMar>
              </w:tblPrEx>
              <w:trPr>
                <w:trHeight w:val="270" w:hRule="atLeast"/>
                <w:jc w:val="center"/>
              </w:trPr>
              <w:tc>
                <w:tcPr>
                  <w:tcW w:w="2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8BE0E">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管网漏算水量和未预见水量</w:t>
                  </w:r>
                </w:p>
              </w:tc>
              <w:tc>
                <w:tcPr>
                  <w:tcW w:w="2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E140">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0.34</w:t>
                  </w:r>
                </w:p>
              </w:tc>
            </w:tr>
            <w:tr w14:paraId="507C161F">
              <w:tblPrEx>
                <w:tblCellMar>
                  <w:top w:w="0" w:type="dxa"/>
                  <w:left w:w="108" w:type="dxa"/>
                  <w:bottom w:w="0" w:type="dxa"/>
                  <w:right w:w="108" w:type="dxa"/>
                </w:tblCellMar>
              </w:tblPrEx>
              <w:trPr>
                <w:trHeight w:val="285" w:hRule="atLeast"/>
                <w:jc w:val="center"/>
              </w:trPr>
              <w:tc>
                <w:tcPr>
                  <w:tcW w:w="2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4281">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合计</w:t>
                  </w:r>
                </w:p>
              </w:tc>
              <w:tc>
                <w:tcPr>
                  <w:tcW w:w="2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A4028">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rPr>
                  </w:pPr>
                  <w:r>
                    <w:rPr>
                      <w:rFonts w:hint="default" w:ascii="Times New Roman" w:hAnsi="Times New Roman" w:cs="Times New Roman"/>
                      <w:color w:val="auto"/>
                    </w:rPr>
                    <w:t>2.64</w:t>
                  </w:r>
                </w:p>
              </w:tc>
            </w:tr>
          </w:tbl>
          <w:p w14:paraId="42E269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采用分项预测指标法预测袁庄水厂服务范围内的农村人口需水量约为2.64万m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p>
          <w:p w14:paraId="02FF87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综合以上两种方法取均值，本工程服务范围内农村人口用水量约为2.69万m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p>
          <w:p w14:paraId="1FF930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bookmarkStart w:id="6" w:name="_Toc22214"/>
            <w:r>
              <w:rPr>
                <w:rFonts w:hint="eastAsia" w:ascii="Times New Roman" w:hAnsi="Times New Roman" w:eastAsia="宋体" w:cs="Times New Roman"/>
                <w:b w:val="0"/>
                <w:bCs w:val="0"/>
                <w:color w:val="auto"/>
                <w:kern w:val="2"/>
                <w:sz w:val="24"/>
                <w:szCs w:val="24"/>
                <w:lang w:val="en-US" w:eastAsia="zh-CN" w:bidi="ar-SA"/>
              </w:rPr>
              <w:t>②城镇人口用水量预测</w:t>
            </w:r>
            <w:bookmarkEnd w:id="6"/>
          </w:p>
          <w:p w14:paraId="35BA71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根据《城市给水工程规划规范》（GB50282-2016），选用城市综合用水量指标法和综合生活用水比例相关法两种方法进行城镇用水量的预测。</w:t>
            </w:r>
          </w:p>
          <w:p w14:paraId="4CAB2B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A.城市综合用水量指标法</w:t>
            </w:r>
          </w:p>
          <w:p w14:paraId="5DBFB2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参考《城市给水工程规划规范》（GB50282-2016），潘集区属于一区I型小城市，潘集区城市综合用水量指标为0.30~0.60万m3/（万人·d），结合潘集区城镇人口用水量及《淮南市潘集区城区给水工程专业规划（2016~2030）》，确定潘集区最高日综合用水量指标为0.35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/（万人·d）。则服务范围内城镇用水量预测见下表。</w:t>
            </w:r>
          </w:p>
          <w:p w14:paraId="1E3B4EA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Times New Roman" w:hAnsi="Times New Roman" w:eastAsia="宋体" w:cs="Times New Roman"/>
                <w:b/>
                <w:bCs/>
                <w:color w:val="auto"/>
                <w:spacing w:val="0"/>
                <w:w w:val="100"/>
                <w:kern w:val="2"/>
                <w:sz w:val="24"/>
                <w:szCs w:val="24"/>
                <w:highlight w:val="none"/>
                <w:lang w:val="en-US" w:eastAsia="zh-CN" w:bidi="ar-SA"/>
              </w:rPr>
            </w:pPr>
            <w:r>
              <w:rPr>
                <w:rFonts w:hint="eastAsia" w:ascii="Times New Roman" w:hAnsi="Times New Roman" w:eastAsia="宋体" w:cs="Times New Roman"/>
                <w:b/>
                <w:bCs/>
                <w:color w:val="auto"/>
                <w:spacing w:val="0"/>
                <w:w w:val="100"/>
                <w:kern w:val="2"/>
                <w:sz w:val="24"/>
                <w:szCs w:val="24"/>
                <w:highlight w:val="none"/>
                <w:lang w:val="en-US" w:eastAsia="zh-CN" w:bidi="ar-SA"/>
              </w:rPr>
              <w:t>表2-7 城镇人口需水量（城市综合用水量指标法）预测一览表</w:t>
            </w:r>
          </w:p>
          <w:tbl>
            <w:tblPr>
              <w:tblStyle w:val="31"/>
              <w:tblW w:w="5000" w:type="pct"/>
              <w:jc w:val="center"/>
              <w:tblLayout w:type="fixed"/>
              <w:tblCellMar>
                <w:top w:w="0" w:type="dxa"/>
                <w:left w:w="108" w:type="dxa"/>
                <w:bottom w:w="0" w:type="dxa"/>
                <w:right w:w="108" w:type="dxa"/>
              </w:tblCellMar>
            </w:tblPr>
            <w:tblGrid>
              <w:gridCol w:w="4470"/>
              <w:gridCol w:w="4140"/>
            </w:tblGrid>
            <w:tr w14:paraId="526CAAD7">
              <w:tblPrEx>
                <w:tblCellMar>
                  <w:top w:w="0" w:type="dxa"/>
                  <w:left w:w="108" w:type="dxa"/>
                  <w:bottom w:w="0" w:type="dxa"/>
                  <w:right w:w="108" w:type="dxa"/>
                </w:tblCellMar>
              </w:tblPrEx>
              <w:trPr>
                <w:trHeight w:val="272" w:hRule="atLeast"/>
                <w:jc w:val="center"/>
              </w:trPr>
              <w:tc>
                <w:tcPr>
                  <w:tcW w:w="3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5DB0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2"/>
                    </w:rPr>
                  </w:pPr>
                  <w:r>
                    <w:rPr>
                      <w:b/>
                      <w:bCs/>
                      <w:color w:val="auto"/>
                      <w:kern w:val="0"/>
                      <w:sz w:val="22"/>
                      <w:lang w:bidi="ar"/>
                    </w:rPr>
                    <w:t>名称</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14EE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2"/>
                    </w:rPr>
                  </w:pPr>
                  <w:r>
                    <w:rPr>
                      <w:b/>
                      <w:bCs/>
                      <w:color w:val="auto"/>
                      <w:sz w:val="22"/>
                    </w:rPr>
                    <w:t>2022年</w:t>
                  </w:r>
                </w:p>
              </w:tc>
            </w:tr>
            <w:tr w14:paraId="2108D1E7">
              <w:tblPrEx>
                <w:tblCellMar>
                  <w:top w:w="0" w:type="dxa"/>
                  <w:left w:w="108" w:type="dxa"/>
                  <w:bottom w:w="0" w:type="dxa"/>
                  <w:right w:w="108" w:type="dxa"/>
                </w:tblCellMar>
              </w:tblPrEx>
              <w:trPr>
                <w:trHeight w:val="272" w:hRule="atLeast"/>
                <w:jc w:val="center"/>
              </w:trPr>
              <w:tc>
                <w:tcPr>
                  <w:tcW w:w="3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2D96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服务人口（万人）</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932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9.04</w:t>
                  </w:r>
                </w:p>
              </w:tc>
            </w:tr>
            <w:tr w14:paraId="6E31CBFE">
              <w:tblPrEx>
                <w:tblCellMar>
                  <w:top w:w="0" w:type="dxa"/>
                  <w:left w:w="108" w:type="dxa"/>
                  <w:bottom w:w="0" w:type="dxa"/>
                  <w:right w:w="108" w:type="dxa"/>
                </w:tblCellMar>
              </w:tblPrEx>
              <w:trPr>
                <w:trHeight w:val="272" w:hRule="atLeast"/>
                <w:jc w:val="center"/>
              </w:trPr>
              <w:tc>
                <w:tcPr>
                  <w:tcW w:w="3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94E4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综合用水量指标（万m</w:t>
                  </w:r>
                  <w:r>
                    <w:rPr>
                      <w:color w:val="auto"/>
                      <w:kern w:val="0"/>
                      <w:sz w:val="22"/>
                      <w:vertAlign w:val="superscript"/>
                      <w:lang w:bidi="ar"/>
                    </w:rPr>
                    <w:t>3</w:t>
                  </w:r>
                  <w:r>
                    <w:rPr>
                      <w:color w:val="auto"/>
                      <w:kern w:val="0"/>
                      <w:sz w:val="22"/>
                      <w:lang w:bidi="ar"/>
                    </w:rPr>
                    <w:t>/（万人·d））</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DEF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0.35</w:t>
                  </w:r>
                </w:p>
              </w:tc>
            </w:tr>
            <w:tr w14:paraId="2CF24CAD">
              <w:tblPrEx>
                <w:tblCellMar>
                  <w:top w:w="0" w:type="dxa"/>
                  <w:left w:w="108" w:type="dxa"/>
                  <w:bottom w:w="0" w:type="dxa"/>
                  <w:right w:w="108" w:type="dxa"/>
                </w:tblCellMar>
              </w:tblPrEx>
              <w:trPr>
                <w:trHeight w:val="272" w:hRule="atLeast"/>
                <w:jc w:val="center"/>
              </w:trPr>
              <w:tc>
                <w:tcPr>
                  <w:tcW w:w="3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C69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需水量（万m</w:t>
                  </w:r>
                  <w:r>
                    <w:rPr>
                      <w:color w:val="auto"/>
                      <w:kern w:val="0"/>
                      <w:sz w:val="22"/>
                      <w:vertAlign w:val="superscript"/>
                      <w:lang w:bidi="ar"/>
                    </w:rPr>
                    <w:t>3</w:t>
                  </w:r>
                  <w:r>
                    <w:rPr>
                      <w:color w:val="auto"/>
                      <w:kern w:val="0"/>
                      <w:sz w:val="22"/>
                      <w:lang w:bidi="ar"/>
                    </w:rPr>
                    <w:t>/d）</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3C6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2"/>
                    </w:rPr>
                  </w:pPr>
                  <w:r>
                    <w:rPr>
                      <w:color w:val="auto"/>
                      <w:kern w:val="0"/>
                      <w:sz w:val="22"/>
                      <w:lang w:bidi="ar"/>
                    </w:rPr>
                    <w:t>3.16</w:t>
                  </w:r>
                </w:p>
              </w:tc>
            </w:tr>
          </w:tbl>
          <w:p w14:paraId="174EAA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采用城市综合用水量指标法预测袁庄水厂服务范围内的城镇人口需水量约为3.16万m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p>
          <w:p w14:paraId="3FEB87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B.综合生活用水比例相关法预测</w:t>
            </w:r>
          </w:p>
          <w:p w14:paraId="49AA18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淮南市潘集区城区给水工程专业规划（2016~2030）》，潘集区城区现状工业用水与综合生活用水定额的比值约为0.35，考虑到淮南市淮南到潘集建大桥的方案已论证通过，规划夹沟镇建设高速路口，这一系列工程在未来可能拉动潘集经济发展，故工业用水量与综合生活用水量的比值取0.38。其他用水系数取0.1。参考《城市给水工程规划规范》（GB50282-2016），潘集区属于一区I型小城市，潘集区城市综合生活用水量指标为190~350L/（人·d），结合潘集区城镇人口用水量及《淮南市潘集区城区给水工程专业规划（2016~2030）》，确定潘集区最高日综合用水量指标为240L/（人·d），则服务范围内城镇用水量预测见下表。</w:t>
            </w:r>
          </w:p>
          <w:p w14:paraId="1D85769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Times New Roman" w:hAnsi="Times New Roman" w:eastAsia="宋体" w:cs="Times New Roman"/>
                <w:b/>
                <w:bCs/>
                <w:color w:val="auto"/>
                <w:spacing w:val="0"/>
                <w:w w:val="100"/>
                <w:kern w:val="2"/>
                <w:sz w:val="24"/>
                <w:szCs w:val="24"/>
                <w:highlight w:val="none"/>
                <w:lang w:val="en-US" w:eastAsia="zh-CN" w:bidi="ar-SA"/>
              </w:rPr>
            </w:pPr>
            <w:r>
              <w:rPr>
                <w:rFonts w:hint="eastAsia" w:ascii="Times New Roman" w:hAnsi="Times New Roman" w:eastAsia="宋体" w:cs="Times New Roman"/>
                <w:b/>
                <w:bCs/>
                <w:color w:val="auto"/>
                <w:spacing w:val="0"/>
                <w:w w:val="100"/>
                <w:kern w:val="2"/>
                <w:sz w:val="24"/>
                <w:szCs w:val="24"/>
                <w:highlight w:val="none"/>
                <w:lang w:val="en-US" w:eastAsia="zh-CN" w:bidi="ar-SA"/>
              </w:rPr>
              <w:t>表2-8  城镇人口需水量（综合生活用水比例相关法）预测一览表</w:t>
            </w:r>
          </w:p>
          <w:tbl>
            <w:tblPr>
              <w:tblStyle w:val="31"/>
              <w:tblW w:w="5000" w:type="pct"/>
              <w:jc w:val="center"/>
              <w:tblLayout w:type="fixed"/>
              <w:tblCellMar>
                <w:top w:w="0" w:type="dxa"/>
                <w:left w:w="108" w:type="dxa"/>
                <w:bottom w:w="0" w:type="dxa"/>
                <w:right w:w="108" w:type="dxa"/>
              </w:tblCellMar>
            </w:tblPr>
            <w:tblGrid>
              <w:gridCol w:w="4474"/>
              <w:gridCol w:w="4136"/>
            </w:tblGrid>
            <w:tr w14:paraId="6B5DD224">
              <w:tblPrEx>
                <w:tblCellMar>
                  <w:top w:w="0" w:type="dxa"/>
                  <w:left w:w="108" w:type="dxa"/>
                  <w:bottom w:w="0" w:type="dxa"/>
                  <w:right w:w="108" w:type="dxa"/>
                </w:tblCellMar>
              </w:tblPrEx>
              <w:trPr>
                <w:trHeight w:val="272" w:hRule="atLeast"/>
                <w:jc w:val="center"/>
              </w:trPr>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5E36">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06AC">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2022年</w:t>
                  </w:r>
                </w:p>
              </w:tc>
            </w:tr>
            <w:tr w14:paraId="52D2F56F">
              <w:tblPrEx>
                <w:tblCellMar>
                  <w:top w:w="0" w:type="dxa"/>
                  <w:left w:w="108" w:type="dxa"/>
                  <w:bottom w:w="0" w:type="dxa"/>
                  <w:right w:w="108" w:type="dxa"/>
                </w:tblCellMar>
              </w:tblPrEx>
              <w:trPr>
                <w:trHeight w:val="272" w:hRule="atLeast"/>
                <w:jc w:val="center"/>
              </w:trPr>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3B13B">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服务人口（万人）</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EB8A">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9.04</w:t>
                  </w:r>
                </w:p>
              </w:tc>
            </w:tr>
            <w:tr w14:paraId="4081BD9A">
              <w:tblPrEx>
                <w:tblCellMar>
                  <w:top w:w="0" w:type="dxa"/>
                  <w:left w:w="108" w:type="dxa"/>
                  <w:bottom w:w="0" w:type="dxa"/>
                  <w:right w:w="108" w:type="dxa"/>
                </w:tblCellMar>
              </w:tblPrEx>
              <w:trPr>
                <w:trHeight w:val="272" w:hRule="atLeast"/>
                <w:jc w:val="center"/>
              </w:trPr>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772C">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综合生活用水量指标（L/（人·d））</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9046">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w:t>
                  </w:r>
                </w:p>
              </w:tc>
            </w:tr>
            <w:tr w14:paraId="1288C0CF">
              <w:tblPrEx>
                <w:tblCellMar>
                  <w:top w:w="0" w:type="dxa"/>
                  <w:left w:w="108" w:type="dxa"/>
                  <w:bottom w:w="0" w:type="dxa"/>
                  <w:right w:w="108" w:type="dxa"/>
                </w:tblCellMar>
              </w:tblPrEx>
              <w:trPr>
                <w:trHeight w:val="272" w:hRule="atLeast"/>
                <w:jc w:val="center"/>
              </w:trPr>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8434">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工业用水量与综合生活用水量比值</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8EC4">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0.38</w:t>
                  </w:r>
                </w:p>
              </w:tc>
            </w:tr>
            <w:tr w14:paraId="4C07584A">
              <w:tblPrEx>
                <w:tblCellMar>
                  <w:top w:w="0" w:type="dxa"/>
                  <w:left w:w="108" w:type="dxa"/>
                  <w:bottom w:w="0" w:type="dxa"/>
                  <w:right w:w="108" w:type="dxa"/>
                </w:tblCellMar>
              </w:tblPrEx>
              <w:trPr>
                <w:trHeight w:val="272" w:hRule="atLeast"/>
                <w:jc w:val="center"/>
              </w:trPr>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833E">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其他用水系数</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A449">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w:t>
                  </w:r>
                </w:p>
              </w:tc>
            </w:tr>
            <w:tr w14:paraId="1EB892FA">
              <w:tblPrEx>
                <w:tblCellMar>
                  <w:top w:w="0" w:type="dxa"/>
                  <w:left w:w="108" w:type="dxa"/>
                  <w:bottom w:w="0" w:type="dxa"/>
                  <w:right w:w="108" w:type="dxa"/>
                </w:tblCellMar>
              </w:tblPrEx>
              <w:trPr>
                <w:trHeight w:val="272" w:hRule="atLeast"/>
                <w:jc w:val="center"/>
              </w:trPr>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EB92">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需水量（万m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p>
              </w:tc>
              <w:tc>
                <w:tcPr>
                  <w:tcW w:w="3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0DF7">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3.29</w:t>
                  </w:r>
                </w:p>
              </w:tc>
            </w:tr>
          </w:tbl>
          <w:p w14:paraId="3FA6B4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采用综合生活用水比例相关法预测淮袁庄水厂服务范围内的城镇人口需水量约为3.29万m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p>
          <w:p w14:paraId="797132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综合以上两种方法取均值，本工程服务范围内城镇人口用水量约为3.22万m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p>
          <w:p w14:paraId="06B398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bookmarkStart w:id="7" w:name="_Toc28528"/>
            <w:r>
              <w:rPr>
                <w:rFonts w:hint="eastAsia" w:ascii="Times New Roman" w:hAnsi="Times New Roman" w:eastAsia="宋体" w:cs="Times New Roman"/>
                <w:b w:val="0"/>
                <w:bCs w:val="0"/>
                <w:color w:val="auto"/>
                <w:kern w:val="2"/>
                <w:sz w:val="24"/>
                <w:szCs w:val="24"/>
                <w:lang w:val="en-US" w:eastAsia="zh-CN" w:bidi="ar-SA"/>
              </w:rPr>
              <w:t>（3）供需水平衡</w:t>
            </w:r>
            <w:bookmarkEnd w:id="7"/>
          </w:p>
          <w:p w14:paraId="32E206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综合以上方法，袁庄水厂总需水量（包含农村人口用水量及城镇人口用水量）预测约为5.91万m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/d，考虑预留一定富裕量，确定袁庄水厂总供水规模为6万m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p>
          <w:p w14:paraId="0AD5DC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袁庄水厂现状供水规模可3万m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/d，根据水量预测，随着农村人口用水及高平水厂服务范围的纳入，袁庄水厂服务范围内总需水量约为6万m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/d，故扩建袁庄水厂至6万m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/d，满足近远期供水需求。</w:t>
            </w:r>
          </w:p>
          <w:p w14:paraId="3997A1FD">
            <w:pPr>
              <w:pStyle w:val="61"/>
              <w:keepNext w:val="0"/>
              <w:keepLines w:val="0"/>
              <w:pageBreakBefore w:val="0"/>
              <w:widowControl w:val="0"/>
              <w:kinsoku/>
              <w:wordWrap/>
              <w:overflowPunct/>
              <w:topLinePunct w:val="0"/>
              <w:bidi w:val="0"/>
              <w:spacing w:beforeAutospacing="0" w:afterAutospacing="0"/>
              <w:ind w:left="0" w:leftChars="0" w:right="0" w:firstLine="482"/>
              <w:rPr>
                <w:color w:val="auto"/>
              </w:rPr>
            </w:pPr>
            <w:r>
              <w:rPr>
                <w:rFonts w:hint="eastAsia"/>
                <w:color w:val="auto"/>
                <w:lang w:val="en-US" w:eastAsia="zh-CN"/>
              </w:rPr>
              <w:t>4</w:t>
            </w:r>
            <w:r>
              <w:rPr>
                <w:color w:val="auto"/>
              </w:rPr>
              <w:t>、主要生产设备</w:t>
            </w:r>
          </w:p>
          <w:p w14:paraId="1E9D3199">
            <w:pPr>
              <w:pStyle w:val="87"/>
              <w:keepNext w:val="0"/>
              <w:keepLines w:val="0"/>
              <w:pageBreakBefore w:val="0"/>
              <w:widowControl w:val="0"/>
              <w:kinsoku/>
              <w:wordWrap/>
              <w:overflowPunct/>
              <w:topLinePunct w:val="0"/>
              <w:bidi w:val="0"/>
              <w:spacing w:beforeAutospacing="0" w:afterAutospacing="0"/>
              <w:ind w:left="0" w:leftChars="0" w:right="0" w:firstLine="480"/>
              <w:rPr>
                <w:b/>
                <w:bCs/>
                <w:color w:val="auto"/>
                <w:sz w:val="21"/>
                <w:szCs w:val="21"/>
              </w:rPr>
            </w:pPr>
            <w:r>
              <w:rPr>
                <w:color w:val="auto"/>
              </w:rPr>
              <w:t>生产设备情况如下表。</w:t>
            </w:r>
          </w:p>
          <w:p w14:paraId="1CA0FE85">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b/>
                <w:bCs/>
                <w:color w:val="auto"/>
                <w:sz w:val="21"/>
                <w:szCs w:val="21"/>
              </w:rPr>
            </w:pPr>
            <w:r>
              <w:rPr>
                <w:b/>
                <w:bCs/>
                <w:color w:val="auto"/>
                <w:sz w:val="24"/>
                <w:szCs w:val="24"/>
              </w:rPr>
              <w:t>表</w:t>
            </w:r>
            <w:r>
              <w:rPr>
                <w:rFonts w:hint="eastAsia"/>
                <w:b/>
                <w:bCs/>
                <w:color w:val="auto"/>
                <w:sz w:val="24"/>
                <w:szCs w:val="24"/>
              </w:rPr>
              <w:t>2</w:t>
            </w:r>
            <w:r>
              <w:rPr>
                <w:b/>
                <w:bCs/>
                <w:color w:val="auto"/>
                <w:sz w:val="24"/>
                <w:szCs w:val="24"/>
              </w:rPr>
              <w:t>-</w:t>
            </w:r>
            <w:r>
              <w:rPr>
                <w:rFonts w:hint="eastAsia"/>
                <w:b/>
                <w:bCs/>
                <w:color w:val="auto"/>
                <w:sz w:val="24"/>
                <w:szCs w:val="24"/>
                <w:lang w:val="en-US" w:eastAsia="zh-CN"/>
              </w:rPr>
              <w:t>9</w:t>
            </w:r>
            <w:r>
              <w:rPr>
                <w:b/>
                <w:bCs/>
                <w:color w:val="auto"/>
                <w:sz w:val="24"/>
                <w:szCs w:val="24"/>
              </w:rPr>
              <w:t xml:space="preserve">  </w:t>
            </w:r>
            <w:r>
              <w:rPr>
                <w:rFonts w:hint="eastAsia"/>
                <w:b/>
                <w:bCs/>
                <w:color w:val="auto"/>
                <w:sz w:val="24"/>
                <w:szCs w:val="24"/>
              </w:rPr>
              <w:t>取水泵站</w:t>
            </w:r>
            <w:r>
              <w:rPr>
                <w:b/>
                <w:bCs/>
                <w:color w:val="auto"/>
                <w:sz w:val="24"/>
                <w:szCs w:val="24"/>
              </w:rPr>
              <w:t>主要生产设施设备一览表</w:t>
            </w:r>
          </w:p>
          <w:tbl>
            <w:tblPr>
              <w:tblStyle w:val="31"/>
              <w:tblW w:w="8610" w:type="dxa"/>
              <w:jc w:val="center"/>
              <w:tblLayout w:type="fixed"/>
              <w:tblCellMar>
                <w:top w:w="0" w:type="dxa"/>
                <w:left w:w="108" w:type="dxa"/>
                <w:bottom w:w="0" w:type="dxa"/>
                <w:right w:w="108" w:type="dxa"/>
              </w:tblCellMar>
            </w:tblPr>
            <w:tblGrid>
              <w:gridCol w:w="501"/>
              <w:gridCol w:w="1591"/>
              <w:gridCol w:w="3300"/>
              <w:gridCol w:w="450"/>
              <w:gridCol w:w="450"/>
              <w:gridCol w:w="525"/>
              <w:gridCol w:w="553"/>
              <w:gridCol w:w="1240"/>
            </w:tblGrid>
            <w:tr w14:paraId="6B058B30">
              <w:tblPrEx>
                <w:tblCellMar>
                  <w:top w:w="0" w:type="dxa"/>
                  <w:left w:w="108" w:type="dxa"/>
                  <w:bottom w:w="0" w:type="dxa"/>
                  <w:right w:w="108" w:type="dxa"/>
                </w:tblCellMar>
              </w:tblPrEx>
              <w:trPr>
                <w:trHeight w:val="0" w:hRule="atLeast"/>
                <w:jc w:val="center"/>
              </w:trPr>
              <w:tc>
                <w:tcPr>
                  <w:tcW w:w="501" w:type="dxa"/>
                  <w:vMerge w:val="restart"/>
                  <w:tcBorders>
                    <w:top w:val="single" w:color="000000" w:sz="4" w:space="0"/>
                    <w:left w:val="single" w:color="000000" w:sz="4" w:space="0"/>
                    <w:right w:val="single" w:color="000000" w:sz="4" w:space="0"/>
                  </w:tcBorders>
                  <w:shd w:val="clear" w:color="auto" w:fill="auto"/>
                  <w:vAlign w:val="center"/>
                </w:tcPr>
                <w:p w14:paraId="5306F1D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序号</w:t>
                  </w:r>
                </w:p>
              </w:tc>
              <w:tc>
                <w:tcPr>
                  <w:tcW w:w="1591" w:type="dxa"/>
                  <w:vMerge w:val="restart"/>
                  <w:tcBorders>
                    <w:top w:val="single" w:color="000000" w:sz="4" w:space="0"/>
                    <w:left w:val="single" w:color="000000" w:sz="4" w:space="0"/>
                    <w:right w:val="single" w:color="000000" w:sz="4" w:space="0"/>
                  </w:tcBorders>
                  <w:shd w:val="clear" w:color="auto" w:fill="auto"/>
                  <w:vAlign w:val="center"/>
                </w:tcPr>
                <w:p w14:paraId="4C78D87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名称</w:t>
                  </w:r>
                </w:p>
              </w:tc>
              <w:tc>
                <w:tcPr>
                  <w:tcW w:w="3300" w:type="dxa"/>
                  <w:vMerge w:val="restart"/>
                  <w:tcBorders>
                    <w:top w:val="single" w:color="000000" w:sz="4" w:space="0"/>
                    <w:left w:val="single" w:color="000000" w:sz="4" w:space="0"/>
                    <w:right w:val="single" w:color="000000" w:sz="4" w:space="0"/>
                  </w:tcBorders>
                  <w:shd w:val="clear" w:color="auto" w:fill="auto"/>
                  <w:vAlign w:val="center"/>
                </w:tcPr>
                <w:p w14:paraId="5316184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规格</w:t>
                  </w:r>
                </w:p>
              </w:tc>
              <w:tc>
                <w:tcPr>
                  <w:tcW w:w="450" w:type="dxa"/>
                  <w:vMerge w:val="restart"/>
                  <w:tcBorders>
                    <w:top w:val="single" w:color="000000" w:sz="4" w:space="0"/>
                    <w:left w:val="single" w:color="000000" w:sz="4" w:space="0"/>
                    <w:right w:val="single" w:color="000000" w:sz="4" w:space="0"/>
                  </w:tcBorders>
                  <w:shd w:val="clear" w:color="auto" w:fill="auto"/>
                  <w:vAlign w:val="center"/>
                </w:tcPr>
                <w:p w14:paraId="11ADAEE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单位</w:t>
                  </w:r>
                </w:p>
              </w:tc>
              <w:tc>
                <w:tcPr>
                  <w:tcW w:w="15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1C020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数量</w:t>
                  </w:r>
                </w:p>
              </w:tc>
              <w:tc>
                <w:tcPr>
                  <w:tcW w:w="1240" w:type="dxa"/>
                  <w:vMerge w:val="restart"/>
                  <w:tcBorders>
                    <w:top w:val="single" w:color="000000" w:sz="4" w:space="0"/>
                    <w:left w:val="single" w:color="000000" w:sz="4" w:space="0"/>
                    <w:right w:val="single" w:color="000000" w:sz="4" w:space="0"/>
                  </w:tcBorders>
                  <w:shd w:val="clear" w:color="auto" w:fill="auto"/>
                  <w:vAlign w:val="center"/>
                </w:tcPr>
                <w:p w14:paraId="00878BA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备注</w:t>
                  </w:r>
                </w:p>
              </w:tc>
            </w:tr>
            <w:tr w14:paraId="300241E2">
              <w:tblPrEx>
                <w:tblCellMar>
                  <w:top w:w="0" w:type="dxa"/>
                  <w:left w:w="108" w:type="dxa"/>
                  <w:bottom w:w="0" w:type="dxa"/>
                  <w:right w:w="108" w:type="dxa"/>
                </w:tblCellMar>
              </w:tblPrEx>
              <w:trPr>
                <w:trHeight w:val="0" w:hRule="atLeast"/>
                <w:jc w:val="center"/>
              </w:trPr>
              <w:tc>
                <w:tcPr>
                  <w:tcW w:w="501" w:type="dxa"/>
                  <w:vMerge w:val="continue"/>
                  <w:tcBorders>
                    <w:left w:val="single" w:color="000000" w:sz="4" w:space="0"/>
                    <w:bottom w:val="single" w:color="000000" w:sz="4" w:space="0"/>
                    <w:right w:val="single" w:color="000000" w:sz="4" w:space="0"/>
                  </w:tcBorders>
                  <w:shd w:val="clear" w:color="auto" w:fill="auto"/>
                  <w:vAlign w:val="center"/>
                </w:tcPr>
                <w:p w14:paraId="0663DC5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bidi="ar"/>
                    </w:rPr>
                  </w:pPr>
                </w:p>
              </w:tc>
              <w:tc>
                <w:tcPr>
                  <w:tcW w:w="1591" w:type="dxa"/>
                  <w:vMerge w:val="continue"/>
                  <w:tcBorders>
                    <w:left w:val="single" w:color="000000" w:sz="4" w:space="0"/>
                    <w:bottom w:val="single" w:color="000000" w:sz="4" w:space="0"/>
                    <w:right w:val="single" w:color="000000" w:sz="4" w:space="0"/>
                  </w:tcBorders>
                  <w:shd w:val="clear" w:color="auto" w:fill="auto"/>
                  <w:vAlign w:val="center"/>
                </w:tcPr>
                <w:p w14:paraId="3358008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bidi="ar"/>
                    </w:rPr>
                  </w:pPr>
                </w:p>
              </w:tc>
              <w:tc>
                <w:tcPr>
                  <w:tcW w:w="3300" w:type="dxa"/>
                  <w:vMerge w:val="continue"/>
                  <w:tcBorders>
                    <w:left w:val="single" w:color="000000" w:sz="4" w:space="0"/>
                    <w:bottom w:val="single" w:color="000000" w:sz="4" w:space="0"/>
                    <w:right w:val="single" w:color="000000" w:sz="4" w:space="0"/>
                  </w:tcBorders>
                  <w:shd w:val="clear" w:color="auto" w:fill="auto"/>
                  <w:vAlign w:val="center"/>
                </w:tcPr>
                <w:p w14:paraId="5D2B448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bidi="ar"/>
                    </w:rPr>
                  </w:pPr>
                </w:p>
              </w:tc>
              <w:tc>
                <w:tcPr>
                  <w:tcW w:w="450" w:type="dxa"/>
                  <w:vMerge w:val="continue"/>
                  <w:tcBorders>
                    <w:left w:val="single" w:color="000000" w:sz="4" w:space="0"/>
                    <w:bottom w:val="single" w:color="000000" w:sz="4" w:space="0"/>
                    <w:right w:val="single" w:color="000000" w:sz="4" w:space="0"/>
                  </w:tcBorders>
                  <w:shd w:val="clear" w:color="auto" w:fill="auto"/>
                  <w:vAlign w:val="center"/>
                </w:tcPr>
                <w:p w14:paraId="0D811CC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bidi="ar"/>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303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eastAsia="zh-CN" w:bidi="ar"/>
                    </w:rPr>
                  </w:pPr>
                  <w:r>
                    <w:rPr>
                      <w:rFonts w:hint="default" w:ascii="Times New Roman" w:hAnsi="Times New Roman" w:eastAsia="宋体" w:cs="Times New Roman"/>
                      <w:b/>
                      <w:bCs/>
                      <w:color w:val="auto"/>
                      <w:kern w:val="0"/>
                      <w:sz w:val="21"/>
                      <w:szCs w:val="21"/>
                      <w:lang w:eastAsia="zh-CN" w:bidi="ar"/>
                    </w:rPr>
                    <w:t>扩建前</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627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eastAsia="zh-CN" w:bidi="ar"/>
                    </w:rPr>
                  </w:pPr>
                  <w:r>
                    <w:rPr>
                      <w:rFonts w:hint="default" w:ascii="Times New Roman" w:hAnsi="Times New Roman" w:eastAsia="宋体" w:cs="Times New Roman"/>
                      <w:b/>
                      <w:bCs/>
                      <w:color w:val="auto"/>
                      <w:kern w:val="0"/>
                      <w:sz w:val="21"/>
                      <w:szCs w:val="21"/>
                      <w:lang w:eastAsia="zh-CN" w:bidi="ar"/>
                    </w:rPr>
                    <w:t>扩建后</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FED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eastAsia="zh-CN" w:bidi="ar"/>
                    </w:rPr>
                  </w:pPr>
                  <w:r>
                    <w:rPr>
                      <w:rFonts w:hint="default" w:ascii="Times New Roman" w:hAnsi="Times New Roman" w:eastAsia="宋体" w:cs="Times New Roman"/>
                      <w:b/>
                      <w:bCs/>
                      <w:color w:val="auto"/>
                      <w:kern w:val="0"/>
                      <w:sz w:val="21"/>
                      <w:szCs w:val="21"/>
                      <w:lang w:eastAsia="zh-CN" w:bidi="ar"/>
                    </w:rPr>
                    <w:t>变化量</w:t>
                  </w:r>
                </w:p>
              </w:tc>
              <w:tc>
                <w:tcPr>
                  <w:tcW w:w="1240" w:type="dxa"/>
                  <w:vMerge w:val="continue"/>
                  <w:tcBorders>
                    <w:left w:val="single" w:color="000000" w:sz="4" w:space="0"/>
                    <w:bottom w:val="single" w:color="000000" w:sz="4" w:space="0"/>
                    <w:right w:val="single" w:color="000000" w:sz="4" w:space="0"/>
                  </w:tcBorders>
                  <w:shd w:val="clear" w:color="auto" w:fill="auto"/>
                  <w:vAlign w:val="center"/>
                </w:tcPr>
                <w:p w14:paraId="2C8D2B7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bidi="ar"/>
                    </w:rPr>
                  </w:pPr>
                </w:p>
              </w:tc>
            </w:tr>
            <w:tr w14:paraId="11BDDBA2">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A48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B5D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潜水泵</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DB4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Q=400m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/h，H=28m，N=45kW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2B0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C65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67B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1E8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DC0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b/>
                      <w:bCs/>
                      <w:color w:val="auto"/>
                      <w:sz w:val="21"/>
                      <w:szCs w:val="21"/>
                      <w:lang w:eastAsia="zh-CN"/>
                    </w:rPr>
                  </w:pPr>
                  <w:r>
                    <w:rPr>
                      <w:rFonts w:hint="eastAsia" w:cs="Times New Roman"/>
                      <w:color w:val="auto"/>
                      <w:kern w:val="0"/>
                      <w:sz w:val="21"/>
                      <w:szCs w:val="21"/>
                      <w:lang w:eastAsia="zh-CN" w:bidi="ar"/>
                    </w:rPr>
                    <w:t>淘汰</w:t>
                  </w:r>
                </w:p>
              </w:tc>
            </w:tr>
            <w:tr w14:paraId="410B6DC9">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81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71C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潜水泵</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6D9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Q=600m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/h，H=28m，N=75kW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A1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F0A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6F9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AD6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62C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r w14:paraId="674FA8C1">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970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CDA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潜水泵</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092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Q=730m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/h，H=28m，N=110kW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72C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5DA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A36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088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F3B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r w14:paraId="223D6A48">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E70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CFF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DX电动单梁悬挂起重机</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F6E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起重量：2吨，起升高度12，0米，轨道工字钢30a,葫芦CD1</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B53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BD5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89D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BF6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C30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r w14:paraId="4338A53E">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123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9B7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XWZ</w:t>
                  </w:r>
                  <w:r>
                    <w:rPr>
                      <w:rStyle w:val="106"/>
                      <w:rFonts w:hint="default" w:ascii="Times New Roman" w:hAnsi="Times New Roman" w:eastAsia="宋体" w:cs="Times New Roman"/>
                      <w:color w:val="auto"/>
                      <w:sz w:val="21"/>
                      <w:szCs w:val="21"/>
                      <w:lang w:bidi="ar"/>
                    </w:rPr>
                    <w:t>型旋转滤网</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71F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Style w:val="106"/>
                      <w:rFonts w:hint="default" w:ascii="Times New Roman" w:hAnsi="Times New Roman" w:eastAsia="宋体" w:cs="Times New Roman"/>
                      <w:color w:val="auto"/>
                      <w:sz w:val="21"/>
                      <w:szCs w:val="21"/>
                      <w:lang w:bidi="ar"/>
                    </w:rPr>
                    <w:t>冲洗水量：</w:t>
                  </w:r>
                  <w:r>
                    <w:rPr>
                      <w:rFonts w:hint="default" w:ascii="Times New Roman" w:hAnsi="Times New Roman" w:eastAsia="宋体" w:cs="Times New Roman"/>
                      <w:color w:val="auto"/>
                      <w:kern w:val="0"/>
                      <w:sz w:val="21"/>
                      <w:szCs w:val="21"/>
                      <w:lang w:bidi="ar"/>
                    </w:rPr>
                    <w:t>100</w:t>
                  </w:r>
                  <w:r>
                    <w:rPr>
                      <w:rStyle w:val="106"/>
                      <w:rFonts w:hint="default" w:ascii="Times New Roman" w:hAnsi="Times New Roman" w:eastAsia="宋体" w:cs="Times New Roman"/>
                      <w:color w:val="auto"/>
                      <w:sz w:val="21"/>
                      <w:szCs w:val="21"/>
                      <w:lang w:bidi="ar"/>
                    </w:rPr>
                    <w:t>，扬程</w:t>
                  </w:r>
                  <w:r>
                    <w:rPr>
                      <w:rFonts w:hint="default" w:ascii="Times New Roman" w:hAnsi="Times New Roman" w:eastAsia="宋体" w:cs="Times New Roman"/>
                      <w:color w:val="auto"/>
                      <w:kern w:val="0"/>
                      <w:sz w:val="21"/>
                      <w:szCs w:val="21"/>
                      <w:lang w:bidi="ar"/>
                    </w:rPr>
                    <w:t>20m</w:t>
                  </w:r>
                  <w:r>
                    <w:rPr>
                      <w:rStyle w:val="106"/>
                      <w:rFonts w:hint="default" w:ascii="Times New Roman" w:hAnsi="Times New Roman" w:eastAsia="宋体" w:cs="Times New Roman"/>
                      <w:color w:val="auto"/>
                      <w:sz w:val="21"/>
                      <w:szCs w:val="21"/>
                      <w:lang w:bidi="ar"/>
                    </w:rPr>
                    <w:t>，</w:t>
                  </w:r>
                  <w:r>
                    <w:rPr>
                      <w:rFonts w:hint="default" w:ascii="Times New Roman" w:hAnsi="Times New Roman" w:eastAsia="宋体" w:cs="Times New Roman"/>
                      <w:color w:val="auto"/>
                      <w:kern w:val="0"/>
                      <w:sz w:val="21"/>
                      <w:szCs w:val="21"/>
                      <w:lang w:bidi="ar"/>
                    </w:rPr>
                    <w:t>B=2m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7C0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Style w:val="106"/>
                      <w:rFonts w:hint="default" w:ascii="Times New Roman" w:hAnsi="Times New Roman" w:eastAsia="宋体" w:cs="Times New Roman"/>
                      <w:color w:val="auto"/>
                      <w:sz w:val="21"/>
                      <w:szCs w:val="21"/>
                      <w:lang w:bidi="ar"/>
                    </w:rPr>
                    <w:t>套</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D37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195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04B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03B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r w14:paraId="0BA178AA">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128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275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电动闸门</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440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N=4kW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66C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127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181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88E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6D4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r w14:paraId="1580DA29">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F8B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28D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潜水泵</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8B5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Q=1000m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/h,H=28m,2.1t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5E81">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32F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A1DE">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0A4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E4E2">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备用，变频控制</w:t>
                  </w:r>
                </w:p>
              </w:tc>
            </w:tr>
            <w:tr w14:paraId="4130998F">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A19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859D">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潜水泵</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A76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Q=600m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/h,H=28m,N=75kW，1.3t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910D">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4F2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05D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480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071E">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两用，变频控制</w:t>
                  </w:r>
                </w:p>
              </w:tc>
            </w:tr>
            <w:tr w14:paraId="082B92A3">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9E7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EAB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旋转滤网</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8889">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冲洗水量：100，B=2m，N=5.5kW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7C98">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套</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729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F757">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779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E72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2CC9EE65">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EF9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397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流量计井</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C2C1">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LXB=2.8m×2.1m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3A85">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座</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CC3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36C7">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653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0619">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配电磁流量计、传力接头</w:t>
                  </w:r>
                </w:p>
              </w:tc>
            </w:tr>
            <w:tr w14:paraId="50F51D41">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911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F44D">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蝶阀</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AC75">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DN300,1.0MPa,铸铁材质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3DD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只</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2BD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9EB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5F07">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844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103E4181">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1E6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AEE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电动蝶阀</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104F">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DN300,1.0MPa,铸铁材质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FD15">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只</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4E4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AA2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4303">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8967">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5C867C5C">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A45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1E72">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微阻缓闭止回阀</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508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DN300,1.0MPa,铸铁材质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95B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只</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4C4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CD28">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5AF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1EA5">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43ABD508">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CF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EF56">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蝶阀</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987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DN400,1.0MPa,铸铁材质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1D03">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只</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8B2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693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E5C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D32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29C39141">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B39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C5D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电动蝶阀</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E29F">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DN400,1.0MPa,铸铁材质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F6BE">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只</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CB9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8BDC">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CA99">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CB46">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3D64AE6F">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369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F19E">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微阻缓闭止回阀</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6D89">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DN400,1.0MPa,铸铁材质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791C">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只</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B5B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E78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5332">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0F25">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431DDC46">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67C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1392">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垃圾桶</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DCFE">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V=1m3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0299">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只</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150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BCC4">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E80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A4F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3C4A693B">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BFF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C452">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高锰酸钾溶药箱</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B4D1">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V=2.5m3，φ1.5mx1.8m，不锈钢316，配套液位计</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1056">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244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39F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C02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91B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0E91E5FF">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711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19</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0C0D">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高锰酸钾搅拌机</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400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N=1.5kW</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不锈钢316</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ECEC">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F2C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97F9">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08FF">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533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p>
              </w:tc>
            </w:tr>
            <w:tr w14:paraId="60A9BFEF">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75C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7ED7">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高锰酸钾计量泵</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4903">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机械隔膜计量泵，Q=450L/h，H=50m，N=0.25kW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A4B2">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A01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7F1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DB13">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8B01">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一用一备</w:t>
                  </w:r>
                </w:p>
              </w:tc>
            </w:tr>
            <w:tr w14:paraId="5FBEC217">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CEF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E5A8">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紧急冲淋洗眼器</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9A35">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不锈钢304</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4D62">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套</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0C9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25BC">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5E56">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D491">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p>
              </w:tc>
            </w:tr>
            <w:tr w14:paraId="67B73BB9">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703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2FCF">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轴流风机</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2AB3">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Q=1500m3/h，P=50Pa，N=0.37kW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784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AEB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BB43">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1</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8207">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177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r w14:paraId="22D003C0">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765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8E2E">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溶液罐进水电磁阀</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299F">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DN25，PN1.0MPa，UPVC双由令阀体</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A431">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7AC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72E0">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D3F8">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A6F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r w14:paraId="4DE90137">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5EF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C7DD">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干粉灭火器</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E14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MF/ABC5X2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2A1C">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BCA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42C7">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042D">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2EE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r w14:paraId="71D159DA">
              <w:tblPrEx>
                <w:tblCellMar>
                  <w:top w:w="0" w:type="dxa"/>
                  <w:left w:w="108" w:type="dxa"/>
                  <w:bottom w:w="0" w:type="dxa"/>
                  <w:right w:w="108" w:type="dxa"/>
                </w:tblCellMar>
              </w:tblPrEx>
              <w:trPr>
                <w:trHeight w:val="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72E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9C8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高锰酸钾出液管电动球阀</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21AF">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DN40，PN1.0MPa，UPVC双由令阀体</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419B">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宋体" w:cstheme="minorBidi"/>
                      <w:color w:val="auto"/>
                      <w:kern w:val="2"/>
                      <w:sz w:val="21"/>
                      <w:szCs w:val="21"/>
                      <w:lang w:val="en-US" w:eastAsia="zh-CN" w:bidi="ar-SA"/>
                    </w:rPr>
                  </w:pPr>
                  <w:r>
                    <w:rPr>
                      <w:rFonts w:hint="eastAsia"/>
                      <w:color w:val="auto"/>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A83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8EBA">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eastAsia="等线"/>
                      <w:color w:val="auto"/>
                    </w:rPr>
                    <w:t>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B162">
                  <w:pPr>
                    <w:pStyle w:val="107"/>
                    <w:keepNext w:val="0"/>
                    <w:keepLines w:val="0"/>
                    <w:pageBreakBefore w:val="0"/>
                    <w:widowControl w:val="0"/>
                    <w:kinsoku/>
                    <w:wordWrap/>
                    <w:overflowPunct/>
                    <w:topLinePunct w:val="0"/>
                    <w:autoSpaceDE w:val="0"/>
                    <w:autoSpaceDN w:val="0"/>
                    <w:bidi w:val="0"/>
                    <w:spacing w:beforeAutospacing="0" w:afterAutospacing="0"/>
                    <w:ind w:left="0" w:leftChars="0" w:right="0" w:firstLine="0" w:firstLineChars="0"/>
                    <w:rPr>
                      <w:rFonts w:hint="default" w:ascii="Times New Roman" w:hAnsi="Times New Roman" w:eastAsia="等线" w:cstheme="minorBidi"/>
                      <w:color w:val="auto"/>
                      <w:kern w:val="2"/>
                      <w:sz w:val="21"/>
                      <w:szCs w:val="21"/>
                      <w:lang w:val="en-US" w:eastAsia="zh-CN" w:bidi="ar-SA"/>
                    </w:rPr>
                  </w:pPr>
                  <w:r>
                    <w:rPr>
                      <w:rFonts w:hint="eastAsia" w:eastAsia="等线"/>
                      <w:color w:val="auto"/>
                      <w:lang w:val="en-US" w:eastAsia="zh-CN"/>
                    </w:rPr>
                    <w:t>+</w:t>
                  </w:r>
                  <w:r>
                    <w:rPr>
                      <w:rFonts w:eastAsia="等线"/>
                      <w:color w:val="auto"/>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EB1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rPr>
                  </w:pPr>
                </w:p>
              </w:tc>
            </w:tr>
          </w:tbl>
          <w:p w14:paraId="19D9BDBA">
            <w:pPr>
              <w:pStyle w:val="61"/>
              <w:keepNext w:val="0"/>
              <w:keepLines w:val="0"/>
              <w:pageBreakBefore w:val="0"/>
              <w:widowControl w:val="0"/>
              <w:kinsoku/>
              <w:wordWrap/>
              <w:overflowPunct/>
              <w:topLinePunct w:val="0"/>
              <w:bidi w:val="0"/>
              <w:spacing w:beforeAutospacing="0" w:afterAutospacing="0"/>
              <w:ind w:left="0" w:leftChars="0" w:right="0" w:firstLine="0" w:firstLineChars="0"/>
              <w:jc w:val="center"/>
              <w:rPr>
                <w:b/>
                <w:bCs/>
                <w:color w:val="auto"/>
                <w:sz w:val="24"/>
                <w:szCs w:val="24"/>
              </w:rPr>
            </w:pPr>
            <w:r>
              <w:rPr>
                <w:b/>
                <w:bCs/>
                <w:color w:val="auto"/>
                <w:sz w:val="24"/>
                <w:szCs w:val="24"/>
              </w:rPr>
              <w:t>表</w:t>
            </w:r>
            <w:r>
              <w:rPr>
                <w:rFonts w:hint="eastAsia"/>
                <w:b/>
                <w:bCs/>
                <w:color w:val="auto"/>
                <w:sz w:val="24"/>
                <w:szCs w:val="24"/>
              </w:rPr>
              <w:t>2</w:t>
            </w:r>
            <w:r>
              <w:rPr>
                <w:b/>
                <w:bCs/>
                <w:color w:val="auto"/>
                <w:sz w:val="24"/>
                <w:szCs w:val="24"/>
              </w:rPr>
              <w:t>-</w:t>
            </w:r>
            <w:r>
              <w:rPr>
                <w:rFonts w:hint="eastAsia"/>
                <w:b/>
                <w:bCs/>
                <w:color w:val="auto"/>
                <w:sz w:val="24"/>
                <w:szCs w:val="24"/>
                <w:lang w:val="en-US" w:eastAsia="zh-CN"/>
              </w:rPr>
              <w:t>10</w:t>
            </w:r>
            <w:r>
              <w:rPr>
                <w:b/>
                <w:bCs/>
                <w:color w:val="auto"/>
                <w:sz w:val="24"/>
                <w:szCs w:val="24"/>
              </w:rPr>
              <w:t xml:space="preserve">  </w:t>
            </w:r>
            <w:r>
              <w:rPr>
                <w:rFonts w:hint="eastAsia"/>
                <w:b/>
                <w:bCs/>
                <w:color w:val="auto"/>
                <w:sz w:val="24"/>
                <w:szCs w:val="24"/>
                <w:lang w:eastAsia="zh-CN"/>
              </w:rPr>
              <w:t>现有净水工程的</w:t>
            </w:r>
            <w:r>
              <w:rPr>
                <w:b/>
                <w:bCs/>
                <w:color w:val="auto"/>
                <w:sz w:val="24"/>
                <w:szCs w:val="24"/>
              </w:rPr>
              <w:t>主要生产设施设备一览表</w:t>
            </w:r>
          </w:p>
          <w:tbl>
            <w:tblPr>
              <w:tblStyle w:val="31"/>
              <w:tblW w:w="8620" w:type="dxa"/>
              <w:jc w:val="center"/>
              <w:tblLayout w:type="fixed"/>
              <w:tblCellMar>
                <w:top w:w="0" w:type="dxa"/>
                <w:left w:w="108" w:type="dxa"/>
                <w:bottom w:w="0" w:type="dxa"/>
                <w:right w:w="108" w:type="dxa"/>
              </w:tblCellMar>
            </w:tblPr>
            <w:tblGrid>
              <w:gridCol w:w="372"/>
              <w:gridCol w:w="778"/>
              <w:gridCol w:w="468"/>
              <w:gridCol w:w="1738"/>
              <w:gridCol w:w="1955"/>
              <w:gridCol w:w="464"/>
              <w:gridCol w:w="478"/>
              <w:gridCol w:w="478"/>
              <w:gridCol w:w="479"/>
              <w:gridCol w:w="1400"/>
              <w:gridCol w:w="10"/>
            </w:tblGrid>
            <w:tr w14:paraId="1680F026">
              <w:tblPrEx>
                <w:tblCellMar>
                  <w:top w:w="0" w:type="dxa"/>
                  <w:left w:w="108" w:type="dxa"/>
                  <w:bottom w:w="0" w:type="dxa"/>
                  <w:right w:w="108" w:type="dxa"/>
                </w:tblCellMar>
              </w:tblPrEx>
              <w:trPr>
                <w:gridAfter w:val="1"/>
                <w:wAfter w:w="10" w:type="dxa"/>
                <w:trHeight w:val="283" w:hRule="atLeast"/>
                <w:tblHeader/>
                <w:jc w:val="center"/>
              </w:trPr>
              <w:tc>
                <w:tcPr>
                  <w:tcW w:w="1150" w:type="dxa"/>
                  <w:gridSpan w:val="2"/>
                  <w:vMerge w:val="restart"/>
                  <w:tcBorders>
                    <w:top w:val="single" w:color="000000" w:sz="4" w:space="0"/>
                    <w:left w:val="single" w:color="000000" w:sz="4" w:space="0"/>
                    <w:right w:val="single" w:color="000000" w:sz="4" w:space="0"/>
                  </w:tcBorders>
                  <w:shd w:val="clear" w:color="auto" w:fill="auto"/>
                  <w:vAlign w:val="center"/>
                </w:tcPr>
                <w:p w14:paraId="4650D35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1"/>
                      <w:szCs w:val="21"/>
                    </w:rPr>
                  </w:pPr>
                  <w:r>
                    <w:rPr>
                      <w:rStyle w:val="109"/>
                      <w:rFonts w:hint="default"/>
                      <w:color w:val="auto"/>
                      <w:sz w:val="21"/>
                      <w:szCs w:val="21"/>
                      <w:lang w:bidi="ar"/>
                    </w:rPr>
                    <w:t>构筑物名称</w:t>
                  </w:r>
                </w:p>
              </w:tc>
              <w:tc>
                <w:tcPr>
                  <w:tcW w:w="468" w:type="dxa"/>
                  <w:vMerge w:val="restart"/>
                  <w:tcBorders>
                    <w:top w:val="single" w:color="000000" w:sz="4" w:space="0"/>
                    <w:left w:val="single" w:color="000000" w:sz="4" w:space="0"/>
                    <w:right w:val="single" w:color="000000" w:sz="4" w:space="0"/>
                  </w:tcBorders>
                  <w:shd w:val="clear" w:color="auto" w:fill="auto"/>
                  <w:vAlign w:val="center"/>
                </w:tcPr>
                <w:p w14:paraId="25C880A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1"/>
                      <w:szCs w:val="21"/>
                    </w:rPr>
                  </w:pPr>
                  <w:r>
                    <w:rPr>
                      <w:rStyle w:val="109"/>
                      <w:rFonts w:hint="default"/>
                      <w:color w:val="auto"/>
                      <w:sz w:val="21"/>
                      <w:szCs w:val="21"/>
                      <w:lang w:bidi="ar"/>
                    </w:rPr>
                    <w:t>序号</w:t>
                  </w:r>
                </w:p>
              </w:tc>
              <w:tc>
                <w:tcPr>
                  <w:tcW w:w="1738" w:type="dxa"/>
                  <w:vMerge w:val="restart"/>
                  <w:tcBorders>
                    <w:top w:val="single" w:color="000000" w:sz="4" w:space="0"/>
                    <w:left w:val="single" w:color="000000" w:sz="4" w:space="0"/>
                    <w:right w:val="single" w:color="000000" w:sz="4" w:space="0"/>
                  </w:tcBorders>
                  <w:shd w:val="clear" w:color="auto" w:fill="auto"/>
                  <w:vAlign w:val="center"/>
                </w:tcPr>
                <w:p w14:paraId="17FB7A0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1"/>
                      <w:szCs w:val="21"/>
                    </w:rPr>
                  </w:pPr>
                  <w:r>
                    <w:rPr>
                      <w:rStyle w:val="109"/>
                      <w:rFonts w:hint="default"/>
                      <w:color w:val="auto"/>
                      <w:sz w:val="21"/>
                      <w:szCs w:val="21"/>
                      <w:lang w:bidi="ar"/>
                    </w:rPr>
                    <w:t>名称</w:t>
                  </w:r>
                </w:p>
              </w:tc>
              <w:tc>
                <w:tcPr>
                  <w:tcW w:w="1955" w:type="dxa"/>
                  <w:vMerge w:val="restart"/>
                  <w:tcBorders>
                    <w:top w:val="single" w:color="000000" w:sz="4" w:space="0"/>
                    <w:left w:val="single" w:color="000000" w:sz="4" w:space="0"/>
                    <w:right w:val="single" w:color="000000" w:sz="4" w:space="0"/>
                  </w:tcBorders>
                  <w:shd w:val="clear" w:color="auto" w:fill="auto"/>
                  <w:vAlign w:val="center"/>
                </w:tcPr>
                <w:p w14:paraId="25853AB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1"/>
                      <w:szCs w:val="21"/>
                    </w:rPr>
                  </w:pPr>
                  <w:r>
                    <w:rPr>
                      <w:rStyle w:val="109"/>
                      <w:rFonts w:hint="default"/>
                      <w:color w:val="auto"/>
                      <w:sz w:val="21"/>
                      <w:szCs w:val="21"/>
                      <w:lang w:bidi="ar"/>
                    </w:rPr>
                    <w:t>规格</w:t>
                  </w:r>
                </w:p>
              </w:tc>
              <w:tc>
                <w:tcPr>
                  <w:tcW w:w="464" w:type="dxa"/>
                  <w:vMerge w:val="restart"/>
                  <w:tcBorders>
                    <w:top w:val="single" w:color="000000" w:sz="4" w:space="0"/>
                    <w:left w:val="single" w:color="000000" w:sz="4" w:space="0"/>
                    <w:right w:val="single" w:color="000000" w:sz="4" w:space="0"/>
                  </w:tcBorders>
                  <w:shd w:val="clear" w:color="auto" w:fill="auto"/>
                  <w:vAlign w:val="center"/>
                </w:tcPr>
                <w:p w14:paraId="0329F54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1"/>
                      <w:szCs w:val="21"/>
                    </w:rPr>
                  </w:pPr>
                  <w:r>
                    <w:rPr>
                      <w:rStyle w:val="109"/>
                      <w:rFonts w:hint="default"/>
                      <w:color w:val="auto"/>
                      <w:sz w:val="21"/>
                      <w:szCs w:val="21"/>
                      <w:lang w:bidi="ar"/>
                    </w:rPr>
                    <w:t>单位</w:t>
                  </w:r>
                </w:p>
              </w:tc>
              <w:tc>
                <w:tcPr>
                  <w:tcW w:w="14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B2FE6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1"/>
                      <w:szCs w:val="21"/>
                    </w:rPr>
                  </w:pPr>
                  <w:r>
                    <w:rPr>
                      <w:rStyle w:val="109"/>
                      <w:rFonts w:hint="default"/>
                      <w:color w:val="auto"/>
                      <w:sz w:val="21"/>
                      <w:szCs w:val="21"/>
                      <w:lang w:bidi="ar"/>
                    </w:rPr>
                    <w:t>数量</w:t>
                  </w:r>
                </w:p>
              </w:tc>
              <w:tc>
                <w:tcPr>
                  <w:tcW w:w="1400" w:type="dxa"/>
                  <w:vMerge w:val="restart"/>
                  <w:tcBorders>
                    <w:top w:val="single" w:color="000000" w:sz="4" w:space="0"/>
                    <w:left w:val="single" w:color="000000" w:sz="4" w:space="0"/>
                    <w:right w:val="single" w:color="000000" w:sz="4" w:space="0"/>
                  </w:tcBorders>
                  <w:shd w:val="clear" w:color="auto" w:fill="auto"/>
                  <w:vAlign w:val="center"/>
                </w:tcPr>
                <w:p w14:paraId="1CD79BC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b/>
                      <w:bCs/>
                      <w:color w:val="auto"/>
                      <w:sz w:val="21"/>
                      <w:szCs w:val="21"/>
                    </w:rPr>
                  </w:pPr>
                  <w:r>
                    <w:rPr>
                      <w:rStyle w:val="109"/>
                      <w:rFonts w:hint="default"/>
                      <w:color w:val="auto"/>
                      <w:sz w:val="21"/>
                      <w:szCs w:val="21"/>
                      <w:lang w:bidi="ar"/>
                    </w:rPr>
                    <w:t>备注</w:t>
                  </w:r>
                </w:p>
              </w:tc>
            </w:tr>
            <w:tr w14:paraId="4C26F40B">
              <w:tblPrEx>
                <w:tblCellMar>
                  <w:top w:w="0" w:type="dxa"/>
                  <w:left w:w="108" w:type="dxa"/>
                  <w:bottom w:w="0" w:type="dxa"/>
                  <w:right w:w="108" w:type="dxa"/>
                </w:tblCellMar>
              </w:tblPrEx>
              <w:trPr>
                <w:gridAfter w:val="1"/>
                <w:wAfter w:w="10" w:type="dxa"/>
                <w:trHeight w:val="283" w:hRule="atLeast"/>
                <w:tblHeader/>
                <w:jc w:val="center"/>
              </w:trPr>
              <w:tc>
                <w:tcPr>
                  <w:tcW w:w="1150" w:type="dxa"/>
                  <w:gridSpan w:val="2"/>
                  <w:vMerge w:val="continue"/>
                  <w:tcBorders>
                    <w:left w:val="single" w:color="000000" w:sz="4" w:space="0"/>
                    <w:bottom w:val="single" w:color="000000" w:sz="4" w:space="0"/>
                    <w:right w:val="single" w:color="000000" w:sz="4" w:space="0"/>
                  </w:tcBorders>
                  <w:shd w:val="clear" w:color="auto" w:fill="auto"/>
                  <w:vAlign w:val="center"/>
                </w:tcPr>
                <w:p w14:paraId="4C0C316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Style w:val="109"/>
                      <w:rFonts w:hint="default"/>
                      <w:color w:val="auto"/>
                      <w:sz w:val="21"/>
                      <w:szCs w:val="21"/>
                      <w:lang w:bidi="ar"/>
                    </w:rPr>
                  </w:pPr>
                </w:p>
              </w:tc>
              <w:tc>
                <w:tcPr>
                  <w:tcW w:w="468" w:type="dxa"/>
                  <w:vMerge w:val="continue"/>
                  <w:tcBorders>
                    <w:left w:val="single" w:color="000000" w:sz="4" w:space="0"/>
                    <w:bottom w:val="single" w:color="000000" w:sz="4" w:space="0"/>
                    <w:right w:val="single" w:color="000000" w:sz="4" w:space="0"/>
                  </w:tcBorders>
                  <w:shd w:val="clear" w:color="auto" w:fill="auto"/>
                  <w:vAlign w:val="center"/>
                </w:tcPr>
                <w:p w14:paraId="06D34D5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Style w:val="109"/>
                      <w:rFonts w:hint="default"/>
                      <w:color w:val="auto"/>
                      <w:sz w:val="21"/>
                      <w:szCs w:val="21"/>
                      <w:lang w:bidi="ar"/>
                    </w:rPr>
                  </w:pPr>
                </w:p>
              </w:tc>
              <w:tc>
                <w:tcPr>
                  <w:tcW w:w="1738" w:type="dxa"/>
                  <w:vMerge w:val="continue"/>
                  <w:tcBorders>
                    <w:left w:val="single" w:color="000000" w:sz="4" w:space="0"/>
                    <w:bottom w:val="single" w:color="000000" w:sz="4" w:space="0"/>
                    <w:right w:val="single" w:color="000000" w:sz="4" w:space="0"/>
                  </w:tcBorders>
                  <w:shd w:val="clear" w:color="auto" w:fill="auto"/>
                  <w:vAlign w:val="center"/>
                </w:tcPr>
                <w:p w14:paraId="6A7A74A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Style w:val="109"/>
                      <w:rFonts w:hint="default"/>
                      <w:color w:val="auto"/>
                      <w:sz w:val="21"/>
                      <w:szCs w:val="21"/>
                      <w:lang w:bidi="ar"/>
                    </w:rPr>
                  </w:pPr>
                </w:p>
              </w:tc>
              <w:tc>
                <w:tcPr>
                  <w:tcW w:w="1955" w:type="dxa"/>
                  <w:vMerge w:val="continue"/>
                  <w:tcBorders>
                    <w:left w:val="single" w:color="000000" w:sz="4" w:space="0"/>
                    <w:bottom w:val="single" w:color="000000" w:sz="4" w:space="0"/>
                    <w:right w:val="single" w:color="000000" w:sz="4" w:space="0"/>
                  </w:tcBorders>
                  <w:shd w:val="clear" w:color="auto" w:fill="auto"/>
                  <w:vAlign w:val="center"/>
                </w:tcPr>
                <w:p w14:paraId="44D7864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Style w:val="109"/>
                      <w:rFonts w:hint="default"/>
                      <w:color w:val="auto"/>
                      <w:sz w:val="21"/>
                      <w:szCs w:val="21"/>
                      <w:lang w:bidi="ar"/>
                    </w:rPr>
                  </w:pPr>
                </w:p>
              </w:tc>
              <w:tc>
                <w:tcPr>
                  <w:tcW w:w="464" w:type="dxa"/>
                  <w:vMerge w:val="continue"/>
                  <w:tcBorders>
                    <w:left w:val="single" w:color="000000" w:sz="4" w:space="0"/>
                    <w:bottom w:val="single" w:color="000000" w:sz="4" w:space="0"/>
                    <w:right w:val="single" w:color="000000" w:sz="4" w:space="0"/>
                  </w:tcBorders>
                  <w:shd w:val="clear" w:color="auto" w:fill="auto"/>
                  <w:vAlign w:val="center"/>
                </w:tcPr>
                <w:p w14:paraId="0FF8F0C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Style w:val="109"/>
                      <w:rFonts w:hint="default"/>
                      <w:color w:val="auto"/>
                      <w:sz w:val="21"/>
                      <w:szCs w:val="21"/>
                      <w:lang w:bidi="ar"/>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502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eastAsia="zh-CN" w:bidi="ar"/>
                    </w:rPr>
                    <w:t>扩建前</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B6C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eastAsia="zh-CN" w:bidi="ar"/>
                    </w:rPr>
                    <w:t>扩建后</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9F4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eastAsia="zh-CN" w:bidi="ar"/>
                    </w:rPr>
                    <w:t>变化量</w:t>
                  </w:r>
                </w:p>
              </w:tc>
              <w:tc>
                <w:tcPr>
                  <w:tcW w:w="1400" w:type="dxa"/>
                  <w:vMerge w:val="continue"/>
                  <w:tcBorders>
                    <w:left w:val="single" w:color="000000" w:sz="4" w:space="0"/>
                    <w:bottom w:val="single" w:color="000000" w:sz="4" w:space="0"/>
                    <w:right w:val="single" w:color="000000" w:sz="4" w:space="0"/>
                  </w:tcBorders>
                  <w:shd w:val="clear" w:color="auto" w:fill="auto"/>
                  <w:vAlign w:val="center"/>
                </w:tcPr>
                <w:p w14:paraId="1A82D72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Style w:val="109"/>
                      <w:rFonts w:hint="default"/>
                      <w:color w:val="auto"/>
                      <w:sz w:val="21"/>
                      <w:szCs w:val="21"/>
                      <w:lang w:bidi="ar"/>
                    </w:rPr>
                  </w:pPr>
                </w:p>
              </w:tc>
            </w:tr>
            <w:tr w14:paraId="7EDC9704">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89B22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eastAsia="zh-CN" w:bidi="ar"/>
                    </w:rPr>
                    <w:t>现有</w:t>
                  </w:r>
                  <w:r>
                    <w:rPr>
                      <w:rFonts w:hint="eastAsia" w:ascii="宋体" w:hAnsi="宋体" w:cs="宋体"/>
                      <w:color w:val="auto"/>
                      <w:kern w:val="0"/>
                      <w:sz w:val="21"/>
                      <w:szCs w:val="21"/>
                      <w:lang w:bidi="ar"/>
                    </w:rPr>
                    <w:t>絮凝应沉淀池</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6B0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2A6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泵吸式吸泥机</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E3F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SB-10.65</w:t>
                  </w:r>
                  <w:r>
                    <w:rPr>
                      <w:rFonts w:hint="eastAsia" w:ascii="宋体" w:hAnsi="宋体" w:cs="宋体"/>
                      <w:color w:val="auto"/>
                      <w:kern w:val="0"/>
                      <w:sz w:val="21"/>
                      <w:szCs w:val="21"/>
                      <w:lang w:bidi="ar"/>
                    </w:rPr>
                    <w:t>，</w:t>
                  </w:r>
                  <w:r>
                    <w:rPr>
                      <w:color w:val="auto"/>
                      <w:kern w:val="0"/>
                      <w:sz w:val="21"/>
                      <w:szCs w:val="21"/>
                      <w:lang w:bidi="ar"/>
                    </w:rPr>
                    <w:t>N=7.1kW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759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B79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618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023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C2E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p>
              </w:tc>
            </w:tr>
            <w:tr w14:paraId="1FBADF37">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A6DC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AEA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FEC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电动蝶阀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39F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DN500</w:t>
                  </w:r>
                  <w:r>
                    <w:rPr>
                      <w:rFonts w:hint="eastAsia" w:ascii="宋体" w:hAnsi="宋体" w:cs="宋体"/>
                      <w:color w:val="auto"/>
                      <w:kern w:val="0"/>
                      <w:sz w:val="21"/>
                      <w:szCs w:val="21"/>
                      <w:lang w:bidi="ar"/>
                    </w:rPr>
                    <w:t>，</w:t>
                  </w:r>
                  <w:r>
                    <w:rPr>
                      <w:color w:val="auto"/>
                      <w:kern w:val="0"/>
                      <w:sz w:val="21"/>
                      <w:szCs w:val="21"/>
                      <w:lang w:bidi="ar"/>
                    </w:rPr>
                    <w:t>D941-10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780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70C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A0B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74D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D89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4EEC32EF">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209F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F90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945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管道混合器</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541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DN500</w:t>
                  </w:r>
                  <w:r>
                    <w:rPr>
                      <w:rFonts w:hint="eastAsia" w:ascii="宋体" w:hAnsi="宋体" w:cs="宋体"/>
                      <w:color w:val="auto"/>
                      <w:kern w:val="0"/>
                      <w:sz w:val="21"/>
                      <w:szCs w:val="21"/>
                      <w:lang w:bidi="ar"/>
                    </w:rPr>
                    <w:t>，</w:t>
                  </w:r>
                  <w:r>
                    <w:rPr>
                      <w:color w:val="auto"/>
                      <w:kern w:val="0"/>
                      <w:sz w:val="21"/>
                      <w:szCs w:val="21"/>
                      <w:lang w:bidi="ar"/>
                    </w:rPr>
                    <w:t>JT-500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681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337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EC5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CA6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640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48AD0AE4">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AD9F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663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669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手动闸阀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715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DN200</w:t>
                  </w:r>
                  <w:r>
                    <w:rPr>
                      <w:rFonts w:hint="eastAsia" w:ascii="宋体" w:hAnsi="宋体" w:cs="宋体"/>
                      <w:color w:val="auto"/>
                      <w:kern w:val="0"/>
                      <w:sz w:val="21"/>
                      <w:szCs w:val="21"/>
                      <w:lang w:bidi="ar"/>
                    </w:rPr>
                    <w:t>，</w:t>
                  </w:r>
                  <w:r>
                    <w:rPr>
                      <w:color w:val="auto"/>
                      <w:kern w:val="0"/>
                      <w:sz w:val="21"/>
                      <w:szCs w:val="21"/>
                      <w:lang w:bidi="ar"/>
                    </w:rPr>
                    <w:t>Z45T-10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0EA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3CB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18</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A9D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18</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ABB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37D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5A5BB68D">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7AEF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DFD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5</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792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气动快开排泥阀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467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DN200</w:t>
                  </w:r>
                  <w:r>
                    <w:rPr>
                      <w:rFonts w:hint="eastAsia" w:ascii="宋体" w:hAnsi="宋体" w:cs="宋体"/>
                      <w:color w:val="auto"/>
                      <w:kern w:val="0"/>
                      <w:sz w:val="21"/>
                      <w:szCs w:val="21"/>
                      <w:lang w:bidi="ar"/>
                    </w:rPr>
                    <w:t>，</w:t>
                  </w:r>
                  <w:r>
                    <w:rPr>
                      <w:color w:val="auto"/>
                      <w:kern w:val="0"/>
                      <w:sz w:val="21"/>
                      <w:szCs w:val="21"/>
                      <w:lang w:bidi="ar"/>
                    </w:rPr>
                    <w:t>JM644-1.0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B63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5EC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F62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D5B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BE2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12018FFF">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732C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401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6</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EAF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空压机</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AE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排气量</w:t>
                  </w:r>
                  <w:r>
                    <w:rPr>
                      <w:color w:val="auto"/>
                      <w:kern w:val="0"/>
                      <w:sz w:val="21"/>
                      <w:szCs w:val="21"/>
                      <w:lang w:bidi="ar"/>
                    </w:rPr>
                    <w:t>170L/min</w:t>
                  </w:r>
                  <w:r>
                    <w:rPr>
                      <w:rFonts w:hint="eastAsia" w:ascii="宋体" w:hAnsi="宋体" w:cs="宋体"/>
                      <w:color w:val="auto"/>
                      <w:kern w:val="0"/>
                      <w:sz w:val="21"/>
                      <w:szCs w:val="21"/>
                      <w:lang w:bidi="ar"/>
                    </w:rPr>
                    <w:t>，气罐容积</w:t>
                  </w:r>
                  <w:r>
                    <w:rPr>
                      <w:color w:val="auto"/>
                      <w:kern w:val="0"/>
                      <w:sz w:val="21"/>
                      <w:szCs w:val="21"/>
                      <w:lang w:bidi="ar"/>
                    </w:rPr>
                    <w:t>70L</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C45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8DE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420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6A1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AF9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743193CA">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DF67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078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7</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60B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伸缩器</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19B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DN500,VSSJA-2</w:t>
                  </w:r>
                  <w:r>
                    <w:rPr>
                      <w:rFonts w:hint="eastAsia" w:ascii="宋体" w:hAnsi="宋体" w:cs="宋体"/>
                      <w:color w:val="auto"/>
                      <w:kern w:val="0"/>
                      <w:sz w:val="21"/>
                      <w:szCs w:val="21"/>
                      <w:lang w:bidi="ar"/>
                    </w:rPr>
                    <w:t>型</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D91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4B3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231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B0C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E44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20C33673">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FB35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7C9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8</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E6A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电动球阀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66A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DN100,Q941-10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969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40D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14F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4</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2EA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93B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43C2FAD7">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C91A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F0B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9</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A4A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不锈钢手动插板闸门</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698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0.8mX0.8m</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9DA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388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304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61F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CFD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75438A90">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DE97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eastAsia="zh-CN" w:bidi="ar"/>
                    </w:rPr>
                    <w:t>现有</w:t>
                  </w:r>
                  <w:r>
                    <w:rPr>
                      <w:rFonts w:hint="eastAsia" w:ascii="宋体" w:hAnsi="宋体" w:cs="宋体"/>
                      <w:color w:val="auto"/>
                      <w:kern w:val="0"/>
                      <w:sz w:val="21"/>
                      <w:szCs w:val="21"/>
                      <w:lang w:bidi="ar"/>
                    </w:rPr>
                    <w:t>普通快滤池</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430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CBC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电动对夹式蝶阀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EE5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D971X-6DN500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069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0B1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7</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36A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7</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140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764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61A1E5F4">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7BCA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6D1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196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管道伸缩器</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06B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VSSJA-2DN500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B8E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22E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7</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8E3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7</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55E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EAC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4DD0B730">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F9FA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881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995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电动对夹式蝶阀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E85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D971X-6DN300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D7C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DCA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6</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1EC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6</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A0F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2FE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7DE8069E">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0997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025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49A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电动双法兰蝶阀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86E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D941X-6DN300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DE2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50C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6</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78AD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6</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DF2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FCB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3017C8E1">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2CB3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F0F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5</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14B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电动对夹式蝶阀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393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D971X-6DN700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4F9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1E1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6</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74D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6</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3A5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38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26710949">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23A8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12C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6</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66A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电动对夹式蝶阀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0E4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D971X-6DN150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8C1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2C9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6E6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6DA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4A1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2404BAB9">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E0BB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346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7</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437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管道伸缩器</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0E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VSSJA-2DN150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A3B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EEC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28A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145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80A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02E0BE8E">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C113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514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8</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E24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排气阀</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4F1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P42X-10DN50</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70B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CF0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6</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941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6</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1EF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3D3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127BD08A">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AF0F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904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9</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5AF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潜水排污泵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AFA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Q=10m</w:t>
                  </w:r>
                  <w:r>
                    <w:rPr>
                      <w:color w:val="auto"/>
                      <w:kern w:val="0"/>
                      <w:sz w:val="21"/>
                      <w:szCs w:val="21"/>
                      <w:vertAlign w:val="superscript"/>
                      <w:lang w:bidi="ar"/>
                    </w:rPr>
                    <w:t>3</w:t>
                  </w:r>
                  <w:r>
                    <w:rPr>
                      <w:color w:val="auto"/>
                      <w:kern w:val="0"/>
                      <w:sz w:val="21"/>
                      <w:szCs w:val="21"/>
                      <w:lang w:bidi="ar"/>
                    </w:rPr>
                    <w:t>/h</w:t>
                  </w:r>
                  <w:r>
                    <w:rPr>
                      <w:rFonts w:hint="eastAsia" w:ascii="宋体" w:hAnsi="宋体" w:cs="宋体"/>
                      <w:color w:val="auto"/>
                      <w:kern w:val="0"/>
                      <w:sz w:val="21"/>
                      <w:szCs w:val="21"/>
                      <w:lang w:bidi="ar"/>
                    </w:rPr>
                    <w:t>，</w:t>
                  </w:r>
                  <w:r>
                    <w:rPr>
                      <w:color w:val="auto"/>
                      <w:kern w:val="0"/>
                      <w:sz w:val="21"/>
                      <w:szCs w:val="21"/>
                      <w:lang w:bidi="ar"/>
                    </w:rPr>
                    <w:t>H=8m</w:t>
                  </w:r>
                  <w:r>
                    <w:rPr>
                      <w:rFonts w:hint="eastAsia" w:ascii="宋体" w:hAnsi="宋体" w:cs="宋体"/>
                      <w:color w:val="auto"/>
                      <w:kern w:val="0"/>
                      <w:sz w:val="21"/>
                      <w:szCs w:val="21"/>
                      <w:lang w:bidi="ar"/>
                    </w:rPr>
                    <w:t>，</w:t>
                  </w:r>
                  <w:r>
                    <w:rPr>
                      <w:color w:val="auto"/>
                      <w:kern w:val="0"/>
                      <w:sz w:val="21"/>
                      <w:szCs w:val="21"/>
                      <w:lang w:bidi="ar"/>
                    </w:rPr>
                    <w:t>N=1.5kW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A83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FF1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042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533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657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01EC080D">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C021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现状二泵房</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22E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6C4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单极双吸中开离心泵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C04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Q=450m</w:t>
                  </w:r>
                  <w:r>
                    <w:rPr>
                      <w:color w:val="auto"/>
                      <w:kern w:val="0"/>
                      <w:sz w:val="21"/>
                      <w:szCs w:val="21"/>
                      <w:vertAlign w:val="superscript"/>
                      <w:lang w:bidi="ar"/>
                    </w:rPr>
                    <w:t>3</w:t>
                  </w:r>
                  <w:r>
                    <w:rPr>
                      <w:color w:val="auto"/>
                      <w:kern w:val="0"/>
                      <w:sz w:val="21"/>
                      <w:szCs w:val="21"/>
                      <w:lang w:bidi="ar"/>
                    </w:rPr>
                    <w:t>/h</w:t>
                  </w:r>
                  <w:r>
                    <w:rPr>
                      <w:rFonts w:hint="eastAsia" w:ascii="宋体" w:hAnsi="宋体" w:cs="宋体"/>
                      <w:color w:val="auto"/>
                      <w:kern w:val="0"/>
                      <w:sz w:val="21"/>
                      <w:szCs w:val="21"/>
                      <w:lang w:bidi="ar"/>
                    </w:rPr>
                    <w:t>，</w:t>
                  </w:r>
                  <w:r>
                    <w:rPr>
                      <w:color w:val="auto"/>
                      <w:kern w:val="0"/>
                      <w:sz w:val="21"/>
                      <w:szCs w:val="21"/>
                      <w:lang w:bidi="ar"/>
                    </w:rPr>
                    <w:t>H=40m</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683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B1E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B80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1FE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626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淘汰</w:t>
                  </w:r>
                </w:p>
              </w:tc>
            </w:tr>
            <w:tr w14:paraId="4E04B5CA">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D8D4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8DC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FA3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单极双吸中开离心泵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907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Q=180m</w:t>
                  </w:r>
                  <w:r>
                    <w:rPr>
                      <w:color w:val="auto"/>
                      <w:kern w:val="0"/>
                      <w:sz w:val="21"/>
                      <w:szCs w:val="21"/>
                      <w:vertAlign w:val="superscript"/>
                      <w:lang w:bidi="ar"/>
                    </w:rPr>
                    <w:t>3</w:t>
                  </w:r>
                  <w:r>
                    <w:rPr>
                      <w:color w:val="auto"/>
                      <w:kern w:val="0"/>
                      <w:sz w:val="21"/>
                      <w:szCs w:val="21"/>
                      <w:lang w:bidi="ar"/>
                    </w:rPr>
                    <w:t>/h</w:t>
                  </w:r>
                  <w:r>
                    <w:rPr>
                      <w:rFonts w:hint="eastAsia" w:ascii="宋体" w:hAnsi="宋体" w:cs="宋体"/>
                      <w:color w:val="auto"/>
                      <w:kern w:val="0"/>
                      <w:sz w:val="21"/>
                      <w:szCs w:val="21"/>
                      <w:lang w:bidi="ar"/>
                    </w:rPr>
                    <w:t>，</w:t>
                  </w:r>
                  <w:r>
                    <w:rPr>
                      <w:color w:val="auto"/>
                      <w:kern w:val="0"/>
                      <w:sz w:val="21"/>
                      <w:szCs w:val="21"/>
                      <w:lang w:bidi="ar"/>
                    </w:rPr>
                    <w:t>H=40m</w:t>
                  </w:r>
                  <w:r>
                    <w:rPr>
                      <w:rFonts w:hint="eastAsia" w:ascii="宋体" w:hAnsi="宋体" w:cs="宋体"/>
                      <w:color w:val="auto"/>
                      <w:kern w:val="0"/>
                      <w:sz w:val="21"/>
                      <w:szCs w:val="21"/>
                      <w:lang w:bidi="ar"/>
                    </w:rPr>
                    <w:t>，</w:t>
                  </w:r>
                  <w:r>
                    <w:rPr>
                      <w:color w:val="auto"/>
                      <w:kern w:val="0"/>
                      <w:sz w:val="21"/>
                      <w:szCs w:val="21"/>
                      <w:lang w:bidi="ar"/>
                    </w:rPr>
                    <w:t>N=30kW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CF5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199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F29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F45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9FA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sz w:val="21"/>
                      <w:szCs w:val="21"/>
                      <w:lang w:eastAsia="zh-CN"/>
                    </w:rPr>
                    <w:t>淘汰</w:t>
                  </w:r>
                </w:p>
              </w:tc>
            </w:tr>
            <w:tr w14:paraId="3AF4A00E">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EE45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D54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6E9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单极双吸中开离心泵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5FD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Q=1200m</w:t>
                  </w:r>
                  <w:r>
                    <w:rPr>
                      <w:color w:val="auto"/>
                      <w:kern w:val="0"/>
                      <w:sz w:val="21"/>
                      <w:szCs w:val="21"/>
                      <w:vertAlign w:val="superscript"/>
                      <w:lang w:bidi="ar"/>
                    </w:rPr>
                    <w:t>3</w:t>
                  </w:r>
                  <w:r>
                    <w:rPr>
                      <w:color w:val="auto"/>
                      <w:kern w:val="0"/>
                      <w:sz w:val="21"/>
                      <w:szCs w:val="21"/>
                      <w:lang w:bidi="ar"/>
                    </w:rPr>
                    <w:t>/h</w:t>
                  </w:r>
                  <w:r>
                    <w:rPr>
                      <w:rFonts w:hint="eastAsia" w:ascii="宋体" w:hAnsi="宋体" w:cs="宋体"/>
                      <w:color w:val="auto"/>
                      <w:kern w:val="0"/>
                      <w:sz w:val="21"/>
                      <w:szCs w:val="21"/>
                      <w:lang w:bidi="ar"/>
                    </w:rPr>
                    <w:t>，</w:t>
                  </w:r>
                  <w:r>
                    <w:rPr>
                      <w:color w:val="auto"/>
                      <w:kern w:val="0"/>
                      <w:sz w:val="21"/>
                      <w:szCs w:val="21"/>
                      <w:lang w:bidi="ar"/>
                    </w:rPr>
                    <w:t>H=35m</w:t>
                  </w:r>
                  <w:r>
                    <w:rPr>
                      <w:rFonts w:hint="eastAsia" w:ascii="宋体" w:hAnsi="宋体" w:cs="宋体"/>
                      <w:color w:val="auto"/>
                      <w:kern w:val="0"/>
                      <w:sz w:val="21"/>
                      <w:szCs w:val="21"/>
                      <w:lang w:bidi="ar"/>
                    </w:rPr>
                    <w:t>，</w:t>
                  </w:r>
                  <w:r>
                    <w:rPr>
                      <w:color w:val="auto"/>
                      <w:kern w:val="0"/>
                      <w:sz w:val="21"/>
                      <w:szCs w:val="21"/>
                      <w:lang w:bidi="ar"/>
                    </w:rPr>
                    <w:t>N=185kW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919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A57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0E9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C92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F03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p>
              </w:tc>
            </w:tr>
            <w:tr w14:paraId="4F0E0165">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D168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D98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3CB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潜水泵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CC0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Q=10m</w:t>
                  </w:r>
                  <w:r>
                    <w:rPr>
                      <w:color w:val="auto"/>
                      <w:kern w:val="0"/>
                      <w:sz w:val="21"/>
                      <w:szCs w:val="21"/>
                      <w:vertAlign w:val="superscript"/>
                      <w:lang w:bidi="ar"/>
                    </w:rPr>
                    <w:t>3</w:t>
                  </w:r>
                  <w:r>
                    <w:rPr>
                      <w:color w:val="auto"/>
                      <w:kern w:val="0"/>
                      <w:sz w:val="21"/>
                      <w:szCs w:val="21"/>
                      <w:lang w:bidi="ar"/>
                    </w:rPr>
                    <w:t>/h</w:t>
                  </w:r>
                  <w:r>
                    <w:rPr>
                      <w:rFonts w:hint="eastAsia"/>
                      <w:color w:val="auto"/>
                      <w:kern w:val="0"/>
                      <w:sz w:val="21"/>
                      <w:szCs w:val="21"/>
                      <w:lang w:eastAsia="zh-CN" w:bidi="ar"/>
                    </w:rPr>
                    <w:t>，</w:t>
                  </w:r>
                  <w:r>
                    <w:rPr>
                      <w:color w:val="auto"/>
                      <w:kern w:val="0"/>
                      <w:sz w:val="21"/>
                      <w:szCs w:val="21"/>
                      <w:lang w:bidi="ar"/>
                    </w:rPr>
                    <w:t>H=10m</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5EC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7BD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947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459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C91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3E976007">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866B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715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5</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0D6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真空泵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5EF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SZ-1</w:t>
                  </w:r>
                  <w:r>
                    <w:rPr>
                      <w:rFonts w:hint="eastAsia" w:ascii="宋体" w:hAnsi="宋体" w:cs="宋体"/>
                      <w:color w:val="auto"/>
                      <w:kern w:val="0"/>
                      <w:sz w:val="21"/>
                      <w:szCs w:val="21"/>
                      <w:lang w:bidi="ar"/>
                    </w:rPr>
                    <w:t>，一用一备，</w:t>
                  </w:r>
                  <w:r>
                    <w:rPr>
                      <w:color w:val="auto"/>
                      <w:kern w:val="0"/>
                      <w:sz w:val="21"/>
                      <w:szCs w:val="21"/>
                      <w:lang w:bidi="ar"/>
                    </w:rPr>
                    <w:t>N=4kW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2FA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B77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309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D9B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61B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54F56FC5">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4CDF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5EF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color w:val="auto"/>
                      <w:kern w:val="0"/>
                      <w:sz w:val="21"/>
                      <w:szCs w:val="21"/>
                      <w:lang w:bidi="ar"/>
                    </w:rPr>
                    <w:t>6</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1C3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单极双吸中开离心泵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CB9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Q=1200m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/h，H=35m，N=185kW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ACB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D1E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6E0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EAE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939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r>
                    <w:rPr>
                      <w:rFonts w:hint="default" w:ascii="Times New Roman" w:hAnsi="Times New Roman" w:eastAsia="宋体" w:cs="Times New Roman"/>
                      <w:color w:val="auto"/>
                      <w:sz w:val="21"/>
                      <w:szCs w:val="21"/>
                    </w:rPr>
                    <w:t>与</w:t>
                  </w:r>
                  <w:r>
                    <w:rPr>
                      <w:rFonts w:hint="eastAsia" w:ascii="Times New Roman" w:hAnsi="Times New Roman" w:eastAsia="宋体" w:cs="Times New Roman"/>
                      <w:color w:val="auto"/>
                      <w:sz w:val="21"/>
                      <w:szCs w:val="21"/>
                      <w:lang w:eastAsia="zh-CN"/>
                    </w:rPr>
                    <w:t>现有</w:t>
                  </w:r>
                  <w:r>
                    <w:rPr>
                      <w:rFonts w:hint="default" w:ascii="Times New Roman" w:hAnsi="Times New Roman" w:eastAsia="宋体" w:cs="Times New Roman"/>
                      <w:color w:val="auto"/>
                      <w:sz w:val="21"/>
                      <w:szCs w:val="21"/>
                    </w:rPr>
                    <w:t>5#泵形成三用一备，变频调速</w:t>
                  </w:r>
                </w:p>
              </w:tc>
            </w:tr>
            <w:tr w14:paraId="64BE7FF6">
              <w:tblPrEx>
                <w:tblCellMar>
                  <w:top w:w="0" w:type="dxa"/>
                  <w:left w:w="108" w:type="dxa"/>
                  <w:bottom w:w="0" w:type="dxa"/>
                  <w:right w:w="108" w:type="dxa"/>
                </w:tblCellMar>
              </w:tblPrEx>
              <w:trPr>
                <w:gridAfter w:val="1"/>
                <w:wAfter w:w="10" w:type="dxa"/>
                <w:trHeight w:val="283" w:hRule="atLeast"/>
                <w:jc w:val="center"/>
              </w:trPr>
              <w:tc>
                <w:tcPr>
                  <w:tcW w:w="11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8A51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5FC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7</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94CB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电动单梁桥式起重机</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43D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DX3-6-20</w:t>
                  </w:r>
                  <w:r>
                    <w:rPr>
                      <w:rFonts w:hint="eastAsia" w:ascii="宋体" w:hAnsi="宋体" w:cs="宋体"/>
                      <w:color w:val="auto"/>
                      <w:kern w:val="0"/>
                      <w:sz w:val="21"/>
                      <w:szCs w:val="21"/>
                      <w:lang w:bidi="ar"/>
                    </w:rPr>
                    <w:t>、起重量</w:t>
                  </w:r>
                  <w:r>
                    <w:rPr>
                      <w:color w:val="auto"/>
                      <w:kern w:val="0"/>
                      <w:sz w:val="21"/>
                      <w:szCs w:val="21"/>
                      <w:lang w:bidi="ar"/>
                    </w:rPr>
                    <w:t>3T</w:t>
                  </w:r>
                  <w:r>
                    <w:rPr>
                      <w:rFonts w:hint="eastAsia" w:ascii="宋体" w:hAnsi="宋体" w:cs="宋体"/>
                      <w:color w:val="auto"/>
                      <w:kern w:val="0"/>
                      <w:sz w:val="21"/>
                      <w:szCs w:val="21"/>
                      <w:lang w:bidi="ar"/>
                    </w:rPr>
                    <w:t>；</w:t>
                  </w:r>
                  <w:r>
                    <w:rPr>
                      <w:color w:val="auto"/>
                      <w:kern w:val="0"/>
                      <w:sz w:val="21"/>
                      <w:szCs w:val="21"/>
                      <w:lang w:bidi="ar"/>
                    </w:rPr>
                    <w:t>Lk=6m</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A6F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套</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F28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3B1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B76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1A7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2AEA1A8B">
              <w:tblPrEx>
                <w:tblCellMar>
                  <w:top w:w="0" w:type="dxa"/>
                  <w:left w:w="108" w:type="dxa"/>
                  <w:bottom w:w="0" w:type="dxa"/>
                  <w:right w:w="108" w:type="dxa"/>
                </w:tblCellMar>
              </w:tblPrEx>
              <w:trPr>
                <w:trHeight w:val="283" w:hRule="atLeast"/>
                <w:jc w:val="center"/>
              </w:trPr>
              <w:tc>
                <w:tcPr>
                  <w:tcW w:w="3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FDAA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现状加药间</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B4342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加氯系统（次氯酸钠）</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7CD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C7D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加药泵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D32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Q=175L/h</w:t>
                  </w:r>
                  <w:r>
                    <w:rPr>
                      <w:rFonts w:hint="eastAsia" w:ascii="宋体" w:hAnsi="宋体" w:cs="宋体"/>
                      <w:color w:val="auto"/>
                      <w:kern w:val="0"/>
                      <w:sz w:val="21"/>
                      <w:szCs w:val="21"/>
                      <w:lang w:bidi="ar"/>
                    </w:rPr>
                    <w:t>，</w:t>
                  </w:r>
                  <w:r>
                    <w:rPr>
                      <w:color w:val="auto"/>
                      <w:kern w:val="0"/>
                      <w:sz w:val="21"/>
                      <w:szCs w:val="21"/>
                      <w:lang w:bidi="ar"/>
                    </w:rPr>
                    <w:t>N=1.5kW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758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E85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A5E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7E9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17C4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p>
              </w:tc>
            </w:tr>
            <w:tr w14:paraId="62EC3860">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9236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02F9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63F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C5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加药泵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36E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Q=50L/h</w:t>
                  </w:r>
                  <w:r>
                    <w:rPr>
                      <w:rFonts w:hint="eastAsia" w:ascii="宋体" w:hAnsi="宋体" w:cs="宋体"/>
                      <w:color w:val="auto"/>
                      <w:kern w:val="0"/>
                      <w:sz w:val="21"/>
                      <w:szCs w:val="21"/>
                      <w:lang w:bidi="ar"/>
                    </w:rPr>
                    <w:t>，</w:t>
                  </w:r>
                  <w:r>
                    <w:rPr>
                      <w:color w:val="auto"/>
                      <w:kern w:val="0"/>
                      <w:sz w:val="21"/>
                      <w:szCs w:val="21"/>
                      <w:lang w:bidi="ar"/>
                    </w:rPr>
                    <w:t>N=1.5kW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F13F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AE5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056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B7B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3533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淘汰</w:t>
                  </w:r>
                </w:p>
              </w:tc>
            </w:tr>
            <w:tr w14:paraId="47750054">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B9B1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9572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944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BC6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次氯酸钠储药罐</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DB7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5m</w:t>
                  </w:r>
                  <w:r>
                    <w:rPr>
                      <w:color w:val="auto"/>
                      <w:kern w:val="0"/>
                      <w:sz w:val="21"/>
                      <w:szCs w:val="21"/>
                      <w:vertAlign w:val="superscript"/>
                      <w:lang w:bidi="ar"/>
                    </w:rPr>
                    <w:t>3</w:t>
                  </w:r>
                  <w:r>
                    <w:rPr>
                      <w:rFonts w:hint="eastAsia" w:ascii="宋体" w:hAnsi="宋体" w:cs="宋体"/>
                      <w:color w:val="auto"/>
                      <w:kern w:val="0"/>
                      <w:sz w:val="21"/>
                      <w:szCs w:val="21"/>
                      <w:lang w:bidi="ar"/>
                    </w:rPr>
                    <w:t>，</w:t>
                  </w:r>
                  <w:r>
                    <w:rPr>
                      <w:color w:val="auto"/>
                      <w:kern w:val="0"/>
                      <w:sz w:val="21"/>
                      <w:szCs w:val="21"/>
                      <w:lang w:bidi="ar"/>
                    </w:rPr>
                    <w:t>H=1.8m</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3D7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0B3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DEE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3</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809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C43E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3E49C829">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A7E7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18C6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B6E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2B3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次氯酸钠配药罐</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A32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3m</w:t>
                  </w:r>
                  <w:r>
                    <w:rPr>
                      <w:color w:val="auto"/>
                      <w:kern w:val="0"/>
                      <w:sz w:val="21"/>
                      <w:szCs w:val="21"/>
                      <w:vertAlign w:val="superscript"/>
                      <w:lang w:bidi="ar"/>
                    </w:rPr>
                    <w:t>3</w:t>
                  </w:r>
                  <w:r>
                    <w:rPr>
                      <w:rFonts w:hint="eastAsia" w:ascii="宋体" w:hAnsi="宋体" w:cs="宋体"/>
                      <w:color w:val="auto"/>
                      <w:kern w:val="0"/>
                      <w:sz w:val="21"/>
                      <w:szCs w:val="21"/>
                      <w:lang w:bidi="ar"/>
                    </w:rPr>
                    <w:t>，</w:t>
                  </w:r>
                  <w:r>
                    <w:rPr>
                      <w:color w:val="auto"/>
                      <w:kern w:val="0"/>
                      <w:sz w:val="21"/>
                      <w:szCs w:val="21"/>
                      <w:lang w:bidi="ar"/>
                    </w:rPr>
                    <w:t>H=1.6m</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902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9CC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BD2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389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5D671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012BBF43">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093D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4EC8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060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5</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6A2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卸料泵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113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Q=12.5m</w:t>
                  </w:r>
                  <w:r>
                    <w:rPr>
                      <w:color w:val="auto"/>
                      <w:kern w:val="0"/>
                      <w:sz w:val="21"/>
                      <w:szCs w:val="21"/>
                      <w:vertAlign w:val="superscript"/>
                      <w:lang w:bidi="ar"/>
                    </w:rPr>
                    <w:t>3</w:t>
                  </w:r>
                  <w:r>
                    <w:rPr>
                      <w:color w:val="auto"/>
                      <w:kern w:val="0"/>
                      <w:sz w:val="21"/>
                      <w:szCs w:val="21"/>
                      <w:lang w:bidi="ar"/>
                    </w:rPr>
                    <w:t>/h</w:t>
                  </w:r>
                  <w:r>
                    <w:rPr>
                      <w:rFonts w:hint="eastAsia" w:ascii="宋体" w:hAnsi="宋体" w:cs="宋体"/>
                      <w:color w:val="auto"/>
                      <w:kern w:val="0"/>
                      <w:sz w:val="21"/>
                      <w:szCs w:val="21"/>
                      <w:lang w:bidi="ar"/>
                    </w:rPr>
                    <w:t>，</w:t>
                  </w:r>
                  <w:r>
                    <w:rPr>
                      <w:color w:val="auto"/>
                      <w:kern w:val="0"/>
                      <w:sz w:val="21"/>
                      <w:szCs w:val="21"/>
                      <w:lang w:bidi="ar"/>
                    </w:rPr>
                    <w:t>H=20m</w:t>
                  </w:r>
                  <w:r>
                    <w:rPr>
                      <w:rFonts w:hint="eastAsia" w:ascii="宋体" w:hAnsi="宋体" w:cs="宋体"/>
                      <w:color w:val="auto"/>
                      <w:kern w:val="0"/>
                      <w:sz w:val="21"/>
                      <w:szCs w:val="21"/>
                      <w:lang w:bidi="ar"/>
                    </w:rPr>
                    <w:t>，</w:t>
                  </w:r>
                  <w:r>
                    <w:rPr>
                      <w:color w:val="auto"/>
                      <w:kern w:val="0"/>
                      <w:sz w:val="21"/>
                      <w:szCs w:val="21"/>
                      <w:lang w:bidi="ar"/>
                    </w:rPr>
                    <w:t>N=2.2kW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84A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E9D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2F5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658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olor w:val="auto"/>
                      <w:kern w:val="0"/>
                      <w:sz w:val="21"/>
                      <w:szCs w:val="21"/>
                      <w:lang w:val="en-US" w:eastAsia="zh-CN" w:bidi="ar"/>
                    </w:rPr>
                    <w:t>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9660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1870B427">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5211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4431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510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6</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76A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配药泵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D37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2EB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hint="eastAsia" w:eastAsia="宋体"/>
                      <w:color w:val="auto"/>
                      <w:sz w:val="21"/>
                      <w:szCs w:val="21"/>
                      <w:lang w:val="en-US" w:eastAsia="zh-CN"/>
                    </w:rPr>
                  </w:pPr>
                  <w:r>
                    <w:rPr>
                      <w:rFonts w:hint="eastAsia" w:ascii="宋体" w:hAnsi="宋体" w:cs="宋体"/>
                      <w:color w:val="auto"/>
                      <w:kern w:val="0"/>
                      <w:szCs w:val="21"/>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EC5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419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90F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r>
                    <w:rPr>
                      <w:rFonts w:hint="eastAsia"/>
                      <w:color w:val="auto"/>
                      <w:sz w:val="21"/>
                      <w:szCs w:val="21"/>
                      <w:lang w:val="en-US" w:eastAsia="zh-CN"/>
                    </w:rPr>
                    <w:t>-1</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F3CE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淘汰</w:t>
                  </w:r>
                </w:p>
              </w:tc>
            </w:tr>
            <w:tr w14:paraId="12891CD2">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BF92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9772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316A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color w:val="auto"/>
                      <w:kern w:val="0"/>
                      <w:sz w:val="21"/>
                      <w:szCs w:val="21"/>
                      <w:lang w:bidi="ar"/>
                    </w:rPr>
                    <w:t>7</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72C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0"/>
                      <w:szCs w:val="21"/>
                    </w:rPr>
                    <w:t>次氯酸钠加药泵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68B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eastAsia="等线"/>
                      <w:color w:val="auto"/>
                      <w:kern w:val="0"/>
                      <w:szCs w:val="21"/>
                    </w:rPr>
                    <w:t>Q=50L/h</w:t>
                  </w:r>
                  <w:r>
                    <w:rPr>
                      <w:rFonts w:hint="eastAsia" w:ascii="宋体" w:hAnsi="宋体"/>
                      <w:color w:val="auto"/>
                      <w:kern w:val="0"/>
                      <w:szCs w:val="21"/>
                    </w:rPr>
                    <w:t>，</w:t>
                  </w:r>
                  <w:r>
                    <w:rPr>
                      <w:rFonts w:eastAsia="等线"/>
                      <w:color w:val="auto"/>
                      <w:kern w:val="0"/>
                      <w:szCs w:val="21"/>
                    </w:rPr>
                    <w:t>H=10m</w:t>
                  </w:r>
                  <w:r>
                    <w:rPr>
                      <w:rFonts w:hint="eastAsia" w:ascii="宋体" w:hAnsi="宋体"/>
                      <w:color w:val="auto"/>
                      <w:kern w:val="0"/>
                      <w:szCs w:val="21"/>
                    </w:rPr>
                    <w:t>，</w:t>
                  </w:r>
                  <w:r>
                    <w:rPr>
                      <w:rFonts w:eastAsia="等线"/>
                      <w:color w:val="auto"/>
                      <w:kern w:val="0"/>
                      <w:szCs w:val="21"/>
                    </w:rPr>
                    <w:t>N=1.5kW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4D7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0"/>
                      <w:szCs w:val="21"/>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554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FBC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eastAsia="等线"/>
                      <w:color w:val="auto"/>
                      <w:kern w:val="0"/>
                      <w:szCs w:val="21"/>
                    </w:rPr>
                    <w:t>4</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B40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hint="eastAsia" w:eastAsia="等线"/>
                      <w:color w:val="auto"/>
                      <w:kern w:val="0"/>
                      <w:szCs w:val="21"/>
                      <w:lang w:val="en-US" w:eastAsia="zh-CN"/>
                    </w:rPr>
                    <w:t>+</w:t>
                  </w:r>
                  <w:r>
                    <w:rPr>
                      <w:rFonts w:eastAsia="等线"/>
                      <w:color w:val="auto"/>
                      <w:kern w:val="0"/>
                      <w:szCs w:val="21"/>
                    </w:rPr>
                    <w:t>4</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5340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0"/>
                      <w:szCs w:val="21"/>
                    </w:rPr>
                    <w:t>机械隔膜计量泵</w:t>
                  </w:r>
                </w:p>
              </w:tc>
            </w:tr>
            <w:tr w14:paraId="3157E89A">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4906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93F4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F37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8</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983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eastAsia="等线"/>
                      <w:color w:val="auto"/>
                      <w:kern w:val="0"/>
                      <w:szCs w:val="21"/>
                    </w:rPr>
                    <w:t>PAC</w:t>
                  </w:r>
                  <w:r>
                    <w:rPr>
                      <w:rFonts w:hint="eastAsia" w:ascii="宋体" w:hAnsi="宋体"/>
                      <w:color w:val="auto"/>
                      <w:kern w:val="0"/>
                      <w:szCs w:val="21"/>
                    </w:rPr>
                    <w:t>加药泵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70D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eastAsia="等线"/>
                      <w:color w:val="auto"/>
                      <w:kern w:val="0"/>
                      <w:szCs w:val="21"/>
                    </w:rPr>
                    <w:t>Q=235L/h</w:t>
                  </w:r>
                  <w:r>
                    <w:rPr>
                      <w:rFonts w:hint="eastAsia" w:ascii="宋体" w:hAnsi="宋体"/>
                      <w:color w:val="auto"/>
                      <w:kern w:val="0"/>
                      <w:szCs w:val="21"/>
                    </w:rPr>
                    <w:t>，</w:t>
                  </w:r>
                  <w:r>
                    <w:rPr>
                      <w:rFonts w:eastAsia="等线"/>
                      <w:color w:val="auto"/>
                      <w:kern w:val="0"/>
                      <w:szCs w:val="21"/>
                    </w:rPr>
                    <w:t>H=10m</w:t>
                  </w:r>
                  <w:r>
                    <w:rPr>
                      <w:rFonts w:hint="eastAsia" w:ascii="宋体" w:hAnsi="宋体"/>
                      <w:color w:val="auto"/>
                      <w:kern w:val="0"/>
                      <w:szCs w:val="21"/>
                    </w:rPr>
                    <w:t>，</w:t>
                  </w:r>
                  <w:r>
                    <w:rPr>
                      <w:rFonts w:eastAsia="等线"/>
                      <w:color w:val="auto"/>
                      <w:kern w:val="0"/>
                      <w:szCs w:val="21"/>
                    </w:rPr>
                    <w:t>N=1.5kW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674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0"/>
                      <w:szCs w:val="21"/>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13A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31F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eastAsia="等线"/>
                      <w:color w:val="auto"/>
                      <w:kern w:val="0"/>
                      <w:szCs w:val="21"/>
                    </w:rPr>
                    <w:t>3</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3D5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hint="eastAsia" w:eastAsia="等线"/>
                      <w:color w:val="auto"/>
                      <w:kern w:val="0"/>
                      <w:szCs w:val="21"/>
                      <w:lang w:val="en-US" w:eastAsia="zh-CN"/>
                    </w:rPr>
                    <w:t>+</w:t>
                  </w:r>
                  <w:r>
                    <w:rPr>
                      <w:rFonts w:eastAsia="等线"/>
                      <w:color w:val="auto"/>
                      <w:kern w:val="0"/>
                      <w:szCs w:val="21"/>
                    </w:rPr>
                    <w:t>3</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D988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0"/>
                      <w:szCs w:val="21"/>
                    </w:rPr>
                    <w:t>机械隔膜计量泵</w:t>
                  </w:r>
                </w:p>
              </w:tc>
            </w:tr>
            <w:tr w14:paraId="7B9DACDB">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8504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2896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B41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9</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824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eastAsia="等线"/>
                      <w:color w:val="auto"/>
                      <w:kern w:val="0"/>
                      <w:szCs w:val="21"/>
                    </w:rPr>
                    <w:t>PAC</w:t>
                  </w:r>
                  <w:r>
                    <w:rPr>
                      <w:rFonts w:hint="eastAsia" w:ascii="宋体" w:hAnsi="宋体"/>
                      <w:color w:val="auto"/>
                      <w:kern w:val="0"/>
                      <w:szCs w:val="21"/>
                    </w:rPr>
                    <w:t>卸料泵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AE6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等线" w:cs="Times New Roman"/>
                      <w:color w:val="auto"/>
                      <w:kern w:val="0"/>
                      <w:sz w:val="21"/>
                      <w:szCs w:val="21"/>
                      <w:lang w:val="en-US" w:eastAsia="zh-CN" w:bidi="ar-SA"/>
                    </w:rPr>
                  </w:pPr>
                  <w:r>
                    <w:rPr>
                      <w:rFonts w:eastAsia="等线"/>
                      <w:color w:val="auto"/>
                      <w:kern w:val="0"/>
                      <w:szCs w:val="21"/>
                    </w:rPr>
                    <w:t>Q=20m</w:t>
                  </w:r>
                  <w:r>
                    <w:rPr>
                      <w:rFonts w:eastAsia="等线"/>
                      <w:color w:val="auto"/>
                      <w:kern w:val="0"/>
                      <w:szCs w:val="21"/>
                      <w:vertAlign w:val="superscript"/>
                    </w:rPr>
                    <w:t>3</w:t>
                  </w:r>
                  <w:r>
                    <w:rPr>
                      <w:rFonts w:eastAsia="等线"/>
                      <w:color w:val="auto"/>
                      <w:kern w:val="0"/>
                      <w:szCs w:val="21"/>
                    </w:rPr>
                    <w:t>/h</w:t>
                  </w:r>
                  <w:r>
                    <w:rPr>
                      <w:rFonts w:hint="eastAsia" w:ascii="宋体" w:hAnsi="宋体"/>
                      <w:color w:val="auto"/>
                      <w:kern w:val="0"/>
                      <w:szCs w:val="21"/>
                    </w:rPr>
                    <w:t>，</w:t>
                  </w:r>
                  <w:r>
                    <w:rPr>
                      <w:rFonts w:eastAsia="等线"/>
                      <w:color w:val="auto"/>
                      <w:kern w:val="0"/>
                      <w:szCs w:val="21"/>
                    </w:rPr>
                    <w:t>H=10m</w:t>
                  </w:r>
                  <w:r>
                    <w:rPr>
                      <w:rFonts w:hint="eastAsia" w:ascii="宋体" w:hAnsi="宋体"/>
                      <w:color w:val="auto"/>
                      <w:kern w:val="0"/>
                      <w:szCs w:val="21"/>
                    </w:rPr>
                    <w:t>，</w:t>
                  </w:r>
                  <w:r>
                    <w:rPr>
                      <w:rFonts w:eastAsia="等线"/>
                      <w:color w:val="auto"/>
                      <w:kern w:val="0"/>
                      <w:szCs w:val="21"/>
                    </w:rPr>
                    <w:t>N=2.2kW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EFE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EE8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7B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eastAsia="等线"/>
                      <w:color w:val="auto"/>
                      <w:kern w:val="0"/>
                      <w:szCs w:val="21"/>
                    </w:rPr>
                    <w:t>3</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931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eastAsia="等线"/>
                      <w:color w:val="auto"/>
                      <w:kern w:val="0"/>
                      <w:szCs w:val="21"/>
                      <w:lang w:val="en-US" w:eastAsia="zh-CN"/>
                    </w:rPr>
                    <w:t>+</w:t>
                  </w:r>
                  <w:r>
                    <w:rPr>
                      <w:rFonts w:eastAsia="等线"/>
                      <w:color w:val="auto"/>
                      <w:kern w:val="0"/>
                      <w:szCs w:val="21"/>
                    </w:rPr>
                    <w:t>3</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B173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衬氟磁力泵，</w:t>
                  </w:r>
                  <w:r>
                    <w:rPr>
                      <w:color w:val="auto"/>
                      <w:kern w:val="0"/>
                      <w:szCs w:val="21"/>
                    </w:rPr>
                    <w:t>1</w:t>
                  </w:r>
                  <w:r>
                    <w:rPr>
                      <w:rFonts w:hint="eastAsia" w:ascii="宋体" w:hAnsi="宋体" w:cs="宋体"/>
                      <w:color w:val="auto"/>
                      <w:kern w:val="0"/>
                      <w:szCs w:val="21"/>
                    </w:rPr>
                    <w:t>台卸料，</w:t>
                  </w:r>
                  <w:r>
                    <w:rPr>
                      <w:color w:val="auto"/>
                      <w:kern w:val="0"/>
                      <w:szCs w:val="21"/>
                    </w:rPr>
                    <w:t>1</w:t>
                  </w:r>
                  <w:r>
                    <w:rPr>
                      <w:rFonts w:hint="eastAsia" w:ascii="宋体" w:hAnsi="宋体" w:cs="宋体"/>
                      <w:color w:val="auto"/>
                      <w:kern w:val="0"/>
                      <w:szCs w:val="21"/>
                    </w:rPr>
                    <w:t>台稀释提升，</w:t>
                  </w:r>
                  <w:r>
                    <w:rPr>
                      <w:color w:val="auto"/>
                      <w:kern w:val="0"/>
                      <w:szCs w:val="21"/>
                    </w:rPr>
                    <w:t>1</w:t>
                  </w:r>
                  <w:r>
                    <w:rPr>
                      <w:rFonts w:hint="eastAsia" w:ascii="宋体" w:hAnsi="宋体" w:cs="宋体"/>
                      <w:color w:val="auto"/>
                      <w:kern w:val="0"/>
                      <w:szCs w:val="21"/>
                    </w:rPr>
                    <w:t>台备用</w:t>
                  </w:r>
                </w:p>
              </w:tc>
            </w:tr>
            <w:tr w14:paraId="0314DA3D">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9ECB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EEC1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63C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10</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5C6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eastAsia="等线"/>
                      <w:color w:val="auto"/>
                      <w:kern w:val="0"/>
                      <w:szCs w:val="21"/>
                    </w:rPr>
                    <w:t>PAC</w:t>
                  </w:r>
                  <w:r>
                    <w:rPr>
                      <w:rFonts w:hint="eastAsia" w:ascii="宋体" w:hAnsi="宋体"/>
                      <w:color w:val="auto"/>
                      <w:kern w:val="0"/>
                      <w:szCs w:val="21"/>
                    </w:rPr>
                    <w:t>储罐</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990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等线" w:cs="Times New Roman"/>
                      <w:color w:val="auto"/>
                      <w:kern w:val="0"/>
                      <w:sz w:val="21"/>
                      <w:szCs w:val="21"/>
                      <w:lang w:val="en-US" w:eastAsia="zh-CN" w:bidi="ar-SA"/>
                    </w:rPr>
                  </w:pPr>
                  <w:r>
                    <w:rPr>
                      <w:rFonts w:eastAsia="等线"/>
                      <w:color w:val="auto"/>
                      <w:kern w:val="0"/>
                      <w:szCs w:val="21"/>
                    </w:rPr>
                    <w:t>Vn=20m3</w:t>
                  </w:r>
                  <w:r>
                    <w:rPr>
                      <w:rFonts w:hint="eastAsia" w:ascii="宋体" w:hAnsi="宋体"/>
                      <w:color w:val="auto"/>
                      <w:kern w:val="0"/>
                      <w:szCs w:val="21"/>
                    </w:rPr>
                    <w:t>，</w:t>
                  </w:r>
                  <w:r>
                    <w:rPr>
                      <w:rFonts w:hint="eastAsia" w:ascii="MS Gothic" w:hAnsi="MS Gothic" w:eastAsia="MS Gothic" w:cs="MS Gothic"/>
                      <w:color w:val="auto"/>
                      <w:kern w:val="0"/>
                      <w:szCs w:val="21"/>
                    </w:rPr>
                    <w:t>∅</w:t>
                  </w:r>
                  <w:r>
                    <w:rPr>
                      <w:rFonts w:eastAsia="等线"/>
                      <w:color w:val="auto"/>
                      <w:kern w:val="0"/>
                      <w:szCs w:val="21"/>
                    </w:rPr>
                    <w:t>2600x3800(H)</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257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套</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CA8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7AD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eastAsia="等线"/>
                      <w:color w:val="auto"/>
                      <w:kern w:val="0"/>
                      <w:szCs w:val="21"/>
                    </w:rPr>
                    <w:t>3</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C94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eastAsia="等线"/>
                      <w:color w:val="auto"/>
                      <w:kern w:val="0"/>
                      <w:szCs w:val="21"/>
                      <w:lang w:val="en-US" w:eastAsia="zh-CN"/>
                    </w:rPr>
                    <w:t>+</w:t>
                  </w:r>
                  <w:r>
                    <w:rPr>
                      <w:rFonts w:eastAsia="等线"/>
                      <w:color w:val="auto"/>
                      <w:kern w:val="0"/>
                      <w:szCs w:val="21"/>
                    </w:rPr>
                    <w:t>3</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483B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配磁翻板液位计，</w:t>
                  </w:r>
                  <w:r>
                    <w:rPr>
                      <w:color w:val="auto"/>
                      <w:kern w:val="0"/>
                      <w:szCs w:val="21"/>
                    </w:rPr>
                    <w:t>4-20mA</w:t>
                  </w:r>
                  <w:r>
                    <w:rPr>
                      <w:rFonts w:hint="eastAsia" w:ascii="宋体" w:hAnsi="宋体" w:cs="宋体"/>
                      <w:color w:val="auto"/>
                      <w:kern w:val="0"/>
                      <w:szCs w:val="21"/>
                    </w:rPr>
                    <w:t>输出</w:t>
                  </w:r>
                </w:p>
              </w:tc>
            </w:tr>
            <w:tr w14:paraId="4764575D">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ACFA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27D3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B94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11</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4E4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硫酸亚铁加药泵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C09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等线" w:cs="Times New Roman"/>
                      <w:color w:val="auto"/>
                      <w:kern w:val="0"/>
                      <w:sz w:val="21"/>
                      <w:szCs w:val="21"/>
                      <w:lang w:val="en-US" w:eastAsia="zh-CN" w:bidi="ar-SA"/>
                    </w:rPr>
                  </w:pPr>
                  <w:r>
                    <w:rPr>
                      <w:rFonts w:eastAsia="等线"/>
                      <w:color w:val="auto"/>
                      <w:kern w:val="0"/>
                      <w:szCs w:val="21"/>
                    </w:rPr>
                    <w:t>Q=100L/h</w:t>
                  </w:r>
                  <w:r>
                    <w:rPr>
                      <w:rFonts w:hint="eastAsia" w:ascii="宋体" w:hAnsi="宋体"/>
                      <w:color w:val="auto"/>
                      <w:kern w:val="0"/>
                      <w:szCs w:val="21"/>
                    </w:rPr>
                    <w:t>，</w:t>
                  </w:r>
                  <w:r>
                    <w:rPr>
                      <w:rFonts w:eastAsia="等线"/>
                      <w:color w:val="auto"/>
                      <w:kern w:val="0"/>
                      <w:szCs w:val="21"/>
                    </w:rPr>
                    <w:t>H=10m</w:t>
                  </w:r>
                  <w:r>
                    <w:rPr>
                      <w:rFonts w:hint="eastAsia" w:ascii="宋体" w:hAnsi="宋体"/>
                      <w:color w:val="auto"/>
                      <w:kern w:val="0"/>
                      <w:szCs w:val="21"/>
                    </w:rPr>
                    <w:t>，</w:t>
                  </w:r>
                  <w:r>
                    <w:rPr>
                      <w:rFonts w:eastAsia="等线"/>
                      <w:color w:val="auto"/>
                      <w:kern w:val="0"/>
                      <w:szCs w:val="21"/>
                    </w:rPr>
                    <w:t>N=1.5kW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FE0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82E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4A7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eastAsia="等线"/>
                      <w:color w:val="auto"/>
                      <w:kern w:val="0"/>
                      <w:szCs w:val="21"/>
                    </w:rPr>
                    <w:t>3</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9EC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eastAsia="等线"/>
                      <w:color w:val="auto"/>
                      <w:kern w:val="0"/>
                      <w:szCs w:val="21"/>
                      <w:lang w:val="en-US" w:eastAsia="zh-CN"/>
                    </w:rPr>
                    <w:t>+</w:t>
                  </w:r>
                  <w:r>
                    <w:rPr>
                      <w:rFonts w:eastAsia="等线"/>
                      <w:color w:val="auto"/>
                      <w:kern w:val="0"/>
                      <w:szCs w:val="21"/>
                    </w:rPr>
                    <w:t>3</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252A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0"/>
                      <w:sz w:val="21"/>
                      <w:szCs w:val="21"/>
                      <w:lang w:val="en-US" w:eastAsia="zh-CN" w:bidi="ar-SA"/>
                    </w:rPr>
                  </w:pPr>
                  <w:r>
                    <w:rPr>
                      <w:rFonts w:eastAsia="等线"/>
                      <w:color w:val="auto"/>
                      <w:kern w:val="0"/>
                      <w:szCs w:val="21"/>
                    </w:rPr>
                    <w:t>2</w:t>
                  </w:r>
                  <w:r>
                    <w:rPr>
                      <w:rFonts w:hint="eastAsia" w:ascii="宋体" w:hAnsi="宋体"/>
                      <w:color w:val="auto"/>
                      <w:kern w:val="0"/>
                      <w:szCs w:val="21"/>
                    </w:rPr>
                    <w:t>用</w:t>
                  </w:r>
                  <w:r>
                    <w:rPr>
                      <w:rFonts w:eastAsia="等线"/>
                      <w:color w:val="auto"/>
                      <w:kern w:val="0"/>
                      <w:szCs w:val="21"/>
                    </w:rPr>
                    <w:t>1</w:t>
                  </w:r>
                  <w:r>
                    <w:rPr>
                      <w:rFonts w:hint="eastAsia" w:ascii="宋体" w:hAnsi="宋体"/>
                      <w:color w:val="auto"/>
                      <w:kern w:val="0"/>
                      <w:szCs w:val="21"/>
                    </w:rPr>
                    <w:t>备，机械隔膜计量泵</w:t>
                  </w:r>
                </w:p>
              </w:tc>
            </w:tr>
            <w:tr w14:paraId="281BC2AE">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9B8F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5FDE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19E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12</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189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硫酸亚铁溶液罐</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F1D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等线" w:cs="Times New Roman"/>
                      <w:color w:val="auto"/>
                      <w:kern w:val="0"/>
                      <w:sz w:val="21"/>
                      <w:szCs w:val="21"/>
                      <w:lang w:val="en-US" w:eastAsia="zh-CN" w:bidi="ar-SA"/>
                    </w:rPr>
                  </w:pPr>
                  <w:r>
                    <w:rPr>
                      <w:rFonts w:eastAsia="等线"/>
                      <w:color w:val="auto"/>
                      <w:kern w:val="0"/>
                      <w:szCs w:val="21"/>
                    </w:rPr>
                    <w:t>Vn=2m</w:t>
                  </w:r>
                  <w:r>
                    <w:rPr>
                      <w:rFonts w:eastAsia="等线"/>
                      <w:color w:val="auto"/>
                      <w:kern w:val="0"/>
                      <w:szCs w:val="21"/>
                      <w:vertAlign w:val="superscript"/>
                    </w:rPr>
                    <w:t>3</w:t>
                  </w:r>
                  <w:r>
                    <w:rPr>
                      <w:rFonts w:hint="eastAsia" w:ascii="宋体" w:hAnsi="宋体"/>
                      <w:color w:val="auto"/>
                      <w:kern w:val="0"/>
                      <w:szCs w:val="21"/>
                    </w:rPr>
                    <w:t>，</w:t>
                  </w:r>
                  <w:r>
                    <w:rPr>
                      <w:rFonts w:hint="eastAsia" w:ascii="MS Gothic" w:hAnsi="MS Gothic" w:eastAsia="MS Gothic" w:cs="MS Gothic"/>
                      <w:color w:val="auto"/>
                      <w:kern w:val="0"/>
                      <w:szCs w:val="21"/>
                    </w:rPr>
                    <w:t>∅</w:t>
                  </w:r>
                  <w:r>
                    <w:rPr>
                      <w:rFonts w:eastAsia="等线"/>
                      <w:color w:val="auto"/>
                      <w:kern w:val="0"/>
                      <w:szCs w:val="21"/>
                    </w:rPr>
                    <w:t>1500x1500(H)</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D24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套</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A80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515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eastAsia="等线"/>
                      <w:color w:val="auto"/>
                      <w:kern w:val="0"/>
                      <w:szCs w:val="21"/>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EC2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eastAsia="等线"/>
                      <w:color w:val="auto"/>
                      <w:kern w:val="0"/>
                      <w:szCs w:val="21"/>
                      <w:lang w:val="en-US" w:eastAsia="zh-CN"/>
                    </w:rPr>
                    <w:t>+</w:t>
                  </w:r>
                  <w:r>
                    <w:rPr>
                      <w:rFonts w:eastAsia="等线"/>
                      <w:color w:val="auto"/>
                      <w:kern w:val="0"/>
                      <w:szCs w:val="21"/>
                    </w:rPr>
                    <w:t>2</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C9C57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配磁翻板液位计</w:t>
                  </w:r>
                </w:p>
              </w:tc>
            </w:tr>
            <w:tr w14:paraId="343F64CA">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B8ED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7036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9C1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13</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FE8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安全喷淋洗眼器</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B0F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不锈钢</w:t>
                  </w:r>
                  <w:r>
                    <w:rPr>
                      <w:color w:val="auto"/>
                      <w:kern w:val="0"/>
                      <w:szCs w:val="21"/>
                    </w:rPr>
                    <w:t>304</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9E8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等线" w:cs="Times New Roman"/>
                      <w:color w:val="auto"/>
                      <w:kern w:val="0"/>
                      <w:sz w:val="21"/>
                      <w:szCs w:val="21"/>
                      <w:lang w:val="en-US" w:eastAsia="zh-CN" w:bidi="ar-SA"/>
                    </w:rPr>
                  </w:pPr>
                  <w:r>
                    <w:rPr>
                      <w:rFonts w:hint="eastAsia" w:ascii="宋体" w:hAnsi="宋体" w:cs="宋体"/>
                      <w:color w:val="auto"/>
                      <w:kern w:val="0"/>
                      <w:szCs w:val="21"/>
                    </w:rPr>
                    <w:t>套</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2E8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B648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eastAsia="等线"/>
                      <w:color w:val="auto"/>
                      <w:kern w:val="0"/>
                      <w:szCs w:val="21"/>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A15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eastAsia="宋体" w:cs="宋体"/>
                      <w:color w:val="auto"/>
                      <w:kern w:val="0"/>
                      <w:sz w:val="21"/>
                      <w:szCs w:val="21"/>
                      <w:lang w:val="en-US" w:eastAsia="zh-CN" w:bidi="ar-SA"/>
                    </w:rPr>
                  </w:pPr>
                  <w:r>
                    <w:rPr>
                      <w:rFonts w:hint="eastAsia" w:eastAsia="等线"/>
                      <w:color w:val="auto"/>
                      <w:kern w:val="0"/>
                      <w:szCs w:val="21"/>
                      <w:lang w:val="en-US" w:eastAsia="zh-CN"/>
                    </w:rPr>
                    <w:t>+</w:t>
                  </w:r>
                  <w:r>
                    <w:rPr>
                      <w:rFonts w:eastAsia="等线"/>
                      <w:color w:val="auto"/>
                      <w:kern w:val="0"/>
                      <w:szCs w:val="21"/>
                    </w:rPr>
                    <w:t>2</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68E9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详</w:t>
                  </w:r>
                  <w:r>
                    <w:rPr>
                      <w:color w:val="auto"/>
                      <w:kern w:val="0"/>
                      <w:szCs w:val="21"/>
                    </w:rPr>
                    <w:t>09S304-18</w:t>
                  </w:r>
                </w:p>
              </w:tc>
            </w:tr>
            <w:tr w14:paraId="0520A977">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2AF1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C4C3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858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14</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BC9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0"/>
                      <w:sz w:val="21"/>
                      <w:szCs w:val="21"/>
                      <w:lang w:val="en-US" w:eastAsia="zh-CN" w:bidi="ar"/>
                    </w:rPr>
                  </w:pPr>
                  <w:r>
                    <w:rPr>
                      <w:rFonts w:eastAsia="等线"/>
                      <w:color w:val="auto"/>
                      <w:kern w:val="0"/>
                      <w:szCs w:val="21"/>
                    </w:rPr>
                    <w:t>PAC</w:t>
                  </w:r>
                  <w:r>
                    <w:rPr>
                      <w:rFonts w:hint="eastAsia" w:ascii="宋体" w:hAnsi="宋体"/>
                      <w:color w:val="auto"/>
                      <w:kern w:val="0"/>
                      <w:szCs w:val="21"/>
                    </w:rPr>
                    <w:t>稀释罐</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E3F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0"/>
                      <w:sz w:val="21"/>
                      <w:szCs w:val="21"/>
                      <w:lang w:val="en-US" w:eastAsia="zh-CN" w:bidi="ar"/>
                    </w:rPr>
                  </w:pPr>
                  <w:r>
                    <w:rPr>
                      <w:rFonts w:eastAsia="等线"/>
                      <w:color w:val="auto"/>
                      <w:kern w:val="0"/>
                      <w:szCs w:val="21"/>
                    </w:rPr>
                    <w:t>Vn=10m</w:t>
                  </w:r>
                  <w:r>
                    <w:rPr>
                      <w:rFonts w:eastAsia="等线"/>
                      <w:color w:val="auto"/>
                      <w:kern w:val="0"/>
                      <w:szCs w:val="21"/>
                      <w:vertAlign w:val="superscript"/>
                    </w:rPr>
                    <w:t>3</w:t>
                  </w:r>
                  <w:r>
                    <w:rPr>
                      <w:rFonts w:hint="eastAsia" w:ascii="宋体" w:hAnsi="宋体"/>
                      <w:color w:val="auto"/>
                      <w:kern w:val="0"/>
                      <w:szCs w:val="21"/>
                    </w:rPr>
                    <w:t>，</w:t>
                  </w:r>
                  <w:r>
                    <w:rPr>
                      <w:rFonts w:hint="eastAsia" w:ascii="MS Gothic" w:hAnsi="MS Gothic" w:eastAsia="MS Gothic" w:cs="MS Gothic"/>
                      <w:color w:val="auto"/>
                      <w:kern w:val="0"/>
                      <w:szCs w:val="21"/>
                    </w:rPr>
                    <w:t>∅</w:t>
                  </w:r>
                  <w:r>
                    <w:rPr>
                      <w:rFonts w:eastAsia="等线"/>
                      <w:color w:val="auto"/>
                      <w:kern w:val="0"/>
                      <w:szCs w:val="21"/>
                    </w:rPr>
                    <w:t>2600x3200(H)</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311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套</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298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0"/>
                      <w:sz w:val="21"/>
                      <w:szCs w:val="21"/>
                      <w:lang w:val="en-US" w:eastAsia="zh-CN" w:bidi="ar"/>
                    </w:rPr>
                  </w:pPr>
                  <w:r>
                    <w:rPr>
                      <w:rFonts w:hint="eastAsia" w:cs="Times New Roman"/>
                      <w:color w:val="auto"/>
                      <w:kern w:val="2"/>
                      <w:sz w:val="21"/>
                      <w:szCs w:val="21"/>
                      <w:lang w:val="en-US" w:eastAsia="zh-CN" w:bidi="ar-SA"/>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7E3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0"/>
                      <w:sz w:val="21"/>
                      <w:szCs w:val="21"/>
                      <w:lang w:val="en-US" w:eastAsia="zh-CN" w:bidi="ar"/>
                    </w:rPr>
                  </w:pPr>
                  <w:r>
                    <w:rPr>
                      <w:rFonts w:eastAsia="等线"/>
                      <w:color w:val="auto"/>
                      <w:kern w:val="0"/>
                      <w:szCs w:val="21"/>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548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0"/>
                      <w:sz w:val="21"/>
                      <w:szCs w:val="21"/>
                      <w:lang w:val="en-US" w:eastAsia="zh-CN" w:bidi="ar"/>
                    </w:rPr>
                  </w:pPr>
                  <w:r>
                    <w:rPr>
                      <w:rFonts w:hint="eastAsia" w:eastAsia="等线"/>
                      <w:color w:val="auto"/>
                      <w:kern w:val="0"/>
                      <w:szCs w:val="21"/>
                      <w:lang w:val="en-US" w:eastAsia="zh-CN"/>
                    </w:rPr>
                    <w:t>+</w:t>
                  </w:r>
                  <w:r>
                    <w:rPr>
                      <w:rFonts w:eastAsia="等线"/>
                      <w:color w:val="auto"/>
                      <w:kern w:val="0"/>
                      <w:szCs w:val="21"/>
                    </w:rPr>
                    <w:t>2</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9931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Cs w:val="21"/>
                    </w:rPr>
                    <w:t>配磁翻板液位计</w:t>
                  </w:r>
                </w:p>
              </w:tc>
            </w:tr>
            <w:tr w14:paraId="2107BA48">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77EC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76E4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A4A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15</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C3F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0"/>
                      <w:sz w:val="21"/>
                      <w:szCs w:val="21"/>
                      <w:lang w:bidi="ar"/>
                    </w:rPr>
                    <w:t>轴流风机</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502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T35-11</w:t>
                  </w:r>
                  <w:r>
                    <w:rPr>
                      <w:rFonts w:hint="eastAsia" w:ascii="宋体" w:hAnsi="宋体" w:cs="宋体"/>
                      <w:color w:val="auto"/>
                      <w:kern w:val="0"/>
                      <w:sz w:val="21"/>
                      <w:szCs w:val="21"/>
                      <w:lang w:bidi="ar"/>
                    </w:rPr>
                    <w:t>机号</w:t>
                  </w:r>
                  <w:r>
                    <w:rPr>
                      <w:color w:val="auto"/>
                      <w:kern w:val="0"/>
                      <w:sz w:val="21"/>
                      <w:szCs w:val="21"/>
                      <w:lang w:bidi="ar"/>
                    </w:rPr>
                    <w:t>3.15</w:t>
                  </w:r>
                  <w:r>
                    <w:rPr>
                      <w:rFonts w:hint="eastAsia" w:ascii="宋体" w:hAnsi="宋体" w:cs="宋体"/>
                      <w:color w:val="auto"/>
                      <w:kern w:val="0"/>
                      <w:sz w:val="21"/>
                      <w:szCs w:val="21"/>
                      <w:lang w:bidi="ar"/>
                    </w:rPr>
                    <w:t>，</w:t>
                  </w:r>
                  <w:r>
                    <w:rPr>
                      <w:color w:val="auto"/>
                      <w:kern w:val="0"/>
                      <w:sz w:val="21"/>
                      <w:szCs w:val="21"/>
                      <w:lang w:bidi="ar"/>
                    </w:rPr>
                    <w:t>N=0.25kW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CAF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C0E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2A7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3</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0D2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9A9EC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0"/>
                      <w:sz w:val="21"/>
                      <w:szCs w:val="21"/>
                      <w:lang w:bidi="ar"/>
                    </w:rPr>
                    <w:t>一台加氯间，</w:t>
                  </w:r>
                  <w:r>
                    <w:rPr>
                      <w:color w:val="auto"/>
                      <w:kern w:val="0"/>
                      <w:sz w:val="21"/>
                      <w:szCs w:val="21"/>
                      <w:lang w:bidi="ar"/>
                    </w:rPr>
                    <w:t>2</w:t>
                  </w:r>
                  <w:r>
                    <w:rPr>
                      <w:rFonts w:hint="eastAsia" w:ascii="宋体" w:hAnsi="宋体" w:cs="宋体"/>
                      <w:color w:val="auto"/>
                      <w:kern w:val="0"/>
                      <w:sz w:val="21"/>
                      <w:szCs w:val="21"/>
                      <w:lang w:bidi="ar"/>
                    </w:rPr>
                    <w:t>台储存次氯酸钠间</w:t>
                  </w:r>
                </w:p>
              </w:tc>
            </w:tr>
            <w:tr w14:paraId="147BD987">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A10D3">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4433A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加矾系统</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BF6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1</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803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液下泵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FDB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Q=10m</w:t>
                  </w:r>
                  <w:r>
                    <w:rPr>
                      <w:color w:val="auto"/>
                      <w:kern w:val="0"/>
                      <w:sz w:val="21"/>
                      <w:szCs w:val="21"/>
                      <w:vertAlign w:val="superscript"/>
                      <w:lang w:bidi="ar"/>
                    </w:rPr>
                    <w:t>3</w:t>
                  </w:r>
                  <w:r>
                    <w:rPr>
                      <w:color w:val="auto"/>
                      <w:kern w:val="0"/>
                      <w:sz w:val="21"/>
                      <w:szCs w:val="21"/>
                      <w:lang w:bidi="ar"/>
                    </w:rPr>
                    <w:t>/h</w:t>
                  </w:r>
                  <w:r>
                    <w:rPr>
                      <w:rFonts w:hint="eastAsia" w:ascii="宋体" w:hAnsi="宋体" w:cs="宋体"/>
                      <w:color w:val="auto"/>
                      <w:kern w:val="0"/>
                      <w:sz w:val="21"/>
                      <w:szCs w:val="21"/>
                      <w:lang w:bidi="ar"/>
                    </w:rPr>
                    <w:t>，</w:t>
                  </w:r>
                  <w:r>
                    <w:rPr>
                      <w:color w:val="auto"/>
                      <w:kern w:val="0"/>
                      <w:sz w:val="21"/>
                      <w:szCs w:val="21"/>
                      <w:lang w:bidi="ar"/>
                    </w:rPr>
                    <w:t>H=12m</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4F2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B168">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854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9D8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s="Times New Roman"/>
                      <w:color w:val="auto"/>
                      <w:kern w:val="0"/>
                      <w:sz w:val="21"/>
                      <w:szCs w:val="21"/>
                      <w:lang w:val="en-US" w:eastAsia="zh-CN" w:bidi="ar"/>
                    </w:rPr>
                    <w:t>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DEA56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15A73B9D">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4CE9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703D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ascii="宋体" w:hAnsi="宋体" w:cs="宋体"/>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794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12F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溶解池搅拌机</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C7AD">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F1B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015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22B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7AD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s="Times New Roman"/>
                      <w:color w:val="auto"/>
                      <w:kern w:val="0"/>
                      <w:sz w:val="21"/>
                      <w:szCs w:val="21"/>
                      <w:lang w:val="en-US" w:eastAsia="zh-CN" w:bidi="ar"/>
                    </w:rPr>
                    <w:t>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FFCF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7AB1AD0F">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6A0E5">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7472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ascii="宋体" w:hAnsi="宋体" w:cs="宋体"/>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CA4E">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DBD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卸料泵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A83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Q=12.5m</w:t>
                  </w:r>
                  <w:r>
                    <w:rPr>
                      <w:color w:val="auto"/>
                      <w:kern w:val="0"/>
                      <w:sz w:val="21"/>
                      <w:szCs w:val="21"/>
                      <w:vertAlign w:val="superscript"/>
                      <w:lang w:bidi="ar"/>
                    </w:rPr>
                    <w:t>3</w:t>
                  </w:r>
                  <w:r>
                    <w:rPr>
                      <w:color w:val="auto"/>
                      <w:kern w:val="0"/>
                      <w:sz w:val="21"/>
                      <w:szCs w:val="21"/>
                      <w:lang w:bidi="ar"/>
                    </w:rPr>
                    <w:t>/h</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090B">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B44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A3B6">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Times New Roman" w:hAnsi="Times New Roman" w:eastAsia="宋体" w:cs="Times New Roman"/>
                      <w:color w:val="auto"/>
                      <w:kern w:val="2"/>
                      <w:sz w:val="21"/>
                      <w:szCs w:val="21"/>
                      <w:lang w:val="en-US" w:eastAsia="zh-CN" w:bidi="ar-SA"/>
                    </w:rPr>
                  </w:pPr>
                  <w:r>
                    <w:rPr>
                      <w:color w:val="auto"/>
                      <w:kern w:val="0"/>
                      <w:sz w:val="21"/>
                      <w:szCs w:val="21"/>
                      <w:lang w:bidi="ar"/>
                    </w:rPr>
                    <w:t>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CF4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kern w:val="0"/>
                      <w:sz w:val="21"/>
                      <w:szCs w:val="21"/>
                      <w:lang w:bidi="ar"/>
                    </w:rPr>
                  </w:pPr>
                  <w:r>
                    <w:rPr>
                      <w:rFonts w:hint="eastAsia" w:cs="Times New Roman"/>
                      <w:color w:val="auto"/>
                      <w:kern w:val="0"/>
                      <w:sz w:val="21"/>
                      <w:szCs w:val="21"/>
                      <w:lang w:val="en-US" w:eastAsia="zh-CN" w:bidi="ar"/>
                    </w:rPr>
                    <w:t>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0D40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ascii="宋体" w:hAnsi="宋体" w:cs="宋体"/>
                      <w:color w:val="auto"/>
                      <w:sz w:val="21"/>
                      <w:szCs w:val="21"/>
                    </w:rPr>
                  </w:pPr>
                </w:p>
              </w:tc>
            </w:tr>
            <w:tr w14:paraId="3DB9083F">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906F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D3A79">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ascii="宋体" w:hAnsi="宋体" w:cs="宋体"/>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20C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4</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5C1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加碱计量泵</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A46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Q=0~235L/hr</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23E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7E9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638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1C04">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7AA3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淘汰</w:t>
                  </w:r>
                </w:p>
              </w:tc>
            </w:tr>
            <w:tr w14:paraId="5E42325C">
              <w:tblPrEx>
                <w:tblCellMar>
                  <w:top w:w="0" w:type="dxa"/>
                  <w:left w:w="108" w:type="dxa"/>
                  <w:bottom w:w="0" w:type="dxa"/>
                  <w:right w:w="108" w:type="dxa"/>
                </w:tblCellMar>
              </w:tblPrEx>
              <w:trPr>
                <w:trHeight w:val="283" w:hRule="atLeast"/>
                <w:jc w:val="center"/>
              </w:trPr>
              <w:tc>
                <w:tcPr>
                  <w:tcW w:w="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E28AF">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color w:val="auto"/>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BAC92">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rPr>
                      <w:rFonts w:ascii="宋体" w:hAnsi="宋体" w:cs="宋体"/>
                      <w:color w:val="auto"/>
                      <w:sz w:val="21"/>
                      <w:szCs w:val="21"/>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459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5</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8E1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溶液池搅拌机</w:t>
                  </w:r>
                </w:p>
              </w:tc>
              <w:tc>
                <w:tcPr>
                  <w:tcW w:w="1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D31A">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color w:val="auto"/>
                      <w:kern w:val="0"/>
                      <w:sz w:val="21"/>
                      <w:szCs w:val="21"/>
                      <w:lang w:bidi="ar"/>
                    </w:rPr>
                    <w:t>N=0.55kW</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7DB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r>
                    <w:rPr>
                      <w:rFonts w:hint="eastAsia" w:ascii="宋体" w:hAnsi="宋体" w:cs="宋体"/>
                      <w:color w:val="auto"/>
                      <w:kern w:val="0"/>
                      <w:sz w:val="21"/>
                      <w:szCs w:val="21"/>
                      <w:lang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87B7">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sz w:val="21"/>
                      <w:szCs w:val="21"/>
                      <w:lang w:eastAsia="zh-CN"/>
                    </w:rPr>
                  </w:pPr>
                  <w:r>
                    <w:rPr>
                      <w:rFonts w:hint="eastAsia"/>
                      <w:color w:val="auto"/>
                      <w:kern w:val="0"/>
                      <w:sz w:val="21"/>
                      <w:szCs w:val="21"/>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1A50">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BEC1">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0</w:t>
                  </w:r>
                </w:p>
              </w:tc>
              <w:tc>
                <w:tcPr>
                  <w:tcW w:w="1410" w:type="dxa"/>
                  <w:gridSpan w:val="2"/>
                  <w:tcBorders>
                    <w:top w:val="nil"/>
                    <w:left w:val="nil"/>
                    <w:bottom w:val="single" w:color="000000" w:sz="4" w:space="0"/>
                    <w:right w:val="single" w:color="000000" w:sz="4" w:space="0"/>
                  </w:tcBorders>
                  <w:shd w:val="clear" w:color="auto" w:fill="auto"/>
                  <w:vAlign w:val="center"/>
                </w:tcPr>
                <w:p w14:paraId="08BD390C">
                  <w:pPr>
                    <w:keepNext w:val="0"/>
                    <w:keepLines w:val="0"/>
                    <w:pageBreakBefore w:val="0"/>
                    <w:widowControl w:val="0"/>
                    <w:kinsoku/>
                    <w:wordWrap/>
                    <w:overflowPunct/>
                    <w:topLinePunct w:val="0"/>
                    <w:bidi w:val="0"/>
                    <w:spacing w:beforeAutospacing="0" w:afterAutospacing="0" w:line="240" w:lineRule="auto"/>
                    <w:ind w:left="0" w:leftChars="0" w:right="0" w:firstLine="0" w:firstLineChars="0"/>
                    <w:jc w:val="center"/>
                    <w:textAlignment w:val="center"/>
                    <w:rPr>
                      <w:color w:val="auto"/>
                      <w:sz w:val="21"/>
                      <w:szCs w:val="21"/>
                    </w:rPr>
                  </w:pPr>
                </w:p>
              </w:tc>
            </w:tr>
          </w:tbl>
          <w:p w14:paraId="23ED99E3">
            <w:pPr>
              <w:pStyle w:val="61"/>
              <w:keepNext w:val="0"/>
              <w:keepLines w:val="0"/>
              <w:pageBreakBefore w:val="0"/>
              <w:widowControl w:val="0"/>
              <w:kinsoku/>
              <w:wordWrap/>
              <w:overflowPunct/>
              <w:topLinePunct w:val="0"/>
              <w:autoSpaceDE/>
              <w:autoSpaceDN/>
              <w:bidi w:val="0"/>
              <w:adjustRightInd/>
              <w:snapToGrid/>
              <w:spacing w:beforeAutospacing="0" w:afterAutospacing="0"/>
              <w:ind w:left="0" w:leftChars="0" w:right="0" w:firstLine="0" w:firstLineChars="0"/>
              <w:jc w:val="center"/>
              <w:textAlignment w:val="auto"/>
              <w:rPr>
                <w:b/>
                <w:bCs/>
                <w:color w:val="auto"/>
                <w:sz w:val="24"/>
                <w:szCs w:val="24"/>
              </w:rPr>
            </w:pPr>
            <w:r>
              <w:rPr>
                <w:b/>
                <w:bCs/>
                <w:color w:val="auto"/>
                <w:sz w:val="24"/>
                <w:szCs w:val="24"/>
              </w:rPr>
              <w:t>表</w:t>
            </w:r>
            <w:r>
              <w:rPr>
                <w:rFonts w:hint="eastAsia"/>
                <w:b/>
                <w:bCs/>
                <w:color w:val="auto"/>
                <w:sz w:val="24"/>
                <w:szCs w:val="24"/>
              </w:rPr>
              <w:t>2</w:t>
            </w:r>
            <w:r>
              <w:rPr>
                <w:b/>
                <w:bCs/>
                <w:color w:val="auto"/>
                <w:sz w:val="24"/>
                <w:szCs w:val="24"/>
              </w:rPr>
              <w:t>-</w:t>
            </w:r>
            <w:r>
              <w:rPr>
                <w:rFonts w:hint="eastAsia"/>
                <w:b/>
                <w:bCs/>
                <w:color w:val="auto"/>
                <w:sz w:val="24"/>
                <w:szCs w:val="24"/>
                <w:lang w:val="en-US" w:eastAsia="zh-CN"/>
              </w:rPr>
              <w:t>11</w:t>
            </w:r>
            <w:r>
              <w:rPr>
                <w:b/>
                <w:bCs/>
                <w:color w:val="auto"/>
                <w:sz w:val="24"/>
                <w:szCs w:val="24"/>
              </w:rPr>
              <w:t xml:space="preserve">  </w:t>
            </w:r>
            <w:r>
              <w:rPr>
                <w:rFonts w:hint="eastAsia"/>
                <w:b/>
                <w:bCs/>
                <w:color w:val="auto"/>
                <w:sz w:val="24"/>
                <w:szCs w:val="24"/>
                <w:lang w:eastAsia="zh-CN"/>
              </w:rPr>
              <w:t>新建净水工程的</w:t>
            </w:r>
            <w:r>
              <w:rPr>
                <w:b/>
                <w:bCs/>
                <w:color w:val="auto"/>
                <w:sz w:val="24"/>
                <w:szCs w:val="24"/>
              </w:rPr>
              <w:t>主要生产设施设备一览表</w:t>
            </w:r>
          </w:p>
          <w:tbl>
            <w:tblPr>
              <w:tblStyle w:val="31"/>
              <w:tblW w:w="8610" w:type="dxa"/>
              <w:jc w:val="center"/>
              <w:tblLayout w:type="fixed"/>
              <w:tblCellMar>
                <w:top w:w="0" w:type="dxa"/>
                <w:left w:w="108" w:type="dxa"/>
                <w:bottom w:w="0" w:type="dxa"/>
                <w:right w:w="108" w:type="dxa"/>
              </w:tblCellMar>
            </w:tblPr>
            <w:tblGrid>
              <w:gridCol w:w="913"/>
              <w:gridCol w:w="428"/>
              <w:gridCol w:w="1697"/>
              <w:gridCol w:w="2794"/>
              <w:gridCol w:w="506"/>
              <w:gridCol w:w="619"/>
              <w:gridCol w:w="1653"/>
            </w:tblGrid>
            <w:tr w14:paraId="300476C7">
              <w:tblPrEx>
                <w:tblCellMar>
                  <w:top w:w="0" w:type="dxa"/>
                  <w:left w:w="108" w:type="dxa"/>
                  <w:bottom w:w="0" w:type="dxa"/>
                  <w:right w:w="108" w:type="dxa"/>
                </w:tblCellMar>
              </w:tblPrEx>
              <w:trPr>
                <w:trHeight w:val="283"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1D1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构筑物名称</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C83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673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4C1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225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599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25A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4F126936">
              <w:tblPrEx>
                <w:tblCellMar>
                  <w:top w:w="0" w:type="dxa"/>
                  <w:left w:w="108" w:type="dxa"/>
                  <w:bottom w:w="0" w:type="dxa"/>
                  <w:right w:w="108" w:type="dxa"/>
                </w:tblCellMar>
              </w:tblPrEx>
              <w:trPr>
                <w:trHeight w:val="283"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D7FC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新建絮凝沉淀池</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5DD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06A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泵吸式吸泥机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424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SB-10.65，N=7.1kW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A9B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7D2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640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2EA333B4">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B227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437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BE3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345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DN500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524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7C5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626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2FCD1EC6">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33BA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8FE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30D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管道混合器</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440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DN500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775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3B4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C52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17768BEF">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25A1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D4C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FD8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手动闸阀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0E5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DN200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D66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189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FC8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45B18E6C">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31A1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4B5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BC1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气动快开排泥阀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B1C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DN200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BBB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02D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19B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008B9B00">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1924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EF2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8AB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E59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排气量170L/min，气罐容积70L</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FC2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AC5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9FD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1C93458B">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5F77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470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CE3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伸缩器</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C65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DN500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AD3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B8C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5AB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714B565F">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FA80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202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A16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电动球阀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B93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DN100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7A2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F7B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279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71067D72">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D7E6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669D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464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不锈钢手动插板闸门</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D2F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0.8m</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0.8m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4C21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131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32E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4B9F83BE">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7660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6F9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D0A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室内消火栓</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CC1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SN65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9ED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535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D5E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16A3C3B0">
              <w:tblPrEx>
                <w:tblCellMar>
                  <w:top w:w="0" w:type="dxa"/>
                  <w:left w:w="108" w:type="dxa"/>
                  <w:bottom w:w="0" w:type="dxa"/>
                  <w:right w:w="108" w:type="dxa"/>
                </w:tblCellMar>
              </w:tblPrEx>
              <w:trPr>
                <w:trHeight w:val="283"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8DF50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新建普通快滤池</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E1A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F61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电动对夹式蝶阀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234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DN500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40D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877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E65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其中1个要求开度可调</w:t>
                  </w:r>
                </w:p>
              </w:tc>
            </w:tr>
            <w:tr w14:paraId="7EEB7F52">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6FFF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90E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FC9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管道伸缩器</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DA2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DN500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7F6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801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894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67EA31D4">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069D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637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26C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电动对夹式蝶阀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0DF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DN300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76D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215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335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开度可调</w:t>
                  </w:r>
                </w:p>
              </w:tc>
            </w:tr>
            <w:tr w14:paraId="352FF42F">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670F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F97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0B6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电动双法兰蝶阀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BCA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DN300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AE9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687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6B0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阀杆加长至H=2.0m</w:t>
                  </w:r>
                </w:p>
              </w:tc>
            </w:tr>
            <w:tr w14:paraId="2CB62F4D">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77B5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021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F06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电动对夹式蝶阀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037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DN700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F5F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3FB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6AE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1DCCF5A6">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1769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F3B9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288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电动对夹式蝶阀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1D0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DN150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786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EAD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622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1D8021EF">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8959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2CE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92B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管道伸缩器</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D5B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DN150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7F1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521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9B4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4CD04943">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2879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ADC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AA2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3B2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DN50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848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296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45B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542AE5FF">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774D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473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9F1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潜水排污泵</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D8E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/h，H=8m，N=1.5kW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C09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826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749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72ED1711">
              <w:tblPrEx>
                <w:tblCellMar>
                  <w:top w:w="0" w:type="dxa"/>
                  <w:left w:w="108" w:type="dxa"/>
                  <w:bottom w:w="0" w:type="dxa"/>
                  <w:right w:w="108" w:type="dxa"/>
                </w:tblCellMar>
              </w:tblPrEx>
              <w:trPr>
                <w:trHeight w:val="283"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2606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新建排水排泥池</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80A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FDB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潜水排污泵</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回用水泵</w:t>
                  </w:r>
                  <w:r>
                    <w:rPr>
                      <w:rFonts w:hint="eastAsia" w:ascii="Times New Roman" w:hAnsi="Times New Roman" w:eastAsia="宋体" w:cs="Times New Roman"/>
                      <w:color w:val="auto"/>
                      <w:sz w:val="21"/>
                      <w:szCs w:val="21"/>
                      <w:lang w:eastAsia="zh-CN"/>
                    </w:rPr>
                    <w:t>）</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DD9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Q=96m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/h，H=10.9m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1B8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F78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6AF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一用一备</w:t>
                  </w:r>
                </w:p>
              </w:tc>
            </w:tr>
            <w:tr w14:paraId="18E20628">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AD8F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5ED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49E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潜水排污泵</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排泥泵</w:t>
                  </w:r>
                  <w:r>
                    <w:rPr>
                      <w:rFonts w:hint="eastAsia" w:ascii="Times New Roman" w:hAnsi="Times New Roman" w:eastAsia="宋体" w:cs="Times New Roman"/>
                      <w:color w:val="auto"/>
                      <w:sz w:val="21"/>
                      <w:szCs w:val="21"/>
                      <w:lang w:eastAsia="zh-CN"/>
                    </w:rPr>
                    <w:t>）</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CB7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Q=44.68m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/h，H=10.2m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053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0F2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960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一用一备</w:t>
                  </w:r>
                </w:p>
              </w:tc>
            </w:tr>
            <w:tr w14:paraId="6A4C0575">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2DE0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C1C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274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出水微阻缓闭止回阀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065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DN200，PN1.0MPa</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81EB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035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E44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30AC9D4B">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A4F2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F8A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4A6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出水闸阀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430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DN200，PN1.0MPa</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8BA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5D0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F45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415FCE7">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B263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730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E72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出水微阻缓闭止回阀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BCA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DN150，PN1.0MPa</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56E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3FB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971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4681D1DE">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41DB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8E7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B83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出水闸阀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AE7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DN150，PN1.0MPa</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DD3F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2C9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FE8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4FEE2DC9">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D146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9CB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141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潜水搅拌机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451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∅260，960r/min，1.5kW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616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37A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316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7AD8935A">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F4B0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A25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9AA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进水电动蝶阀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125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DN300，PN1.0MPa</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829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D56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500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4922BAAA">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9F05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EAD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D42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进水电动蝶阀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CAA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DN700，PN1.0MPa</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DEE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12C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E064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1982EF2B">
              <w:tblPrEx>
                <w:tblCellMar>
                  <w:top w:w="0" w:type="dxa"/>
                  <w:left w:w="108" w:type="dxa"/>
                  <w:bottom w:w="0" w:type="dxa"/>
                  <w:right w:w="108" w:type="dxa"/>
                </w:tblCellMar>
              </w:tblPrEx>
              <w:trPr>
                <w:trHeight w:val="283"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FE2E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新建污泥浓缩池</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B6D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973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中心传动刮泥机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5C9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φ-13000，v=0.6m/min</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FD5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4B6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680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000D00ED">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E016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18B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917F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手动蝶阀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753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DN200，PN0.6MPa</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3BD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688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A5D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3F7CCE24">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9331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5BD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F28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手动闸阀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3DB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DN200，PN0.6MPa</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834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0C1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852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6E7DA47E">
              <w:tblPrEx>
                <w:tblCellMar>
                  <w:top w:w="0" w:type="dxa"/>
                  <w:left w:w="108" w:type="dxa"/>
                  <w:bottom w:w="0" w:type="dxa"/>
                  <w:right w:w="108" w:type="dxa"/>
                </w:tblCellMar>
              </w:tblPrEx>
              <w:trPr>
                <w:trHeight w:val="283"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FD025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新建脱水机房</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6D1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E38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带式污泥浓缩脱水一体机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89E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B=1500mm，Q=10~20m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/h（湿泥），Q=300kg/h（干泥），N=2.95kW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4C0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15C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DD0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一用一备</w:t>
                  </w:r>
                </w:p>
              </w:tc>
            </w:tr>
            <w:tr w14:paraId="1C160738">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C6A2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9E0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455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PAM制备装置</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C35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3000L/h，投加浓度3‰，功率4.87kW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99B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519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582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549122FE">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FBF9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F24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43C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PAM加药泵</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C79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Q=1500L/h，H=40m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C7D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459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A9E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一用一备，变频调速</w:t>
                  </w:r>
                </w:p>
              </w:tc>
            </w:tr>
            <w:tr w14:paraId="02080892">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85D1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132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2E3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移动式空压机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8BD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Q=0.36m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/min，H=40m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7AF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2BA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92B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一用一备</w:t>
                  </w:r>
                </w:p>
              </w:tc>
            </w:tr>
            <w:tr w14:paraId="08022F98">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D8D7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486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56C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冲洗水泵</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B45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Q=18m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/h，H=73m，N=5.5kW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BF0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3D9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947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一用一备</w:t>
                  </w:r>
                </w:p>
              </w:tc>
            </w:tr>
            <w:tr w14:paraId="2CDCA1DD">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885D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E4E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C91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动态混合器</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2AC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V=0.6m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，N=1.5kW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454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69C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6E2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1用1备</w:t>
                  </w:r>
                </w:p>
              </w:tc>
            </w:tr>
            <w:tr w14:paraId="2B856222">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A710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056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630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污泥螺杆泵</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4A1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Q=25m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/h，H=30m，N=5.5kW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888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83C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2FF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一用一备，变频调速</w:t>
                  </w:r>
                </w:p>
              </w:tc>
            </w:tr>
            <w:tr w14:paraId="3DCC32B8">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2788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E75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6CF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冲洗水箱</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2B6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V=10m</w:t>
                  </w:r>
                  <w:r>
                    <w:rPr>
                      <w:rFonts w:hint="default" w:ascii="Times New Roman" w:hAnsi="Times New Roman" w:eastAsia="宋体" w:cs="Times New Roman"/>
                      <w:color w:val="auto"/>
                      <w:sz w:val="21"/>
                      <w:szCs w:val="21"/>
                      <w:vertAlign w:val="superscript"/>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0F2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00A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B47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4B35049C">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29AB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C24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655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水平螺旋输送机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CFF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输送量约3t/h，长度约5.5m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2A7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15F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77A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7E6AC01D">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EA99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F1C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FBF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倾斜螺旋输送机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4EC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输送量约3t/h，长度约6m，功率约4kW，倾斜角度约20°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F64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788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D8B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5722B173">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91E5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72C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647C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电动单梁悬挂式起重机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B24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S=8.0m，Gt=5.0t，H=9m</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451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F0B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D41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5167EFC6">
              <w:tblPrEx>
                <w:tblCellMar>
                  <w:top w:w="0" w:type="dxa"/>
                  <w:left w:w="108" w:type="dxa"/>
                  <w:bottom w:w="0" w:type="dxa"/>
                  <w:right w:w="108" w:type="dxa"/>
                </w:tblCellMar>
              </w:tblPrEx>
              <w:trPr>
                <w:trHeight w:val="283"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E77F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新建反冲洗泵站</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543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83C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单级双吸清水泵</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E27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Q=780m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/h，H=8m，N=37kW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27D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DCB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4DD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两用一备</w:t>
                  </w:r>
                </w:p>
              </w:tc>
            </w:tr>
            <w:tr w14:paraId="5177210F">
              <w:tblPrEx>
                <w:tblCellMar>
                  <w:top w:w="0" w:type="dxa"/>
                  <w:left w:w="108" w:type="dxa"/>
                  <w:bottom w:w="0" w:type="dxa"/>
                  <w:right w:w="108" w:type="dxa"/>
                </w:tblCellMar>
              </w:tblPrEx>
              <w:trPr>
                <w:trHeight w:val="283"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66CA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0CF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4D9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电动葫芦</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E52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起重量1.0吨</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FB4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119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AC7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r w14:paraId="34430700">
              <w:tblPrEx>
                <w:tblCellMar>
                  <w:top w:w="0" w:type="dxa"/>
                  <w:left w:w="108" w:type="dxa"/>
                  <w:bottom w:w="0" w:type="dxa"/>
                  <w:right w:w="108" w:type="dxa"/>
                </w:tblCellMar>
              </w:tblPrEx>
              <w:trPr>
                <w:trHeight w:val="283" w:hRule="atLeast"/>
                <w:jc w:val="center"/>
              </w:trPr>
              <w:tc>
                <w:tcPr>
                  <w:tcW w:w="913" w:type="dxa"/>
                  <w:vMerge w:val="restart"/>
                  <w:tcBorders>
                    <w:top w:val="single" w:color="000000" w:sz="4" w:space="0"/>
                    <w:left w:val="single" w:color="000000" w:sz="4" w:space="0"/>
                    <w:right w:val="single" w:color="000000" w:sz="4" w:space="0"/>
                  </w:tcBorders>
                  <w:shd w:val="clear" w:color="auto" w:fill="auto"/>
                  <w:vAlign w:val="center"/>
                </w:tcPr>
                <w:p w14:paraId="258AA78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污泥平衡池</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731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B75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方闸门</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156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SFZ-300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6B2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92F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AE2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两用一备</w:t>
                  </w:r>
                </w:p>
              </w:tc>
            </w:tr>
            <w:tr w14:paraId="3577BACE">
              <w:tblPrEx>
                <w:tblCellMar>
                  <w:top w:w="0" w:type="dxa"/>
                  <w:left w:w="108" w:type="dxa"/>
                  <w:bottom w:w="0" w:type="dxa"/>
                  <w:right w:w="108" w:type="dxa"/>
                </w:tblCellMar>
              </w:tblPrEx>
              <w:trPr>
                <w:trHeight w:val="283" w:hRule="atLeast"/>
                <w:jc w:val="center"/>
              </w:trPr>
              <w:tc>
                <w:tcPr>
                  <w:tcW w:w="913" w:type="dxa"/>
                  <w:vMerge w:val="continue"/>
                  <w:tcBorders>
                    <w:left w:val="single" w:color="000000" w:sz="4" w:space="0"/>
                    <w:bottom w:val="single" w:color="000000" w:sz="4" w:space="0"/>
                    <w:right w:val="single" w:color="000000" w:sz="4" w:space="0"/>
                  </w:tcBorders>
                  <w:shd w:val="clear" w:color="auto" w:fill="auto"/>
                  <w:vAlign w:val="center"/>
                </w:tcPr>
                <w:p w14:paraId="0A704AC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0AC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82B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潜水搅拌机</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253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∅210，960r/min，0.37kW</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5ED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409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5B7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jc w:val="center"/>
                    <w:textAlignment w:val="auto"/>
                    <w:rPr>
                      <w:rFonts w:hint="default" w:ascii="Times New Roman" w:hAnsi="Times New Roman" w:eastAsia="宋体" w:cs="Times New Roman"/>
                      <w:color w:val="auto"/>
                      <w:sz w:val="21"/>
                      <w:szCs w:val="21"/>
                    </w:rPr>
                  </w:pPr>
                </w:p>
              </w:tc>
            </w:tr>
          </w:tbl>
          <w:p w14:paraId="1872E0A3">
            <w:pPr>
              <w:pStyle w:val="61"/>
              <w:keepNext w:val="0"/>
              <w:keepLines w:val="0"/>
              <w:pageBreakBefore w:val="0"/>
              <w:widowControl w:val="0"/>
              <w:kinsoku/>
              <w:wordWrap/>
              <w:overflowPunct/>
              <w:topLinePunct w:val="0"/>
              <w:bidi w:val="0"/>
              <w:spacing w:beforeAutospacing="0" w:afterAutospacing="0"/>
              <w:ind w:left="0" w:leftChars="0" w:right="0" w:firstLine="482"/>
              <w:rPr>
                <w:color w:val="auto"/>
              </w:rPr>
            </w:pPr>
            <w:r>
              <w:rPr>
                <w:rFonts w:hint="eastAsia"/>
                <w:color w:val="auto"/>
                <w:lang w:val="en-US" w:eastAsia="zh-CN"/>
              </w:rPr>
              <w:t>5</w:t>
            </w:r>
            <w:r>
              <w:rPr>
                <w:color w:val="auto"/>
              </w:rPr>
              <w:t>、原辅材料及能源消耗</w:t>
            </w:r>
          </w:p>
          <w:p w14:paraId="283CB262">
            <w:pPr>
              <w:pStyle w:val="87"/>
              <w:keepNext w:val="0"/>
              <w:keepLines w:val="0"/>
              <w:pageBreakBefore w:val="0"/>
              <w:widowControl w:val="0"/>
              <w:kinsoku/>
              <w:wordWrap/>
              <w:overflowPunct/>
              <w:topLinePunct w:val="0"/>
              <w:bidi w:val="0"/>
              <w:spacing w:beforeAutospacing="0" w:afterAutospacing="0"/>
              <w:ind w:left="0" w:leftChars="0" w:right="0" w:firstLine="480"/>
              <w:rPr>
                <w:color w:val="auto"/>
              </w:rPr>
            </w:pPr>
            <w:r>
              <w:rPr>
                <w:rFonts w:hint="eastAsia"/>
                <w:color w:val="auto"/>
                <w:lang w:eastAsia="zh-CN"/>
              </w:rPr>
              <w:t>项目营运期</w:t>
            </w:r>
            <w:r>
              <w:rPr>
                <w:color w:val="auto"/>
              </w:rPr>
              <w:t>生产原辅材料的消耗</w:t>
            </w:r>
            <w:r>
              <w:rPr>
                <w:rFonts w:hint="eastAsia"/>
                <w:color w:val="auto"/>
                <w:lang w:eastAsia="zh-CN"/>
              </w:rPr>
              <w:t>等</w:t>
            </w:r>
            <w:r>
              <w:rPr>
                <w:color w:val="auto"/>
              </w:rPr>
              <w:t>情况如</w:t>
            </w:r>
            <w:r>
              <w:rPr>
                <w:rFonts w:hint="eastAsia"/>
                <w:color w:val="auto"/>
                <w:lang w:eastAsia="zh-CN"/>
              </w:rPr>
              <w:t>下</w:t>
            </w:r>
            <w:r>
              <w:rPr>
                <w:color w:val="auto"/>
              </w:rPr>
              <w:t>表。</w:t>
            </w:r>
          </w:p>
          <w:p w14:paraId="4004CE86">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b/>
                <w:bCs/>
                <w:color w:val="auto"/>
                <w:sz w:val="24"/>
                <w:szCs w:val="24"/>
              </w:rPr>
            </w:pPr>
            <w:r>
              <w:rPr>
                <w:b/>
                <w:bCs/>
                <w:color w:val="auto"/>
                <w:sz w:val="24"/>
                <w:szCs w:val="24"/>
              </w:rPr>
              <w:t>表</w:t>
            </w:r>
            <w:r>
              <w:rPr>
                <w:rFonts w:hint="eastAsia"/>
                <w:b/>
                <w:bCs/>
                <w:color w:val="auto"/>
                <w:sz w:val="24"/>
                <w:szCs w:val="24"/>
              </w:rPr>
              <w:t>2</w:t>
            </w:r>
            <w:r>
              <w:rPr>
                <w:b/>
                <w:bCs/>
                <w:color w:val="auto"/>
                <w:sz w:val="24"/>
                <w:szCs w:val="24"/>
              </w:rPr>
              <w:t>-</w:t>
            </w:r>
            <w:r>
              <w:rPr>
                <w:rFonts w:hint="eastAsia"/>
                <w:b/>
                <w:bCs/>
                <w:color w:val="auto"/>
                <w:sz w:val="24"/>
                <w:szCs w:val="24"/>
                <w:lang w:val="en-US" w:eastAsia="zh-CN"/>
              </w:rPr>
              <w:t>12</w:t>
            </w:r>
            <w:r>
              <w:rPr>
                <w:b/>
                <w:bCs/>
                <w:color w:val="auto"/>
                <w:sz w:val="24"/>
                <w:szCs w:val="24"/>
              </w:rPr>
              <w:t xml:space="preserve">  主要</w:t>
            </w:r>
            <w:r>
              <w:rPr>
                <w:rFonts w:hint="eastAsia"/>
                <w:b/>
                <w:bCs/>
                <w:color w:val="auto"/>
                <w:sz w:val="24"/>
                <w:szCs w:val="24"/>
              </w:rPr>
              <w:t>原</w:t>
            </w:r>
            <w:r>
              <w:rPr>
                <w:b/>
                <w:bCs/>
                <w:color w:val="auto"/>
                <w:sz w:val="24"/>
                <w:szCs w:val="24"/>
              </w:rPr>
              <w:t>辅材料</w:t>
            </w:r>
            <w:r>
              <w:rPr>
                <w:rFonts w:hint="eastAsia"/>
                <w:b/>
                <w:bCs/>
                <w:color w:val="auto"/>
                <w:sz w:val="24"/>
                <w:szCs w:val="24"/>
                <w:lang w:eastAsia="zh-CN"/>
              </w:rPr>
              <w:t>、能源</w:t>
            </w:r>
            <w:r>
              <w:rPr>
                <w:b/>
                <w:bCs/>
                <w:color w:val="auto"/>
                <w:sz w:val="24"/>
                <w:szCs w:val="24"/>
              </w:rPr>
              <w:t>消耗及储存一览表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490"/>
              <w:gridCol w:w="1068"/>
              <w:gridCol w:w="882"/>
              <w:gridCol w:w="1107"/>
              <w:gridCol w:w="1103"/>
              <w:gridCol w:w="880"/>
              <w:gridCol w:w="1616"/>
            </w:tblGrid>
            <w:tr w14:paraId="5C3A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Merge w:val="restart"/>
                  <w:noWrap w:val="0"/>
                  <w:vAlign w:val="center"/>
                </w:tcPr>
                <w:p w14:paraId="44758694">
                  <w:pPr>
                    <w:keepNext w:val="0"/>
                    <w:keepLines w:val="0"/>
                    <w:pageBreakBefore w:val="0"/>
                    <w:widowControl w:val="0"/>
                    <w:kinsoku/>
                    <w:wordWrap/>
                    <w:overflowPunct/>
                    <w:topLinePunct w:val="0"/>
                    <w:bidi w:val="0"/>
                    <w:adjustRightInd w:val="0"/>
                    <w:spacing w:beforeAutospacing="0" w:afterAutospacing="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90" w:type="dxa"/>
                  <w:vMerge w:val="restart"/>
                  <w:noWrap w:val="0"/>
                  <w:vAlign w:val="center"/>
                </w:tcPr>
                <w:p w14:paraId="71EB08EF">
                  <w:pPr>
                    <w:keepNext w:val="0"/>
                    <w:keepLines w:val="0"/>
                    <w:pageBreakBefore w:val="0"/>
                    <w:widowControl w:val="0"/>
                    <w:kinsoku/>
                    <w:wordWrap/>
                    <w:overflowPunct/>
                    <w:topLinePunct w:val="0"/>
                    <w:bidi w:val="0"/>
                    <w:adjustRightInd w:val="0"/>
                    <w:spacing w:beforeAutospacing="0" w:afterAutospacing="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068" w:type="dxa"/>
                  <w:vMerge w:val="restart"/>
                  <w:noWrap w:val="0"/>
                  <w:vAlign w:val="center"/>
                </w:tcPr>
                <w:p w14:paraId="6D3A15F0">
                  <w:pPr>
                    <w:keepNext w:val="0"/>
                    <w:keepLines w:val="0"/>
                    <w:pageBreakBefore w:val="0"/>
                    <w:widowControl w:val="0"/>
                    <w:kinsoku/>
                    <w:wordWrap/>
                    <w:overflowPunct/>
                    <w:topLinePunct w:val="0"/>
                    <w:bidi w:val="0"/>
                    <w:adjustRightInd w:val="0"/>
                    <w:spacing w:beforeAutospacing="0" w:afterAutospacing="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3092" w:type="dxa"/>
                  <w:gridSpan w:val="3"/>
                  <w:noWrap w:val="0"/>
                  <w:vAlign w:val="center"/>
                </w:tcPr>
                <w:p w14:paraId="17FBC01A">
                  <w:pPr>
                    <w:keepNext w:val="0"/>
                    <w:keepLines w:val="0"/>
                    <w:pageBreakBefore w:val="0"/>
                    <w:widowControl w:val="0"/>
                    <w:kinsoku/>
                    <w:wordWrap/>
                    <w:overflowPunct/>
                    <w:topLinePunct w:val="0"/>
                    <w:bidi w:val="0"/>
                    <w:adjustRightInd w:val="0"/>
                    <w:spacing w:beforeAutospacing="0" w:afterAutospacing="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880" w:type="dxa"/>
                  <w:vMerge w:val="restart"/>
                  <w:noWrap w:val="0"/>
                  <w:vAlign w:val="center"/>
                </w:tcPr>
                <w:p w14:paraId="3A5E28AC">
                  <w:pPr>
                    <w:keepNext w:val="0"/>
                    <w:keepLines w:val="0"/>
                    <w:pageBreakBefore w:val="0"/>
                    <w:widowControl w:val="0"/>
                    <w:kinsoku/>
                    <w:wordWrap/>
                    <w:overflowPunct/>
                    <w:topLinePunct w:val="0"/>
                    <w:bidi w:val="0"/>
                    <w:adjustRightInd w:val="0"/>
                    <w:spacing w:beforeAutospacing="0" w:afterAutospacing="0"/>
                    <w:ind w:left="0" w:leftChars="0" w:right="0"/>
                    <w:jc w:val="center"/>
                    <w:rPr>
                      <w:rFonts w:hint="eastAsia"/>
                      <w:color w:val="auto"/>
                      <w:lang w:eastAsia="zh-CN"/>
                    </w:rPr>
                  </w:pPr>
                  <w:r>
                    <w:rPr>
                      <w:rFonts w:hint="eastAsia"/>
                      <w:color w:val="auto"/>
                      <w:lang w:eastAsia="zh-CN"/>
                    </w:rPr>
                    <w:t>最大储存量</w:t>
                  </w:r>
                </w:p>
              </w:tc>
              <w:tc>
                <w:tcPr>
                  <w:tcW w:w="1616" w:type="dxa"/>
                  <w:vMerge w:val="restart"/>
                  <w:noWrap w:val="0"/>
                  <w:vAlign w:val="center"/>
                </w:tcPr>
                <w:p w14:paraId="08C9A725">
                  <w:pPr>
                    <w:keepNext w:val="0"/>
                    <w:keepLines w:val="0"/>
                    <w:pageBreakBefore w:val="0"/>
                    <w:widowControl w:val="0"/>
                    <w:kinsoku/>
                    <w:wordWrap/>
                    <w:overflowPunct/>
                    <w:topLinePunct w:val="0"/>
                    <w:bidi w:val="0"/>
                    <w:adjustRightInd w:val="0"/>
                    <w:spacing w:beforeAutospacing="0" w:afterAutospacing="0"/>
                    <w:ind w:left="0" w:leftChars="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来源</w:t>
                  </w:r>
                </w:p>
              </w:tc>
            </w:tr>
            <w:tr w14:paraId="7691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Merge w:val="continue"/>
                  <w:noWrap w:val="0"/>
                  <w:vAlign w:val="center"/>
                </w:tcPr>
                <w:p w14:paraId="18788572">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eastAsia="宋体" w:cs="Times New Roman"/>
                      <w:color w:val="auto"/>
                      <w:sz w:val="21"/>
                      <w:szCs w:val="21"/>
                    </w:rPr>
                  </w:pPr>
                </w:p>
              </w:tc>
              <w:tc>
                <w:tcPr>
                  <w:tcW w:w="1490" w:type="dxa"/>
                  <w:vMerge w:val="continue"/>
                  <w:noWrap w:val="0"/>
                  <w:vAlign w:val="center"/>
                </w:tcPr>
                <w:p w14:paraId="0B7FDED3">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068" w:type="dxa"/>
                  <w:vMerge w:val="continue"/>
                  <w:noWrap w:val="0"/>
                  <w:vAlign w:val="center"/>
                </w:tcPr>
                <w:p w14:paraId="2C9F0665">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882" w:type="dxa"/>
                  <w:noWrap w:val="0"/>
                  <w:vAlign w:val="center"/>
                </w:tcPr>
                <w:p w14:paraId="3D42FCDF">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扩建前</w:t>
                  </w:r>
                </w:p>
              </w:tc>
              <w:tc>
                <w:tcPr>
                  <w:tcW w:w="1107" w:type="dxa"/>
                  <w:noWrap w:val="0"/>
                  <w:vAlign w:val="center"/>
                </w:tcPr>
                <w:p w14:paraId="26E5DD56">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扩建后</w:t>
                  </w:r>
                </w:p>
              </w:tc>
              <w:tc>
                <w:tcPr>
                  <w:tcW w:w="1103" w:type="dxa"/>
                  <w:noWrap w:val="0"/>
                  <w:vAlign w:val="center"/>
                </w:tcPr>
                <w:p w14:paraId="4BE9F2D7">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变化量</w:t>
                  </w:r>
                </w:p>
              </w:tc>
              <w:tc>
                <w:tcPr>
                  <w:tcW w:w="880" w:type="dxa"/>
                  <w:vMerge w:val="continue"/>
                  <w:noWrap w:val="0"/>
                  <w:vAlign w:val="center"/>
                </w:tcPr>
                <w:p w14:paraId="2C31FC1D">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p>
              </w:tc>
              <w:tc>
                <w:tcPr>
                  <w:tcW w:w="1616" w:type="dxa"/>
                  <w:vMerge w:val="continue"/>
                  <w:noWrap w:val="0"/>
                  <w:vAlign w:val="center"/>
                </w:tcPr>
                <w:p w14:paraId="1E68BE7A">
                  <w:pPr>
                    <w:pStyle w:val="15"/>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imes New Roman"/>
                      <w:bCs/>
                      <w:color w:val="auto"/>
                      <w:sz w:val="21"/>
                      <w:szCs w:val="21"/>
                    </w:rPr>
                  </w:pPr>
                </w:p>
              </w:tc>
            </w:tr>
            <w:tr w14:paraId="1F2E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noWrap w:val="0"/>
                  <w:vAlign w:val="center"/>
                </w:tcPr>
                <w:p w14:paraId="3F5EA467">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90" w:type="dxa"/>
                  <w:noWrap w:val="0"/>
                  <w:vAlign w:val="center"/>
                </w:tcPr>
                <w:p w14:paraId="65F06091">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color w:val="auto"/>
                    </w:rPr>
                    <w:t>PAC</w:t>
                  </w:r>
                </w:p>
              </w:tc>
              <w:tc>
                <w:tcPr>
                  <w:tcW w:w="1068" w:type="dxa"/>
                  <w:noWrap w:val="0"/>
                  <w:vAlign w:val="center"/>
                </w:tcPr>
                <w:p w14:paraId="169C6813">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t/a</w:t>
                  </w:r>
                </w:p>
              </w:tc>
              <w:tc>
                <w:tcPr>
                  <w:tcW w:w="882" w:type="dxa"/>
                  <w:noWrap w:val="0"/>
                  <w:vAlign w:val="center"/>
                </w:tcPr>
                <w:p w14:paraId="1DF24DB2">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1130</w:t>
                  </w:r>
                </w:p>
              </w:tc>
              <w:tc>
                <w:tcPr>
                  <w:tcW w:w="1107" w:type="dxa"/>
                  <w:noWrap w:val="0"/>
                  <w:vAlign w:val="center"/>
                </w:tcPr>
                <w:p w14:paraId="4A532502">
                  <w:pPr>
                    <w:keepNext w:val="0"/>
                    <w:keepLines w:val="0"/>
                    <w:pageBreakBefore w:val="0"/>
                    <w:widowControl w:val="0"/>
                    <w:suppressLineNumbers w:val="0"/>
                    <w:kinsoku/>
                    <w:wordWrap/>
                    <w:overflowPunct/>
                    <w:topLinePunct w:val="0"/>
                    <w:bidi w:val="0"/>
                    <w:spacing w:beforeAutospacing="0" w:afterAutospacing="0"/>
                    <w:ind w:left="0" w:leftChars="0" w:right="0"/>
                    <w:jc w:val="center"/>
                    <w:textAlignment w:val="center"/>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2299.5</w:t>
                  </w:r>
                </w:p>
              </w:tc>
              <w:tc>
                <w:tcPr>
                  <w:tcW w:w="1103" w:type="dxa"/>
                  <w:noWrap w:val="0"/>
                  <w:vAlign w:val="center"/>
                </w:tcPr>
                <w:p w14:paraId="08575174">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+1169.5</w:t>
                  </w:r>
                </w:p>
              </w:tc>
              <w:tc>
                <w:tcPr>
                  <w:tcW w:w="880" w:type="dxa"/>
                  <w:noWrap w:val="0"/>
                  <w:vAlign w:val="center"/>
                </w:tcPr>
                <w:p w14:paraId="4122B0D6">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1616" w:type="dxa"/>
                  <w:noWrap w:val="0"/>
                  <w:vAlign w:val="center"/>
                </w:tcPr>
                <w:p w14:paraId="4170A53C">
                  <w:pPr>
                    <w:pStyle w:val="15"/>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外购</w:t>
                  </w:r>
                </w:p>
              </w:tc>
            </w:tr>
            <w:tr w14:paraId="68B4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noWrap w:val="0"/>
                  <w:vAlign w:val="center"/>
                </w:tcPr>
                <w:p w14:paraId="6F988ED3">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90" w:type="dxa"/>
                  <w:noWrap w:val="0"/>
                  <w:vAlign w:val="center"/>
                </w:tcPr>
                <w:p w14:paraId="5F6B3F77">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color w:val="auto"/>
                    </w:rPr>
                    <w:t>次氯酸钠</w:t>
                  </w:r>
                </w:p>
              </w:tc>
              <w:tc>
                <w:tcPr>
                  <w:tcW w:w="1068" w:type="dxa"/>
                  <w:noWrap w:val="0"/>
                  <w:vAlign w:val="center"/>
                </w:tcPr>
                <w:p w14:paraId="0150E816">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t/a</w:t>
                  </w:r>
                </w:p>
              </w:tc>
              <w:tc>
                <w:tcPr>
                  <w:tcW w:w="882" w:type="dxa"/>
                  <w:noWrap w:val="0"/>
                  <w:vAlign w:val="center"/>
                </w:tcPr>
                <w:p w14:paraId="17F1671D">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365</w:t>
                  </w:r>
                </w:p>
              </w:tc>
              <w:tc>
                <w:tcPr>
                  <w:tcW w:w="1107" w:type="dxa"/>
                  <w:noWrap w:val="0"/>
                  <w:vAlign w:val="center"/>
                </w:tcPr>
                <w:p w14:paraId="420BE432">
                  <w:pPr>
                    <w:keepNext w:val="0"/>
                    <w:keepLines w:val="0"/>
                    <w:pageBreakBefore w:val="0"/>
                    <w:widowControl w:val="0"/>
                    <w:suppressLineNumbers w:val="0"/>
                    <w:kinsoku/>
                    <w:wordWrap/>
                    <w:overflowPunct/>
                    <w:topLinePunct w:val="0"/>
                    <w:bidi w:val="0"/>
                    <w:spacing w:beforeAutospacing="0" w:afterAutospacing="0"/>
                    <w:ind w:left="0" w:leftChars="0" w:right="0"/>
                    <w:jc w:val="center"/>
                    <w:textAlignment w:val="center"/>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772.705</w:t>
                  </w:r>
                </w:p>
              </w:tc>
              <w:tc>
                <w:tcPr>
                  <w:tcW w:w="1103" w:type="dxa"/>
                  <w:noWrap w:val="0"/>
                  <w:vAlign w:val="center"/>
                </w:tcPr>
                <w:p w14:paraId="1F1164AA">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+407.705</w:t>
                  </w:r>
                </w:p>
              </w:tc>
              <w:tc>
                <w:tcPr>
                  <w:tcW w:w="880" w:type="dxa"/>
                  <w:noWrap w:val="0"/>
                  <w:vAlign w:val="center"/>
                </w:tcPr>
                <w:p w14:paraId="0439D3BC">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616" w:type="dxa"/>
                  <w:noWrap w:val="0"/>
                  <w:vAlign w:val="center"/>
                </w:tcPr>
                <w:p w14:paraId="65A05EC2">
                  <w:pPr>
                    <w:pStyle w:val="15"/>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cs="Times New Roman"/>
                      <w:bCs/>
                      <w:color w:val="auto"/>
                      <w:sz w:val="21"/>
                      <w:szCs w:val="21"/>
                      <w:lang w:val="en-US" w:eastAsia="zh-CN"/>
                    </w:rPr>
                    <w:t>5%，</w:t>
                  </w:r>
                  <w:r>
                    <w:rPr>
                      <w:rFonts w:hint="default" w:ascii="Times New Roman" w:hAnsi="Times New Roman" w:eastAsia="宋体" w:cs="Times New Roman"/>
                      <w:bCs/>
                      <w:color w:val="auto"/>
                      <w:sz w:val="21"/>
                      <w:szCs w:val="21"/>
                    </w:rPr>
                    <w:t>外购</w:t>
                  </w:r>
                </w:p>
              </w:tc>
            </w:tr>
            <w:tr w14:paraId="59DA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noWrap w:val="0"/>
                  <w:vAlign w:val="center"/>
                </w:tcPr>
                <w:p w14:paraId="771FA3F5">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90" w:type="dxa"/>
                  <w:noWrap w:val="0"/>
                  <w:vAlign w:val="center"/>
                </w:tcPr>
                <w:p w14:paraId="318D8C39">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color w:val="auto"/>
                    </w:rPr>
                    <w:t>聚合氯化铝铁</w:t>
                  </w:r>
                </w:p>
              </w:tc>
              <w:tc>
                <w:tcPr>
                  <w:tcW w:w="1068" w:type="dxa"/>
                  <w:noWrap w:val="0"/>
                  <w:vAlign w:val="center"/>
                </w:tcPr>
                <w:p w14:paraId="250D24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t/a</w:t>
                  </w:r>
                </w:p>
              </w:tc>
              <w:tc>
                <w:tcPr>
                  <w:tcW w:w="882" w:type="dxa"/>
                  <w:noWrap w:val="0"/>
                  <w:vAlign w:val="center"/>
                </w:tcPr>
                <w:p w14:paraId="44CA2C9E">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1107" w:type="dxa"/>
                  <w:noWrap w:val="0"/>
                  <w:vAlign w:val="center"/>
                </w:tcPr>
                <w:p w14:paraId="0F5BA2E8">
                  <w:pPr>
                    <w:keepNext w:val="0"/>
                    <w:keepLines w:val="0"/>
                    <w:pageBreakBefore w:val="0"/>
                    <w:widowControl w:val="0"/>
                    <w:suppressLineNumbers w:val="0"/>
                    <w:kinsoku/>
                    <w:wordWrap/>
                    <w:overflowPunct/>
                    <w:topLinePunct w:val="0"/>
                    <w:bidi w:val="0"/>
                    <w:spacing w:beforeAutospacing="0" w:afterAutospacing="0"/>
                    <w:ind w:left="0" w:leftChars="0" w:right="0"/>
                    <w:jc w:val="center"/>
                    <w:textAlignment w:val="center"/>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242.159</w:t>
                  </w:r>
                </w:p>
              </w:tc>
              <w:tc>
                <w:tcPr>
                  <w:tcW w:w="1103" w:type="dxa"/>
                  <w:noWrap w:val="0"/>
                  <w:vAlign w:val="center"/>
                </w:tcPr>
                <w:p w14:paraId="3F280550">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r>
                    <w:rPr>
                      <w:rFonts w:hint="eastAsia" w:ascii="Times New Roman" w:hAnsi="Times New Roman" w:eastAsia="宋体" w:cstheme="minorBidi"/>
                      <w:color w:val="auto"/>
                      <w:kern w:val="2"/>
                      <w:sz w:val="21"/>
                      <w:szCs w:val="21"/>
                      <w:lang w:val="en-US" w:eastAsia="zh-CN" w:bidi="ar-SA"/>
                    </w:rPr>
                    <w:t>242.159</w:t>
                  </w:r>
                </w:p>
              </w:tc>
              <w:tc>
                <w:tcPr>
                  <w:tcW w:w="880" w:type="dxa"/>
                  <w:noWrap w:val="0"/>
                  <w:vAlign w:val="center"/>
                </w:tcPr>
                <w:p w14:paraId="42887F03">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1616" w:type="dxa"/>
                  <w:noWrap w:val="0"/>
                  <w:vAlign w:val="center"/>
                </w:tcPr>
                <w:p w14:paraId="74B53102">
                  <w:pPr>
                    <w:pStyle w:val="15"/>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外购</w:t>
                  </w:r>
                </w:p>
              </w:tc>
            </w:tr>
            <w:tr w14:paraId="6F1E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noWrap w:val="0"/>
                  <w:vAlign w:val="center"/>
                </w:tcPr>
                <w:p w14:paraId="2DE1F2A8">
                  <w:pPr>
                    <w:keepNext w:val="0"/>
                    <w:keepLines w:val="0"/>
                    <w:pageBreakBefore w:val="0"/>
                    <w:widowControl w:val="0"/>
                    <w:kinsoku/>
                    <w:wordWrap/>
                    <w:overflowPunct/>
                    <w:topLinePunct w:val="0"/>
                    <w:bidi w:val="0"/>
                    <w:spacing w:beforeAutospacing="0" w:afterAutospacing="0"/>
                    <w:ind w:left="0" w:leftChars="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490" w:type="dxa"/>
                  <w:noWrap w:val="0"/>
                  <w:vAlign w:val="center"/>
                </w:tcPr>
                <w:p w14:paraId="4979BECF">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olor w:val="auto"/>
                    </w:rPr>
                    <w:t>P</w:t>
                  </w:r>
                  <w:r>
                    <w:rPr>
                      <w:color w:val="auto"/>
                    </w:rPr>
                    <w:t>AM</w:t>
                  </w:r>
                </w:p>
              </w:tc>
              <w:tc>
                <w:tcPr>
                  <w:tcW w:w="1068" w:type="dxa"/>
                  <w:noWrap w:val="0"/>
                  <w:vAlign w:val="center"/>
                </w:tcPr>
                <w:p w14:paraId="4DE6338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t/a</w:t>
                  </w:r>
                </w:p>
              </w:tc>
              <w:tc>
                <w:tcPr>
                  <w:tcW w:w="882" w:type="dxa"/>
                  <w:noWrap w:val="0"/>
                  <w:vAlign w:val="center"/>
                </w:tcPr>
                <w:p w14:paraId="0AFF5250">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w:t>
                  </w:r>
                </w:p>
              </w:tc>
              <w:tc>
                <w:tcPr>
                  <w:tcW w:w="1107" w:type="dxa"/>
                  <w:noWrap w:val="0"/>
                  <w:vAlign w:val="center"/>
                </w:tcPr>
                <w:p w14:paraId="385C2FB3">
                  <w:pPr>
                    <w:keepNext w:val="0"/>
                    <w:keepLines w:val="0"/>
                    <w:pageBreakBefore w:val="0"/>
                    <w:widowControl w:val="0"/>
                    <w:suppressLineNumbers w:val="0"/>
                    <w:kinsoku/>
                    <w:wordWrap/>
                    <w:overflowPunct/>
                    <w:topLinePunct w:val="0"/>
                    <w:bidi w:val="0"/>
                    <w:spacing w:beforeAutospacing="0" w:afterAutospacing="0"/>
                    <w:ind w:left="0" w:leftChars="0" w:right="0"/>
                    <w:jc w:val="center"/>
                    <w:textAlignment w:val="center"/>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0.011</w:t>
                  </w:r>
                </w:p>
              </w:tc>
              <w:tc>
                <w:tcPr>
                  <w:tcW w:w="1103" w:type="dxa"/>
                  <w:noWrap w:val="0"/>
                  <w:vAlign w:val="center"/>
                </w:tcPr>
                <w:p w14:paraId="4EBB42D0">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eastAsia" w:ascii="Times New Roman" w:hAnsi="Times New Roman" w:eastAsia="宋体" w:cstheme="minorBidi"/>
                      <w:color w:val="auto"/>
                      <w:kern w:val="2"/>
                      <w:sz w:val="21"/>
                      <w:szCs w:val="21"/>
                      <w:lang w:val="en-US" w:eastAsia="zh-CN" w:bidi="ar-SA"/>
                    </w:rPr>
                    <w:t>0.011</w:t>
                  </w:r>
                </w:p>
              </w:tc>
              <w:tc>
                <w:tcPr>
                  <w:tcW w:w="880" w:type="dxa"/>
                  <w:noWrap w:val="0"/>
                  <w:vAlign w:val="center"/>
                </w:tcPr>
                <w:p w14:paraId="61815F86">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p>
              </w:tc>
              <w:tc>
                <w:tcPr>
                  <w:tcW w:w="1616" w:type="dxa"/>
                  <w:noWrap w:val="0"/>
                  <w:vAlign w:val="center"/>
                </w:tcPr>
                <w:p w14:paraId="1037DE16">
                  <w:pPr>
                    <w:pStyle w:val="15"/>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外购</w:t>
                  </w:r>
                </w:p>
              </w:tc>
            </w:tr>
            <w:tr w14:paraId="2872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27287854">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490" w:type="dxa"/>
                  <w:vAlign w:val="center"/>
                </w:tcPr>
                <w:p w14:paraId="2CE350B6">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color w:val="auto"/>
                      <w:kern w:val="2"/>
                      <w:sz w:val="21"/>
                      <w:szCs w:val="24"/>
                      <w:lang w:val="en-US" w:eastAsia="zh-CN" w:bidi="ar-SA"/>
                    </w:rPr>
                  </w:pPr>
                  <w:r>
                    <w:rPr>
                      <w:color w:val="auto"/>
                    </w:rPr>
                    <w:t>纳氏</w:t>
                  </w:r>
                  <w:r>
                    <w:rPr>
                      <w:rFonts w:hint="eastAsia"/>
                      <w:color w:val="auto"/>
                    </w:rPr>
                    <w:t>试剂</w:t>
                  </w:r>
                </w:p>
              </w:tc>
              <w:tc>
                <w:tcPr>
                  <w:tcW w:w="1068" w:type="dxa"/>
                  <w:vAlign w:val="center"/>
                </w:tcPr>
                <w:p w14:paraId="36B5E54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rPr>
                    <w:t>L</w:t>
                  </w:r>
                </w:p>
              </w:tc>
              <w:tc>
                <w:tcPr>
                  <w:tcW w:w="882" w:type="dxa"/>
                  <w:vAlign w:val="center"/>
                </w:tcPr>
                <w:p w14:paraId="702D76AB">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1</w:t>
                  </w:r>
                </w:p>
              </w:tc>
              <w:tc>
                <w:tcPr>
                  <w:tcW w:w="1107" w:type="dxa"/>
                  <w:vAlign w:val="center"/>
                </w:tcPr>
                <w:p w14:paraId="1CF362BC">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2</w:t>
                  </w:r>
                </w:p>
              </w:tc>
              <w:tc>
                <w:tcPr>
                  <w:tcW w:w="1103" w:type="dxa"/>
                  <w:vAlign w:val="center"/>
                </w:tcPr>
                <w:p w14:paraId="00CD7F4B">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880" w:type="dxa"/>
                  <w:vAlign w:val="center"/>
                </w:tcPr>
                <w:p w14:paraId="37C26ADE">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616" w:type="dxa"/>
                  <w:vAlign w:val="center"/>
                </w:tcPr>
                <w:p w14:paraId="73F69DAE">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default" w:ascii="Times New Roman" w:hAnsi="Times New Roman" w:eastAsia="宋体" w:cs="Times New Roman"/>
                      <w:bCs/>
                      <w:color w:val="auto"/>
                      <w:kern w:val="0"/>
                      <w:sz w:val="21"/>
                      <w:szCs w:val="21"/>
                      <w:lang w:val="en-US" w:eastAsia="zh-CN" w:bidi="ar-SA"/>
                    </w:rPr>
                  </w:pPr>
                  <w:r>
                    <w:rPr>
                      <w:rFonts w:hint="eastAsia"/>
                      <w:color w:val="auto"/>
                    </w:rPr>
                    <w:t>500ml/瓶，用于检验</w:t>
                  </w:r>
                  <w:r>
                    <w:rPr>
                      <w:color w:val="auto"/>
                    </w:rPr>
                    <w:t>氨氮</w:t>
                  </w:r>
                </w:p>
              </w:tc>
            </w:tr>
            <w:tr w14:paraId="0016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532FD533">
                  <w:pPr>
                    <w:keepNext w:val="0"/>
                    <w:keepLines w:val="0"/>
                    <w:pageBreakBefore w:val="0"/>
                    <w:widowControl w:val="0"/>
                    <w:kinsoku/>
                    <w:wordWrap/>
                    <w:overflowPunct/>
                    <w:topLinePunct w:val="0"/>
                    <w:bidi w:val="0"/>
                    <w:spacing w:beforeAutospacing="0" w:afterAutospacing="0"/>
                    <w:ind w:left="0" w:leftChars="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1490" w:type="dxa"/>
                  <w:vAlign w:val="center"/>
                </w:tcPr>
                <w:p w14:paraId="30C28CC6">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color w:val="auto"/>
                      <w:kern w:val="2"/>
                      <w:sz w:val="21"/>
                      <w:szCs w:val="24"/>
                      <w:lang w:val="en-US" w:eastAsia="zh-CN" w:bidi="ar-SA"/>
                    </w:rPr>
                  </w:pPr>
                  <w:r>
                    <w:rPr>
                      <w:color w:val="auto"/>
                    </w:rPr>
                    <w:t>氢氧化钠</w:t>
                  </w:r>
                </w:p>
              </w:tc>
              <w:tc>
                <w:tcPr>
                  <w:tcW w:w="1068" w:type="dxa"/>
                  <w:vAlign w:val="center"/>
                </w:tcPr>
                <w:p w14:paraId="7088FCC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color w:val="auto"/>
                    </w:rPr>
                    <w:t>g</w:t>
                  </w:r>
                </w:p>
              </w:tc>
              <w:tc>
                <w:tcPr>
                  <w:tcW w:w="882" w:type="dxa"/>
                  <w:vAlign w:val="center"/>
                </w:tcPr>
                <w:p w14:paraId="1DD6E491">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4"/>
                      <w:lang w:val="en-US" w:eastAsia="zh-CN" w:bidi="ar-SA"/>
                    </w:rPr>
                  </w:pPr>
                  <w:r>
                    <w:rPr>
                      <w:rFonts w:hint="eastAsia" w:eastAsia="宋体"/>
                      <w:color w:val="auto"/>
                      <w:lang w:val="en-US" w:eastAsia="zh-CN"/>
                    </w:rPr>
                    <w:t>250</w:t>
                  </w:r>
                </w:p>
              </w:tc>
              <w:tc>
                <w:tcPr>
                  <w:tcW w:w="1107" w:type="dxa"/>
                  <w:vAlign w:val="center"/>
                </w:tcPr>
                <w:p w14:paraId="0250C0A3">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500</w:t>
                  </w:r>
                </w:p>
              </w:tc>
              <w:tc>
                <w:tcPr>
                  <w:tcW w:w="1103" w:type="dxa"/>
                  <w:vAlign w:val="center"/>
                </w:tcPr>
                <w:p w14:paraId="11CA0A98">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+250</w:t>
                  </w:r>
                </w:p>
              </w:tc>
              <w:tc>
                <w:tcPr>
                  <w:tcW w:w="880" w:type="dxa"/>
                  <w:vAlign w:val="center"/>
                </w:tcPr>
                <w:p w14:paraId="0018C3F6">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500</w:t>
                  </w:r>
                </w:p>
              </w:tc>
              <w:tc>
                <w:tcPr>
                  <w:tcW w:w="1616" w:type="dxa"/>
                  <w:vAlign w:val="center"/>
                </w:tcPr>
                <w:p w14:paraId="10C15C65">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default" w:ascii="Times New Roman" w:hAnsi="Times New Roman" w:eastAsia="宋体" w:cs="Times New Roman"/>
                      <w:bCs/>
                      <w:color w:val="auto"/>
                      <w:sz w:val="21"/>
                      <w:szCs w:val="21"/>
                    </w:rPr>
                  </w:pPr>
                  <w:r>
                    <w:rPr>
                      <w:rFonts w:hint="eastAsia"/>
                      <w:color w:val="auto"/>
                    </w:rPr>
                    <w:t>500g/瓶，用于检验</w:t>
                  </w:r>
                  <w:r>
                    <w:rPr>
                      <w:color w:val="auto"/>
                    </w:rPr>
                    <w:t>盐基度</w:t>
                  </w:r>
                </w:p>
              </w:tc>
            </w:tr>
            <w:tr w14:paraId="597B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6A57CE70">
                  <w:pPr>
                    <w:keepNext w:val="0"/>
                    <w:keepLines w:val="0"/>
                    <w:pageBreakBefore w:val="0"/>
                    <w:widowControl w:val="0"/>
                    <w:kinsoku/>
                    <w:wordWrap/>
                    <w:overflowPunct/>
                    <w:topLinePunct w:val="0"/>
                    <w:bidi w:val="0"/>
                    <w:spacing w:beforeAutospacing="0" w:afterAutospacing="0"/>
                    <w:ind w:left="0" w:leftChars="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w:t>
                  </w:r>
                </w:p>
              </w:tc>
              <w:tc>
                <w:tcPr>
                  <w:tcW w:w="1490" w:type="dxa"/>
                  <w:vAlign w:val="center"/>
                </w:tcPr>
                <w:p w14:paraId="0D6F6F14">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color w:val="auto"/>
                      <w:kern w:val="2"/>
                      <w:sz w:val="21"/>
                      <w:szCs w:val="24"/>
                      <w:lang w:val="en-US" w:eastAsia="zh-CN" w:bidi="ar-SA"/>
                    </w:rPr>
                  </w:pPr>
                  <w:r>
                    <w:rPr>
                      <w:color w:val="auto"/>
                    </w:rPr>
                    <w:t>盐酸</w:t>
                  </w:r>
                </w:p>
              </w:tc>
              <w:tc>
                <w:tcPr>
                  <w:tcW w:w="1068" w:type="dxa"/>
                  <w:vAlign w:val="center"/>
                </w:tcPr>
                <w:p w14:paraId="2D741B7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color w:val="auto"/>
                    </w:rPr>
                    <w:t>L</w:t>
                  </w:r>
                </w:p>
              </w:tc>
              <w:tc>
                <w:tcPr>
                  <w:tcW w:w="882" w:type="dxa"/>
                  <w:vAlign w:val="center"/>
                </w:tcPr>
                <w:p w14:paraId="1F682A10">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2</w:t>
                  </w:r>
                </w:p>
              </w:tc>
              <w:tc>
                <w:tcPr>
                  <w:tcW w:w="1107" w:type="dxa"/>
                  <w:vAlign w:val="center"/>
                </w:tcPr>
                <w:p w14:paraId="230D4A61">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4</w:t>
                  </w:r>
                </w:p>
              </w:tc>
              <w:tc>
                <w:tcPr>
                  <w:tcW w:w="1103" w:type="dxa"/>
                  <w:vAlign w:val="center"/>
                </w:tcPr>
                <w:p w14:paraId="0F717078">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880" w:type="dxa"/>
                  <w:vAlign w:val="center"/>
                </w:tcPr>
                <w:p w14:paraId="43A4B20A">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616" w:type="dxa"/>
                  <w:vAlign w:val="center"/>
                </w:tcPr>
                <w:p w14:paraId="5C3FB2F2">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bCs/>
                      <w:color w:val="auto"/>
                      <w:sz w:val="21"/>
                      <w:szCs w:val="21"/>
                      <w:lang w:eastAsia="zh-CN"/>
                    </w:rPr>
                  </w:pPr>
                  <w:r>
                    <w:rPr>
                      <w:rFonts w:hint="eastAsia"/>
                      <w:color w:val="auto"/>
                    </w:rPr>
                    <w:t>500ml/瓶，用于检验</w:t>
                  </w:r>
                  <w:r>
                    <w:rPr>
                      <w:color w:val="auto"/>
                    </w:rPr>
                    <w:t>铁、碱度</w:t>
                  </w:r>
                </w:p>
              </w:tc>
            </w:tr>
            <w:tr w14:paraId="26E4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60CFEF76">
                  <w:pPr>
                    <w:keepNext w:val="0"/>
                    <w:keepLines w:val="0"/>
                    <w:pageBreakBefore w:val="0"/>
                    <w:widowControl w:val="0"/>
                    <w:kinsoku/>
                    <w:wordWrap/>
                    <w:overflowPunct/>
                    <w:topLinePunct w:val="0"/>
                    <w:bidi w:val="0"/>
                    <w:spacing w:beforeAutospacing="0" w:afterAutospacing="0"/>
                    <w:ind w:left="0" w:leftChars="0" w:right="0"/>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490" w:type="dxa"/>
                  <w:vAlign w:val="center"/>
                </w:tcPr>
                <w:p w14:paraId="1C066CA9">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color w:val="auto"/>
                      <w:kern w:val="2"/>
                      <w:sz w:val="21"/>
                      <w:szCs w:val="24"/>
                      <w:lang w:val="en-US" w:eastAsia="zh-CN" w:bidi="ar-SA"/>
                    </w:rPr>
                  </w:pPr>
                  <w:r>
                    <w:rPr>
                      <w:color w:val="auto"/>
                    </w:rPr>
                    <w:t>硫酸</w:t>
                  </w:r>
                </w:p>
              </w:tc>
              <w:tc>
                <w:tcPr>
                  <w:tcW w:w="1068" w:type="dxa"/>
                  <w:vAlign w:val="center"/>
                </w:tcPr>
                <w:p w14:paraId="5C9D89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color w:val="auto"/>
                    </w:rPr>
                    <w:t>L</w:t>
                  </w:r>
                </w:p>
              </w:tc>
              <w:tc>
                <w:tcPr>
                  <w:tcW w:w="882" w:type="dxa"/>
                  <w:vAlign w:val="center"/>
                </w:tcPr>
                <w:p w14:paraId="5C5AB1EC">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1</w:t>
                  </w:r>
                </w:p>
              </w:tc>
              <w:tc>
                <w:tcPr>
                  <w:tcW w:w="1107" w:type="dxa"/>
                  <w:vAlign w:val="center"/>
                </w:tcPr>
                <w:p w14:paraId="5EF82441">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2</w:t>
                  </w:r>
                </w:p>
              </w:tc>
              <w:tc>
                <w:tcPr>
                  <w:tcW w:w="1103" w:type="dxa"/>
                  <w:vAlign w:val="center"/>
                </w:tcPr>
                <w:p w14:paraId="79663E9A">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880" w:type="dxa"/>
                  <w:vAlign w:val="center"/>
                </w:tcPr>
                <w:p w14:paraId="785F16C8">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616" w:type="dxa"/>
                  <w:vAlign w:val="center"/>
                </w:tcPr>
                <w:p w14:paraId="17EEB749">
                  <w:pPr>
                    <w:pStyle w:val="99"/>
                    <w:keepNext w:val="0"/>
                    <w:keepLines w:val="0"/>
                    <w:pageBreakBefore w:val="0"/>
                    <w:widowControl w:val="0"/>
                    <w:kinsoku/>
                    <w:wordWrap/>
                    <w:overflowPunct/>
                    <w:topLinePunct w:val="0"/>
                    <w:bidi w:val="0"/>
                    <w:spacing w:beforeAutospacing="0" w:afterAutospacing="0"/>
                    <w:ind w:left="0" w:leftChars="0" w:right="0" w:firstLine="0" w:firstLineChars="0"/>
                    <w:rPr>
                      <w:rFonts w:hint="eastAsia" w:ascii="Times New Roman" w:hAnsi="Times New Roman" w:eastAsia="宋体" w:cs="Times New Roman"/>
                      <w:bCs/>
                      <w:color w:val="auto"/>
                      <w:sz w:val="21"/>
                      <w:szCs w:val="21"/>
                      <w:lang w:eastAsia="zh-CN"/>
                    </w:rPr>
                  </w:pPr>
                  <w:r>
                    <w:rPr>
                      <w:rFonts w:hint="eastAsia"/>
                      <w:color w:val="auto"/>
                    </w:rPr>
                    <w:t>500ml/瓶，用于检验</w:t>
                  </w:r>
                  <w:r>
                    <w:rPr>
                      <w:color w:val="auto"/>
                    </w:rPr>
                    <w:t>高锰酸盐</w:t>
                  </w:r>
                </w:p>
              </w:tc>
            </w:tr>
            <w:tr w14:paraId="2F40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42187255">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490" w:type="dxa"/>
                  <w:vAlign w:val="center"/>
                </w:tcPr>
                <w:p w14:paraId="049430B2">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eastAsia" w:eastAsia="宋体"/>
                      <w:color w:val="auto"/>
                      <w:lang w:eastAsia="zh-CN"/>
                    </w:rPr>
                  </w:pPr>
                  <w:r>
                    <w:rPr>
                      <w:rFonts w:hint="eastAsia"/>
                      <w:color w:val="auto"/>
                      <w:lang w:eastAsia="zh-CN"/>
                    </w:rPr>
                    <w:t>润滑油</w:t>
                  </w:r>
                </w:p>
              </w:tc>
              <w:tc>
                <w:tcPr>
                  <w:tcW w:w="1068" w:type="dxa"/>
                  <w:vAlign w:val="center"/>
                </w:tcPr>
                <w:p w14:paraId="2290588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t/a</w:t>
                  </w:r>
                </w:p>
              </w:tc>
              <w:tc>
                <w:tcPr>
                  <w:tcW w:w="882" w:type="dxa"/>
                  <w:vAlign w:val="center"/>
                </w:tcPr>
                <w:p w14:paraId="1B2C02CA">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1107" w:type="dxa"/>
                  <w:vAlign w:val="center"/>
                </w:tcPr>
                <w:p w14:paraId="16D9556B">
                  <w:pPr>
                    <w:keepNext w:val="0"/>
                    <w:keepLines w:val="0"/>
                    <w:pageBreakBefore w:val="0"/>
                    <w:widowControl w:val="0"/>
                    <w:suppressLineNumbers w:val="0"/>
                    <w:kinsoku/>
                    <w:wordWrap/>
                    <w:overflowPunct/>
                    <w:topLinePunct w:val="0"/>
                    <w:bidi w:val="0"/>
                    <w:spacing w:beforeAutospacing="0" w:afterAutospacing="0"/>
                    <w:ind w:left="0" w:leftChars="0" w:right="0"/>
                    <w:jc w:val="center"/>
                    <w:textAlignment w:val="center"/>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0.4</w:t>
                  </w:r>
                </w:p>
              </w:tc>
              <w:tc>
                <w:tcPr>
                  <w:tcW w:w="1103" w:type="dxa"/>
                  <w:vAlign w:val="center"/>
                </w:tcPr>
                <w:p w14:paraId="361EE7AC">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w:t>
                  </w:r>
                </w:p>
              </w:tc>
              <w:tc>
                <w:tcPr>
                  <w:tcW w:w="880" w:type="dxa"/>
                  <w:vAlign w:val="center"/>
                </w:tcPr>
                <w:p w14:paraId="1158DBEF">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w:t>
                  </w:r>
                </w:p>
              </w:tc>
              <w:tc>
                <w:tcPr>
                  <w:tcW w:w="1616" w:type="dxa"/>
                  <w:vAlign w:val="center"/>
                </w:tcPr>
                <w:p w14:paraId="5F313658">
                  <w:pPr>
                    <w:pStyle w:val="15"/>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外购</w:t>
                  </w:r>
                </w:p>
              </w:tc>
            </w:tr>
            <w:tr w14:paraId="39B1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046D5A6C">
                  <w:pPr>
                    <w:keepNext w:val="0"/>
                    <w:keepLines w:val="0"/>
                    <w:pageBreakBefore w:val="0"/>
                    <w:widowControl w:val="0"/>
                    <w:kinsoku/>
                    <w:wordWrap/>
                    <w:overflowPunct/>
                    <w:topLinePunct w:val="0"/>
                    <w:bidi w:val="0"/>
                    <w:spacing w:beforeAutospacing="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490" w:type="dxa"/>
                  <w:vAlign w:val="center"/>
                </w:tcPr>
                <w:p w14:paraId="6C9639C1">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olor w:val="auto"/>
                      <w:lang w:eastAsia="zh-CN"/>
                    </w:rPr>
                    <w:t>水</w:t>
                  </w:r>
                </w:p>
              </w:tc>
              <w:tc>
                <w:tcPr>
                  <w:tcW w:w="1068" w:type="dxa"/>
                  <w:vAlign w:val="center"/>
                </w:tcPr>
                <w:p w14:paraId="68A203EB">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万t/a</w:t>
                  </w:r>
                </w:p>
              </w:tc>
              <w:tc>
                <w:tcPr>
                  <w:tcW w:w="882" w:type="dxa"/>
                  <w:vAlign w:val="center"/>
                </w:tcPr>
                <w:p w14:paraId="5546D4BA">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1050</w:t>
                  </w:r>
                </w:p>
              </w:tc>
              <w:tc>
                <w:tcPr>
                  <w:tcW w:w="1107" w:type="dxa"/>
                  <w:vAlign w:val="center"/>
                </w:tcPr>
                <w:p w14:paraId="6706B504">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color w:val="auto"/>
                      <w:lang w:val="en-US" w:eastAsia="zh-CN"/>
                    </w:rPr>
                    <w:t>2190.63</w:t>
                  </w:r>
                </w:p>
              </w:tc>
              <w:tc>
                <w:tcPr>
                  <w:tcW w:w="1103" w:type="dxa"/>
                  <w:vAlign w:val="center"/>
                </w:tcPr>
                <w:p w14:paraId="3449B24F">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+1140.63</w:t>
                  </w:r>
                </w:p>
              </w:tc>
              <w:tc>
                <w:tcPr>
                  <w:tcW w:w="880" w:type="dxa"/>
                  <w:vAlign w:val="center"/>
                </w:tcPr>
                <w:p w14:paraId="3B06D89C">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616" w:type="dxa"/>
                  <w:vAlign w:val="center"/>
                </w:tcPr>
                <w:p w14:paraId="502D2791">
                  <w:pPr>
                    <w:pStyle w:val="15"/>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sz w:val="21"/>
                      <w:szCs w:val="21"/>
                      <w:lang w:eastAsia="zh-CN"/>
                    </w:rPr>
                    <w:t>淮河取水</w:t>
                  </w:r>
                </w:p>
              </w:tc>
            </w:tr>
            <w:tr w14:paraId="2CCC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604D6943">
                  <w:pPr>
                    <w:keepNext w:val="0"/>
                    <w:keepLines w:val="0"/>
                    <w:pageBreakBefore w:val="0"/>
                    <w:widowControl w:val="0"/>
                    <w:kinsoku/>
                    <w:wordWrap/>
                    <w:overflowPunct/>
                    <w:topLinePunct w:val="0"/>
                    <w:bidi w:val="0"/>
                    <w:spacing w:beforeAutospacing="0" w:afterAutospacing="0"/>
                    <w:ind w:left="0" w:leftChars="0" w:right="0"/>
                    <w:jc w:val="center"/>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1490" w:type="dxa"/>
                  <w:vAlign w:val="center"/>
                </w:tcPr>
                <w:p w14:paraId="4DA5118C">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olor w:val="auto"/>
                      <w:lang w:eastAsia="zh-CN"/>
                    </w:rPr>
                    <w:t>电</w:t>
                  </w:r>
                </w:p>
              </w:tc>
              <w:tc>
                <w:tcPr>
                  <w:tcW w:w="1068" w:type="dxa"/>
                  <w:vAlign w:val="center"/>
                </w:tcPr>
                <w:p w14:paraId="54AA31DE">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万kW·h</w:t>
                  </w:r>
                </w:p>
              </w:tc>
              <w:tc>
                <w:tcPr>
                  <w:tcW w:w="882" w:type="dxa"/>
                  <w:vAlign w:val="center"/>
                </w:tcPr>
                <w:p w14:paraId="37EECA72">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500</w:t>
                  </w:r>
                </w:p>
              </w:tc>
              <w:tc>
                <w:tcPr>
                  <w:tcW w:w="1107" w:type="dxa"/>
                  <w:vAlign w:val="center"/>
                </w:tcPr>
                <w:p w14:paraId="6E1EAE98">
                  <w:pPr>
                    <w:pStyle w:val="107"/>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olor w:val="auto"/>
                    </w:rPr>
                    <w:t>1076.458</w:t>
                  </w:r>
                </w:p>
              </w:tc>
              <w:tc>
                <w:tcPr>
                  <w:tcW w:w="1103" w:type="dxa"/>
                  <w:vAlign w:val="center"/>
                </w:tcPr>
                <w:p w14:paraId="542300E9">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+576.458</w:t>
                  </w:r>
                </w:p>
              </w:tc>
              <w:tc>
                <w:tcPr>
                  <w:tcW w:w="880" w:type="dxa"/>
                  <w:vAlign w:val="center"/>
                </w:tcPr>
                <w:p w14:paraId="0C7250FE">
                  <w:pPr>
                    <w:pStyle w:val="8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616" w:type="dxa"/>
                  <w:vAlign w:val="center"/>
                </w:tcPr>
                <w:p w14:paraId="03708CBB">
                  <w:pPr>
                    <w:pStyle w:val="15"/>
                    <w:keepNext w:val="0"/>
                    <w:keepLines w:val="0"/>
                    <w:pageBreakBefore w:val="0"/>
                    <w:widowControl w:val="0"/>
                    <w:kinsoku/>
                    <w:wordWrap/>
                    <w:overflowPunct/>
                    <w:topLinePunct w:val="0"/>
                    <w:bidi w:val="0"/>
                    <w:spacing w:beforeAutospacing="0" w:afterAutospacing="0"/>
                    <w:ind w:left="0" w:leftChars="0" w:right="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sz w:val="21"/>
                      <w:szCs w:val="21"/>
                      <w:lang w:eastAsia="zh-CN"/>
                    </w:rPr>
                    <w:t>市政供电管网</w:t>
                  </w:r>
                </w:p>
              </w:tc>
            </w:tr>
          </w:tbl>
          <w:p w14:paraId="6D5221A2">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jc w:val="both"/>
              <w:textAlignment w:val="auto"/>
              <w:rPr>
                <w:rFonts w:hint="eastAsia" w:ascii="Times New Roman" w:hAnsi="Times New Roman" w:eastAsia="宋体" w:cs="Times New Roman"/>
                <w:b/>
                <w:bCs/>
                <w:color w:val="auto"/>
                <w:lang w:eastAsia="zh-CN"/>
              </w:rPr>
            </w:pPr>
            <w:r>
              <w:rPr>
                <w:rFonts w:hint="eastAsia" w:cs="Times New Roman"/>
                <w:b/>
                <w:bCs/>
                <w:color w:val="auto"/>
                <w:lang w:eastAsia="zh-CN"/>
              </w:rPr>
              <w:t>主要原料理化性质：</w:t>
            </w:r>
          </w:p>
          <w:p w14:paraId="59ED09B7">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jc w:val="both"/>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bCs/>
                <w:color w:val="auto"/>
              </w:rPr>
              <w:t>聚合氯化铝：</w:t>
            </w:r>
            <w:r>
              <w:rPr>
                <w:rFonts w:hint="default" w:ascii="Times New Roman" w:hAnsi="Times New Roman" w:eastAsia="宋体" w:cs="Times New Roman"/>
                <w:b w:val="0"/>
                <w:bCs w:val="0"/>
                <w:color w:val="auto"/>
              </w:rPr>
              <w:t>英文名PAC，易溶于水，熔点190℃（253kPa），外观黄色，聚合氯化铝具有吸附、凝聚、沉淀等性能，其稳定性差，有腐蚀性，如不慎溅到皮肤上要立即用水冲洗干净。聚合氯化铝具有喷雾干燥稳定性好，适应水域宽，水解速度快，吸附能力强，形成矾花大，质密沉淀快，出水浊度低，脱水性能好等优点。用喷雾干燥产品可保证安全性,减少水事故，对居民饮用水非常安全可靠。</w:t>
            </w:r>
          </w:p>
          <w:p w14:paraId="1E674571">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jc w:val="both"/>
              <w:textAlignment w:val="auto"/>
              <w:rPr>
                <w:rFonts w:hint="eastAsia"/>
                <w:snapToGrid w:val="0"/>
                <w:color w:val="auto"/>
                <w:szCs w:val="28"/>
              </w:rPr>
            </w:pPr>
            <w:r>
              <w:rPr>
                <w:rFonts w:hint="default" w:ascii="Times New Roman" w:hAnsi="Times New Roman" w:eastAsia="宋体" w:cs="Times New Roman"/>
                <w:b/>
                <w:bCs/>
                <w:color w:val="auto"/>
              </w:rPr>
              <w:t>次氯酸钠：</w:t>
            </w:r>
            <w:r>
              <w:rPr>
                <w:rFonts w:hint="default" w:ascii="Times New Roman" w:hAnsi="Times New Roman" w:eastAsia="宋体" w:cs="Times New Roman"/>
                <w:b w:val="0"/>
                <w:bCs w:val="0"/>
                <w:color w:val="auto"/>
              </w:rPr>
              <w:t>微黄色溶液，有似氯气的气味，相对密度(水=1):1.21，熔点-6℃，沸点102.2℃，健康危害:经常用手接触本品的工人，手掌大量出汗，指甲变薄，毛发脱落</w:t>
            </w:r>
            <w:r>
              <w:rPr>
                <w:rFonts w:hint="eastAsia" w:cs="Times New Roman"/>
                <w:b w:val="0"/>
                <w:bCs w:val="0"/>
                <w:color w:val="auto"/>
                <w:lang w:eastAsia="zh-CN"/>
              </w:rPr>
              <w:t>；</w:t>
            </w:r>
            <w:r>
              <w:rPr>
                <w:rFonts w:hint="default" w:ascii="Times New Roman" w:hAnsi="Times New Roman" w:eastAsia="宋体" w:cs="Times New Roman"/>
                <w:b w:val="0"/>
                <w:bCs w:val="0"/>
                <w:color w:val="auto"/>
              </w:rPr>
              <w:t>本品有致敏作用</w:t>
            </w:r>
            <w:r>
              <w:rPr>
                <w:rFonts w:hint="eastAsia" w:cs="Times New Roman"/>
                <w:b w:val="0"/>
                <w:bCs w:val="0"/>
                <w:color w:val="auto"/>
                <w:lang w:eastAsia="zh-CN"/>
              </w:rPr>
              <w:t>；</w:t>
            </w:r>
            <w:r>
              <w:rPr>
                <w:rFonts w:hint="default" w:ascii="Times New Roman" w:hAnsi="Times New Roman" w:eastAsia="宋体" w:cs="Times New Roman"/>
                <w:b w:val="0"/>
                <w:bCs w:val="0"/>
                <w:color w:val="auto"/>
              </w:rPr>
              <w:t>本品与盐酸混合放出的氯气有可能引起中毒</w:t>
            </w:r>
            <w:r>
              <w:rPr>
                <w:rFonts w:hint="eastAsia" w:cs="Times New Roman"/>
                <w:b w:val="0"/>
                <w:bCs w:val="0"/>
                <w:color w:val="auto"/>
                <w:lang w:eastAsia="zh-CN"/>
              </w:rPr>
              <w:t>；</w:t>
            </w:r>
            <w:r>
              <w:rPr>
                <w:rFonts w:hint="default" w:ascii="Times New Roman" w:hAnsi="Times New Roman" w:eastAsia="宋体" w:cs="Times New Roman"/>
                <w:b w:val="0"/>
                <w:bCs w:val="0"/>
                <w:color w:val="auto"/>
              </w:rPr>
              <w:t>环境危害</w:t>
            </w:r>
            <w:r>
              <w:rPr>
                <w:rFonts w:hint="eastAsia" w:cs="Times New Roman"/>
                <w:b w:val="0"/>
                <w:bCs w:val="0"/>
                <w:color w:val="auto"/>
                <w:lang w:eastAsia="zh-CN"/>
              </w:rPr>
              <w:t>：</w:t>
            </w:r>
            <w:r>
              <w:rPr>
                <w:rFonts w:hint="default" w:ascii="Times New Roman" w:hAnsi="Times New Roman" w:eastAsia="宋体" w:cs="Times New Roman"/>
                <w:b w:val="0"/>
                <w:bCs w:val="0"/>
                <w:color w:val="auto"/>
              </w:rPr>
              <w:t>无明显污染</w:t>
            </w:r>
            <w:r>
              <w:rPr>
                <w:rFonts w:hint="eastAsia" w:cs="Times New Roman"/>
                <w:b w:val="0"/>
                <w:bCs w:val="0"/>
                <w:color w:val="auto"/>
                <w:lang w:eastAsia="zh-CN"/>
              </w:rPr>
              <w:t>；</w:t>
            </w:r>
            <w:r>
              <w:rPr>
                <w:rFonts w:hint="default" w:ascii="Times New Roman" w:hAnsi="Times New Roman" w:eastAsia="宋体" w:cs="Times New Roman"/>
                <w:b w:val="0"/>
                <w:bCs w:val="0"/>
                <w:color w:val="auto"/>
              </w:rPr>
              <w:t>燃爆危险</w:t>
            </w:r>
            <w:r>
              <w:rPr>
                <w:rFonts w:hint="eastAsia" w:cs="Times New Roman"/>
                <w:b w:val="0"/>
                <w:bCs w:val="0"/>
                <w:color w:val="auto"/>
                <w:lang w:eastAsia="zh-CN"/>
              </w:rPr>
              <w:t>：</w:t>
            </w:r>
            <w:r>
              <w:rPr>
                <w:rFonts w:hint="default" w:ascii="Times New Roman" w:hAnsi="Times New Roman" w:eastAsia="宋体" w:cs="Times New Roman"/>
                <w:b w:val="0"/>
                <w:bCs w:val="0"/>
                <w:color w:val="auto"/>
              </w:rPr>
              <w:t>本品不燃，具腐蚀性，可致人体灼伤，具有致敏性</w:t>
            </w:r>
            <w:r>
              <w:rPr>
                <w:rFonts w:hint="eastAsia"/>
                <w:snapToGrid w:val="0"/>
                <w:color w:val="auto"/>
                <w:szCs w:val="28"/>
              </w:rPr>
              <w:t>。</w:t>
            </w:r>
          </w:p>
          <w:p w14:paraId="20A15032">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jc w:val="both"/>
              <w:textAlignment w:val="auto"/>
              <w:rPr>
                <w:rFonts w:hint="eastAsia"/>
                <w:snapToGrid w:val="0"/>
                <w:color w:val="auto"/>
                <w:szCs w:val="28"/>
                <w:lang w:eastAsia="zh-CN"/>
              </w:rPr>
            </w:pPr>
            <w:r>
              <w:rPr>
                <w:rFonts w:hint="eastAsia"/>
                <w:b/>
                <w:bCs/>
                <w:snapToGrid w:val="0"/>
                <w:color w:val="auto"/>
                <w:szCs w:val="28"/>
              </w:rPr>
              <w:t>聚合氯化铝铁</w:t>
            </w:r>
            <w:r>
              <w:rPr>
                <w:rFonts w:hint="eastAsia"/>
                <w:b/>
                <w:bCs/>
                <w:snapToGrid w:val="0"/>
                <w:color w:val="auto"/>
                <w:szCs w:val="28"/>
                <w:lang w:eastAsia="zh-CN"/>
              </w:rPr>
              <w:t>：</w:t>
            </w:r>
            <w:r>
              <w:rPr>
                <w:rFonts w:hint="eastAsia"/>
                <w:snapToGrid w:val="0"/>
                <w:color w:val="auto"/>
                <w:szCs w:val="28"/>
                <w:lang w:eastAsia="zh-CN"/>
              </w:rPr>
              <w:t>聚合氯化铝铁是在聚氯化铝和三氯化铁水解和混凝机理的深入研究基础上发展而来，它集铝盐和铁盐混凝之优点，对铝离子和铁离子的形态都有明显的改善，聚合度也大为提高。外观为棕红色粉末、或晶粒状，极易溶于水。</w:t>
            </w:r>
          </w:p>
          <w:p w14:paraId="150B7DE1">
            <w:pPr>
              <w:pStyle w:val="87"/>
              <w:keepNext w:val="0"/>
              <w:keepLines w:val="0"/>
              <w:pageBreakBefore w:val="0"/>
              <w:widowControl w:val="0"/>
              <w:kinsoku/>
              <w:wordWrap/>
              <w:overflowPunct/>
              <w:topLinePunct w:val="0"/>
              <w:bidi w:val="0"/>
              <w:spacing w:beforeAutospacing="0" w:afterAutospacing="0"/>
              <w:ind w:left="0" w:leftChars="0" w:right="0" w:firstLine="482"/>
              <w:rPr>
                <w:b/>
                <w:bCs/>
                <w:color w:val="auto"/>
              </w:rPr>
            </w:pPr>
            <w:r>
              <w:rPr>
                <w:rFonts w:hint="eastAsia"/>
                <w:b/>
                <w:bCs/>
                <w:color w:val="auto"/>
                <w:lang w:val="en-US" w:eastAsia="zh-CN"/>
              </w:rPr>
              <w:t>6</w:t>
            </w:r>
            <w:r>
              <w:rPr>
                <w:b/>
                <w:bCs/>
                <w:color w:val="auto"/>
              </w:rPr>
              <w:t>、公用工程</w:t>
            </w:r>
          </w:p>
          <w:p w14:paraId="7D98BBC1">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rPr>
            </w:pPr>
            <w:r>
              <w:rPr>
                <w:rFonts w:hint="eastAsia"/>
                <w:color w:val="auto"/>
              </w:rPr>
              <w:t>（1）</w:t>
            </w:r>
            <w:r>
              <w:rPr>
                <w:rFonts w:hint="eastAsia"/>
                <w:color w:val="auto"/>
                <w:lang w:eastAsia="zh-CN"/>
              </w:rPr>
              <w:t>给排</w:t>
            </w:r>
            <w:r>
              <w:rPr>
                <w:rFonts w:hint="eastAsia"/>
                <w:color w:val="auto"/>
              </w:rPr>
              <w:t>水</w:t>
            </w:r>
          </w:p>
          <w:p w14:paraId="34E0264A">
            <w:pPr>
              <w:pStyle w:val="87"/>
              <w:keepNext w:val="0"/>
              <w:keepLines w:val="0"/>
              <w:pageBreakBefore w:val="0"/>
              <w:widowControl w:val="0"/>
              <w:kinsoku/>
              <w:wordWrap/>
              <w:overflowPunct/>
              <w:topLinePunct w:val="0"/>
              <w:bidi w:val="0"/>
              <w:spacing w:beforeAutospacing="0" w:afterAutospacing="0"/>
              <w:ind w:left="0" w:leftChars="0" w:right="0" w:firstLine="480"/>
              <w:jc w:val="both"/>
              <w:rPr>
                <w:rFonts w:hint="eastAsia"/>
                <w:color w:val="auto"/>
              </w:rPr>
            </w:pPr>
            <w:r>
              <w:rPr>
                <w:rFonts w:hint="eastAsia"/>
                <w:color w:val="auto"/>
                <w:lang w:eastAsia="zh-CN"/>
              </w:rPr>
              <w:t>本次扩建不新增员工，</w:t>
            </w:r>
            <w:r>
              <w:rPr>
                <w:rFonts w:hint="eastAsia"/>
                <w:color w:val="auto"/>
              </w:rPr>
              <w:t>用水</w:t>
            </w:r>
            <w:r>
              <w:rPr>
                <w:rFonts w:hint="eastAsia"/>
                <w:color w:val="auto"/>
                <w:lang w:eastAsia="zh-CN"/>
              </w:rPr>
              <w:t>主要是</w:t>
            </w:r>
            <w:r>
              <w:rPr>
                <w:rFonts w:hint="eastAsia"/>
                <w:color w:val="auto"/>
                <w:lang w:val="en-US" w:eastAsia="zh-CN"/>
              </w:rPr>
              <w:t>反冲洗用水、实验用水</w:t>
            </w:r>
            <w:r>
              <w:rPr>
                <w:rFonts w:hint="eastAsia"/>
                <w:color w:val="auto"/>
              </w:rPr>
              <w:t>。</w:t>
            </w:r>
          </w:p>
          <w:p w14:paraId="068D894D">
            <w:pPr>
              <w:pStyle w:val="87"/>
              <w:keepNext w:val="0"/>
              <w:keepLines w:val="0"/>
              <w:pageBreakBefore w:val="0"/>
              <w:widowControl w:val="0"/>
              <w:kinsoku/>
              <w:wordWrap/>
              <w:overflowPunct/>
              <w:topLinePunct w:val="0"/>
              <w:bidi w:val="0"/>
              <w:spacing w:beforeAutospacing="0" w:afterAutospacing="0"/>
              <w:ind w:left="0" w:leftChars="0" w:right="0" w:firstLine="480"/>
              <w:jc w:val="both"/>
              <w:rPr>
                <w:rFonts w:hint="eastAsia"/>
                <w:b w:val="0"/>
                <w:bCs w:val="0"/>
                <w:color w:val="auto"/>
                <w:lang w:eastAsia="zh-CN"/>
              </w:rPr>
            </w:pPr>
            <w:r>
              <w:rPr>
                <w:rFonts w:hint="eastAsia"/>
                <w:b/>
                <w:bCs/>
                <w:color w:val="auto"/>
                <w:lang w:eastAsia="zh-CN"/>
              </w:rPr>
              <w:t>反冲洗用水：</w:t>
            </w:r>
            <w:r>
              <w:rPr>
                <w:rFonts w:hint="eastAsia"/>
                <w:b w:val="0"/>
                <w:bCs w:val="0"/>
                <w:color w:val="auto"/>
                <w:lang w:eastAsia="zh-CN"/>
              </w:rPr>
              <w:t>根据业主提供资料，需对普通快滤池进行反冲洗，反冲洗每次用水量为快滤池的处理能力的0.5%计，一月4次，一年48次，一年产生的废水回用于生产，不外排。</w:t>
            </w:r>
          </w:p>
          <w:p w14:paraId="38E46686">
            <w:pPr>
              <w:pStyle w:val="87"/>
              <w:keepNext w:val="0"/>
              <w:keepLines w:val="0"/>
              <w:pageBreakBefore w:val="0"/>
              <w:widowControl w:val="0"/>
              <w:kinsoku/>
              <w:wordWrap/>
              <w:overflowPunct/>
              <w:topLinePunct w:val="0"/>
              <w:bidi w:val="0"/>
              <w:spacing w:beforeAutospacing="0" w:afterAutospacing="0"/>
              <w:ind w:left="0" w:leftChars="0" w:right="0" w:firstLine="480"/>
              <w:jc w:val="both"/>
              <w:rPr>
                <w:rFonts w:hint="eastAsia"/>
                <w:b w:val="0"/>
                <w:bCs w:val="0"/>
                <w:color w:val="auto"/>
                <w:lang w:eastAsia="zh-CN"/>
              </w:rPr>
            </w:pPr>
            <w:r>
              <w:rPr>
                <w:rFonts w:hint="eastAsia"/>
                <w:b/>
                <w:bCs/>
                <w:color w:val="auto"/>
                <w:lang w:eastAsia="zh-CN"/>
              </w:rPr>
              <w:t>实验用水：</w:t>
            </w:r>
            <w:r>
              <w:rPr>
                <w:rFonts w:hint="eastAsia"/>
                <w:b w:val="0"/>
                <w:bCs w:val="0"/>
                <w:color w:val="auto"/>
                <w:lang w:eastAsia="zh-CN"/>
              </w:rPr>
              <w:t>厂区设置化验室，主要检测生活饮用水卫生标准常规项（pH、溶解氧、BOD和COD等）。根据建设单位提供资料，实验室清洗用水量约0.0</w:t>
            </w:r>
            <w:r>
              <w:rPr>
                <w:rFonts w:hint="eastAsia"/>
                <w:b w:val="0"/>
                <w:bCs w:val="0"/>
                <w:color w:val="auto"/>
                <w:lang w:val="en-US" w:eastAsia="zh-CN"/>
              </w:rPr>
              <w:t>2</w:t>
            </w:r>
            <w:r>
              <w:rPr>
                <w:rFonts w:hint="eastAsia"/>
                <w:b w:val="0"/>
                <w:bCs w:val="0"/>
                <w:color w:val="auto"/>
                <w:lang w:eastAsia="zh-CN"/>
              </w:rPr>
              <w:t>5m</w:t>
            </w:r>
            <w:r>
              <w:rPr>
                <w:rFonts w:hint="eastAsia"/>
                <w:b w:val="0"/>
                <w:bCs w:val="0"/>
                <w:color w:val="auto"/>
                <w:vertAlign w:val="superscript"/>
                <w:lang w:eastAsia="zh-CN"/>
              </w:rPr>
              <w:t>3</w:t>
            </w:r>
            <w:r>
              <w:rPr>
                <w:rFonts w:hint="eastAsia"/>
                <w:b w:val="0"/>
                <w:bCs w:val="0"/>
                <w:color w:val="auto"/>
                <w:lang w:eastAsia="zh-CN"/>
              </w:rPr>
              <w:t>/a，实验清洗废液水质较为简单，主要特征污染物主要为pH、COD、SS等，清洗废液收集后作为危废。</w:t>
            </w:r>
          </w:p>
          <w:p w14:paraId="77A083EC">
            <w:pPr>
              <w:pStyle w:val="87"/>
              <w:keepNext w:val="0"/>
              <w:keepLines w:val="0"/>
              <w:pageBreakBefore w:val="0"/>
              <w:widowControl w:val="0"/>
              <w:kinsoku/>
              <w:wordWrap/>
              <w:overflowPunct/>
              <w:topLinePunct w:val="0"/>
              <w:bidi w:val="0"/>
              <w:spacing w:beforeAutospacing="0" w:afterAutospacing="0"/>
              <w:ind w:left="0" w:leftChars="0" w:right="0" w:firstLine="480"/>
              <w:jc w:val="both"/>
              <w:rPr>
                <w:rFonts w:hint="eastAsia"/>
                <w:b w:val="0"/>
                <w:bCs w:val="0"/>
                <w:color w:val="auto"/>
              </w:rPr>
            </w:pPr>
            <w:r>
              <w:rPr>
                <w:rFonts w:hint="eastAsia"/>
                <w:b/>
                <w:bCs/>
                <w:color w:val="auto"/>
                <w:lang w:eastAsia="zh-CN"/>
              </w:rPr>
              <w:t>排泥水：</w:t>
            </w:r>
            <w:r>
              <w:rPr>
                <w:rFonts w:hint="eastAsia"/>
                <w:b w:val="0"/>
                <w:bCs w:val="0"/>
                <w:color w:val="auto"/>
                <w:lang w:eastAsia="zh-CN"/>
              </w:rPr>
              <w:t>自来水厂运行过程中，絮凝沉淀池需要定期排放沉淀池下面的泥水。洪水期，水体较浑浊。水浑浊度高时，絮凝沉淀池一般每2~3小时排放污水一次，水清时，一个班排放一次，每次排放时间2～4分钟。根据《排放源统计调查产排污核算方法和系数手册》中工业行业产排污系数手册-4610自来水生产和供应行业系数手册，并结合项目实际情况，自来水厂排泥污水产污系数为0.04t/t-产品，本次扩建后总供水规模为</w:t>
            </w:r>
            <w:r>
              <w:rPr>
                <w:rFonts w:hint="eastAsia"/>
                <w:b w:val="0"/>
                <w:bCs w:val="0"/>
                <w:color w:val="auto"/>
                <w:lang w:val="en-US" w:eastAsia="zh-CN"/>
              </w:rPr>
              <w:t>6</w:t>
            </w:r>
            <w:r>
              <w:rPr>
                <w:rFonts w:hint="eastAsia"/>
                <w:b w:val="0"/>
                <w:bCs w:val="0"/>
                <w:color w:val="auto"/>
                <w:lang w:eastAsia="zh-CN"/>
              </w:rPr>
              <w:t>万m</w:t>
            </w:r>
            <w:r>
              <w:rPr>
                <w:rFonts w:hint="eastAsia"/>
                <w:b w:val="0"/>
                <w:bCs w:val="0"/>
                <w:color w:val="auto"/>
                <w:vertAlign w:val="superscript"/>
                <w:lang w:eastAsia="zh-CN"/>
              </w:rPr>
              <w:t>3</w:t>
            </w:r>
            <w:r>
              <w:rPr>
                <w:rFonts w:hint="eastAsia"/>
                <w:b w:val="0"/>
                <w:bCs w:val="0"/>
                <w:color w:val="auto"/>
                <w:lang w:eastAsia="zh-CN"/>
              </w:rPr>
              <w:t>/d，则沉淀池排泥水产生量为</w:t>
            </w:r>
            <w:r>
              <w:rPr>
                <w:rFonts w:hint="eastAsia"/>
                <w:b w:val="0"/>
                <w:bCs w:val="0"/>
                <w:color w:val="auto"/>
                <w:lang w:val="en-US" w:eastAsia="zh-CN"/>
              </w:rPr>
              <w:t>24</w:t>
            </w:r>
            <w:r>
              <w:rPr>
                <w:rFonts w:hint="eastAsia"/>
                <w:b w:val="0"/>
                <w:bCs w:val="0"/>
                <w:color w:val="auto"/>
                <w:lang w:eastAsia="zh-CN"/>
              </w:rPr>
              <w:t>00m</w:t>
            </w:r>
            <w:r>
              <w:rPr>
                <w:rFonts w:hint="eastAsia"/>
                <w:b w:val="0"/>
                <w:bCs w:val="0"/>
                <w:color w:val="auto"/>
                <w:vertAlign w:val="superscript"/>
                <w:lang w:eastAsia="zh-CN"/>
              </w:rPr>
              <w:t>3</w:t>
            </w:r>
            <w:r>
              <w:rPr>
                <w:rFonts w:hint="eastAsia"/>
                <w:b w:val="0"/>
                <w:bCs w:val="0"/>
                <w:color w:val="auto"/>
                <w:lang w:eastAsia="zh-CN"/>
              </w:rPr>
              <w:t>/d，沉淀排泥水进入回用水池进行浓缩处理，上清液回用于生产不外排。</w:t>
            </w:r>
          </w:p>
          <w:p w14:paraId="4A4B89D9">
            <w:pPr>
              <w:pStyle w:val="8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drawing>
                <wp:inline distT="0" distB="0" distL="114300" distR="114300">
                  <wp:extent cx="5434330" cy="2011680"/>
                  <wp:effectExtent l="0" t="0" r="13970" b="0"/>
                  <wp:docPr id="2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1" descr="wps"/>
                          <pic:cNvPicPr>
                            <a:picLocks noChangeAspect="1"/>
                          </pic:cNvPicPr>
                        </pic:nvPicPr>
                        <pic:blipFill>
                          <a:blip r:embed="rId8"/>
                          <a:srcRect l="1573" t="7762" r="1817" b="1999"/>
                          <a:stretch>
                            <a:fillRect/>
                          </a:stretch>
                        </pic:blipFill>
                        <pic:spPr>
                          <a:xfrm>
                            <a:off x="0" y="0"/>
                            <a:ext cx="5434330" cy="2011680"/>
                          </a:xfrm>
                          <a:prstGeom prst="rect">
                            <a:avLst/>
                          </a:prstGeom>
                        </pic:spPr>
                      </pic:pic>
                    </a:graphicData>
                  </a:graphic>
                </wp:inline>
              </w:drawing>
            </w:r>
          </w:p>
          <w:p w14:paraId="493AA5C2">
            <w:pPr>
              <w:pStyle w:val="8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rPr>
              <w:t xml:space="preserve">  </w:t>
            </w:r>
            <w:r>
              <w:rPr>
                <w:rFonts w:hint="eastAsia" w:cs="Times New Roman"/>
                <w:b/>
                <w:bCs/>
                <w:color w:val="auto"/>
                <w:sz w:val="24"/>
                <w:szCs w:val="24"/>
                <w:lang w:eastAsia="zh-CN"/>
              </w:rPr>
              <w:t>全厂</w:t>
            </w:r>
            <w:r>
              <w:rPr>
                <w:rFonts w:hint="default" w:ascii="Times New Roman" w:hAnsi="Times New Roman" w:eastAsia="宋体" w:cs="Times New Roman"/>
                <w:b/>
                <w:bCs/>
                <w:color w:val="auto"/>
                <w:sz w:val="24"/>
                <w:szCs w:val="24"/>
              </w:rPr>
              <w:t>水平衡图  单位t/a</w:t>
            </w:r>
          </w:p>
          <w:p w14:paraId="4C4255ED">
            <w:pPr>
              <w:pStyle w:val="8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ind w:left="0" w:leftChars="0" w:right="0" w:firstLine="480" w:firstLineChars="200"/>
              <w:textAlignment w:val="auto"/>
              <w:rPr>
                <w:rFonts w:hint="eastAsia"/>
                <w:color w:val="auto"/>
              </w:rPr>
            </w:pPr>
            <w:r>
              <w:rPr>
                <w:rFonts w:hint="eastAsia"/>
                <w:color w:val="auto"/>
                <w:lang w:eastAsia="zh-CN"/>
              </w:rPr>
              <w:t>（2）供电：</w:t>
            </w:r>
            <w:r>
              <w:rPr>
                <w:rFonts w:hint="eastAsia"/>
                <w:color w:val="auto"/>
              </w:rPr>
              <w:t>项目用电</w:t>
            </w:r>
            <w:r>
              <w:rPr>
                <w:rFonts w:hint="eastAsia"/>
                <w:color w:val="auto"/>
                <w:lang w:eastAsia="zh-CN"/>
              </w:rPr>
              <w:t>由市政供电管网供给</w:t>
            </w:r>
            <w:r>
              <w:rPr>
                <w:rFonts w:hint="eastAsia"/>
                <w:color w:val="auto"/>
              </w:rPr>
              <w:t>，年</w:t>
            </w:r>
            <w:r>
              <w:rPr>
                <w:rFonts w:hint="eastAsia"/>
                <w:color w:val="auto"/>
                <w:lang w:eastAsia="zh-CN"/>
              </w:rPr>
              <w:t>新增</w:t>
            </w:r>
            <w:r>
              <w:rPr>
                <w:rFonts w:hint="eastAsia"/>
                <w:color w:val="auto"/>
              </w:rPr>
              <w:t>用电量为</w:t>
            </w:r>
            <w:r>
              <w:rPr>
                <w:rFonts w:hint="eastAsia"/>
                <w:color w:val="auto"/>
                <w:lang w:val="en-US" w:eastAsia="zh-CN"/>
              </w:rPr>
              <w:t>538.458万kWh</w:t>
            </w:r>
            <w:r>
              <w:rPr>
                <w:rFonts w:hint="eastAsia"/>
                <w:color w:val="auto"/>
              </w:rPr>
              <w:t>。</w:t>
            </w:r>
          </w:p>
          <w:p w14:paraId="669FFAAB">
            <w:pPr>
              <w:pStyle w:val="87"/>
              <w:keepNext w:val="0"/>
              <w:keepLines w:val="0"/>
              <w:pageBreakBefore w:val="0"/>
              <w:widowControl w:val="0"/>
              <w:kinsoku/>
              <w:wordWrap/>
              <w:overflowPunct/>
              <w:topLinePunct w:val="0"/>
              <w:autoSpaceDE/>
              <w:autoSpaceDN/>
              <w:bidi w:val="0"/>
              <w:adjustRightInd/>
              <w:snapToGrid/>
              <w:spacing w:beforeAutospacing="0" w:afterAutospacing="0"/>
              <w:ind w:left="0" w:leftChars="0" w:right="0" w:firstLine="482"/>
              <w:jc w:val="both"/>
              <w:textAlignment w:val="auto"/>
              <w:rPr>
                <w:rFonts w:hint="eastAsia"/>
                <w:b/>
                <w:bCs/>
                <w:color w:val="auto"/>
                <w:lang w:val="en-US" w:eastAsia="zh-CN"/>
              </w:rPr>
            </w:pPr>
            <w:r>
              <w:rPr>
                <w:rFonts w:hint="eastAsia"/>
                <w:b/>
                <w:bCs/>
                <w:color w:val="auto"/>
                <w:lang w:val="en-US" w:eastAsia="zh-CN"/>
              </w:rPr>
              <w:t>7、项目定员及工作制度</w:t>
            </w:r>
          </w:p>
          <w:p w14:paraId="13F0A015">
            <w:pPr>
              <w:pStyle w:val="87"/>
              <w:keepNext w:val="0"/>
              <w:keepLines w:val="0"/>
              <w:pageBreakBefore w:val="0"/>
              <w:widowControl w:val="0"/>
              <w:kinsoku/>
              <w:wordWrap/>
              <w:overflowPunct/>
              <w:topLinePunct w:val="0"/>
              <w:autoSpaceDE/>
              <w:autoSpaceDN/>
              <w:bidi w:val="0"/>
              <w:adjustRightInd/>
              <w:snapToGrid/>
              <w:spacing w:beforeAutospacing="0" w:afterAutospacing="0"/>
              <w:ind w:left="0" w:leftChars="0" w:right="0" w:firstLine="482"/>
              <w:jc w:val="both"/>
              <w:textAlignment w:val="auto"/>
              <w:rPr>
                <w:color w:val="auto"/>
              </w:rPr>
            </w:pPr>
            <w:r>
              <w:rPr>
                <w:rFonts w:hint="eastAsia"/>
                <w:b w:val="0"/>
                <w:bCs w:val="0"/>
                <w:color w:val="auto"/>
                <w:lang w:val="en-US" w:eastAsia="zh-CN"/>
              </w:rPr>
              <w:t>本项目不新增员工，现有员工20人，工作制度为年工作365d，每天工作24h</w:t>
            </w:r>
            <w:r>
              <w:rPr>
                <w:color w:val="auto"/>
              </w:rPr>
              <w:t>。</w:t>
            </w:r>
          </w:p>
          <w:p w14:paraId="04310373">
            <w:pPr>
              <w:pStyle w:val="87"/>
              <w:keepNext w:val="0"/>
              <w:keepLines w:val="0"/>
              <w:pageBreakBefore w:val="0"/>
              <w:widowControl w:val="0"/>
              <w:kinsoku/>
              <w:wordWrap/>
              <w:overflowPunct/>
              <w:topLinePunct w:val="0"/>
              <w:bidi w:val="0"/>
              <w:spacing w:beforeAutospacing="0" w:afterAutospacing="0"/>
              <w:ind w:left="0" w:leftChars="0" w:right="0" w:firstLine="482"/>
              <w:rPr>
                <w:rFonts w:hint="eastAsia" w:eastAsia="宋体"/>
                <w:b/>
                <w:bCs/>
                <w:color w:val="auto"/>
                <w:lang w:eastAsia="zh-CN"/>
              </w:rPr>
            </w:pPr>
            <w:r>
              <w:rPr>
                <w:rFonts w:hint="eastAsia"/>
                <w:b/>
                <w:bCs/>
                <w:color w:val="auto"/>
                <w:lang w:val="en-US" w:eastAsia="zh-CN"/>
              </w:rPr>
              <w:t>8</w:t>
            </w:r>
            <w:r>
              <w:rPr>
                <w:b/>
                <w:bCs/>
                <w:color w:val="auto"/>
              </w:rPr>
              <w:t>、总平面布置</w:t>
            </w:r>
            <w:r>
              <w:rPr>
                <w:rFonts w:hint="eastAsia"/>
                <w:b/>
                <w:bCs/>
                <w:color w:val="auto"/>
                <w:lang w:eastAsia="zh-CN"/>
              </w:rPr>
              <w:t>合理性</w:t>
            </w:r>
          </w:p>
          <w:p w14:paraId="0B531FF5">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取水工程：现有取水头部、取水管、取水泵房位于淮河北岸，孔李淮河大桥以东1km处，取水头部与取水泵房之间为两根DN800钢筋混凝土管连通，重力式进水。</w:t>
            </w:r>
          </w:p>
          <w:p w14:paraId="25600CFF">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输水工程：现有输水管是从取水水泵房引出的，一根DN700钢管，按流量3.0万m</w:t>
            </w:r>
            <w:r>
              <w:rPr>
                <w:rFonts w:hint="eastAsia"/>
                <w:color w:val="auto"/>
                <w:vertAlign w:val="superscript"/>
                <w:lang w:eastAsia="zh-CN"/>
              </w:rPr>
              <w:t>3</w:t>
            </w:r>
            <w:r>
              <w:rPr>
                <w:rFonts w:hint="eastAsia"/>
                <w:color w:val="auto"/>
                <w:lang w:eastAsia="zh-CN"/>
              </w:rPr>
              <w:t>/d设计，管线长7.50km，沿农田铺设，由北向南敷设，途经陶圩自然庄、陶新庄、吴湖村、朱湖队。输水管线上设有阀门井，排气井、联通管等附属设施以利于检修和安全运行。本次扩建仍采用输水管道输送原水至袁庄水厂，新建一根N1000原水输水管道作为常用管路，设计规模6万m</w:t>
            </w:r>
            <w:r>
              <w:rPr>
                <w:rFonts w:hint="eastAsia"/>
                <w:color w:val="auto"/>
                <w:vertAlign w:val="superscript"/>
                <w:lang w:eastAsia="zh-CN"/>
              </w:rPr>
              <w:t>3</w:t>
            </w:r>
            <w:r>
              <w:rPr>
                <w:rFonts w:hint="eastAsia"/>
                <w:color w:val="auto"/>
                <w:lang w:eastAsia="zh-CN"/>
              </w:rPr>
              <w:t>/d，现状DN700作为备用管路使用。</w:t>
            </w:r>
          </w:p>
          <w:p w14:paraId="4115B168">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水厂布局：本次扩建利用现有厂区，拆除部分构筑物，对加氯加药间改造、二级泵房进行改造，并新建絮凝沉淀池、普通快滤池、排水排泥池、污泥浓缩池、脱水机房等构筑物，新建一栋综合楼位于厂区东侧，用于员工办公、生活，生产区和生活区分离。</w:t>
            </w:r>
          </w:p>
          <w:p w14:paraId="05211C7B">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综上，本项目是在满足生产工艺流程的前提下，结合区域面积，按各种设施不同功能进行分区组合，力求平面布置紧凑合理，节省用地，确保人流物流顺畅，利于生产，方便管理。项目平面布置合理可行。</w:t>
            </w:r>
          </w:p>
          <w:p w14:paraId="5F6631E7">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val="en-US" w:eastAsia="zh-CN"/>
              </w:rPr>
              <w:t>9</w:t>
            </w:r>
            <w:r>
              <w:rPr>
                <w:rFonts w:hint="eastAsia"/>
                <w:color w:val="auto"/>
                <w:lang w:eastAsia="zh-CN"/>
              </w:rPr>
              <w:t>、项目排污管理类别分析</w:t>
            </w:r>
          </w:p>
          <w:p w14:paraId="2B543DD4">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（1）国民经济行业类别判定</w:t>
            </w:r>
          </w:p>
          <w:p w14:paraId="37567C97">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根据《国民经济行业分类（GB/T 4754-2017）》判定本项目的国民经济行业类别为：D4610自来水生产和供应。</w:t>
            </w:r>
          </w:p>
          <w:p w14:paraId="7EE26808">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（2）排污许可管理类别判定</w:t>
            </w:r>
          </w:p>
          <w:p w14:paraId="1C7C7A8B">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根据项目的国民经济行业类别D4610，按《固定污染源排污许可分类管理名录（2019年版）》进行判定，可知本项目属固定污染源排污许可分类管理名录表中的“四十一、水的生产和供应业 46”的第98行“其他”；故本项目的排污许可填报“管理类别”应为“登记管理”。</w:t>
            </w:r>
          </w:p>
          <w:p w14:paraId="700C41EA">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（3）适用技术规范确定</w:t>
            </w:r>
          </w:p>
          <w:p w14:paraId="40CDF420">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color w:val="auto"/>
                <w:lang w:eastAsia="zh-CN"/>
              </w:rPr>
            </w:pPr>
            <w:r>
              <w:rPr>
                <w:rFonts w:hint="eastAsia"/>
                <w:color w:val="auto"/>
                <w:lang w:eastAsia="zh-CN"/>
              </w:rPr>
              <w:t>根据项目的行业与管理类别可知，本企业属于自来水供应，本项目排污许可填报时适用的技术规范应为《排污许可证申请与核发技术规范 总则》（HJ942-2018）。</w:t>
            </w:r>
          </w:p>
          <w:p w14:paraId="12930AAA">
            <w:pPr>
              <w:pStyle w:val="87"/>
              <w:keepNext w:val="0"/>
              <w:keepLines w:val="0"/>
              <w:pageBreakBefore w:val="0"/>
              <w:widowControl w:val="0"/>
              <w:kinsoku/>
              <w:wordWrap/>
              <w:overflowPunct/>
              <w:topLinePunct w:val="0"/>
              <w:bidi w:val="0"/>
              <w:spacing w:beforeAutospacing="0" w:afterAutospacing="0"/>
              <w:ind w:left="0" w:leftChars="0" w:right="0" w:firstLine="480"/>
              <w:rPr>
                <w:rFonts w:hint="eastAsia" w:ascii="宋体" w:hAnsi="宋体" w:eastAsia="宋体" w:cs="宋体"/>
                <w:bCs/>
                <w:color w:val="auto"/>
                <w:szCs w:val="21"/>
                <w:lang w:eastAsia="zh-CN"/>
              </w:rPr>
            </w:pPr>
            <w:r>
              <w:rPr>
                <w:rFonts w:hint="eastAsia"/>
                <w:color w:val="auto"/>
                <w:lang w:eastAsia="zh-CN"/>
              </w:rPr>
              <w:t>综上，“安徽淮畔建设投资集团有限公司袁庄水厂扩建工程项目”的国民经济行业类别为D4610，排污许可的管理类别为登记管理，适用排污许可技术规范为《排污许可证申请与核发技术规范 总则》（HJ942-2018）。</w:t>
            </w:r>
          </w:p>
        </w:tc>
      </w:tr>
      <w:tr w14:paraId="4F560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dxa"/>
            <w:noWrap w:val="0"/>
            <w:vAlign w:val="center"/>
          </w:tcPr>
          <w:p w14:paraId="6789CC56">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cs="宋体"/>
                <w:color w:val="auto"/>
                <w:sz w:val="21"/>
                <w:szCs w:val="21"/>
              </w:rPr>
            </w:pPr>
            <w:r>
              <w:rPr>
                <w:rFonts w:hint="eastAsia" w:cs="宋体"/>
                <w:b/>
                <w:bCs/>
                <w:color w:val="auto"/>
                <w:sz w:val="24"/>
                <w:szCs w:val="24"/>
              </w:rPr>
              <w:t>工艺流程和产排污环节</w:t>
            </w:r>
          </w:p>
        </w:tc>
        <w:tc>
          <w:tcPr>
            <w:tcW w:w="8826" w:type="dxa"/>
            <w:noWrap w:val="0"/>
            <w:vAlign w:val="top"/>
          </w:tcPr>
          <w:p w14:paraId="7AA61465">
            <w:pPr>
              <w:keepNext w:val="0"/>
              <w:keepLines w:val="0"/>
              <w:pageBreakBefore w:val="0"/>
              <w:widowControl w:val="0"/>
              <w:numPr>
                <w:ilvl w:val="0"/>
                <w:numId w:val="0"/>
              </w:numPr>
              <w:tabs>
                <w:tab w:val="left" w:pos="975"/>
              </w:tabs>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一、输水工程施工建设</w:t>
            </w:r>
          </w:p>
          <w:p w14:paraId="2E6EFA1D">
            <w:pPr>
              <w:pStyle w:val="8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ascii="Times New Roman" w:hAnsi="Times New Roman" w:eastAsia="宋体" w:cs="Times New Roman"/>
                <w:b/>
                <w:bCs/>
                <w:color w:val="auto"/>
                <w:sz w:val="24"/>
                <w:szCs w:val="24"/>
              </w:rPr>
            </w:pPr>
            <w:r>
              <w:rPr>
                <w:color w:val="auto"/>
              </w:rPr>
              <w:drawing>
                <wp:inline distT="0" distB="0" distL="114300" distR="114300">
                  <wp:extent cx="4815840" cy="5408930"/>
                  <wp:effectExtent l="0" t="0" r="381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4815840" cy="5408930"/>
                          </a:xfrm>
                          <a:prstGeom prst="rect">
                            <a:avLst/>
                          </a:prstGeom>
                          <a:noFill/>
                          <a:ln>
                            <a:noFill/>
                          </a:ln>
                        </pic:spPr>
                      </pic:pic>
                    </a:graphicData>
                  </a:graphic>
                </wp:inline>
              </w:drawing>
            </w:r>
          </w:p>
          <w:p w14:paraId="2478A97E">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图</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rPr>
              <w:t>-</w:t>
            </w:r>
            <w:r>
              <w:rPr>
                <w:rFonts w:hint="eastAsia" w:cs="Times New Roman"/>
                <w:b/>
                <w:bCs/>
                <w:color w:val="auto"/>
                <w:sz w:val="24"/>
                <w:szCs w:val="24"/>
                <w:lang w:val="en-US" w:eastAsia="zh-CN"/>
              </w:rPr>
              <w:t>2</w:t>
            </w:r>
            <w:r>
              <w:rPr>
                <w:rFonts w:ascii="Times New Roman" w:hAnsi="Times New Roman" w:eastAsia="宋体" w:cs="Times New Roman"/>
                <w:b/>
                <w:bCs/>
                <w:color w:val="auto"/>
                <w:sz w:val="24"/>
                <w:szCs w:val="24"/>
              </w:rPr>
              <w:t xml:space="preserve">  </w:t>
            </w:r>
            <w:r>
              <w:rPr>
                <w:rFonts w:hint="eastAsia" w:cs="Times New Roman"/>
                <w:b/>
                <w:bCs/>
                <w:color w:val="auto"/>
                <w:sz w:val="24"/>
                <w:szCs w:val="24"/>
                <w:lang w:eastAsia="zh-CN"/>
              </w:rPr>
              <w:t>输水工程</w:t>
            </w:r>
            <w:r>
              <w:rPr>
                <w:rFonts w:hint="eastAsia" w:ascii="Times New Roman" w:hAnsi="Times New Roman" w:eastAsia="宋体" w:cs="Times New Roman"/>
                <w:b/>
                <w:bCs/>
                <w:color w:val="auto"/>
                <w:sz w:val="24"/>
                <w:szCs w:val="24"/>
              </w:rPr>
              <w:t>工艺流程及产排污环节示意图</w:t>
            </w:r>
          </w:p>
          <w:p w14:paraId="0A4E2458">
            <w:pPr>
              <w:keepNext w:val="0"/>
              <w:keepLines w:val="0"/>
              <w:pageBreakBefore w:val="0"/>
              <w:widowControl w:val="0"/>
              <w:numPr>
                <w:ilvl w:val="0"/>
                <w:numId w:val="0"/>
              </w:numPr>
              <w:tabs>
                <w:tab w:val="left" w:pos="975"/>
              </w:tabs>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工艺流程</w:t>
            </w:r>
            <w:r>
              <w:rPr>
                <w:rFonts w:hint="eastAsia" w:cs="Times New Roman"/>
                <w:b/>
                <w:bCs/>
                <w:color w:val="auto"/>
                <w:sz w:val="24"/>
                <w:lang w:val="en-US" w:eastAsia="zh-CN"/>
              </w:rPr>
              <w:t>说明</w:t>
            </w:r>
            <w:r>
              <w:rPr>
                <w:rFonts w:hint="default" w:ascii="Times New Roman" w:hAnsi="Times New Roman" w:eastAsia="宋体" w:cs="Times New Roman"/>
                <w:b/>
                <w:bCs/>
                <w:color w:val="auto"/>
                <w:sz w:val="24"/>
                <w:lang w:val="en-US" w:eastAsia="zh-CN"/>
              </w:rPr>
              <w:t>：</w:t>
            </w:r>
          </w:p>
          <w:p w14:paraId="79E575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1、测量、放线</w:t>
            </w:r>
          </w:p>
          <w:p w14:paraId="5F58E2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根据图纸及现场交桩情况，用GPS依据沿线的水准点和坐标网，放出管道中心线及作业边界线，打出百米中间桩及拐点桩，并在施工作业面边界线上撒出白灰线</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根据业主和监理要求对拐点桩作出现场修改的，应重新测量放线。</w:t>
            </w:r>
          </w:p>
          <w:p w14:paraId="4042F2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2、运输、吊装</w:t>
            </w:r>
          </w:p>
          <w:p w14:paraId="2D2D1E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（1）集散点的选择</w:t>
            </w:r>
          </w:p>
          <w:p w14:paraId="75D061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根据对管道沿线道路</w:t>
            </w:r>
            <w:r>
              <w:rPr>
                <w:rFonts w:hint="eastAsia" w:cs="Times New Roman"/>
                <w:b w:val="0"/>
                <w:bCs w:val="0"/>
                <w:color w:val="auto"/>
                <w:sz w:val="24"/>
                <w:lang w:eastAsia="zh-CN"/>
              </w:rPr>
              <w:t>、农田等</w:t>
            </w:r>
            <w:r>
              <w:rPr>
                <w:rFonts w:hint="default" w:ascii="Times New Roman" w:hAnsi="Times New Roman" w:eastAsia="宋体" w:cs="Times New Roman"/>
                <w:b w:val="0"/>
                <w:bCs w:val="0"/>
                <w:color w:val="auto"/>
                <w:sz w:val="24"/>
              </w:rPr>
              <w:t>地形地貌勘测情况，确定沿各集散点，选择在交通便利、靠近施工作业线的地段，集散点场地用机械或人工进行平整，摆好软土（袋）或道木。</w:t>
            </w:r>
          </w:p>
          <w:p w14:paraId="0D0B6E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（2）管材的运输</w:t>
            </w:r>
          </w:p>
          <w:p w14:paraId="2D56FB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管材搬运到各集散点。装车使用专用吊装索具。管材装车不应超高、超宽。每层之间铺垫胶皮，封车用的绳索采用带胶皮外套的钢丝绳。绳索与管材之间应垫上胶皮保护层。</w:t>
            </w:r>
          </w:p>
          <w:p w14:paraId="396DAF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（3）管材的运输（集散点至作业点）</w:t>
            </w:r>
          </w:p>
          <w:p w14:paraId="48BEA0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管材从集散点运至各作业点，采用挖掘机及人力进行布管。对于特殊（沟渠、水塘等）地段，采用挖掘机吊管及人工抬运的办法进行布管。对于不便通行的地段，必要时修筑临时施工便道，便道应有一定的承载能力。</w:t>
            </w:r>
          </w:p>
          <w:p w14:paraId="468AEE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3、开挖准备</w:t>
            </w:r>
          </w:p>
          <w:p w14:paraId="4C968E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（1）管沟开挖前应向操作人员作好该沟断面，堆放位置，地下隐蔽工程分布情况及施工技术要求等交底工作</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并应指定专人配合。</w:t>
            </w:r>
          </w:p>
          <w:p w14:paraId="39B7B2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（2）管沟开挖前，应将控制桩移到堆土一侧的占地边界以内，靠边界线0.5m左右，堆土时不得将控制桩埋掉。</w:t>
            </w:r>
          </w:p>
          <w:p w14:paraId="64AABF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开挖前，在放线定位的基础上进行现场踏勘，对地表影响施工的障碍物、建筑垃圾等采用机械加人工配合的方法进行清除，并运输至业主指定的场所。并在布管侧修筑施工便道，施工便道应有一定的承载能力，与主线公路平缓接通。</w:t>
            </w:r>
          </w:p>
          <w:p w14:paraId="71A650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①农田挖沟时熟土单独堆放，并靠近占地边缘，然后再将生土堆放在熟土里侧，对于地势平坦的地段，采用挖掘机开挖，人工修坡清底，沿沟底左侧纵向布置一条排水沟，根据开挖后的实际情况，布置排水泵。对于有障碍物的地方先用人工挖沟，待情况明了后再改用挖掘机开挖。</w:t>
            </w:r>
          </w:p>
          <w:p w14:paraId="3FDB30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②管沟开挖时，对易塌方、滑坡、过障碍物（浅水塘、小河流等）地段采取打钢桩加固，钢桩间距1m，钢桩深入沟底1m，用竹排或钢管固定，并视情况加压土袋。</w:t>
            </w:r>
          </w:p>
          <w:p w14:paraId="1F5E0F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③开挖穿越沟渠时，采用双排木桩中间填筑粘土筑堤短流，开挖范围内打钢板桩护坡后再开挖，并采用合理的排水措施。</w:t>
            </w:r>
          </w:p>
          <w:p w14:paraId="2E6FA0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4、开挖过程</w:t>
            </w:r>
          </w:p>
          <w:p w14:paraId="64DFD2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开挖管沟当中遇到地下构筑物及其它障碍设施时，应与其它主管单位协商制定安全技术措施，并派人到现场监督。施工过程中，施工设备和临时工程不得影响任何公共设施，包括管道、排水沟、电缆、通道，也不得使任何地上地下的结构物失稳。</w:t>
            </w:r>
          </w:p>
          <w:p w14:paraId="773979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（2）所有的沟槽的边坡一开始就要确保安全，以防地面沉陷，或影响附近的地面和构筑物，为安全起见，看实际情况填加支撑。</w:t>
            </w:r>
          </w:p>
          <w:p w14:paraId="40BDAE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（3）在拐点及施工要求扩大处应加宽、加深管沟。</w:t>
            </w:r>
          </w:p>
          <w:p w14:paraId="3A7A65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（4）开挖时应特别注意安全，在大开挖、通道、陡坡等处加设围栏。</w:t>
            </w:r>
          </w:p>
          <w:p w14:paraId="18334B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（5）管沟挖完，经测量自检合格后，及时通知监理工程师验收，不符合要求时应及时修整，并作好竣工测量和记录，合格后办理交接。</w:t>
            </w:r>
          </w:p>
          <w:p w14:paraId="14C340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（6）施工场地周围的公用设施如排水管、水渠、架空供电线杆等应进行保护或修复。</w:t>
            </w:r>
          </w:p>
          <w:p w14:paraId="0EA716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5、穿越工程</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定向钻穿越</w:t>
            </w:r>
          </w:p>
          <w:p w14:paraId="587515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使用水平定向钻机进行管线穿越施工，一般分为两个阶段：第一阶段是按照设计曲线尽可能准确的钻一个导向孔；第二阶段是将导向孔进行扩孔，并将产品管线沿着扩大了的导向孔回拖到导向孔中，完成管线穿越工作。</w:t>
            </w:r>
          </w:p>
          <w:p w14:paraId="5DEADC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根据穿越的地质情况，选择合适的钻头和导向板或地下泥浆马达，开动泥浆泵对准入土点进行钻进，钻头在钻机的推力作用下由钻机驱动旋转（或使用泥浆马达带动钻头旋转）切削地层，不断前进，每钻完一根钻杆要测量一次钻头的实际位置，以便及时调整钻头的钻进方向，保证所完成的导向孔曲线符合设计要求，如此反复，直到钻头在预定位置出土，完成整个导向孔的钻孔作业。</w:t>
            </w:r>
          </w:p>
          <w:p w14:paraId="696978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导向孔完成后，要将该钻孔进行预扩孔，扩大到合适的直径以方便安装成品管道。地下孔经过预扩孔，达到了回拖要求之后，将钻杆、扩孔器、回拖活节和被安装管线依次连接好，从出土点开始，一边扩孔一边将管线回拖至入土点为止。管线在回拖过程中是不旋转的，由于扩好的孔中充满泥浆，所以产品管线在扩好的孔中是处于悬浮状态，管壁四周与孔洞之间由泥浆润滑，这样即减少了回拖阻力，又保护了管线防腐层，经过钻机多次预扩孔，最终成孔直径一般比管道直径大200mm，所以不会损伤防腐层。</w:t>
            </w:r>
          </w:p>
          <w:p w14:paraId="0B2B04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6、布管</w:t>
            </w:r>
          </w:p>
          <w:p w14:paraId="75C6F3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（1）布管前，应根据管道施工占地宽度采用机械和人工将占地范围内的杂草、树木石块等清除干净。其沟、坎、陡坡等应予以平整，确保施工机具通行。</w:t>
            </w:r>
          </w:p>
          <w:p w14:paraId="768ED8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（2）布管离沟边缘间距应大于0.5m，有条件的地段可用机械布管，采取灵活多变的方法，使布管工作顺利进行。布管时相邻管口要错开一个管径，并成锯齿形。</w:t>
            </w:r>
          </w:p>
          <w:p w14:paraId="263454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（3）管子应放在沙袋或软土包上，高度在0.4m左右，布管时应按图纸及现场测量放线要求布管，大开挖、穿越部位的管子布置在预制便于施工的一侧。</w:t>
            </w:r>
          </w:p>
          <w:p w14:paraId="35CD52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（4）布管前，应根据测量管口周长、直径、以便匹配。</w:t>
            </w:r>
          </w:p>
          <w:p w14:paraId="448C29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7、管道组装、焊接、防腐</w:t>
            </w:r>
          </w:p>
          <w:p w14:paraId="681409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成品管道长度10m左右，各管道铺设好后，需要进行管道之间的焊接与防腐，具体流程分述如下。</w:t>
            </w:r>
          </w:p>
          <w:p w14:paraId="0F49C5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（1）焊接</w:t>
            </w:r>
          </w:p>
          <w:p w14:paraId="1646E6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焊接工艺流程主要为：组焊开始→管口检查合格→组对检查合格→根焊→焊口打磨合格→盖面焊接→焊口打磨→自检合格→焊口标识、组焊结束；焊接产生焊接烟尘和焊渣。</w:t>
            </w:r>
          </w:p>
          <w:p w14:paraId="3061BD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（2）防腐</w:t>
            </w:r>
          </w:p>
          <w:p w14:paraId="2ABD36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eastAsia" w:cs="Times New Roman"/>
                <w:b w:val="0"/>
                <w:bCs w:val="0"/>
                <w:color w:val="auto"/>
                <w:sz w:val="24"/>
                <w:lang w:eastAsia="zh-CN"/>
              </w:rPr>
              <w:t>本次</w:t>
            </w:r>
            <w:r>
              <w:rPr>
                <w:rFonts w:hint="default" w:ascii="Times New Roman" w:hAnsi="Times New Roman" w:eastAsia="宋体" w:cs="Times New Roman"/>
                <w:b w:val="0"/>
                <w:bCs w:val="0"/>
                <w:color w:val="auto"/>
                <w:sz w:val="24"/>
              </w:rPr>
              <w:t>不对成品管进行防腐，仅针对焊接口进行防腐。</w:t>
            </w:r>
          </w:p>
          <w:p w14:paraId="030036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防腐工艺流程主要为：管口清理→管口预热→管口表面处理→管口加热、测温→热收缩带安装→加热热收缩带→检查验收→填写施工、检查记录。</w:t>
            </w:r>
          </w:p>
          <w:p w14:paraId="4CB97A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8、管道下沟及回填</w:t>
            </w:r>
          </w:p>
          <w:p w14:paraId="3182F9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（1）管线下沟前，应对管沟尺寸进行检查，做好管沟的清理、检查、验收的工作。</w:t>
            </w:r>
          </w:p>
          <w:p w14:paraId="63FD7F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（2）管线下沟前，应根据现场实际情况和现有的施工机具采用切实可行的施工方法，针对地理特点，采用吊车、挖掘机、自制支架等起吊下沟。</w:t>
            </w:r>
          </w:p>
          <w:p w14:paraId="6850D6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（3）禁止将管子滚进沟槽就位，用宽尼龙带吊管下沟，着力处不得少于两处，起吊高度以1m为宜，轻放到沟底，严禁损伤管道。</w:t>
            </w:r>
          </w:p>
          <w:p w14:paraId="0A2BE4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（4）管子下沟后，测量管顶标高，对积水、管道悬空处进行有效处理。</w:t>
            </w:r>
          </w:p>
          <w:p w14:paraId="05A914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（5）管道回填前，与</w:t>
            </w:r>
            <w:r>
              <w:rPr>
                <w:rFonts w:hint="eastAsia" w:cs="Times New Roman"/>
                <w:b w:val="0"/>
                <w:bCs w:val="0"/>
                <w:color w:val="auto"/>
                <w:sz w:val="24"/>
                <w:lang w:eastAsia="zh-CN"/>
              </w:rPr>
              <w:t>建设单位、</w:t>
            </w:r>
            <w:r>
              <w:rPr>
                <w:rFonts w:hint="default" w:ascii="Times New Roman" w:hAnsi="Times New Roman" w:eastAsia="宋体" w:cs="Times New Roman"/>
                <w:b w:val="0"/>
                <w:bCs w:val="0"/>
                <w:color w:val="auto"/>
                <w:sz w:val="24"/>
              </w:rPr>
              <w:t>监理共同对管道进行检查，合格后填写会签记录。</w:t>
            </w:r>
          </w:p>
          <w:p w14:paraId="6773B9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回填后的沟顶应高于原始地表0.3m，且从管道中线起3%-5%的坡度向两侧延伸，延伸宽度应超越管沟外缘0.5m，管顶300mm内不得有石块等异物，严禁将土集中堆放，也不能借土回填，造成管道两侧形成自然汇流沟槽，先回填生土，最后回填熟土。</w:t>
            </w:r>
          </w:p>
          <w:p w14:paraId="650D75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rPr>
            </w:pPr>
            <w:r>
              <w:rPr>
                <w:rFonts w:hint="default" w:ascii="Times New Roman" w:hAnsi="Times New Roman" w:eastAsia="宋体" w:cs="Times New Roman"/>
                <w:b w:val="0"/>
                <w:bCs w:val="0"/>
                <w:color w:val="auto"/>
                <w:sz w:val="24"/>
              </w:rPr>
              <w:t>（7）回填完成后，应将临时堆场</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临时道路恢复到开工以前原状</w:t>
            </w:r>
            <w:r>
              <w:rPr>
                <w:rFonts w:hint="default" w:ascii="Times New Roman" w:hAnsi="Times New Roman" w:cs="Times New Roman"/>
                <w:b w:val="0"/>
                <w:bCs w:val="0"/>
                <w:color w:val="auto"/>
                <w:sz w:val="24"/>
              </w:rPr>
              <w:t>。</w:t>
            </w:r>
          </w:p>
          <w:p w14:paraId="6F1419DF">
            <w:pPr>
              <w:keepNext w:val="0"/>
              <w:keepLines w:val="0"/>
              <w:pageBreakBefore w:val="0"/>
              <w:widowControl w:val="0"/>
              <w:tabs>
                <w:tab w:val="left" w:pos="975"/>
              </w:tabs>
              <w:kinsoku/>
              <w:wordWrap/>
              <w:overflowPunct/>
              <w:topLinePunct w:val="0"/>
              <w:autoSpaceDE/>
              <w:autoSpaceDN/>
              <w:bidi w:val="0"/>
              <w:adjustRightInd/>
              <w:snapToGrid/>
              <w:spacing w:beforeAutospacing="0" w:afterAutospacing="0" w:line="240" w:lineRule="auto"/>
              <w:ind w:right="0"/>
              <w:jc w:val="center"/>
              <w:textAlignment w:val="auto"/>
              <w:rPr>
                <w:rFonts w:hint="eastAsia"/>
                <w:b/>
                <w:bCs/>
                <w:color w:val="auto"/>
                <w:sz w:val="24"/>
                <w:szCs w:val="32"/>
                <w:lang w:val="en-US" w:eastAsia="zh-CN"/>
              </w:rPr>
            </w:pPr>
            <w:r>
              <w:drawing>
                <wp:inline distT="0" distB="0" distL="114300" distR="114300">
                  <wp:extent cx="5391150" cy="6412865"/>
                  <wp:effectExtent l="0" t="0" r="0"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5391150" cy="6412865"/>
                          </a:xfrm>
                          <a:prstGeom prst="rect">
                            <a:avLst/>
                          </a:prstGeom>
                          <a:noFill/>
                          <a:ln>
                            <a:noFill/>
                          </a:ln>
                        </pic:spPr>
                      </pic:pic>
                    </a:graphicData>
                  </a:graphic>
                </wp:inline>
              </w:drawing>
            </w:r>
          </w:p>
          <w:p w14:paraId="0CD9FAEE">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图</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rPr>
              <w:t>-</w:t>
            </w:r>
            <w:r>
              <w:rPr>
                <w:rFonts w:hint="eastAsia" w:cs="Times New Roman"/>
                <w:b/>
                <w:bCs/>
                <w:color w:val="auto"/>
                <w:sz w:val="24"/>
                <w:szCs w:val="24"/>
                <w:lang w:val="en-US" w:eastAsia="zh-CN"/>
              </w:rPr>
              <w:t>3</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eastAsia="zh-CN"/>
              </w:rPr>
              <w:t>本次扩建后</w:t>
            </w:r>
            <w:r>
              <w:rPr>
                <w:rFonts w:hint="eastAsia" w:cs="Times New Roman"/>
                <w:b/>
                <w:bCs/>
                <w:color w:val="auto"/>
                <w:sz w:val="24"/>
                <w:szCs w:val="24"/>
                <w:lang w:eastAsia="zh-CN"/>
              </w:rPr>
              <w:t>输水管线走向线路图</w:t>
            </w:r>
          </w:p>
          <w:p w14:paraId="5EE5BE42">
            <w:pPr>
              <w:keepNext w:val="0"/>
              <w:keepLines w:val="0"/>
              <w:pageBreakBefore w:val="0"/>
              <w:widowControl w:val="0"/>
              <w:tabs>
                <w:tab w:val="left" w:pos="975"/>
              </w:tabs>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eastAsia="宋体"/>
                <w:b/>
                <w:bCs/>
                <w:color w:val="auto"/>
                <w:sz w:val="24"/>
                <w:szCs w:val="32"/>
                <w:lang w:val="en-US" w:eastAsia="zh-CN"/>
              </w:rPr>
            </w:pPr>
            <w:r>
              <w:rPr>
                <w:rFonts w:hint="eastAsia"/>
                <w:b/>
                <w:bCs/>
                <w:color w:val="auto"/>
                <w:sz w:val="24"/>
                <w:szCs w:val="32"/>
                <w:lang w:val="en-US" w:eastAsia="zh-CN"/>
              </w:rPr>
              <w:t>2、净水工程建设</w:t>
            </w:r>
          </w:p>
          <w:p w14:paraId="1D0CE14A">
            <w:pPr>
              <w:keepNext w:val="0"/>
              <w:keepLines w:val="0"/>
              <w:pageBreakBefore w:val="0"/>
              <w:widowControl w:val="0"/>
              <w:tabs>
                <w:tab w:val="left" w:pos="975"/>
              </w:tabs>
              <w:kinsoku/>
              <w:wordWrap/>
              <w:overflowPunct/>
              <w:topLinePunct w:val="0"/>
              <w:autoSpaceDE/>
              <w:autoSpaceDN/>
              <w:bidi w:val="0"/>
              <w:adjustRightInd/>
              <w:snapToGrid/>
              <w:spacing w:beforeAutospacing="0" w:afterAutospacing="0" w:line="240" w:lineRule="auto"/>
              <w:ind w:left="0" w:leftChars="0" w:right="0"/>
              <w:jc w:val="center"/>
              <w:textAlignment w:val="auto"/>
              <w:rPr>
                <w:color w:val="auto"/>
              </w:rPr>
            </w:pPr>
            <w:r>
              <w:rPr>
                <w:color w:val="auto"/>
              </w:rPr>
              <w:drawing>
                <wp:inline distT="0" distB="0" distL="114300" distR="114300">
                  <wp:extent cx="5465445" cy="2541905"/>
                  <wp:effectExtent l="0" t="0" r="190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465445" cy="2541905"/>
                          </a:xfrm>
                          <a:prstGeom prst="rect">
                            <a:avLst/>
                          </a:prstGeom>
                          <a:noFill/>
                          <a:ln>
                            <a:noFill/>
                          </a:ln>
                        </pic:spPr>
                      </pic:pic>
                    </a:graphicData>
                  </a:graphic>
                </wp:inline>
              </w:drawing>
            </w:r>
          </w:p>
          <w:p w14:paraId="2B3FC027">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图</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rPr>
              <w:t>-</w:t>
            </w:r>
            <w:r>
              <w:rPr>
                <w:rFonts w:hint="eastAsia" w:cs="Times New Roman"/>
                <w:b/>
                <w:bCs/>
                <w:color w:val="auto"/>
                <w:sz w:val="24"/>
                <w:szCs w:val="24"/>
                <w:lang w:val="en-US" w:eastAsia="zh-CN"/>
              </w:rPr>
              <w:t>4</w:t>
            </w:r>
            <w:r>
              <w:rPr>
                <w:rFonts w:ascii="Times New Roman" w:hAnsi="Times New Roman" w:eastAsia="宋体" w:cs="Times New Roman"/>
                <w:b/>
                <w:bCs/>
                <w:color w:val="auto"/>
                <w:sz w:val="24"/>
                <w:szCs w:val="24"/>
              </w:rPr>
              <w:t xml:space="preserve">  </w:t>
            </w:r>
            <w:commentRangeStart w:id="2"/>
            <w:commentRangeStart w:id="3"/>
            <w:r>
              <w:rPr>
                <w:rFonts w:hint="eastAsia" w:cs="Times New Roman"/>
                <w:b/>
                <w:bCs/>
                <w:color w:val="auto"/>
                <w:sz w:val="24"/>
                <w:szCs w:val="24"/>
                <w:lang w:eastAsia="zh-CN"/>
              </w:rPr>
              <w:t>净水工程施工示意</w:t>
            </w:r>
            <w:r>
              <w:rPr>
                <w:rFonts w:hint="eastAsia" w:ascii="Times New Roman" w:hAnsi="Times New Roman" w:eastAsia="宋体" w:cs="Times New Roman"/>
                <w:b/>
                <w:bCs/>
                <w:color w:val="auto"/>
                <w:sz w:val="24"/>
                <w:szCs w:val="24"/>
              </w:rPr>
              <w:t>图</w:t>
            </w:r>
            <w:commentRangeEnd w:id="2"/>
            <w:r>
              <w:commentReference w:id="2"/>
            </w:r>
            <w:commentRangeEnd w:id="3"/>
            <w:r>
              <w:commentReference w:id="3"/>
            </w:r>
          </w:p>
          <w:p w14:paraId="5FA44A56">
            <w:pPr>
              <w:keepNext w:val="0"/>
              <w:keepLines w:val="0"/>
              <w:pageBreakBefore w:val="0"/>
              <w:widowControl w:val="0"/>
              <w:numPr>
                <w:ilvl w:val="0"/>
                <w:numId w:val="0"/>
              </w:numPr>
              <w:tabs>
                <w:tab w:val="left" w:pos="975"/>
              </w:tabs>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项目新建一栋综合楼</w:t>
            </w:r>
            <w:r>
              <w:rPr>
                <w:rFonts w:hint="eastAsia" w:cs="Times New Roman"/>
                <w:b w:val="0"/>
                <w:bCs w:val="0"/>
                <w:color w:val="auto"/>
                <w:sz w:val="24"/>
                <w:lang w:val="en-US" w:eastAsia="zh-CN"/>
              </w:rPr>
              <w:t>，对净水工程进行改扩建</w:t>
            </w:r>
            <w:r>
              <w:rPr>
                <w:rFonts w:hint="default" w:ascii="Times New Roman" w:hAnsi="Times New Roman" w:eastAsia="宋体" w:cs="Times New Roman"/>
                <w:b w:val="0"/>
                <w:bCs w:val="0"/>
                <w:color w:val="auto"/>
                <w:sz w:val="24"/>
                <w:lang w:val="en-US" w:eastAsia="zh-CN"/>
              </w:rPr>
              <w:t>，施工期环境污染问题主要是建筑扬尘、施工机械废气、焊接烟尘、施工噪声、施工人员生活污水、施工废水、施工人员生活垃圾。这些污染几乎发生于整个施工过程，但不同污染因子在不同施工阶段污染强度不同。施工期相对于营运期来说影响时间较短，而且随着施工的结束污染也会消失。</w:t>
            </w:r>
          </w:p>
          <w:p w14:paraId="1E74C4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eastAsia" w:cs="Times New Roman"/>
                <w:b/>
                <w:bCs/>
                <w:color w:val="auto"/>
                <w:sz w:val="24"/>
                <w:lang w:val="en-US" w:eastAsia="zh-CN"/>
              </w:rPr>
            </w:pPr>
            <w:r>
              <w:rPr>
                <w:rFonts w:hint="eastAsia" w:cs="Times New Roman"/>
                <w:b/>
                <w:bCs/>
                <w:color w:val="auto"/>
                <w:sz w:val="24"/>
                <w:lang w:val="en-US" w:eastAsia="zh-CN"/>
              </w:rPr>
              <w:t>3、水厂运营期生产工艺流程</w:t>
            </w:r>
          </w:p>
          <w:p w14:paraId="0A32CF4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cs="Times New Roman"/>
                <w:b w:val="0"/>
                <w:bCs w:val="0"/>
                <w:color w:val="auto"/>
                <w:sz w:val="24"/>
                <w:lang w:val="en-US" w:eastAsia="zh-CN"/>
              </w:rPr>
            </w:pPr>
            <w:r>
              <w:drawing>
                <wp:inline distT="0" distB="0" distL="114300" distR="114300">
                  <wp:extent cx="5464810" cy="2752090"/>
                  <wp:effectExtent l="0" t="0" r="2540" b="1016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2"/>
                          <a:stretch>
                            <a:fillRect/>
                          </a:stretch>
                        </pic:blipFill>
                        <pic:spPr>
                          <a:xfrm>
                            <a:off x="0" y="0"/>
                            <a:ext cx="5464810" cy="2752090"/>
                          </a:xfrm>
                          <a:prstGeom prst="rect">
                            <a:avLst/>
                          </a:prstGeom>
                          <a:noFill/>
                          <a:ln>
                            <a:noFill/>
                          </a:ln>
                        </pic:spPr>
                      </pic:pic>
                    </a:graphicData>
                  </a:graphic>
                </wp:inline>
              </w:drawing>
            </w:r>
          </w:p>
          <w:p w14:paraId="0D3D0C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eastAsia" w:cs="Times New Roman"/>
                <w:b w:val="0"/>
                <w:bCs w:val="0"/>
                <w:color w:val="auto"/>
                <w:sz w:val="24"/>
                <w:lang w:val="en-US" w:eastAsia="zh-CN"/>
              </w:rPr>
            </w:pPr>
            <w:r>
              <w:rPr>
                <w:rFonts w:hint="eastAsia" w:ascii="Times New Roman" w:hAnsi="Times New Roman" w:eastAsia="宋体" w:cs="Times New Roman"/>
                <w:b/>
                <w:bCs/>
                <w:color w:val="auto"/>
                <w:sz w:val="24"/>
                <w:szCs w:val="24"/>
                <w:lang w:eastAsia="zh-CN"/>
              </w:rPr>
              <w:t>图</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rPr>
              <w:t>-</w:t>
            </w:r>
            <w:r>
              <w:rPr>
                <w:rFonts w:hint="eastAsia" w:cs="Times New Roman"/>
                <w:b/>
                <w:bCs/>
                <w:color w:val="auto"/>
                <w:sz w:val="24"/>
                <w:szCs w:val="24"/>
                <w:lang w:val="en-US" w:eastAsia="zh-CN"/>
              </w:rPr>
              <w:t>5</w:t>
            </w:r>
            <w:r>
              <w:rPr>
                <w:rFonts w:ascii="Times New Roman" w:hAnsi="Times New Roman" w:eastAsia="宋体" w:cs="Times New Roman"/>
                <w:b/>
                <w:bCs/>
                <w:color w:val="auto"/>
                <w:sz w:val="24"/>
                <w:szCs w:val="24"/>
              </w:rPr>
              <w:t xml:space="preserve">  </w:t>
            </w:r>
            <w:r>
              <w:rPr>
                <w:rFonts w:hint="eastAsia" w:cs="Times New Roman"/>
                <w:b/>
                <w:bCs/>
                <w:color w:val="auto"/>
                <w:sz w:val="24"/>
                <w:szCs w:val="24"/>
                <w:lang w:eastAsia="zh-CN"/>
              </w:rPr>
              <w:t>净水工程</w:t>
            </w:r>
            <w:r>
              <w:rPr>
                <w:rFonts w:hint="eastAsia" w:ascii="Times New Roman" w:hAnsi="Times New Roman" w:eastAsia="宋体" w:cs="Times New Roman"/>
                <w:b/>
                <w:bCs/>
                <w:color w:val="auto"/>
                <w:sz w:val="24"/>
                <w:szCs w:val="24"/>
              </w:rPr>
              <w:t>工艺流程及产排污环节示意图</w:t>
            </w:r>
          </w:p>
          <w:p w14:paraId="1EF6CF6F">
            <w:pPr>
              <w:keepNext w:val="0"/>
              <w:keepLines w:val="0"/>
              <w:pageBreakBefore w:val="0"/>
              <w:widowControl w:val="0"/>
              <w:numPr>
                <w:ilvl w:val="0"/>
                <w:numId w:val="0"/>
              </w:numPr>
              <w:tabs>
                <w:tab w:val="left" w:pos="975"/>
              </w:tabs>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工艺流程</w:t>
            </w:r>
            <w:r>
              <w:rPr>
                <w:rFonts w:hint="eastAsia" w:cs="Times New Roman"/>
                <w:b/>
                <w:bCs/>
                <w:color w:val="auto"/>
                <w:sz w:val="24"/>
                <w:lang w:val="en-US" w:eastAsia="zh-CN"/>
              </w:rPr>
              <w:t>说明</w:t>
            </w:r>
            <w:r>
              <w:rPr>
                <w:rFonts w:hint="default" w:ascii="Times New Roman" w:hAnsi="Times New Roman" w:eastAsia="宋体" w:cs="Times New Roman"/>
                <w:b/>
                <w:bCs/>
                <w:color w:val="auto"/>
                <w:sz w:val="24"/>
                <w:lang w:val="en-US" w:eastAsia="zh-CN"/>
              </w:rPr>
              <w:t>：</w:t>
            </w:r>
          </w:p>
          <w:p w14:paraId="6DA10A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textAlignment w:val="auto"/>
              <w:rPr>
                <w:rFonts w:hint="eastAsia" w:ascii="宋体" w:hAnsi="宋体" w:eastAsia="宋体"/>
                <w:bCs/>
                <w:color w:val="auto"/>
                <w:szCs w:val="21"/>
                <w:lang w:val="en-US" w:eastAsia="zh-CN"/>
              </w:rPr>
            </w:pPr>
            <w:r>
              <w:rPr>
                <w:rFonts w:hint="eastAsia" w:ascii="宋体" w:hAnsi="宋体" w:eastAsia="宋体"/>
                <w:b/>
                <w:bCs w:val="0"/>
                <w:color w:val="auto"/>
                <w:szCs w:val="21"/>
                <w:lang w:val="en-US" w:eastAsia="zh-CN"/>
              </w:rPr>
              <w:t>管式静态混合器：</w:t>
            </w:r>
            <w:r>
              <w:rPr>
                <w:rFonts w:hint="eastAsia" w:ascii="宋体" w:hAnsi="宋体" w:eastAsia="宋体"/>
                <w:bCs/>
                <w:color w:val="auto"/>
                <w:szCs w:val="21"/>
                <w:lang w:val="en-US" w:eastAsia="zh-CN"/>
              </w:rPr>
              <w:t>管式静态混合器混合是在管道内设置多节固定叶片，使水流产生涡流反应，同时产生涡旋反向旋转及交叉流动，从而获得混合效果。</w:t>
            </w:r>
          </w:p>
          <w:p w14:paraId="26E28B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textAlignment w:val="auto"/>
              <w:rPr>
                <w:rFonts w:hint="eastAsia" w:ascii="宋体" w:hAnsi="宋体"/>
                <w:bCs/>
                <w:color w:val="auto"/>
                <w:szCs w:val="21"/>
                <w:lang w:val="en-US" w:eastAsia="zh-CN"/>
              </w:rPr>
            </w:pPr>
            <w:r>
              <w:rPr>
                <w:rFonts w:hint="eastAsia" w:ascii="宋体" w:hAnsi="宋体" w:eastAsia="宋体"/>
                <w:b/>
                <w:bCs w:val="0"/>
                <w:color w:val="auto"/>
                <w:szCs w:val="21"/>
                <w:lang w:val="en-US" w:eastAsia="zh-CN"/>
              </w:rPr>
              <w:t>过滤</w:t>
            </w:r>
            <w:r>
              <w:rPr>
                <w:rFonts w:hint="eastAsia" w:ascii="宋体" w:hAnsi="宋体"/>
                <w:b/>
                <w:bCs w:val="0"/>
                <w:color w:val="auto"/>
                <w:szCs w:val="21"/>
                <w:lang w:val="en-US" w:eastAsia="zh-CN"/>
              </w:rPr>
              <w:t>：</w:t>
            </w:r>
            <w:r>
              <w:rPr>
                <w:rFonts w:hint="eastAsia" w:ascii="宋体" w:hAnsi="宋体" w:eastAsia="宋体"/>
                <w:bCs/>
                <w:color w:val="auto"/>
                <w:szCs w:val="21"/>
                <w:lang w:val="en-US" w:eastAsia="zh-CN"/>
              </w:rPr>
              <w:t>指以石英砂等有空隙的粒状滤料层通过黏附作用截留水中悬浮颗粒，从而进一步去除水中细小悬浮杂质、有机物、细菌、病毒等，使水澄清的过程。</w:t>
            </w:r>
            <w:r>
              <w:rPr>
                <w:rFonts w:hint="eastAsia" w:ascii="宋体" w:hAnsi="宋体"/>
                <w:bCs/>
                <w:color w:val="auto"/>
                <w:szCs w:val="21"/>
                <w:lang w:val="en-US" w:eastAsia="zh-CN"/>
              </w:rPr>
              <w:t>本次扩建，</w:t>
            </w:r>
            <w:r>
              <w:rPr>
                <w:rFonts w:hint="eastAsia" w:ascii="宋体" w:hAnsi="宋体" w:eastAsia="宋体"/>
                <w:bCs/>
                <w:color w:val="auto"/>
                <w:szCs w:val="21"/>
                <w:lang w:val="en-US" w:eastAsia="zh-CN"/>
              </w:rPr>
              <w:t>水经</w:t>
            </w:r>
            <w:r>
              <w:rPr>
                <w:rFonts w:hint="eastAsia" w:ascii="宋体" w:hAnsi="宋体"/>
                <w:bCs/>
                <w:color w:val="auto"/>
                <w:szCs w:val="21"/>
                <w:lang w:val="en-US" w:eastAsia="zh-CN"/>
              </w:rPr>
              <w:t>平流</w:t>
            </w:r>
            <w:r>
              <w:rPr>
                <w:rFonts w:hint="eastAsia" w:ascii="宋体" w:hAnsi="宋体" w:eastAsia="宋体"/>
                <w:bCs/>
                <w:color w:val="auto"/>
                <w:szCs w:val="21"/>
                <w:lang w:val="en-US" w:eastAsia="zh-CN"/>
              </w:rPr>
              <w:t>沉淀池流入普通快滤池，水经过滤处理后，由滤池底部管道流入</w:t>
            </w:r>
            <w:r>
              <w:rPr>
                <w:rFonts w:hint="eastAsia" w:ascii="宋体" w:hAnsi="宋体"/>
                <w:bCs/>
                <w:color w:val="auto"/>
                <w:szCs w:val="21"/>
                <w:lang w:val="en-US" w:eastAsia="zh-CN"/>
              </w:rPr>
              <w:t>清水</w:t>
            </w:r>
            <w:r>
              <w:rPr>
                <w:rFonts w:hint="eastAsia" w:ascii="宋体" w:hAnsi="宋体" w:eastAsia="宋体"/>
                <w:bCs/>
                <w:color w:val="auto"/>
                <w:szCs w:val="21"/>
                <w:lang w:val="en-US" w:eastAsia="zh-CN"/>
              </w:rPr>
              <w:t>池。滤池定期滤池每天反冲洗，此工序产生反冲洗水，反冲洗水通过管道引入污泥池处理</w:t>
            </w:r>
            <w:r>
              <w:rPr>
                <w:rFonts w:hint="eastAsia" w:ascii="宋体" w:hAnsi="宋体"/>
                <w:bCs/>
                <w:color w:val="auto"/>
                <w:szCs w:val="21"/>
                <w:lang w:val="en-US" w:eastAsia="zh-CN"/>
              </w:rPr>
              <w:t>。</w:t>
            </w:r>
          </w:p>
          <w:p w14:paraId="1B1A9B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textAlignment w:val="auto"/>
              <w:rPr>
                <w:rFonts w:hint="eastAsia" w:ascii="宋体" w:hAnsi="宋体"/>
                <w:bCs/>
                <w:color w:val="auto"/>
                <w:szCs w:val="21"/>
                <w:lang w:val="en-US" w:eastAsia="zh-CN"/>
              </w:rPr>
            </w:pPr>
            <w:r>
              <w:rPr>
                <w:rFonts w:hint="eastAsia" w:ascii="宋体" w:hAnsi="宋体"/>
                <w:b/>
                <w:bCs w:val="0"/>
                <w:color w:val="auto"/>
                <w:szCs w:val="21"/>
                <w:lang w:val="en-US" w:eastAsia="zh-CN"/>
              </w:rPr>
              <w:t>消毒：</w:t>
            </w:r>
            <w:r>
              <w:rPr>
                <w:rFonts w:hint="eastAsia" w:ascii="宋体" w:hAnsi="宋体"/>
                <w:bCs/>
                <w:color w:val="auto"/>
                <w:szCs w:val="21"/>
                <w:lang w:val="en-US" w:eastAsia="zh-CN"/>
              </w:rPr>
              <w:t>本项目使用的消毒剂为次氯酸钠溶液，次氯酸钠消毒杀菌最主要的作用方式是通过它的水解作用形成次氯酸，次氯酸再进一步分解形成新生态氧，新生态氧的极强氧化性使菌体和病毒的蛋白质变性，从而使病原微生物致死。其过程可用化学方程式简单表示如下：</w:t>
            </w:r>
          </w:p>
          <w:p w14:paraId="617800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eastAsia" w:ascii="宋体" w:hAnsi="宋体"/>
                <w:bCs/>
                <w:color w:val="auto"/>
                <w:szCs w:val="21"/>
                <w:lang w:val="en-US" w:eastAsia="zh-CN"/>
              </w:rPr>
            </w:pPr>
            <w:r>
              <w:rPr>
                <w:rFonts w:hint="eastAsia" w:ascii="宋体" w:hAnsi="宋体"/>
                <w:bCs/>
                <w:color w:val="auto"/>
                <w:szCs w:val="21"/>
                <w:lang w:val="en-US" w:eastAsia="zh-CN"/>
              </w:rPr>
              <w:t>NaClO+H2O＝HClO+NaOH</w:t>
            </w:r>
          </w:p>
          <w:p w14:paraId="1E78F7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eastAsia" w:ascii="宋体" w:hAnsi="宋体"/>
                <w:bCs/>
                <w:color w:val="auto"/>
                <w:szCs w:val="21"/>
                <w:lang w:val="en-US" w:eastAsia="zh-CN"/>
              </w:rPr>
            </w:pPr>
            <w:r>
              <w:rPr>
                <w:rFonts w:hint="eastAsia" w:ascii="宋体" w:hAnsi="宋体"/>
                <w:bCs/>
                <w:color w:val="auto"/>
                <w:szCs w:val="21"/>
                <w:lang w:val="en-US" w:eastAsia="zh-CN"/>
              </w:rPr>
              <w:t>HClO→HCl+[O]</w:t>
            </w:r>
          </w:p>
          <w:p w14:paraId="34000E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其次，因次氯酸分子小，不带电荷，还可渗透入菌体内与菌体蛋白、核酸和酶等发生氧化反应或破坏其磷酸脱氢酶，使糖代谢失调而致细胞死亡，从而杀死病原微生物。</w:t>
            </w:r>
          </w:p>
          <w:p w14:paraId="35D8A1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eastAsia" w:ascii="宋体" w:hAnsi="宋体"/>
                <w:bCs/>
                <w:color w:val="auto"/>
                <w:szCs w:val="21"/>
                <w:lang w:val="en-US" w:eastAsia="zh-CN"/>
              </w:rPr>
            </w:pPr>
            <w:r>
              <w:rPr>
                <w:rFonts w:hint="eastAsia" w:ascii="宋体" w:hAnsi="宋体"/>
                <w:bCs/>
                <w:color w:val="auto"/>
                <w:szCs w:val="21"/>
                <w:lang w:val="en-US" w:eastAsia="zh-CN"/>
              </w:rPr>
              <w:t>R-NH-R+HClO→R2NCl+H2O  （细菌蛋白质）</w:t>
            </w:r>
          </w:p>
          <w:p w14:paraId="71A80A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同时，次氯酸产生出的氯离子还能显著改变细菌和病毒体的渗透压，使其细胞丧失活性而死亡。此过程会产生废包装瓶，收集至危废暂存间定期交由资质单位处置。</w:t>
            </w:r>
          </w:p>
          <w:p w14:paraId="3074AC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textAlignment w:val="auto"/>
              <w:rPr>
                <w:rFonts w:hint="eastAsia" w:ascii="宋体" w:hAnsi="宋体"/>
                <w:bCs/>
                <w:color w:val="auto"/>
                <w:szCs w:val="21"/>
                <w:lang w:val="en-US" w:eastAsia="zh-CN"/>
              </w:rPr>
            </w:pPr>
            <w:r>
              <w:rPr>
                <w:rFonts w:hint="eastAsia" w:ascii="宋体" w:hAnsi="宋体"/>
                <w:b/>
                <w:bCs w:val="0"/>
                <w:color w:val="auto"/>
                <w:szCs w:val="21"/>
                <w:lang w:val="en-US" w:eastAsia="zh-CN"/>
              </w:rPr>
              <w:t>污泥处理：</w:t>
            </w:r>
            <w:r>
              <w:rPr>
                <w:rFonts w:hint="eastAsia" w:ascii="宋体" w:hAnsi="宋体"/>
                <w:b w:val="0"/>
                <w:bCs/>
                <w:color w:val="auto"/>
                <w:szCs w:val="21"/>
                <w:lang w:val="en-US" w:eastAsia="zh-CN"/>
              </w:rPr>
              <w:t>污泥处理采用浓缩方式和脱水方式，</w:t>
            </w:r>
            <w:r>
              <w:rPr>
                <w:rFonts w:hint="eastAsia" w:ascii="宋体" w:hAnsi="宋体"/>
                <w:bCs/>
                <w:color w:val="auto"/>
                <w:szCs w:val="21"/>
                <w:lang w:val="en-US" w:eastAsia="zh-CN"/>
              </w:rPr>
              <w:t>排泥池→污泥浓缩→带式压滤机→污泥平衡池→污泥堆放及外运，浓缩池上清液回流至排水池，污泥处理至含水率80%后，统一外运至八公山陶粒厂进行处置。</w:t>
            </w:r>
          </w:p>
          <w:p w14:paraId="24C751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textAlignment w:val="auto"/>
              <w:rPr>
                <w:rFonts w:hint="eastAsia" w:ascii="宋体" w:hAnsi="宋体"/>
                <w:b/>
                <w:bCs w:val="0"/>
                <w:color w:val="auto"/>
                <w:szCs w:val="21"/>
                <w:lang w:val="en-US" w:eastAsia="zh-CN"/>
              </w:rPr>
            </w:pPr>
            <w:r>
              <w:rPr>
                <w:rFonts w:hint="eastAsia" w:ascii="宋体" w:hAnsi="宋体"/>
                <w:b/>
                <w:bCs w:val="0"/>
                <w:color w:val="auto"/>
                <w:szCs w:val="21"/>
                <w:lang w:val="en-US" w:eastAsia="zh-CN"/>
              </w:rPr>
              <w:t>4、出水水质检验</w:t>
            </w:r>
          </w:p>
          <w:p w14:paraId="068440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厂区设置化验室，主要检测生活饮用水卫生标准常规项（pH、溶解氧、BOD和COD等）。检测均在仪器内进行，检测过程中产生的污染物有实验室废液、经灭菌后的废培养基。</w:t>
            </w:r>
          </w:p>
          <w:p w14:paraId="620679F4">
            <w:pPr>
              <w:pStyle w:val="7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textAlignment w:val="auto"/>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表2-</w:t>
            </w:r>
            <w:r>
              <w:rPr>
                <w:rFonts w:hint="eastAsia" w:cs="Times New Roman"/>
                <w:color w:val="auto"/>
                <w:sz w:val="24"/>
                <w:szCs w:val="22"/>
                <w:lang w:val="en-US" w:eastAsia="zh-CN"/>
              </w:rPr>
              <w:t>13</w:t>
            </w:r>
            <w:r>
              <w:rPr>
                <w:rFonts w:hint="default" w:ascii="Times New Roman" w:hAnsi="Times New Roman" w:cs="Times New Roman"/>
                <w:color w:val="auto"/>
                <w:sz w:val="24"/>
                <w:szCs w:val="22"/>
                <w:lang w:val="en-US" w:eastAsia="zh-CN"/>
              </w:rPr>
              <w:t xml:space="preserve">  </w:t>
            </w:r>
            <w:r>
              <w:rPr>
                <w:rFonts w:hint="default" w:ascii="Times New Roman" w:hAnsi="Times New Roman" w:cs="Times New Roman"/>
                <w:color w:val="auto"/>
                <w:sz w:val="24"/>
                <w:szCs w:val="22"/>
                <w:lang w:eastAsia="zh-CN"/>
              </w:rPr>
              <w:t>项目产污环节汇总表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7"/>
              <w:gridCol w:w="1998"/>
              <w:gridCol w:w="2326"/>
              <w:gridCol w:w="3679"/>
            </w:tblGrid>
            <w:tr w14:paraId="79DE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noWrap w:val="0"/>
                  <w:vAlign w:val="center"/>
                </w:tcPr>
                <w:p w14:paraId="257BE030">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1998" w:type="dxa"/>
                  <w:noWrap w:val="0"/>
                  <w:vAlign w:val="center"/>
                </w:tcPr>
                <w:p w14:paraId="2743F232">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产生点</w:t>
                  </w:r>
                </w:p>
              </w:tc>
              <w:tc>
                <w:tcPr>
                  <w:tcW w:w="2326" w:type="dxa"/>
                  <w:noWrap w:val="0"/>
                  <w:vAlign w:val="center"/>
                </w:tcPr>
                <w:p w14:paraId="44FD840C">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3679" w:type="dxa"/>
                  <w:noWrap w:val="0"/>
                  <w:vAlign w:val="center"/>
                </w:tcPr>
                <w:p w14:paraId="32258372">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处理措施及排放去向</w:t>
                  </w:r>
                </w:p>
              </w:tc>
            </w:tr>
            <w:tr w14:paraId="0E52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noWrap w:val="0"/>
                  <w:vAlign w:val="center"/>
                </w:tcPr>
                <w:p w14:paraId="64B3D4B0">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998" w:type="dxa"/>
                  <w:shd w:val="clear" w:color="auto" w:fill="auto"/>
                  <w:noWrap w:val="0"/>
                  <w:vAlign w:val="center"/>
                </w:tcPr>
                <w:p w14:paraId="776C54C4">
                  <w:pPr>
                    <w:pStyle w:val="99"/>
                    <w:ind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污泥浓缩池</w:t>
                  </w:r>
                </w:p>
              </w:tc>
              <w:tc>
                <w:tcPr>
                  <w:tcW w:w="2326" w:type="dxa"/>
                  <w:shd w:val="clear" w:color="auto" w:fill="auto"/>
                  <w:noWrap w:val="0"/>
                  <w:vAlign w:val="center"/>
                </w:tcPr>
                <w:p w14:paraId="5A8FDFC8">
                  <w:pPr>
                    <w:pStyle w:val="99"/>
                    <w:ind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恶臭气体</w:t>
                  </w:r>
                </w:p>
              </w:tc>
              <w:tc>
                <w:tcPr>
                  <w:tcW w:w="3679" w:type="dxa"/>
                  <w:shd w:val="clear" w:color="auto" w:fill="auto"/>
                  <w:noWrap w:val="0"/>
                  <w:vAlign w:val="center"/>
                </w:tcPr>
                <w:p w14:paraId="30B8C45C">
                  <w:pPr>
                    <w:pStyle w:val="99"/>
                    <w:ind w:firstLine="0" w:firstLineChars="0"/>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kern w:val="2"/>
                      <w:sz w:val="21"/>
                      <w:szCs w:val="24"/>
                      <w:lang w:val="en-US" w:eastAsia="zh-CN" w:bidi="ar-SA"/>
                    </w:rPr>
                    <w:t>厂区无组织排放</w:t>
                  </w:r>
                </w:p>
              </w:tc>
            </w:tr>
            <w:tr w14:paraId="1AD6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restart"/>
                  <w:noWrap w:val="0"/>
                  <w:vAlign w:val="center"/>
                </w:tcPr>
                <w:p w14:paraId="6D3615C6">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998" w:type="dxa"/>
                  <w:noWrap w:val="0"/>
                  <w:vAlign w:val="center"/>
                </w:tcPr>
                <w:p w14:paraId="09D8D816">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员工生活</w:t>
                  </w:r>
                </w:p>
              </w:tc>
              <w:tc>
                <w:tcPr>
                  <w:tcW w:w="2326" w:type="dxa"/>
                  <w:noWrap w:val="0"/>
                  <w:vAlign w:val="center"/>
                </w:tcPr>
                <w:p w14:paraId="3DAECD74">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pH、COD、BOD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3679" w:type="dxa"/>
                  <w:noWrap w:val="0"/>
                  <w:vAlign w:val="center"/>
                </w:tcPr>
                <w:p w14:paraId="37229D13">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val="en-US" w:eastAsia="zh-CN"/>
                    </w:rPr>
                    <w:t>排入污水处理厂处理</w:t>
                  </w:r>
                </w:p>
              </w:tc>
            </w:tr>
            <w:tr w14:paraId="3EB4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continue"/>
                  <w:noWrap w:val="0"/>
                  <w:vAlign w:val="center"/>
                </w:tcPr>
                <w:p w14:paraId="14CE4002">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p>
              </w:tc>
              <w:tc>
                <w:tcPr>
                  <w:tcW w:w="1998" w:type="dxa"/>
                  <w:noWrap w:val="0"/>
                  <w:vAlign w:val="center"/>
                </w:tcPr>
                <w:p w14:paraId="7CCC5635">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食堂废水</w:t>
                  </w:r>
                </w:p>
              </w:tc>
              <w:tc>
                <w:tcPr>
                  <w:tcW w:w="2326" w:type="dxa"/>
                  <w:noWrap w:val="0"/>
                  <w:vAlign w:val="center"/>
                </w:tcPr>
                <w:p w14:paraId="5B0174A4">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pH、COD、BOD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动植物油</w:t>
                  </w:r>
                </w:p>
              </w:tc>
              <w:tc>
                <w:tcPr>
                  <w:tcW w:w="3679" w:type="dxa"/>
                  <w:noWrap w:val="0"/>
                  <w:vAlign w:val="center"/>
                </w:tcPr>
                <w:p w14:paraId="48BDFFD9">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隔油池+</w:t>
                  </w:r>
                  <w:r>
                    <w:rPr>
                      <w:rFonts w:hint="default" w:ascii="Times New Roman" w:hAnsi="Times New Roman" w:eastAsia="宋体" w:cs="Times New Roman"/>
                      <w:color w:val="auto"/>
                      <w:sz w:val="21"/>
                      <w:szCs w:val="21"/>
                      <w:lang w:val="en-US" w:eastAsia="zh-CN"/>
                    </w:rPr>
                    <w:t>化粪池</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val="en-US" w:eastAsia="zh-CN"/>
                    </w:rPr>
                    <w:t>排入污水处理厂处理</w:t>
                  </w:r>
                </w:p>
              </w:tc>
            </w:tr>
            <w:tr w14:paraId="6A2B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continue"/>
                  <w:noWrap w:val="0"/>
                  <w:vAlign w:val="center"/>
                </w:tcPr>
                <w:p w14:paraId="619A86EA">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p>
              </w:tc>
              <w:tc>
                <w:tcPr>
                  <w:tcW w:w="1998" w:type="dxa"/>
                  <w:noWrap w:val="0"/>
                  <w:vAlign w:val="center"/>
                </w:tcPr>
                <w:p w14:paraId="171E96CE">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反冲洗废水、排泥水</w:t>
                  </w:r>
                </w:p>
              </w:tc>
              <w:tc>
                <w:tcPr>
                  <w:tcW w:w="2326" w:type="dxa"/>
                  <w:noWrap w:val="0"/>
                  <w:vAlign w:val="center"/>
                </w:tcPr>
                <w:p w14:paraId="2FE393C6">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3679" w:type="dxa"/>
                  <w:noWrap w:val="0"/>
                  <w:vAlign w:val="center"/>
                </w:tcPr>
                <w:p w14:paraId="5B3D3D22">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eastAsia" w:cs="Times New Roman"/>
                      <w:color w:val="auto"/>
                      <w:sz w:val="21"/>
                      <w:szCs w:val="21"/>
                      <w:lang w:val="en-US" w:eastAsia="zh-CN"/>
                    </w:rPr>
                  </w:pPr>
                  <w:r>
                    <w:rPr>
                      <w:rFonts w:hint="eastAsia" w:cs="Times New Roman"/>
                      <w:color w:val="auto"/>
                      <w:sz w:val="21"/>
                      <w:szCs w:val="21"/>
                      <w:lang w:val="en-US" w:eastAsia="zh-CN"/>
                    </w:rPr>
                    <w:t>污泥浓缩后上清液回用于生产，污泥压滤液排入潘集污水处理厂处理</w:t>
                  </w:r>
                </w:p>
              </w:tc>
            </w:tr>
            <w:tr w14:paraId="1C6D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noWrap w:val="0"/>
                  <w:vAlign w:val="center"/>
                </w:tcPr>
                <w:p w14:paraId="41836D8F">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998" w:type="dxa"/>
                  <w:noWrap w:val="0"/>
                  <w:vAlign w:val="center"/>
                </w:tcPr>
                <w:p w14:paraId="680FB11C">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生产设备</w:t>
                  </w:r>
                </w:p>
              </w:tc>
              <w:tc>
                <w:tcPr>
                  <w:tcW w:w="2326" w:type="dxa"/>
                  <w:noWrap w:val="0"/>
                  <w:vAlign w:val="center"/>
                </w:tcPr>
                <w:p w14:paraId="67DED0CD">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679" w:type="dxa"/>
                  <w:noWrap w:val="0"/>
                  <w:vAlign w:val="center"/>
                </w:tcPr>
                <w:p w14:paraId="7C348BF3">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加隔声罩；加减振基座</w:t>
                  </w:r>
                </w:p>
              </w:tc>
            </w:tr>
            <w:tr w14:paraId="3069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restart"/>
                  <w:noWrap w:val="0"/>
                  <w:vAlign w:val="center"/>
                </w:tcPr>
                <w:p w14:paraId="623FE3E0">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1998" w:type="dxa"/>
                  <w:noWrap w:val="0"/>
                  <w:vAlign w:val="center"/>
                </w:tcPr>
                <w:p w14:paraId="6347A303">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加药</w:t>
                  </w:r>
                </w:p>
              </w:tc>
              <w:tc>
                <w:tcPr>
                  <w:tcW w:w="2326" w:type="dxa"/>
                  <w:noWrap w:val="0"/>
                  <w:vAlign w:val="center"/>
                </w:tcPr>
                <w:p w14:paraId="25BBA0DD">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废包装材料</w:t>
                  </w:r>
                </w:p>
              </w:tc>
              <w:tc>
                <w:tcPr>
                  <w:tcW w:w="3679" w:type="dxa"/>
                  <w:noWrap w:val="0"/>
                  <w:vAlign w:val="center"/>
                </w:tcPr>
                <w:p w14:paraId="6E1BB9CA">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由物资单位回收</w:t>
                  </w:r>
                </w:p>
              </w:tc>
            </w:tr>
            <w:tr w14:paraId="11D6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continue"/>
                  <w:noWrap w:val="0"/>
                  <w:vAlign w:val="center"/>
                </w:tcPr>
                <w:p w14:paraId="6F2E42B7">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p>
              </w:tc>
              <w:tc>
                <w:tcPr>
                  <w:tcW w:w="1998" w:type="dxa"/>
                  <w:noWrap w:val="0"/>
                  <w:vAlign w:val="center"/>
                </w:tcPr>
                <w:p w14:paraId="1769019B">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消毒、机修</w:t>
                  </w:r>
                </w:p>
              </w:tc>
              <w:tc>
                <w:tcPr>
                  <w:tcW w:w="2326" w:type="dxa"/>
                  <w:noWrap w:val="0"/>
                  <w:vAlign w:val="center"/>
                </w:tcPr>
                <w:p w14:paraId="54076F58">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废包装瓶/桶</w:t>
                  </w:r>
                </w:p>
              </w:tc>
              <w:tc>
                <w:tcPr>
                  <w:tcW w:w="3679" w:type="dxa"/>
                  <w:noWrap w:val="0"/>
                  <w:vAlign w:val="center"/>
                </w:tcPr>
                <w:p w14:paraId="6415F1D0">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收集后，委托有资质单位处置</w:t>
                  </w:r>
                </w:p>
              </w:tc>
            </w:tr>
            <w:tr w14:paraId="3EB1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continue"/>
                  <w:noWrap w:val="0"/>
                  <w:vAlign w:val="center"/>
                </w:tcPr>
                <w:p w14:paraId="0B909759">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p>
              </w:tc>
              <w:tc>
                <w:tcPr>
                  <w:tcW w:w="1998" w:type="dxa"/>
                  <w:noWrap w:val="0"/>
                  <w:vAlign w:val="center"/>
                </w:tcPr>
                <w:p w14:paraId="174267D4">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员工</w:t>
                  </w:r>
                  <w:r>
                    <w:rPr>
                      <w:rFonts w:hint="default" w:ascii="Times New Roman" w:hAnsi="Times New Roman" w:eastAsia="宋体" w:cs="Times New Roman"/>
                      <w:color w:val="auto"/>
                      <w:sz w:val="21"/>
                      <w:szCs w:val="21"/>
                    </w:rPr>
                    <w:t>生活</w:t>
                  </w:r>
                </w:p>
              </w:tc>
              <w:tc>
                <w:tcPr>
                  <w:tcW w:w="2326" w:type="dxa"/>
                  <w:noWrap w:val="0"/>
                  <w:vAlign w:val="center"/>
                </w:tcPr>
                <w:p w14:paraId="1342A9AC">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生活垃圾</w:t>
                  </w:r>
                </w:p>
              </w:tc>
              <w:tc>
                <w:tcPr>
                  <w:tcW w:w="3679" w:type="dxa"/>
                  <w:noWrap w:val="0"/>
                  <w:vAlign w:val="center"/>
                </w:tcPr>
                <w:p w14:paraId="77BB0BBE">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由环卫部门统一清运</w:t>
                  </w:r>
                </w:p>
              </w:tc>
            </w:tr>
            <w:tr w14:paraId="24B7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continue"/>
                  <w:noWrap w:val="0"/>
                  <w:vAlign w:val="center"/>
                </w:tcPr>
                <w:p w14:paraId="066CBD3D">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p>
              </w:tc>
              <w:tc>
                <w:tcPr>
                  <w:tcW w:w="1998" w:type="dxa"/>
                  <w:noWrap w:val="0"/>
                  <w:vAlign w:val="center"/>
                </w:tcPr>
                <w:p w14:paraId="7BF4EE71">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污泥池</w:t>
                  </w:r>
                </w:p>
              </w:tc>
              <w:tc>
                <w:tcPr>
                  <w:tcW w:w="2326" w:type="dxa"/>
                  <w:noWrap w:val="0"/>
                  <w:vAlign w:val="center"/>
                </w:tcPr>
                <w:p w14:paraId="08B00650">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污泥</w:t>
                  </w:r>
                </w:p>
              </w:tc>
              <w:tc>
                <w:tcPr>
                  <w:tcW w:w="3679" w:type="dxa"/>
                  <w:noWrap w:val="0"/>
                  <w:vAlign w:val="center"/>
                </w:tcPr>
                <w:p w14:paraId="26A90CDF">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由物资单位回收</w:t>
                  </w:r>
                </w:p>
              </w:tc>
            </w:tr>
            <w:tr w14:paraId="49F5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continue"/>
                  <w:noWrap w:val="0"/>
                  <w:vAlign w:val="center"/>
                </w:tcPr>
                <w:p w14:paraId="2E5A028D">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p>
              </w:tc>
              <w:tc>
                <w:tcPr>
                  <w:tcW w:w="1998" w:type="dxa"/>
                  <w:vMerge w:val="restart"/>
                  <w:noWrap w:val="0"/>
                  <w:vAlign w:val="center"/>
                </w:tcPr>
                <w:p w14:paraId="1BCA238E">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水质检测</w:t>
                  </w:r>
                </w:p>
              </w:tc>
              <w:tc>
                <w:tcPr>
                  <w:tcW w:w="2326" w:type="dxa"/>
                  <w:noWrap w:val="0"/>
                  <w:vAlign w:val="center"/>
                </w:tcPr>
                <w:p w14:paraId="3B83E2DD">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实验废液</w:t>
                  </w:r>
                </w:p>
              </w:tc>
              <w:tc>
                <w:tcPr>
                  <w:tcW w:w="3679" w:type="dxa"/>
                  <w:noWrap w:val="0"/>
                  <w:vAlign w:val="center"/>
                </w:tcPr>
                <w:p w14:paraId="275DF793">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收集后，委托有资质单位处置</w:t>
                  </w:r>
                </w:p>
              </w:tc>
            </w:tr>
            <w:tr w14:paraId="74C6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continue"/>
                  <w:noWrap w:val="0"/>
                  <w:vAlign w:val="center"/>
                </w:tcPr>
                <w:p w14:paraId="6A2EA1EB">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p>
              </w:tc>
              <w:tc>
                <w:tcPr>
                  <w:tcW w:w="1998" w:type="dxa"/>
                  <w:vMerge w:val="continue"/>
                  <w:noWrap w:val="0"/>
                  <w:vAlign w:val="center"/>
                </w:tcPr>
                <w:p w14:paraId="1EF96C36">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2326" w:type="dxa"/>
                  <w:noWrap w:val="0"/>
                  <w:vAlign w:val="center"/>
                </w:tcPr>
                <w:p w14:paraId="29902610">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废培养基</w:t>
                  </w:r>
                </w:p>
              </w:tc>
              <w:tc>
                <w:tcPr>
                  <w:tcW w:w="3679" w:type="dxa"/>
                  <w:noWrap w:val="0"/>
                  <w:vAlign w:val="center"/>
                </w:tcPr>
                <w:p w14:paraId="1C6719E1">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由物资单位回收</w:t>
                  </w:r>
                </w:p>
              </w:tc>
            </w:tr>
            <w:tr w14:paraId="0FFD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97" w:type="dxa"/>
                  <w:vMerge w:val="continue"/>
                  <w:noWrap w:val="0"/>
                  <w:vAlign w:val="center"/>
                </w:tcPr>
                <w:p w14:paraId="43FC5058">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1"/>
                      <w:szCs w:val="21"/>
                      <w:lang w:val="en-US" w:eastAsia="zh-CN"/>
                    </w:rPr>
                  </w:pPr>
                </w:p>
              </w:tc>
              <w:tc>
                <w:tcPr>
                  <w:tcW w:w="1998" w:type="dxa"/>
                  <w:noWrap w:val="0"/>
                  <w:vAlign w:val="center"/>
                </w:tcPr>
                <w:p w14:paraId="3237FE60">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维护机修</w:t>
                  </w:r>
                </w:p>
              </w:tc>
              <w:tc>
                <w:tcPr>
                  <w:tcW w:w="2326" w:type="dxa"/>
                  <w:noWrap w:val="0"/>
                  <w:vAlign w:val="center"/>
                </w:tcPr>
                <w:p w14:paraId="2A94CDA8">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废润滑油</w:t>
                  </w:r>
                </w:p>
              </w:tc>
              <w:tc>
                <w:tcPr>
                  <w:tcW w:w="3679" w:type="dxa"/>
                  <w:noWrap w:val="0"/>
                  <w:vAlign w:val="center"/>
                </w:tcPr>
                <w:p w14:paraId="7AC7CA2E">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收集后，委托有资质单位处置</w:t>
                  </w:r>
                </w:p>
              </w:tc>
            </w:tr>
          </w:tbl>
          <w:p w14:paraId="0EAD5D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宋体" w:hAnsi="宋体" w:eastAsia="宋体"/>
                <w:bCs/>
                <w:color w:val="auto"/>
                <w:szCs w:val="21"/>
                <w:lang w:val="en-US" w:eastAsia="zh-CN"/>
              </w:rPr>
            </w:pPr>
          </w:p>
        </w:tc>
      </w:tr>
      <w:tr w14:paraId="7F949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dxa"/>
            <w:noWrap w:val="0"/>
            <w:vAlign w:val="center"/>
          </w:tcPr>
          <w:p w14:paraId="3AFBD032">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cs="宋体"/>
                <w:color w:val="auto"/>
                <w:sz w:val="21"/>
                <w:szCs w:val="21"/>
              </w:rPr>
            </w:pPr>
            <w:r>
              <w:rPr>
                <w:rFonts w:hint="eastAsia" w:cs="宋体"/>
                <w:b/>
                <w:bCs w:val="0"/>
                <w:color w:val="auto"/>
                <w:kern w:val="2"/>
                <w:sz w:val="24"/>
                <w:szCs w:val="24"/>
              </w:rPr>
              <w:t>与项目有关的原有环境污染问题</w:t>
            </w:r>
          </w:p>
        </w:tc>
        <w:tc>
          <w:tcPr>
            <w:tcW w:w="8826" w:type="dxa"/>
            <w:noWrap w:val="0"/>
            <w:vAlign w:val="top"/>
          </w:tcPr>
          <w:p w14:paraId="3961E2FF">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eastAsia="宋体"/>
                <w:b/>
                <w:bCs/>
                <w:color w:val="auto"/>
                <w:lang w:val="en-US" w:eastAsia="zh-CN"/>
              </w:rPr>
            </w:pPr>
            <w:r>
              <w:rPr>
                <w:rFonts w:hint="eastAsia"/>
                <w:b/>
                <w:bCs/>
                <w:color w:val="auto"/>
                <w:lang w:val="en-US" w:eastAsia="zh-CN"/>
              </w:rPr>
              <w:t>1、现有项目概况</w:t>
            </w:r>
          </w:p>
          <w:p w14:paraId="0C0B7BC3">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eastAsia="zh-CN"/>
              </w:rPr>
            </w:pPr>
            <w:r>
              <w:rPr>
                <w:rFonts w:hint="eastAsia"/>
                <w:b w:val="0"/>
                <w:bCs w:val="0"/>
                <w:color w:val="auto"/>
              </w:rPr>
              <w:t>本项目</w:t>
            </w:r>
            <w:r>
              <w:rPr>
                <w:rFonts w:hint="eastAsia"/>
                <w:b w:val="0"/>
                <w:bCs w:val="0"/>
                <w:color w:val="auto"/>
                <w:lang w:eastAsia="zh-CN"/>
              </w:rPr>
              <w:t>在现有厂区内进行扩建，袁庄水厂位于淮南市袁庄，2008年6月16日淮南市环境保护局以淮环表批[2016]88号对袁庄水厂一期工程予以批复，2009年开始施工建设，2011年建设</w:t>
            </w:r>
            <w:r>
              <w:rPr>
                <w:rFonts w:hint="eastAsia"/>
                <w:b w:val="0"/>
                <w:bCs w:val="0"/>
                <w:color w:val="auto"/>
                <w:highlight w:val="none"/>
                <w:lang w:eastAsia="zh-CN"/>
              </w:rPr>
              <w:t>完成并投入试运营，项目供水规模为30000t/d，</w:t>
            </w:r>
            <w:r>
              <w:rPr>
                <w:rFonts w:hint="eastAsia"/>
                <w:b w:val="0"/>
                <w:bCs w:val="0"/>
                <w:color w:val="auto"/>
                <w:highlight w:val="none"/>
                <w:lang w:val="en-US" w:eastAsia="zh-CN"/>
              </w:rPr>
              <w:t>2012年通过淮南市</w:t>
            </w:r>
            <w:r>
              <w:rPr>
                <w:rFonts w:hint="eastAsia"/>
                <w:b w:val="0"/>
                <w:bCs w:val="0"/>
                <w:color w:val="auto"/>
                <w:highlight w:val="none"/>
              </w:rPr>
              <w:t>环境保护局</w:t>
            </w:r>
            <w:r>
              <w:rPr>
                <w:rFonts w:hint="eastAsia"/>
                <w:b w:val="0"/>
                <w:bCs w:val="0"/>
                <w:color w:val="auto"/>
                <w:highlight w:val="none"/>
                <w:lang w:val="en-US" w:eastAsia="zh-CN"/>
              </w:rPr>
              <w:t>的环保验收，2020年3月进行项目排污许可登记填报，登记编</w:t>
            </w:r>
            <w:r>
              <w:rPr>
                <w:rFonts w:hint="eastAsia" w:ascii="Times New Roman" w:hAnsi="Times New Roman" w:eastAsia="宋体" w:cs="Times New Roman"/>
                <w:b w:val="0"/>
                <w:bCs w:val="0"/>
                <w:color w:val="auto"/>
                <w:lang w:val="en-US" w:eastAsia="zh-CN"/>
              </w:rPr>
              <w:t>号：91340422581529761N001Y</w:t>
            </w:r>
            <w:r>
              <w:rPr>
                <w:rFonts w:hint="eastAsia" w:ascii="Times New Roman" w:hAnsi="Times New Roman" w:eastAsia="宋体" w:cs="Times New Roman"/>
                <w:b w:val="0"/>
                <w:bCs w:val="0"/>
                <w:color w:val="auto"/>
                <w:lang w:eastAsia="zh-CN"/>
              </w:rPr>
              <w:t>。</w:t>
            </w:r>
          </w:p>
          <w:p w14:paraId="6D982399">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eastAsia="zh-CN"/>
              </w:rPr>
            </w:pPr>
            <w:bookmarkStart w:id="8" w:name="_Toc28619"/>
            <w:r>
              <w:rPr>
                <w:rFonts w:hint="eastAsia" w:ascii="Times New Roman" w:hAnsi="Times New Roman" w:eastAsia="宋体" w:cs="Times New Roman"/>
                <w:b w:val="0"/>
                <w:bCs w:val="0"/>
                <w:color w:val="auto"/>
                <w:lang w:val="en-US" w:eastAsia="zh-CN"/>
              </w:rPr>
              <w:t>2、</w:t>
            </w:r>
            <w:r>
              <w:rPr>
                <w:rFonts w:hint="eastAsia" w:ascii="Times New Roman" w:hAnsi="Times New Roman" w:eastAsia="宋体" w:cs="Times New Roman"/>
                <w:b w:val="0"/>
                <w:bCs w:val="0"/>
                <w:color w:val="auto"/>
                <w:lang w:eastAsia="zh-CN"/>
              </w:rPr>
              <w:t>现状设施及运行情况</w:t>
            </w:r>
            <w:bookmarkEnd w:id="8"/>
          </w:p>
          <w:p w14:paraId="009A8C70">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lang w:eastAsia="zh-CN"/>
              </w:rPr>
              <w:t>（</w:t>
            </w:r>
            <w:r>
              <w:rPr>
                <w:rFonts w:hint="eastAsia" w:ascii="Times New Roman" w:hAnsi="Times New Roman" w:eastAsia="宋体" w:cs="Times New Roman"/>
                <w:b w:val="0"/>
                <w:bCs w:val="0"/>
                <w:color w:val="auto"/>
                <w:lang w:val="en-US" w:eastAsia="zh-CN"/>
              </w:rPr>
              <w:t>1</w:t>
            </w:r>
            <w:r>
              <w:rPr>
                <w:rFonts w:hint="eastAsia" w:ascii="Times New Roman" w:hAnsi="Times New Roman" w:eastAsia="宋体" w:cs="Times New Roman"/>
                <w:b w:val="0"/>
                <w:bCs w:val="0"/>
                <w:color w:val="auto"/>
                <w:lang w:eastAsia="zh-CN"/>
              </w:rPr>
              <w:t>）取水泵站</w:t>
            </w:r>
          </w:p>
          <w:p w14:paraId="440A4EDF">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lang w:eastAsia="zh-CN"/>
              </w:rPr>
              <w:t>现有取水头部、取水管、取水泵房土建均按6万m</w:t>
            </w:r>
            <w:r>
              <w:rPr>
                <w:rFonts w:hint="eastAsia" w:ascii="Times New Roman" w:hAnsi="Times New Roman" w:eastAsia="宋体" w:cs="Times New Roman"/>
                <w:b w:val="0"/>
                <w:bCs w:val="0"/>
                <w:color w:val="auto"/>
                <w:vertAlign w:val="superscript"/>
                <w:lang w:eastAsia="zh-CN"/>
              </w:rPr>
              <w:t>3</w:t>
            </w:r>
            <w:r>
              <w:rPr>
                <w:rFonts w:hint="eastAsia" w:ascii="Times New Roman" w:hAnsi="Times New Roman" w:eastAsia="宋体" w:cs="Times New Roman"/>
                <w:b w:val="0"/>
                <w:bCs w:val="0"/>
                <w:color w:val="auto"/>
                <w:lang w:eastAsia="zh-CN"/>
              </w:rPr>
              <w:t>/d的规模建设，位于淮河北岸，孔李淮河大桥以东1km处。</w:t>
            </w:r>
          </w:p>
          <w:p w14:paraId="5A80A4F7">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lang w:eastAsia="zh-CN"/>
              </w:rPr>
              <w:t>取水头部与取水泵房之间为两根DN800钢筋混凝土管连通，重力式进水。原取水泵房1座，泵房尺寸L×B×H=14.9m×11.45m×9.25m。</w:t>
            </w:r>
          </w:p>
          <w:p w14:paraId="144588E0">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lang w:eastAsia="zh-CN"/>
              </w:rPr>
              <w:t>2022年日均供水量1.92万m</w:t>
            </w:r>
            <w:r>
              <w:rPr>
                <w:rFonts w:hint="eastAsia" w:ascii="Times New Roman" w:hAnsi="Times New Roman" w:eastAsia="宋体" w:cs="Times New Roman"/>
                <w:b w:val="0"/>
                <w:bCs w:val="0"/>
                <w:color w:val="auto"/>
                <w:vertAlign w:val="superscript"/>
                <w:lang w:eastAsia="zh-CN"/>
              </w:rPr>
              <w:t>3</w:t>
            </w:r>
            <w:r>
              <w:rPr>
                <w:rFonts w:hint="eastAsia" w:ascii="Times New Roman" w:hAnsi="Times New Roman" w:eastAsia="宋体" w:cs="Times New Roman"/>
                <w:b w:val="0"/>
                <w:bCs w:val="0"/>
                <w:color w:val="auto"/>
                <w:lang w:eastAsia="zh-CN"/>
              </w:rPr>
              <w:t>/d，最高日用水量2.69万m</w:t>
            </w:r>
            <w:r>
              <w:rPr>
                <w:rFonts w:hint="eastAsia" w:ascii="Times New Roman" w:hAnsi="Times New Roman" w:eastAsia="宋体" w:cs="Times New Roman"/>
                <w:b w:val="0"/>
                <w:bCs w:val="0"/>
                <w:color w:val="auto"/>
                <w:vertAlign w:val="superscript"/>
                <w:lang w:eastAsia="zh-CN"/>
              </w:rPr>
              <w:t>3</w:t>
            </w:r>
            <w:r>
              <w:rPr>
                <w:rFonts w:hint="eastAsia" w:ascii="Times New Roman" w:hAnsi="Times New Roman" w:eastAsia="宋体" w:cs="Times New Roman"/>
                <w:b w:val="0"/>
                <w:bCs w:val="0"/>
                <w:color w:val="auto"/>
                <w:lang w:eastAsia="zh-CN"/>
              </w:rPr>
              <w:t>/d。</w:t>
            </w:r>
          </w:p>
          <w:p w14:paraId="4E74A59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color w:val="auto"/>
              </w:rPr>
            </w:pPr>
            <w:r>
              <w:rPr>
                <w:color w:val="auto"/>
              </w:rPr>
              <w:drawing>
                <wp:inline distT="0" distB="0" distL="0" distR="0">
                  <wp:extent cx="5405120" cy="3367405"/>
                  <wp:effectExtent l="0" t="0" r="508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405120" cy="3367405"/>
                          </a:xfrm>
                          <a:prstGeom prst="rect">
                            <a:avLst/>
                          </a:prstGeom>
                        </pic:spPr>
                      </pic:pic>
                    </a:graphicData>
                  </a:graphic>
                </wp:inline>
              </w:drawing>
            </w:r>
          </w:p>
          <w:p w14:paraId="4AA0B77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图2-6  取水泵站及水源保护区范围图</w:t>
            </w:r>
          </w:p>
          <w:p w14:paraId="12AC268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firstLine="0"/>
              <w:jc w:val="center"/>
              <w:textAlignment w:val="auto"/>
              <w:rPr>
                <w:color w:val="auto"/>
              </w:rPr>
            </w:pPr>
            <w:r>
              <w:rPr>
                <w:color w:val="auto"/>
              </w:rPr>
              <w:drawing>
                <wp:inline distT="0" distB="0" distL="114300" distR="114300">
                  <wp:extent cx="2838450" cy="2244725"/>
                  <wp:effectExtent l="0" t="0" r="0" b="3175"/>
                  <wp:docPr id="12" name="图片 12" descr="IMG_20230601_15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0601_155902"/>
                          <pic:cNvPicPr>
                            <a:picLocks noChangeAspect="1"/>
                          </pic:cNvPicPr>
                        </pic:nvPicPr>
                        <pic:blipFill>
                          <a:blip r:embed="rId14"/>
                          <a:srcRect t="20713" b="19988"/>
                          <a:stretch>
                            <a:fillRect/>
                          </a:stretch>
                        </pic:blipFill>
                        <pic:spPr>
                          <a:xfrm>
                            <a:off x="0" y="0"/>
                            <a:ext cx="2838450" cy="2244725"/>
                          </a:xfrm>
                          <a:prstGeom prst="rect">
                            <a:avLst/>
                          </a:prstGeom>
                        </pic:spPr>
                      </pic:pic>
                    </a:graphicData>
                  </a:graphic>
                </wp:inline>
              </w:drawing>
            </w:r>
            <w:r>
              <w:rPr>
                <w:rFonts w:hint="eastAsia"/>
                <w:color w:val="auto"/>
              </w:rPr>
              <w:t xml:space="preserve"> </w:t>
            </w:r>
            <w:r>
              <w:rPr>
                <w:color w:val="auto"/>
              </w:rPr>
              <w:t xml:space="preserve"> </w:t>
            </w:r>
            <w:r>
              <w:rPr>
                <w:color w:val="auto"/>
              </w:rPr>
              <w:drawing>
                <wp:inline distT="0" distB="0" distL="114300" distR="114300">
                  <wp:extent cx="2030095" cy="2252345"/>
                  <wp:effectExtent l="0" t="0" r="8255" b="14605"/>
                  <wp:docPr id="13" name="图片 13" descr="IMG_20230601_16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601_161128"/>
                          <pic:cNvPicPr>
                            <a:picLocks noChangeAspect="1"/>
                          </pic:cNvPicPr>
                        </pic:nvPicPr>
                        <pic:blipFill>
                          <a:blip r:embed="rId15"/>
                          <a:srcRect t="16816"/>
                          <a:stretch>
                            <a:fillRect/>
                          </a:stretch>
                        </pic:blipFill>
                        <pic:spPr>
                          <a:xfrm>
                            <a:off x="0" y="0"/>
                            <a:ext cx="2030095" cy="2252345"/>
                          </a:xfrm>
                          <a:prstGeom prst="rect">
                            <a:avLst/>
                          </a:prstGeom>
                        </pic:spPr>
                      </pic:pic>
                    </a:graphicData>
                  </a:graphic>
                </wp:inline>
              </w:drawing>
            </w:r>
          </w:p>
          <w:p w14:paraId="714DF28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图2-7  取水泵站现状情况</w:t>
            </w:r>
          </w:p>
          <w:p w14:paraId="58849938">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（2）输水管线</w:t>
            </w:r>
          </w:p>
          <w:p w14:paraId="71F6EF47">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原输水管按3.3万m</w:t>
            </w:r>
            <w:r>
              <w:rPr>
                <w:rFonts w:hint="eastAsia" w:ascii="Times New Roman" w:hAnsi="Times New Roman" w:eastAsia="宋体" w:cs="Times New Roman"/>
                <w:b w:val="0"/>
                <w:bCs w:val="0"/>
                <w:color w:val="auto"/>
                <w:vertAlign w:val="superscript"/>
                <w:lang w:val="en-US" w:eastAsia="zh-CN"/>
              </w:rPr>
              <w:t>3</w:t>
            </w:r>
            <w:r>
              <w:rPr>
                <w:rFonts w:hint="eastAsia" w:ascii="Times New Roman" w:hAnsi="Times New Roman" w:eastAsia="宋体" w:cs="Times New Roman"/>
                <w:b w:val="0"/>
                <w:bCs w:val="0"/>
                <w:color w:val="auto"/>
                <w:lang w:val="en-US" w:eastAsia="zh-CN"/>
              </w:rPr>
              <w:t>/d（包含10%自用水量）设计并已实施，钢管，管径DN700。输水管线总长约7.5km，路径如下图所示。</w:t>
            </w:r>
          </w:p>
          <w:p w14:paraId="29467340">
            <w:pPr>
              <w:pStyle w:val="1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jc w:val="center"/>
              <w:textAlignment w:val="auto"/>
              <w:rPr>
                <w:color w:val="auto"/>
              </w:rPr>
            </w:pPr>
            <w:r>
              <w:rPr>
                <w:color w:val="auto"/>
              </w:rPr>
              <w:drawing>
                <wp:inline distT="0" distB="0" distL="114300" distR="114300">
                  <wp:extent cx="4277995" cy="5106035"/>
                  <wp:effectExtent l="0" t="0" r="8255" b="1841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6"/>
                          <a:stretch>
                            <a:fillRect/>
                          </a:stretch>
                        </pic:blipFill>
                        <pic:spPr>
                          <a:xfrm>
                            <a:off x="0" y="0"/>
                            <a:ext cx="4277995" cy="5106035"/>
                          </a:xfrm>
                          <a:prstGeom prst="rect">
                            <a:avLst/>
                          </a:prstGeom>
                          <a:noFill/>
                          <a:ln>
                            <a:noFill/>
                          </a:ln>
                        </pic:spPr>
                      </pic:pic>
                    </a:graphicData>
                  </a:graphic>
                </wp:inline>
              </w:drawing>
            </w:r>
          </w:p>
          <w:p w14:paraId="0EC02CDA">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图2-8  原水输水管线线位图</w:t>
            </w:r>
          </w:p>
          <w:p w14:paraId="4FDE72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原水管涉及两处过铁路端，现状过铁段预埋了两根DN700的管段，约有40m左右。</w:t>
            </w:r>
          </w:p>
          <w:p w14:paraId="7D856F6C">
            <w:pPr>
              <w:pStyle w:val="11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（3）净水厂</w:t>
            </w:r>
          </w:p>
          <w:p w14:paraId="03108656">
            <w:pPr>
              <w:pStyle w:val="11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厂区净水构筑物基本按3万m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/d规模实施完毕，部分单体设备按3万m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/d规模安装，另有部分单体设备按1.5万m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/d规模安装。</w:t>
            </w:r>
          </w:p>
          <w:p w14:paraId="2BFE4D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①混合器井</w:t>
            </w:r>
          </w:p>
          <w:p w14:paraId="55F808FF">
            <w:pPr>
              <w:pStyle w:val="11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已建一座规模3万m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/d的管道混合器井。平面尺寸为4.2×4.4m，设有管道静态混合器2套，DN500，L=2000mm正常使用中。</w:t>
            </w:r>
          </w:p>
          <w:p w14:paraId="277E13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②折板絮凝平流沉淀池</w:t>
            </w:r>
          </w:p>
          <w:p w14:paraId="2AB463D3">
            <w:pPr>
              <w:pStyle w:val="11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已建絮凝沉淀池，1座2池，总规模3万m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/d。正常使用中。</w:t>
            </w:r>
          </w:p>
          <w:p w14:paraId="23BC3E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单池尺寸：折板絮凝池净尺寸8.6m×5.0m，有效水深3.5m；</w:t>
            </w:r>
          </w:p>
          <w:p w14:paraId="07B197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平流沉淀池净尺寸89.5×5m，有效水深3.1m。</w:t>
            </w:r>
          </w:p>
          <w:p w14:paraId="6ACF5AF6">
            <w:pPr>
              <w:keepNext w:val="0"/>
              <w:keepLines w:val="0"/>
              <w:pageBreakBefore w:val="0"/>
              <w:widowControl w:val="0"/>
              <w:kinsoku/>
              <w:wordWrap/>
              <w:overflowPunct/>
              <w:topLinePunct w:val="0"/>
              <w:bidi w:val="0"/>
              <w:spacing w:beforeAutospacing="0" w:afterAutospacing="0"/>
              <w:ind w:left="0" w:leftChars="0" w:right="0" w:firstLine="0" w:firstLineChars="0"/>
              <w:jc w:val="center"/>
              <w:rPr>
                <w:color w:val="auto"/>
              </w:rPr>
            </w:pPr>
            <w:r>
              <w:rPr>
                <w:color w:val="auto"/>
              </w:rPr>
              <w:drawing>
                <wp:inline distT="0" distB="0" distL="114300" distR="114300">
                  <wp:extent cx="3872230" cy="2904490"/>
                  <wp:effectExtent l="0" t="0" r="13970" b="10160"/>
                  <wp:docPr id="23" name="图片 23" descr="IMG_20230601_14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30601_141424"/>
                          <pic:cNvPicPr>
                            <a:picLocks noChangeAspect="1"/>
                          </pic:cNvPicPr>
                        </pic:nvPicPr>
                        <pic:blipFill>
                          <a:blip r:embed="rId17"/>
                          <a:stretch>
                            <a:fillRect/>
                          </a:stretch>
                        </pic:blipFill>
                        <pic:spPr>
                          <a:xfrm>
                            <a:off x="0" y="0"/>
                            <a:ext cx="3872230" cy="2904490"/>
                          </a:xfrm>
                          <a:prstGeom prst="rect">
                            <a:avLst/>
                          </a:prstGeom>
                        </pic:spPr>
                      </pic:pic>
                    </a:graphicData>
                  </a:graphic>
                </wp:inline>
              </w:drawing>
            </w:r>
          </w:p>
          <w:p w14:paraId="2FE16EFA">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图2-9  折板絮凝沉淀池现状情况</w:t>
            </w:r>
          </w:p>
          <w:p w14:paraId="20360D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③普通快滤池</w:t>
            </w:r>
          </w:p>
          <w:p w14:paraId="54A23A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已建普通快滤池，1座2组6格，分为二排对称布置，中间为管廊，总规模3万m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/d。正常使用中。采用高位水箱进行单水反冲洗，高位水箱位于普通快滤池正上方。</w:t>
            </w:r>
          </w:p>
          <w:p w14:paraId="0F5DDB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普通快滤池平面尺寸：24.3m×17.4m，有效水深3.2m。</w:t>
            </w:r>
          </w:p>
          <w:p w14:paraId="5EF60C5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firstLine="0"/>
              <w:jc w:val="center"/>
              <w:textAlignment w:val="auto"/>
              <w:rPr>
                <w:color w:val="auto"/>
              </w:rPr>
            </w:pPr>
            <w:r>
              <w:rPr>
                <w:color w:val="auto"/>
              </w:rPr>
              <w:drawing>
                <wp:inline distT="0" distB="0" distL="114300" distR="114300">
                  <wp:extent cx="3699510" cy="2774950"/>
                  <wp:effectExtent l="0" t="0" r="15240" b="6350"/>
                  <wp:docPr id="24" name="图片 24" descr="IMG_20230601_14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30601_141555"/>
                          <pic:cNvPicPr>
                            <a:picLocks noChangeAspect="1"/>
                          </pic:cNvPicPr>
                        </pic:nvPicPr>
                        <pic:blipFill>
                          <a:blip r:embed="rId18"/>
                          <a:stretch>
                            <a:fillRect/>
                          </a:stretch>
                        </pic:blipFill>
                        <pic:spPr>
                          <a:xfrm>
                            <a:off x="0" y="0"/>
                            <a:ext cx="3699510" cy="2774950"/>
                          </a:xfrm>
                          <a:prstGeom prst="rect">
                            <a:avLst/>
                          </a:prstGeom>
                        </pic:spPr>
                      </pic:pic>
                    </a:graphicData>
                  </a:graphic>
                </wp:inline>
              </w:drawing>
            </w:r>
          </w:p>
          <w:p w14:paraId="204449C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图2</w:t>
            </w:r>
            <w:r>
              <w:rPr>
                <w:rFonts w:hint="eastAsia" w:ascii="Times New Roman" w:hAnsi="Times New Roman" w:eastAsia="宋体" w:cs="Times New Roman"/>
                <w:b/>
                <w:bCs/>
                <w:color w:val="auto"/>
                <w:w w:val="100"/>
                <w:kern w:val="2"/>
                <w:sz w:val="24"/>
                <w:szCs w:val="24"/>
                <w:lang w:val="en-US" w:eastAsia="zh-CN" w:bidi="ar-SA"/>
              </w:rPr>
              <w:noBreakHyphen/>
            </w:r>
            <w:r>
              <w:rPr>
                <w:rFonts w:hint="eastAsia" w:ascii="Times New Roman" w:hAnsi="Times New Roman" w:eastAsia="宋体" w:cs="Times New Roman"/>
                <w:b/>
                <w:bCs/>
                <w:color w:val="auto"/>
                <w:w w:val="100"/>
                <w:kern w:val="2"/>
                <w:sz w:val="24"/>
                <w:szCs w:val="24"/>
                <w:lang w:val="en-US" w:eastAsia="zh-CN" w:bidi="ar-SA"/>
              </w:rPr>
              <w:t>10  普通快滤池现状情况</w:t>
            </w:r>
          </w:p>
          <w:p w14:paraId="10449C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④清水池</w:t>
            </w:r>
          </w:p>
          <w:p w14:paraId="332CC4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已建清水池，2座共4格，单座平面尺寸BXH=37.7m×24m，有效水深4.5m，两座清水池总容积为7600m3。</w:t>
            </w:r>
          </w:p>
          <w:p w14:paraId="5789F1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⑤二级泵房</w:t>
            </w:r>
          </w:p>
          <w:p w14:paraId="159AFE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已建一座土建规模3万m3/d的二级泵房，平面尺寸为25.2×9.3m，现状配置清水泵5台。</w:t>
            </w:r>
          </w:p>
          <w:p w14:paraId="7616D8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吸水井一座两格，平面尺寸为13.8m×3.6m，有效水深4.5m。</w:t>
            </w:r>
          </w:p>
          <w:p w14:paraId="658E9841">
            <w:pPr>
              <w:pStyle w:val="112"/>
              <w:keepNext w:val="0"/>
              <w:keepLines w:val="0"/>
              <w:pageBreakBefore w:val="0"/>
              <w:widowControl w:val="0"/>
              <w:kinsoku/>
              <w:wordWrap/>
              <w:overflowPunct/>
              <w:topLinePunct w:val="0"/>
              <w:bidi w:val="0"/>
              <w:spacing w:beforeAutospacing="0" w:afterAutospacing="0"/>
              <w:ind w:left="0" w:leftChars="0" w:right="0" w:firstLine="480"/>
              <w:jc w:val="center"/>
              <w:rPr>
                <w:rFonts w:cs="Times New Roman"/>
                <w:color w:val="auto"/>
              </w:rPr>
            </w:pPr>
            <w:r>
              <w:rPr>
                <w:color w:val="auto"/>
              </w:rPr>
              <w:drawing>
                <wp:inline distT="0" distB="0" distL="0" distR="0">
                  <wp:extent cx="2745105" cy="3498215"/>
                  <wp:effectExtent l="0" t="0" r="17145"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9"/>
                          <a:stretch>
                            <a:fillRect/>
                          </a:stretch>
                        </pic:blipFill>
                        <pic:spPr>
                          <a:xfrm>
                            <a:off x="0" y="0"/>
                            <a:ext cx="2745105" cy="3498215"/>
                          </a:xfrm>
                          <a:prstGeom prst="rect">
                            <a:avLst/>
                          </a:prstGeom>
                        </pic:spPr>
                      </pic:pic>
                    </a:graphicData>
                  </a:graphic>
                </wp:inline>
              </w:drawing>
            </w:r>
          </w:p>
          <w:p w14:paraId="2A73E0B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图2</w:t>
            </w:r>
            <w:r>
              <w:rPr>
                <w:rFonts w:hint="eastAsia" w:ascii="Times New Roman" w:hAnsi="Times New Roman" w:eastAsia="宋体" w:cs="Times New Roman"/>
                <w:b/>
                <w:bCs/>
                <w:color w:val="auto"/>
                <w:w w:val="100"/>
                <w:kern w:val="2"/>
                <w:sz w:val="24"/>
                <w:szCs w:val="24"/>
                <w:lang w:val="en-US" w:eastAsia="zh-CN" w:bidi="ar-SA"/>
              </w:rPr>
              <w:noBreakHyphen/>
            </w:r>
            <w:r>
              <w:rPr>
                <w:rFonts w:hint="eastAsia" w:ascii="Times New Roman" w:hAnsi="Times New Roman" w:eastAsia="宋体" w:cs="Times New Roman"/>
                <w:b/>
                <w:bCs/>
                <w:color w:val="auto"/>
                <w:w w:val="100"/>
                <w:kern w:val="2"/>
                <w:sz w:val="24"/>
                <w:szCs w:val="24"/>
                <w:lang w:val="en-US" w:eastAsia="zh-CN" w:bidi="ar-SA"/>
              </w:rPr>
              <w:fldChar w:fldCharType="begin"/>
            </w:r>
            <w:r>
              <w:rPr>
                <w:rFonts w:hint="eastAsia" w:ascii="Times New Roman" w:hAnsi="Times New Roman" w:eastAsia="宋体" w:cs="Times New Roman"/>
                <w:b/>
                <w:bCs/>
                <w:color w:val="auto"/>
                <w:w w:val="100"/>
                <w:kern w:val="2"/>
                <w:sz w:val="24"/>
                <w:szCs w:val="24"/>
                <w:lang w:val="en-US" w:eastAsia="zh-CN" w:bidi="ar-SA"/>
              </w:rPr>
              <w:instrText xml:space="preserve"> SEQ 图 \* ARABIC \s 2 </w:instrText>
            </w:r>
            <w:r>
              <w:rPr>
                <w:rFonts w:hint="eastAsia" w:ascii="Times New Roman" w:hAnsi="Times New Roman" w:eastAsia="宋体" w:cs="Times New Roman"/>
                <w:b/>
                <w:bCs/>
                <w:color w:val="auto"/>
                <w:w w:val="100"/>
                <w:kern w:val="2"/>
                <w:sz w:val="24"/>
                <w:szCs w:val="24"/>
                <w:lang w:val="en-US" w:eastAsia="zh-CN" w:bidi="ar-SA"/>
              </w:rPr>
              <w:fldChar w:fldCharType="separate"/>
            </w:r>
            <w:r>
              <w:rPr>
                <w:rFonts w:hint="eastAsia" w:ascii="Times New Roman" w:hAnsi="Times New Roman" w:eastAsia="宋体" w:cs="Times New Roman"/>
                <w:b/>
                <w:bCs/>
                <w:color w:val="auto"/>
                <w:w w:val="100"/>
                <w:kern w:val="2"/>
                <w:sz w:val="24"/>
                <w:szCs w:val="24"/>
                <w:lang w:val="en-US" w:eastAsia="zh-CN" w:bidi="ar-SA"/>
              </w:rPr>
              <w:t>11</w:t>
            </w:r>
            <w:r>
              <w:rPr>
                <w:rFonts w:hint="eastAsia" w:ascii="Times New Roman" w:hAnsi="Times New Roman" w:eastAsia="宋体" w:cs="Times New Roman"/>
                <w:b/>
                <w:bCs/>
                <w:color w:val="auto"/>
                <w:w w:val="100"/>
                <w:kern w:val="2"/>
                <w:sz w:val="24"/>
                <w:szCs w:val="24"/>
                <w:lang w:val="en-US" w:eastAsia="zh-CN" w:bidi="ar-SA"/>
              </w:rPr>
              <w:fldChar w:fldCharType="end"/>
            </w:r>
            <w:r>
              <w:rPr>
                <w:rFonts w:hint="eastAsia" w:ascii="Times New Roman" w:hAnsi="Times New Roman" w:eastAsia="宋体" w:cs="Times New Roman"/>
                <w:b/>
                <w:bCs/>
                <w:color w:val="auto"/>
                <w:w w:val="100"/>
                <w:kern w:val="2"/>
                <w:sz w:val="24"/>
                <w:szCs w:val="24"/>
                <w:lang w:val="en-US" w:eastAsia="zh-CN" w:bidi="ar-SA"/>
              </w:rPr>
              <w:t xml:space="preserve">  二级泵房现状情况</w:t>
            </w:r>
          </w:p>
          <w:p w14:paraId="49BA35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⑥加药间</w:t>
            </w:r>
          </w:p>
          <w:p w14:paraId="27C2BC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已建一座加药间，平面尺寸为32.4m×8.3m，用于NaClO和PAC药剂的存储和投加。</w:t>
            </w:r>
          </w:p>
          <w:p w14:paraId="338682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溶液池搅拌机，3台，N=0.55kW。</w:t>
            </w:r>
          </w:p>
          <w:p w14:paraId="508A5A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次氯酸钠配药罐，V=3m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，H=1.6m；</w:t>
            </w:r>
          </w:p>
          <w:p w14:paraId="134DD49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firstLine="0"/>
              <w:jc w:val="center"/>
              <w:textAlignment w:val="auto"/>
              <w:rPr>
                <w:color w:val="auto"/>
              </w:rPr>
            </w:pPr>
            <w:r>
              <w:rPr>
                <w:color w:val="auto"/>
              </w:rPr>
              <w:drawing>
                <wp:inline distT="0" distB="0" distL="114300" distR="114300">
                  <wp:extent cx="2620645" cy="2371725"/>
                  <wp:effectExtent l="0" t="0" r="8255" b="9525"/>
                  <wp:docPr id="21" name="图片 21" descr="IMG_20230601_14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30601_144411"/>
                          <pic:cNvPicPr>
                            <a:picLocks noChangeAspect="1"/>
                          </pic:cNvPicPr>
                        </pic:nvPicPr>
                        <pic:blipFill>
                          <a:blip r:embed="rId20"/>
                          <a:srcRect l="22191" t="6116"/>
                          <a:stretch>
                            <a:fillRect/>
                          </a:stretch>
                        </pic:blipFill>
                        <pic:spPr>
                          <a:xfrm>
                            <a:off x="0" y="0"/>
                            <a:ext cx="2620645" cy="2371725"/>
                          </a:xfrm>
                          <a:prstGeom prst="rect">
                            <a:avLst/>
                          </a:prstGeom>
                        </pic:spPr>
                      </pic:pic>
                    </a:graphicData>
                  </a:graphic>
                </wp:inline>
              </w:drawing>
            </w:r>
            <w:r>
              <w:rPr>
                <w:rFonts w:hint="eastAsia"/>
                <w:color w:val="auto"/>
              </w:rPr>
              <w:t xml:space="preserve"> </w:t>
            </w:r>
            <w:r>
              <w:rPr>
                <w:color w:val="auto"/>
              </w:rPr>
              <w:drawing>
                <wp:inline distT="0" distB="0" distL="114300" distR="114300">
                  <wp:extent cx="2660015" cy="2160270"/>
                  <wp:effectExtent l="0" t="0" r="6985" b="11430"/>
                  <wp:docPr id="22" name="图片 22" descr="IMG_20230601_14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0601_144715"/>
                          <pic:cNvPicPr>
                            <a:picLocks noChangeAspect="1"/>
                          </pic:cNvPicPr>
                        </pic:nvPicPr>
                        <pic:blipFill>
                          <a:blip r:embed="rId21"/>
                          <a:srcRect t="1881" r="9373"/>
                          <a:stretch>
                            <a:fillRect/>
                          </a:stretch>
                        </pic:blipFill>
                        <pic:spPr>
                          <a:xfrm>
                            <a:off x="0" y="0"/>
                            <a:ext cx="2660015" cy="2160270"/>
                          </a:xfrm>
                          <a:prstGeom prst="rect">
                            <a:avLst/>
                          </a:prstGeom>
                        </pic:spPr>
                      </pic:pic>
                    </a:graphicData>
                  </a:graphic>
                </wp:inline>
              </w:drawing>
            </w:r>
            <w:r>
              <w:rPr>
                <w:rFonts w:hint="eastAsia"/>
                <w:color w:val="auto"/>
              </w:rPr>
              <w:t xml:space="preserve">  </w:t>
            </w:r>
            <w:r>
              <w:rPr>
                <w:color w:val="auto"/>
              </w:rPr>
              <w:drawing>
                <wp:inline distT="0" distB="0" distL="114300" distR="114300">
                  <wp:extent cx="2138045" cy="2852420"/>
                  <wp:effectExtent l="0" t="0" r="14605" b="5080"/>
                  <wp:docPr id="49" name="图片 49" descr="IMG_20230601_14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230601_144658"/>
                          <pic:cNvPicPr>
                            <a:picLocks noChangeAspect="1"/>
                          </pic:cNvPicPr>
                        </pic:nvPicPr>
                        <pic:blipFill>
                          <a:blip r:embed="rId22"/>
                          <a:stretch>
                            <a:fillRect/>
                          </a:stretch>
                        </pic:blipFill>
                        <pic:spPr>
                          <a:xfrm>
                            <a:off x="0" y="0"/>
                            <a:ext cx="2138045" cy="2852420"/>
                          </a:xfrm>
                          <a:prstGeom prst="rect">
                            <a:avLst/>
                          </a:prstGeom>
                        </pic:spPr>
                      </pic:pic>
                    </a:graphicData>
                  </a:graphic>
                </wp:inline>
              </w:drawing>
            </w:r>
          </w:p>
          <w:p w14:paraId="2BE27A2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图</w:t>
            </w:r>
            <w:r>
              <w:rPr>
                <w:rFonts w:hint="eastAsia" w:ascii="Times New Roman" w:hAnsi="Times New Roman" w:eastAsia="宋体" w:cs="Times New Roman"/>
                <w:b/>
                <w:bCs/>
                <w:color w:val="auto"/>
                <w:w w:val="100"/>
                <w:kern w:val="2"/>
                <w:sz w:val="24"/>
                <w:szCs w:val="24"/>
                <w:lang w:val="en-US" w:eastAsia="zh-CN" w:bidi="ar-SA"/>
              </w:rPr>
              <w:fldChar w:fldCharType="begin"/>
            </w:r>
            <w:r>
              <w:rPr>
                <w:rFonts w:hint="eastAsia" w:ascii="Times New Roman" w:hAnsi="Times New Roman" w:eastAsia="宋体" w:cs="Times New Roman"/>
                <w:b/>
                <w:bCs/>
                <w:color w:val="auto"/>
                <w:w w:val="100"/>
                <w:kern w:val="2"/>
                <w:sz w:val="24"/>
                <w:szCs w:val="24"/>
                <w:lang w:val="en-US" w:eastAsia="zh-CN" w:bidi="ar-SA"/>
              </w:rPr>
              <w:instrText xml:space="preserve"> STYLEREF 2 \s </w:instrText>
            </w:r>
            <w:r>
              <w:rPr>
                <w:rFonts w:hint="eastAsia" w:ascii="Times New Roman" w:hAnsi="Times New Roman" w:eastAsia="宋体" w:cs="Times New Roman"/>
                <w:b/>
                <w:bCs/>
                <w:color w:val="auto"/>
                <w:w w:val="100"/>
                <w:kern w:val="2"/>
                <w:sz w:val="24"/>
                <w:szCs w:val="24"/>
                <w:lang w:val="en-US" w:eastAsia="zh-CN" w:bidi="ar-SA"/>
              </w:rPr>
              <w:fldChar w:fldCharType="separate"/>
            </w:r>
            <w:r>
              <w:rPr>
                <w:rFonts w:hint="eastAsia" w:ascii="Times New Roman" w:hAnsi="Times New Roman" w:eastAsia="宋体" w:cs="Times New Roman"/>
                <w:b/>
                <w:bCs/>
                <w:color w:val="auto"/>
                <w:w w:val="100"/>
                <w:kern w:val="2"/>
                <w:sz w:val="24"/>
                <w:szCs w:val="24"/>
                <w:lang w:val="en-US" w:eastAsia="zh-CN" w:bidi="ar-SA"/>
              </w:rPr>
              <w:t>2</w:t>
            </w:r>
            <w:r>
              <w:rPr>
                <w:rFonts w:hint="eastAsia" w:ascii="Times New Roman" w:hAnsi="Times New Roman" w:eastAsia="宋体" w:cs="Times New Roman"/>
                <w:b/>
                <w:bCs/>
                <w:color w:val="auto"/>
                <w:w w:val="100"/>
                <w:kern w:val="2"/>
                <w:sz w:val="24"/>
                <w:szCs w:val="24"/>
                <w:lang w:val="en-US" w:eastAsia="zh-CN" w:bidi="ar-SA"/>
              </w:rPr>
              <w:fldChar w:fldCharType="end"/>
            </w:r>
            <w:r>
              <w:rPr>
                <w:rFonts w:hint="eastAsia" w:ascii="Times New Roman" w:hAnsi="Times New Roman" w:eastAsia="宋体" w:cs="Times New Roman"/>
                <w:b/>
                <w:bCs/>
                <w:color w:val="auto"/>
                <w:w w:val="100"/>
                <w:kern w:val="2"/>
                <w:sz w:val="24"/>
                <w:szCs w:val="24"/>
                <w:lang w:val="en-US" w:eastAsia="zh-CN" w:bidi="ar-SA"/>
              </w:rPr>
              <w:noBreakHyphen/>
            </w:r>
            <w:r>
              <w:rPr>
                <w:rFonts w:hint="eastAsia" w:ascii="Times New Roman" w:hAnsi="Times New Roman" w:eastAsia="宋体" w:cs="Times New Roman"/>
                <w:b/>
                <w:bCs/>
                <w:color w:val="auto"/>
                <w:w w:val="100"/>
                <w:kern w:val="2"/>
                <w:sz w:val="24"/>
                <w:szCs w:val="24"/>
                <w:lang w:val="en-US" w:eastAsia="zh-CN" w:bidi="ar-SA"/>
              </w:rPr>
              <w:fldChar w:fldCharType="begin"/>
            </w:r>
            <w:r>
              <w:rPr>
                <w:rFonts w:hint="eastAsia" w:ascii="Times New Roman" w:hAnsi="Times New Roman" w:eastAsia="宋体" w:cs="Times New Roman"/>
                <w:b/>
                <w:bCs/>
                <w:color w:val="auto"/>
                <w:w w:val="100"/>
                <w:kern w:val="2"/>
                <w:sz w:val="24"/>
                <w:szCs w:val="24"/>
                <w:lang w:val="en-US" w:eastAsia="zh-CN" w:bidi="ar-SA"/>
              </w:rPr>
              <w:instrText xml:space="preserve"> SEQ 图 \* ARABIC \s 2 </w:instrText>
            </w:r>
            <w:r>
              <w:rPr>
                <w:rFonts w:hint="eastAsia" w:ascii="Times New Roman" w:hAnsi="Times New Roman" w:eastAsia="宋体" w:cs="Times New Roman"/>
                <w:b/>
                <w:bCs/>
                <w:color w:val="auto"/>
                <w:w w:val="100"/>
                <w:kern w:val="2"/>
                <w:sz w:val="24"/>
                <w:szCs w:val="24"/>
                <w:lang w:val="en-US" w:eastAsia="zh-CN" w:bidi="ar-SA"/>
              </w:rPr>
              <w:fldChar w:fldCharType="separate"/>
            </w:r>
            <w:r>
              <w:rPr>
                <w:rFonts w:hint="eastAsia" w:ascii="Times New Roman" w:hAnsi="Times New Roman" w:eastAsia="宋体" w:cs="Times New Roman"/>
                <w:b/>
                <w:bCs/>
                <w:color w:val="auto"/>
                <w:w w:val="100"/>
                <w:kern w:val="2"/>
                <w:sz w:val="24"/>
                <w:szCs w:val="24"/>
                <w:lang w:val="en-US" w:eastAsia="zh-CN" w:bidi="ar-SA"/>
              </w:rPr>
              <w:t>1</w:t>
            </w:r>
            <w:r>
              <w:rPr>
                <w:rFonts w:hint="eastAsia" w:ascii="Times New Roman" w:hAnsi="Times New Roman" w:eastAsia="宋体" w:cs="Times New Roman"/>
                <w:b/>
                <w:bCs/>
                <w:color w:val="auto"/>
                <w:w w:val="100"/>
                <w:kern w:val="2"/>
                <w:sz w:val="24"/>
                <w:szCs w:val="24"/>
                <w:lang w:val="en-US" w:eastAsia="zh-CN" w:bidi="ar-SA"/>
              </w:rPr>
              <w:fldChar w:fldCharType="end"/>
            </w:r>
            <w:r>
              <w:rPr>
                <w:rFonts w:hint="eastAsia" w:ascii="Times New Roman" w:hAnsi="Times New Roman" w:eastAsia="宋体" w:cs="Times New Roman"/>
                <w:b/>
                <w:bCs/>
                <w:color w:val="auto"/>
                <w:w w:val="100"/>
                <w:kern w:val="2"/>
                <w:sz w:val="24"/>
                <w:szCs w:val="24"/>
                <w:lang w:val="en-US" w:eastAsia="zh-CN" w:bidi="ar-SA"/>
              </w:rPr>
              <w:t>2  加药间现状情况</w:t>
            </w:r>
          </w:p>
          <w:p w14:paraId="5A4A0E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⑦接触氧化池</w:t>
            </w:r>
          </w:p>
          <w:p w14:paraId="64AF80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已建1座接触氧化池，平面尺寸BXH=28.5m×10.8m处理能力1.5万m3/d，该池体已弃用多年。</w:t>
            </w:r>
          </w:p>
          <w:p w14:paraId="22050E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⑧机械澄清池</w:t>
            </w:r>
          </w:p>
          <w:p w14:paraId="371085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已建2座机械澄清池，直径∅12.4m，处理能力1.5万m3/d，该池体已弃用多年。</w:t>
            </w:r>
          </w:p>
          <w:p w14:paraId="0FE8B3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⑨超滤膜系统</w:t>
            </w:r>
          </w:p>
          <w:p w14:paraId="6D3FF1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已建1座膜车间、1座废水池和1座缓冲水池，土建规模3万m3/d，设备安装规模1.5万m3/d，该池体已弃用多年。</w:t>
            </w:r>
          </w:p>
          <w:p w14:paraId="492F9F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⑩污泥系统</w:t>
            </w:r>
          </w:p>
          <w:p w14:paraId="65201D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已建1座污泥浓缩池（∅10m，1.5万m3/d）、1座污泥平衡池（BXH=8.85m×5.6m，3万m3/d）和1座污泥脱水机房（BXH=16m×10m，土建3万m3/d，设备1.5万m3/d），自污泥系统建成后一直未启用，已弃用多年。厂区产生的污泥目前直排厂区外的朱大沟水渠。</w:t>
            </w:r>
          </w:p>
          <w:p w14:paraId="5A4A58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bookmarkStart w:id="9" w:name="_Toc174697310"/>
            <w:bookmarkStart w:id="10" w:name="_Toc32014"/>
            <w:bookmarkStart w:id="11" w:name="_Toc103265701"/>
            <w:r>
              <w:rPr>
                <w:rFonts w:hint="eastAsia" w:ascii="Times New Roman" w:hAnsi="Times New Roman" w:eastAsia="宋体" w:cs="Times New Roman"/>
                <w:b w:val="0"/>
                <w:bCs w:val="0"/>
                <w:color w:val="auto"/>
                <w:kern w:val="2"/>
                <w:sz w:val="24"/>
                <w:szCs w:val="24"/>
                <w:lang w:val="en-US" w:eastAsia="zh-CN" w:bidi="ar-SA"/>
              </w:rPr>
              <w:t>（4）袁庄水厂配水管网现状</w:t>
            </w:r>
            <w:bookmarkEnd w:id="9"/>
            <w:bookmarkEnd w:id="10"/>
            <w:bookmarkEnd w:id="11"/>
          </w:p>
          <w:p w14:paraId="7130E2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袁庄水厂服务范围内配水管网目前主要集中在潘集区主城区，并向周边集镇、村庄扩散。主城区以外，自西向东以长江路-淮潘公路为主要输水通道，沿淮潘公路向两侧辐射供水，东端至平圩镇，在古沟乡设有古沟加压泵站进行中途加压。</w:t>
            </w:r>
          </w:p>
          <w:p w14:paraId="7B6509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另外，通过袁庄水厂一期技改工程，正在接通淮潘公路和高平水厂，使得袁庄水厂与高平水厂实现联网供水，使得高皇镇得到更为稳定充足的供水。</w:t>
            </w:r>
          </w:p>
          <w:p w14:paraId="6E18C9A1">
            <w:pPr>
              <w:pStyle w:val="112"/>
              <w:keepNext w:val="0"/>
              <w:keepLines w:val="0"/>
              <w:pageBreakBefore w:val="0"/>
              <w:widowControl w:val="0"/>
              <w:kinsoku/>
              <w:wordWrap/>
              <w:overflowPunct/>
              <w:topLinePunct w:val="0"/>
              <w:bidi w:val="0"/>
              <w:spacing w:beforeAutospacing="0" w:afterAutospacing="0"/>
              <w:ind w:left="0" w:leftChars="0" w:right="0" w:firstLine="0" w:firstLineChars="0"/>
              <w:jc w:val="center"/>
              <w:rPr>
                <w:color w:val="auto"/>
              </w:rPr>
            </w:pPr>
            <w:r>
              <w:rPr>
                <w:color w:val="auto"/>
              </w:rPr>
              <w:drawing>
                <wp:inline distT="0" distB="0" distL="0" distR="0">
                  <wp:extent cx="5292725" cy="3780155"/>
                  <wp:effectExtent l="0" t="0" r="3175"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92725" cy="3780155"/>
                          </a:xfrm>
                          <a:prstGeom prst="rect">
                            <a:avLst/>
                          </a:prstGeom>
                        </pic:spPr>
                      </pic:pic>
                    </a:graphicData>
                  </a:graphic>
                </wp:inline>
              </w:drawing>
            </w:r>
          </w:p>
          <w:p w14:paraId="47FC0F3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b/>
                <w:bCs w:val="0"/>
                <w:i w:val="0"/>
                <w:iCs w:val="0"/>
                <w:color w:val="auto"/>
                <w:spacing w:val="4"/>
                <w:sz w:val="24"/>
              </w:rPr>
            </w:pPr>
            <w:r>
              <w:rPr>
                <w:rFonts w:hint="default" w:ascii="Times New Roman" w:hAnsi="Times New Roman" w:eastAsia="宋体" w:cs="Times New Roman"/>
                <w:b/>
                <w:bCs w:val="0"/>
                <w:i w:val="0"/>
                <w:iCs w:val="0"/>
                <w:color w:val="auto"/>
                <w:spacing w:val="4"/>
                <w:sz w:val="24"/>
              </w:rPr>
              <w:t>图</w:t>
            </w:r>
            <w:r>
              <w:rPr>
                <w:rFonts w:hint="eastAsia" w:ascii="Times New Roman" w:hAnsi="Times New Roman" w:eastAsia="宋体" w:cs="Times New Roman"/>
                <w:b/>
                <w:bCs w:val="0"/>
                <w:i w:val="0"/>
                <w:iCs w:val="0"/>
                <w:color w:val="auto"/>
                <w:spacing w:val="4"/>
                <w:sz w:val="24"/>
                <w:lang w:val="en-US" w:eastAsia="zh-CN"/>
              </w:rPr>
              <w:t xml:space="preserve">2-13  </w:t>
            </w:r>
            <w:r>
              <w:rPr>
                <w:rFonts w:hint="eastAsia" w:ascii="Times New Roman" w:hAnsi="Times New Roman" w:eastAsia="宋体" w:cs="Times New Roman"/>
                <w:b/>
                <w:bCs w:val="0"/>
                <w:i w:val="0"/>
                <w:iCs w:val="0"/>
                <w:color w:val="auto"/>
                <w:spacing w:val="4"/>
                <w:sz w:val="24"/>
              </w:rPr>
              <w:t>袁庄水厂配水管网现状图</w:t>
            </w:r>
          </w:p>
          <w:p w14:paraId="2CD3C1B7">
            <w:pPr>
              <w:pStyle w:val="61"/>
              <w:keepNext w:val="0"/>
              <w:keepLines w:val="0"/>
              <w:pageBreakBefore w:val="0"/>
              <w:widowControl w:val="0"/>
              <w:kinsoku/>
              <w:wordWrap/>
              <w:overflowPunct/>
              <w:topLinePunct w:val="0"/>
              <w:bidi w:val="0"/>
              <w:spacing w:beforeAutospacing="0" w:afterAutospacing="0"/>
              <w:ind w:left="0" w:leftChars="0" w:right="0" w:firstLine="48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2、污染物排放情况</w:t>
            </w:r>
            <w:commentRangeStart w:id="4"/>
            <w:commentRangeStart w:id="5"/>
            <w:r>
              <w:commentReference w:id="4"/>
            </w:r>
            <w:commentRangeEnd w:id="4"/>
            <w:commentRangeEnd w:id="5"/>
            <w:r>
              <w:commentReference w:id="5"/>
            </w:r>
          </w:p>
          <w:p w14:paraId="185DE86D">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（1）废气</w:t>
            </w:r>
          </w:p>
          <w:p w14:paraId="2914FBE7">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原有净水工程消毒采用次氯酸钠溶液消毒，无废气排放。</w:t>
            </w:r>
          </w:p>
          <w:p w14:paraId="2619E7EA">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（2）废水</w:t>
            </w:r>
          </w:p>
          <w:p w14:paraId="2857AD1E">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现有项目废水主要为生活污水、排泥水、滤池反冲洗废水。</w:t>
            </w:r>
          </w:p>
          <w:p w14:paraId="38145ACA">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①生产废水</w:t>
            </w:r>
          </w:p>
          <w:p w14:paraId="416BC019">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根据企业生产经验，沉淀池产生的排泥水量为1200m</w:t>
            </w:r>
            <w:r>
              <w:rPr>
                <w:rFonts w:hint="eastAsia" w:ascii="Times New Roman" w:hAnsi="Times New Roman" w:eastAsia="宋体" w:cs="Times New Roman"/>
                <w:b w:val="0"/>
                <w:bCs w:val="0"/>
                <w:color w:val="auto"/>
                <w:vertAlign w:val="superscript"/>
                <w:lang w:val="en-US" w:eastAsia="zh-CN"/>
              </w:rPr>
              <w:t>3</w:t>
            </w:r>
            <w:r>
              <w:rPr>
                <w:rFonts w:hint="eastAsia" w:ascii="Times New Roman" w:hAnsi="Times New Roman" w:eastAsia="宋体" w:cs="Times New Roman"/>
                <w:b w:val="0"/>
                <w:bCs w:val="0"/>
                <w:color w:val="auto"/>
                <w:lang w:val="en-US" w:eastAsia="zh-CN"/>
              </w:rPr>
              <w:t>/d（438000m</w:t>
            </w:r>
            <w:r>
              <w:rPr>
                <w:rFonts w:hint="eastAsia" w:ascii="Times New Roman" w:hAnsi="Times New Roman" w:eastAsia="宋体" w:cs="Times New Roman"/>
                <w:b w:val="0"/>
                <w:bCs w:val="0"/>
                <w:color w:val="auto"/>
                <w:vertAlign w:val="superscript"/>
                <w:lang w:val="en-US" w:eastAsia="zh-CN"/>
              </w:rPr>
              <w:t>3</w:t>
            </w:r>
            <w:r>
              <w:rPr>
                <w:rFonts w:hint="eastAsia" w:ascii="Times New Roman" w:hAnsi="Times New Roman" w:eastAsia="宋体" w:cs="Times New Roman"/>
                <w:b w:val="0"/>
                <w:bCs w:val="0"/>
                <w:color w:val="auto"/>
                <w:lang w:val="en-US" w:eastAsia="zh-CN"/>
              </w:rPr>
              <w:t>/a），滤池产生的反冲洗废水量为19.068m</w:t>
            </w:r>
            <w:r>
              <w:rPr>
                <w:rFonts w:hint="eastAsia" w:ascii="Times New Roman" w:hAnsi="Times New Roman" w:eastAsia="宋体" w:cs="Times New Roman"/>
                <w:b w:val="0"/>
                <w:bCs w:val="0"/>
                <w:color w:val="auto"/>
                <w:vertAlign w:val="superscript"/>
                <w:lang w:val="en-US" w:eastAsia="zh-CN"/>
              </w:rPr>
              <w:t>3</w:t>
            </w:r>
            <w:r>
              <w:rPr>
                <w:rFonts w:hint="eastAsia" w:ascii="Times New Roman" w:hAnsi="Times New Roman" w:eastAsia="宋体" w:cs="Times New Roman"/>
                <w:b w:val="0"/>
                <w:bCs w:val="0"/>
                <w:color w:val="auto"/>
                <w:lang w:val="en-US" w:eastAsia="zh-CN"/>
              </w:rPr>
              <w:t>/d（6960m</w:t>
            </w:r>
            <w:r>
              <w:rPr>
                <w:rFonts w:hint="eastAsia" w:ascii="Times New Roman" w:hAnsi="Times New Roman" w:eastAsia="宋体" w:cs="Times New Roman"/>
                <w:b w:val="0"/>
                <w:bCs w:val="0"/>
                <w:color w:val="auto"/>
                <w:vertAlign w:val="superscript"/>
                <w:lang w:val="en-US" w:eastAsia="zh-CN"/>
              </w:rPr>
              <w:t>3</w:t>
            </w:r>
            <w:r>
              <w:rPr>
                <w:rFonts w:hint="eastAsia" w:ascii="Times New Roman" w:hAnsi="Times New Roman" w:eastAsia="宋体" w:cs="Times New Roman"/>
                <w:b w:val="0"/>
                <w:bCs w:val="0"/>
                <w:color w:val="auto"/>
                <w:lang w:val="en-US" w:eastAsia="zh-CN"/>
              </w:rPr>
              <w:t>/a），排泥水和反冲洗废水直接排入厂区外的朱大沟水渠。</w:t>
            </w:r>
          </w:p>
          <w:p w14:paraId="4548A9F8">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②生活污水</w:t>
            </w:r>
          </w:p>
          <w:p w14:paraId="1095D793">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劳动定员20人，年工作300天，员工人均生活用水量按150L/人·d，年用水量为1095t/a（3t/d），排污系数取0.8，则本项目生活污水为876t/a（2.4t/d）。生活污水经化粪池处理后通过市政管网进入潘集镇污水处理厂集中处理。</w:t>
            </w:r>
          </w:p>
          <w:p w14:paraId="25F5FF2A">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b w:val="0"/>
                <w:bCs w:val="0"/>
                <w:color w:val="auto"/>
                <w:lang w:val="en-US" w:eastAsia="zh-CN"/>
              </w:rPr>
            </w:pPr>
            <w:r>
              <w:rPr>
                <w:rFonts w:hint="eastAsia"/>
                <w:b w:val="0"/>
                <w:bCs w:val="0"/>
                <w:color w:val="auto"/>
                <w:lang w:val="en-US" w:eastAsia="zh-CN"/>
              </w:rPr>
              <w:t>（4）固废</w:t>
            </w:r>
          </w:p>
          <w:p w14:paraId="382AC8D6">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b w:val="0"/>
                <w:bCs w:val="0"/>
                <w:color w:val="auto"/>
                <w:lang w:val="en-US" w:eastAsia="zh-CN"/>
              </w:rPr>
            </w:pPr>
            <w:r>
              <w:rPr>
                <w:rFonts w:hint="eastAsia"/>
                <w:b w:val="0"/>
                <w:bCs w:val="0"/>
                <w:color w:val="auto"/>
                <w:lang w:val="en-US" w:eastAsia="zh-CN"/>
              </w:rPr>
              <w:t>生活垃圾收集后交由环卫部门统一处理；废包装材料、废培养基等收集后外售综合利用；实验废液、废润滑油、废包装瓶/桶等收集厂区暂存。</w:t>
            </w:r>
          </w:p>
          <w:p w14:paraId="64FC8C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b/>
                <w:bCs w:val="0"/>
                <w:i w:val="0"/>
                <w:iCs w:val="0"/>
                <w:color w:val="auto"/>
                <w:spacing w:val="4"/>
                <w:sz w:val="24"/>
              </w:rPr>
            </w:pPr>
            <w:r>
              <w:rPr>
                <w:rFonts w:hint="default" w:ascii="Times New Roman" w:hAnsi="Times New Roman" w:eastAsia="宋体" w:cs="Times New Roman"/>
                <w:b/>
                <w:bCs w:val="0"/>
                <w:i w:val="0"/>
                <w:iCs w:val="0"/>
                <w:color w:val="auto"/>
                <w:spacing w:val="4"/>
                <w:sz w:val="24"/>
              </w:rPr>
              <w:t>表</w:t>
            </w:r>
            <w:r>
              <w:rPr>
                <w:rFonts w:hint="eastAsia" w:ascii="Times New Roman" w:hAnsi="Times New Roman" w:eastAsia="宋体" w:cs="Times New Roman"/>
                <w:b/>
                <w:bCs w:val="0"/>
                <w:i w:val="0"/>
                <w:iCs w:val="0"/>
                <w:color w:val="auto"/>
                <w:spacing w:val="4"/>
                <w:sz w:val="24"/>
                <w:lang w:val="en-US" w:eastAsia="zh-CN"/>
              </w:rPr>
              <w:t>2-</w:t>
            </w:r>
            <w:r>
              <w:rPr>
                <w:rFonts w:hint="eastAsia" w:cs="Times New Roman"/>
                <w:b/>
                <w:bCs w:val="0"/>
                <w:i w:val="0"/>
                <w:iCs w:val="0"/>
                <w:color w:val="auto"/>
                <w:spacing w:val="4"/>
                <w:sz w:val="24"/>
                <w:lang w:val="en-US" w:eastAsia="zh-CN"/>
              </w:rPr>
              <w:t>14</w:t>
            </w:r>
            <w:r>
              <w:rPr>
                <w:rFonts w:hint="default" w:ascii="Times New Roman" w:hAnsi="Times New Roman" w:eastAsia="宋体" w:cs="Times New Roman"/>
                <w:b/>
                <w:bCs w:val="0"/>
                <w:i w:val="0"/>
                <w:iCs w:val="0"/>
                <w:color w:val="auto"/>
                <w:spacing w:val="4"/>
                <w:sz w:val="24"/>
              </w:rPr>
              <w:t xml:space="preserve"> </w:t>
            </w:r>
            <w:r>
              <w:rPr>
                <w:rFonts w:hint="eastAsia" w:ascii="Times New Roman" w:hAnsi="Times New Roman" w:eastAsia="宋体" w:cs="Times New Roman"/>
                <w:b/>
                <w:bCs w:val="0"/>
                <w:i w:val="0"/>
                <w:iCs w:val="0"/>
                <w:color w:val="auto"/>
                <w:spacing w:val="4"/>
                <w:sz w:val="24"/>
                <w:lang w:val="en-US" w:eastAsia="zh-CN"/>
              </w:rPr>
              <w:t xml:space="preserve"> </w:t>
            </w:r>
            <w:r>
              <w:rPr>
                <w:rFonts w:hint="default" w:ascii="Times New Roman" w:hAnsi="Times New Roman" w:eastAsia="宋体" w:cs="Times New Roman"/>
                <w:b/>
                <w:bCs w:val="0"/>
                <w:i w:val="0"/>
                <w:iCs w:val="0"/>
                <w:color w:val="auto"/>
                <w:spacing w:val="4"/>
                <w:sz w:val="24"/>
              </w:rPr>
              <w:t>现有</w:t>
            </w:r>
            <w:r>
              <w:rPr>
                <w:rFonts w:hint="eastAsia" w:ascii="Times New Roman" w:hAnsi="Times New Roman" w:eastAsia="宋体" w:cs="Times New Roman"/>
                <w:b/>
                <w:bCs w:val="0"/>
                <w:i w:val="0"/>
                <w:iCs w:val="0"/>
                <w:color w:val="auto"/>
                <w:spacing w:val="4"/>
                <w:sz w:val="24"/>
                <w:lang w:val="en-US" w:eastAsia="zh-CN"/>
              </w:rPr>
              <w:t>项目</w:t>
            </w:r>
            <w:r>
              <w:rPr>
                <w:rFonts w:hint="default" w:ascii="Times New Roman" w:hAnsi="Times New Roman" w:eastAsia="宋体" w:cs="Times New Roman"/>
                <w:b/>
                <w:bCs w:val="0"/>
                <w:i w:val="0"/>
                <w:iCs w:val="0"/>
                <w:color w:val="auto"/>
                <w:spacing w:val="4"/>
                <w:sz w:val="24"/>
              </w:rPr>
              <w:t>产排污情况一览表</w:t>
            </w:r>
          </w:p>
          <w:tbl>
            <w:tblPr>
              <w:tblStyle w:val="31"/>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139"/>
              <w:gridCol w:w="1350"/>
              <w:gridCol w:w="1530"/>
              <w:gridCol w:w="1376"/>
              <w:gridCol w:w="2550"/>
            </w:tblGrid>
            <w:tr w14:paraId="4039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5" w:type="dxa"/>
                  <w:gridSpan w:val="3"/>
                  <w:tcBorders>
                    <w:tl2br w:val="nil"/>
                    <w:tr2bl w:val="nil"/>
                  </w:tcBorders>
                  <w:noWrap w:val="0"/>
                  <w:vAlign w:val="center"/>
                </w:tcPr>
                <w:p w14:paraId="3B3067A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污染物</w:t>
                  </w:r>
                </w:p>
              </w:tc>
              <w:tc>
                <w:tcPr>
                  <w:tcW w:w="1530" w:type="dxa"/>
                  <w:tcBorders>
                    <w:tl2br w:val="nil"/>
                    <w:tr2bl w:val="nil"/>
                  </w:tcBorders>
                  <w:noWrap w:val="0"/>
                  <w:vAlign w:val="center"/>
                </w:tcPr>
                <w:p w14:paraId="4472EA3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产生量t/a</w:t>
                  </w:r>
                </w:p>
              </w:tc>
              <w:tc>
                <w:tcPr>
                  <w:tcW w:w="1376" w:type="dxa"/>
                  <w:tcBorders>
                    <w:tl2br w:val="nil"/>
                    <w:tr2bl w:val="nil"/>
                  </w:tcBorders>
                  <w:noWrap w:val="0"/>
                  <w:vAlign w:val="center"/>
                </w:tcPr>
                <w:p w14:paraId="542D6F6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排放量t/a</w:t>
                  </w:r>
                </w:p>
              </w:tc>
              <w:tc>
                <w:tcPr>
                  <w:tcW w:w="2550" w:type="dxa"/>
                  <w:tcBorders>
                    <w:tl2br w:val="nil"/>
                    <w:tr2bl w:val="nil"/>
                  </w:tcBorders>
                  <w:noWrap w:val="0"/>
                  <w:vAlign w:val="center"/>
                </w:tcPr>
                <w:p w14:paraId="5DA6602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处理方式</w:t>
                  </w:r>
                </w:p>
              </w:tc>
            </w:tr>
            <w:tr w14:paraId="0A8D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795" w:type="dxa"/>
                  <w:gridSpan w:val="2"/>
                  <w:tcBorders>
                    <w:tl2br w:val="nil"/>
                    <w:tr2bl w:val="nil"/>
                  </w:tcBorders>
                  <w:noWrap w:val="0"/>
                  <w:vAlign w:val="center"/>
                </w:tcPr>
                <w:p w14:paraId="0D49384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废气</w:t>
                  </w:r>
                </w:p>
              </w:tc>
              <w:tc>
                <w:tcPr>
                  <w:tcW w:w="1350" w:type="dxa"/>
                  <w:tcBorders>
                    <w:tl2br w:val="nil"/>
                    <w:tr2bl w:val="nil"/>
                  </w:tcBorders>
                  <w:noWrap w:val="0"/>
                  <w:vAlign w:val="center"/>
                </w:tcPr>
                <w:p w14:paraId="0696DA8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lang w:eastAsia="zh-CN"/>
                    </w:rPr>
                  </w:pPr>
                  <w:r>
                    <w:rPr>
                      <w:rFonts w:hint="eastAsia" w:cs="Times New Roman"/>
                      <w:bCs/>
                      <w:color w:val="auto"/>
                      <w:kern w:val="0"/>
                      <w:sz w:val="21"/>
                      <w:szCs w:val="21"/>
                      <w:lang w:eastAsia="zh-CN"/>
                    </w:rPr>
                    <w:t>油烟</w:t>
                  </w:r>
                </w:p>
              </w:tc>
              <w:tc>
                <w:tcPr>
                  <w:tcW w:w="1530" w:type="dxa"/>
                  <w:tcBorders>
                    <w:tl2br w:val="nil"/>
                    <w:tr2bl w:val="nil"/>
                  </w:tcBorders>
                  <w:noWrap w:val="0"/>
                  <w:vAlign w:val="center"/>
                </w:tcPr>
                <w:p w14:paraId="76DA165F">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21"/>
                      <w:sz w:val="21"/>
                      <w:szCs w:val="21"/>
                      <w:lang w:val="en-US" w:eastAsia="zh-CN" w:bidi="ar-SA"/>
                    </w:rPr>
                  </w:pPr>
                  <w:r>
                    <w:rPr>
                      <w:rFonts w:hint="eastAsia" w:cs="Times New Roman"/>
                      <w:b w:val="0"/>
                      <w:bCs w:val="0"/>
                      <w:snapToGrid w:val="0"/>
                      <w:color w:val="auto"/>
                      <w:kern w:val="21"/>
                      <w:sz w:val="21"/>
                      <w:szCs w:val="21"/>
                      <w:lang w:val="en-US" w:eastAsia="zh-CN" w:bidi="ar-SA"/>
                    </w:rPr>
                    <w:t>/</w:t>
                  </w:r>
                </w:p>
              </w:tc>
              <w:tc>
                <w:tcPr>
                  <w:tcW w:w="1376" w:type="dxa"/>
                  <w:tcBorders>
                    <w:tl2br w:val="nil"/>
                    <w:tr2bl w:val="nil"/>
                  </w:tcBorders>
                  <w:noWrap w:val="0"/>
                  <w:vAlign w:val="center"/>
                </w:tcPr>
                <w:p w14:paraId="471CC508">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21"/>
                      <w:sz w:val="21"/>
                      <w:szCs w:val="21"/>
                      <w:lang w:val="en-US" w:eastAsia="zh-CN" w:bidi="ar-SA"/>
                    </w:rPr>
                  </w:pPr>
                  <w:r>
                    <w:rPr>
                      <w:rFonts w:hint="eastAsia" w:cs="Times New Roman"/>
                      <w:b w:val="0"/>
                      <w:bCs w:val="0"/>
                      <w:snapToGrid w:val="0"/>
                      <w:color w:val="auto"/>
                      <w:kern w:val="21"/>
                      <w:sz w:val="21"/>
                      <w:szCs w:val="21"/>
                      <w:lang w:val="en-US" w:eastAsia="zh-CN" w:bidi="ar-SA"/>
                    </w:rPr>
                    <w:t>/</w:t>
                  </w:r>
                </w:p>
              </w:tc>
              <w:tc>
                <w:tcPr>
                  <w:tcW w:w="2550" w:type="dxa"/>
                  <w:tcBorders>
                    <w:tl2br w:val="nil"/>
                    <w:tr2bl w:val="nil"/>
                  </w:tcBorders>
                  <w:noWrap w:val="0"/>
                  <w:vAlign w:val="center"/>
                </w:tcPr>
                <w:p w14:paraId="4114AE4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食堂油烟经油烟净化器处理于楼顶排放</w:t>
                  </w:r>
                </w:p>
              </w:tc>
            </w:tr>
            <w:tr w14:paraId="50BA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95" w:type="dxa"/>
                  <w:gridSpan w:val="2"/>
                  <w:vMerge w:val="restart"/>
                  <w:tcBorders>
                    <w:tl2br w:val="nil"/>
                    <w:tr2bl w:val="nil"/>
                  </w:tcBorders>
                  <w:noWrap w:val="0"/>
                  <w:vAlign w:val="center"/>
                </w:tcPr>
                <w:p w14:paraId="62A48ADF">
                  <w:pPr>
                    <w:pStyle w:val="98"/>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w:t>
                  </w:r>
                </w:p>
              </w:tc>
              <w:tc>
                <w:tcPr>
                  <w:tcW w:w="1350" w:type="dxa"/>
                  <w:tcBorders>
                    <w:tl2br w:val="nil"/>
                    <w:tr2bl w:val="nil"/>
                  </w:tcBorders>
                  <w:noWrap w:val="0"/>
                  <w:vAlign w:val="center"/>
                </w:tcPr>
                <w:p w14:paraId="23A30C4F">
                  <w:pPr>
                    <w:pStyle w:val="98"/>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1530" w:type="dxa"/>
                  <w:tcBorders>
                    <w:tl2br w:val="nil"/>
                    <w:tr2bl w:val="nil"/>
                  </w:tcBorders>
                  <w:noWrap w:val="0"/>
                  <w:vAlign w:val="center"/>
                </w:tcPr>
                <w:p w14:paraId="5F187131">
                  <w:pPr>
                    <w:pStyle w:val="9"/>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876</w:t>
                  </w:r>
                </w:p>
              </w:tc>
              <w:tc>
                <w:tcPr>
                  <w:tcW w:w="1376" w:type="dxa"/>
                  <w:tcBorders>
                    <w:tl2br w:val="nil"/>
                    <w:tr2bl w:val="nil"/>
                  </w:tcBorders>
                  <w:noWrap w:val="0"/>
                  <w:vAlign w:val="center"/>
                </w:tcPr>
                <w:p w14:paraId="50C6D9EE">
                  <w:pPr>
                    <w:pStyle w:val="9"/>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876</w:t>
                  </w:r>
                </w:p>
              </w:tc>
              <w:tc>
                <w:tcPr>
                  <w:tcW w:w="2550" w:type="dxa"/>
                  <w:vMerge w:val="restart"/>
                  <w:tcBorders>
                    <w:tl2br w:val="nil"/>
                    <w:tr2bl w:val="nil"/>
                  </w:tcBorders>
                  <w:noWrap w:val="0"/>
                  <w:vAlign w:val="center"/>
                </w:tcPr>
                <w:p w14:paraId="23B8362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生活污水经化粪池预处理后</w:t>
                  </w:r>
                  <w:r>
                    <w:rPr>
                      <w:rFonts w:hint="eastAsia" w:ascii="Times New Roman" w:hAnsi="Times New Roman" w:eastAsia="宋体" w:cs="Times New Roman"/>
                      <w:b w:val="0"/>
                      <w:bCs w:val="0"/>
                      <w:color w:val="auto"/>
                      <w:lang w:val="en-US" w:eastAsia="zh-CN"/>
                    </w:rPr>
                    <w:t>通过市政管网进入潘集镇污水处理厂集中处理</w:t>
                  </w:r>
                </w:p>
              </w:tc>
            </w:tr>
            <w:tr w14:paraId="3F84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95" w:type="dxa"/>
                  <w:gridSpan w:val="2"/>
                  <w:vMerge w:val="continue"/>
                  <w:tcBorders>
                    <w:tl2br w:val="nil"/>
                    <w:tr2bl w:val="nil"/>
                  </w:tcBorders>
                  <w:noWrap w:val="0"/>
                  <w:vAlign w:val="center"/>
                </w:tcPr>
                <w:p w14:paraId="5F9795B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rPr>
                  </w:pPr>
                </w:p>
              </w:tc>
              <w:tc>
                <w:tcPr>
                  <w:tcW w:w="1350" w:type="dxa"/>
                  <w:tcBorders>
                    <w:tl2br w:val="nil"/>
                    <w:tr2bl w:val="nil"/>
                  </w:tcBorders>
                  <w:noWrap w:val="0"/>
                  <w:vAlign w:val="center"/>
                </w:tcPr>
                <w:p w14:paraId="44804D6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30" w:type="dxa"/>
                  <w:tcBorders>
                    <w:tl2br w:val="nil"/>
                    <w:tr2bl w:val="nil"/>
                  </w:tcBorders>
                  <w:noWrap w:val="0"/>
                  <w:vAlign w:val="center"/>
                </w:tcPr>
                <w:p w14:paraId="298CD54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300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0.263</w:t>
                  </w:r>
                  <w:r>
                    <w:rPr>
                      <w:rFonts w:hint="default" w:ascii="Times New Roman" w:hAnsi="Times New Roman" w:eastAsia="宋体" w:cs="Times New Roman"/>
                      <w:color w:val="auto"/>
                      <w:sz w:val="21"/>
                      <w:szCs w:val="21"/>
                      <w:lang w:val="en-US" w:eastAsia="zh-CN"/>
                    </w:rPr>
                    <w:t>t/a</w:t>
                  </w:r>
                </w:p>
              </w:tc>
              <w:tc>
                <w:tcPr>
                  <w:tcW w:w="1376" w:type="dxa"/>
                  <w:tcBorders>
                    <w:tl2br w:val="nil"/>
                    <w:tr2bl w:val="nil"/>
                  </w:tcBorders>
                  <w:noWrap w:val="0"/>
                  <w:vAlign w:val="center"/>
                </w:tcPr>
                <w:p w14:paraId="7288B5E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280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0.245</w:t>
                  </w:r>
                  <w:r>
                    <w:rPr>
                      <w:rFonts w:hint="default" w:ascii="Times New Roman" w:hAnsi="Times New Roman" w:eastAsia="宋体" w:cs="Times New Roman"/>
                      <w:color w:val="auto"/>
                      <w:sz w:val="21"/>
                      <w:szCs w:val="21"/>
                      <w:lang w:val="en-US" w:eastAsia="zh-CN"/>
                    </w:rPr>
                    <w:t>t/a</w:t>
                  </w:r>
                </w:p>
              </w:tc>
              <w:tc>
                <w:tcPr>
                  <w:tcW w:w="2550" w:type="dxa"/>
                  <w:vMerge w:val="continue"/>
                  <w:tcBorders>
                    <w:tl2br w:val="nil"/>
                    <w:tr2bl w:val="nil"/>
                  </w:tcBorders>
                  <w:noWrap w:val="0"/>
                  <w:vAlign w:val="center"/>
                </w:tcPr>
                <w:p w14:paraId="6DEA06E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kern w:val="0"/>
                      <w:sz w:val="21"/>
                      <w:szCs w:val="21"/>
                    </w:rPr>
                  </w:pPr>
                </w:p>
              </w:tc>
            </w:tr>
            <w:tr w14:paraId="2C23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95" w:type="dxa"/>
                  <w:gridSpan w:val="2"/>
                  <w:vMerge w:val="continue"/>
                  <w:tcBorders>
                    <w:tl2br w:val="nil"/>
                    <w:tr2bl w:val="nil"/>
                  </w:tcBorders>
                  <w:noWrap w:val="0"/>
                  <w:vAlign w:val="center"/>
                </w:tcPr>
                <w:p w14:paraId="29ACAD2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rPr>
                  </w:pPr>
                </w:p>
              </w:tc>
              <w:tc>
                <w:tcPr>
                  <w:tcW w:w="1350" w:type="dxa"/>
                  <w:tcBorders>
                    <w:tl2br w:val="nil"/>
                    <w:tr2bl w:val="nil"/>
                  </w:tcBorders>
                  <w:noWrap w:val="0"/>
                  <w:vAlign w:val="center"/>
                </w:tcPr>
                <w:p w14:paraId="5B8E828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530" w:type="dxa"/>
                  <w:tcBorders>
                    <w:tl2br w:val="nil"/>
                    <w:tr2bl w:val="nil"/>
                  </w:tcBorders>
                  <w:noWrap w:val="0"/>
                  <w:vAlign w:val="center"/>
                </w:tcPr>
                <w:p w14:paraId="7C3C147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30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0.026</w:t>
                  </w:r>
                  <w:r>
                    <w:rPr>
                      <w:rFonts w:hint="default" w:ascii="Times New Roman" w:hAnsi="Times New Roman" w:eastAsia="宋体" w:cs="Times New Roman"/>
                      <w:color w:val="auto"/>
                      <w:sz w:val="21"/>
                      <w:szCs w:val="21"/>
                      <w:lang w:val="en-US" w:eastAsia="zh-CN"/>
                    </w:rPr>
                    <w:t>t/a</w:t>
                  </w:r>
                </w:p>
              </w:tc>
              <w:tc>
                <w:tcPr>
                  <w:tcW w:w="1376" w:type="dxa"/>
                  <w:tcBorders>
                    <w:tl2br w:val="nil"/>
                    <w:tr2bl w:val="nil"/>
                  </w:tcBorders>
                  <w:noWrap w:val="0"/>
                  <w:vAlign w:val="center"/>
                </w:tcPr>
                <w:p w14:paraId="28E2080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3</w:t>
                  </w:r>
                  <w:r>
                    <w:rPr>
                      <w:rFonts w:hint="eastAsia" w:cs="Times New Roman"/>
                      <w:bCs/>
                      <w:color w:val="auto"/>
                      <w:sz w:val="21"/>
                      <w:szCs w:val="21"/>
                      <w:lang w:val="en-US" w:eastAsia="zh-CN"/>
                    </w:rPr>
                    <w:t>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0.026</w:t>
                  </w:r>
                  <w:r>
                    <w:rPr>
                      <w:rFonts w:hint="default" w:ascii="Times New Roman" w:hAnsi="Times New Roman" w:eastAsia="宋体" w:cs="Times New Roman"/>
                      <w:color w:val="auto"/>
                      <w:sz w:val="21"/>
                      <w:szCs w:val="21"/>
                      <w:lang w:val="en-US" w:eastAsia="zh-CN"/>
                    </w:rPr>
                    <w:t>t/a</w:t>
                  </w:r>
                </w:p>
              </w:tc>
              <w:tc>
                <w:tcPr>
                  <w:tcW w:w="2550" w:type="dxa"/>
                  <w:vMerge w:val="continue"/>
                  <w:tcBorders>
                    <w:tl2br w:val="nil"/>
                    <w:tr2bl w:val="nil"/>
                  </w:tcBorders>
                  <w:noWrap w:val="0"/>
                  <w:vAlign w:val="center"/>
                </w:tcPr>
                <w:p w14:paraId="19E2A6B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kern w:val="0"/>
                      <w:sz w:val="21"/>
                      <w:szCs w:val="21"/>
                    </w:rPr>
                  </w:pPr>
                </w:p>
              </w:tc>
            </w:tr>
            <w:tr w14:paraId="1239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95" w:type="dxa"/>
                  <w:gridSpan w:val="2"/>
                  <w:vMerge w:val="restart"/>
                  <w:tcBorders>
                    <w:tl2br w:val="nil"/>
                    <w:tr2bl w:val="nil"/>
                  </w:tcBorders>
                  <w:noWrap w:val="0"/>
                  <w:vAlign w:val="center"/>
                </w:tcPr>
                <w:p w14:paraId="3247EF4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生产废水</w:t>
                  </w:r>
                </w:p>
              </w:tc>
              <w:tc>
                <w:tcPr>
                  <w:tcW w:w="1350" w:type="dxa"/>
                  <w:tcBorders>
                    <w:tl2br w:val="nil"/>
                    <w:tr2bl w:val="nil"/>
                  </w:tcBorders>
                  <w:noWrap w:val="0"/>
                  <w:vAlign w:val="center"/>
                </w:tcPr>
                <w:p w14:paraId="626C4A36">
                  <w:pPr>
                    <w:pStyle w:val="98"/>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contextualSpacing/>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废水量</w:t>
                  </w:r>
                </w:p>
              </w:tc>
              <w:tc>
                <w:tcPr>
                  <w:tcW w:w="1530" w:type="dxa"/>
                  <w:tcBorders>
                    <w:tl2br w:val="nil"/>
                    <w:tr2bl w:val="nil"/>
                  </w:tcBorders>
                  <w:noWrap w:val="0"/>
                  <w:vAlign w:val="center"/>
                </w:tcPr>
                <w:p w14:paraId="0442754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444960</w:t>
                  </w:r>
                  <w:r>
                    <w:rPr>
                      <w:rFonts w:hint="eastAsia" w:ascii="Times New Roman" w:hAnsi="Times New Roman" w:eastAsia="宋体" w:cs="Times New Roman"/>
                      <w:color w:val="auto"/>
                      <w:sz w:val="21"/>
                      <w:szCs w:val="21"/>
                      <w:lang w:val="en-US" w:eastAsia="zh-CN"/>
                    </w:rPr>
                    <w:t>t/a</w:t>
                  </w:r>
                </w:p>
              </w:tc>
              <w:tc>
                <w:tcPr>
                  <w:tcW w:w="1376" w:type="dxa"/>
                  <w:tcBorders>
                    <w:tl2br w:val="nil"/>
                    <w:tr2bl w:val="nil"/>
                  </w:tcBorders>
                  <w:noWrap w:val="0"/>
                  <w:vAlign w:val="center"/>
                </w:tcPr>
                <w:p w14:paraId="451D38E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444960</w:t>
                  </w:r>
                  <w:r>
                    <w:rPr>
                      <w:rFonts w:hint="eastAsia" w:ascii="Times New Roman" w:hAnsi="Times New Roman" w:eastAsia="宋体" w:cs="Times New Roman"/>
                      <w:color w:val="auto"/>
                      <w:sz w:val="21"/>
                      <w:szCs w:val="21"/>
                      <w:lang w:val="en-US" w:eastAsia="zh-CN"/>
                    </w:rPr>
                    <w:t>t/a</w:t>
                  </w:r>
                </w:p>
              </w:tc>
              <w:tc>
                <w:tcPr>
                  <w:tcW w:w="2550" w:type="dxa"/>
                  <w:vMerge w:val="restart"/>
                  <w:tcBorders>
                    <w:tl2br w:val="nil"/>
                    <w:tr2bl w:val="nil"/>
                  </w:tcBorders>
                  <w:noWrap w:val="0"/>
                  <w:vAlign w:val="center"/>
                </w:tcPr>
                <w:p w14:paraId="2BBF58F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b w:val="0"/>
                      <w:bCs w:val="0"/>
                      <w:color w:val="auto"/>
                      <w:lang w:val="en-US" w:eastAsia="zh-CN"/>
                    </w:rPr>
                    <w:t>排泥水和反冲洗废水直接排入厂区外的朱大沟水渠</w:t>
                  </w:r>
                </w:p>
              </w:tc>
            </w:tr>
            <w:tr w14:paraId="042A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95" w:type="dxa"/>
                  <w:gridSpan w:val="2"/>
                  <w:vMerge w:val="continue"/>
                  <w:tcBorders>
                    <w:tl2br w:val="nil"/>
                    <w:tr2bl w:val="nil"/>
                  </w:tcBorders>
                  <w:noWrap w:val="0"/>
                  <w:vAlign w:val="center"/>
                </w:tcPr>
                <w:p w14:paraId="4421883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rPr>
                  </w:pPr>
                </w:p>
              </w:tc>
              <w:tc>
                <w:tcPr>
                  <w:tcW w:w="1350" w:type="dxa"/>
                  <w:tcBorders>
                    <w:tl2br w:val="nil"/>
                    <w:tr2bl w:val="nil"/>
                  </w:tcBorders>
                  <w:noWrap w:val="0"/>
                  <w:vAlign w:val="center"/>
                </w:tcPr>
                <w:p w14:paraId="36E780B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1530" w:type="dxa"/>
                  <w:tcBorders>
                    <w:tl2br w:val="nil"/>
                    <w:tr2bl w:val="nil"/>
                  </w:tcBorders>
                  <w:noWrap w:val="0"/>
                  <w:vAlign w:val="center"/>
                </w:tcPr>
                <w:p w14:paraId="7008EFC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100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44.496</w:t>
                  </w:r>
                  <w:r>
                    <w:rPr>
                      <w:rFonts w:hint="default" w:ascii="Times New Roman" w:hAnsi="Times New Roman" w:eastAsia="宋体" w:cs="Times New Roman"/>
                      <w:color w:val="auto"/>
                      <w:sz w:val="21"/>
                      <w:szCs w:val="21"/>
                      <w:lang w:val="en-US" w:eastAsia="zh-CN"/>
                    </w:rPr>
                    <w:t>t/a</w:t>
                  </w:r>
                </w:p>
              </w:tc>
              <w:tc>
                <w:tcPr>
                  <w:tcW w:w="1376" w:type="dxa"/>
                  <w:tcBorders>
                    <w:tl2br w:val="nil"/>
                    <w:tr2bl w:val="nil"/>
                  </w:tcBorders>
                  <w:noWrap w:val="0"/>
                  <w:vAlign w:val="center"/>
                </w:tcPr>
                <w:p w14:paraId="0DAF92C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44.496</w:t>
                  </w:r>
                  <w:r>
                    <w:rPr>
                      <w:rFonts w:hint="default" w:ascii="Times New Roman" w:hAnsi="Times New Roman" w:eastAsia="宋体" w:cs="Times New Roman"/>
                      <w:color w:val="auto"/>
                      <w:sz w:val="21"/>
                      <w:szCs w:val="21"/>
                      <w:lang w:val="en-US" w:eastAsia="zh-CN"/>
                    </w:rPr>
                    <w:t>t/a</w:t>
                  </w:r>
                </w:p>
              </w:tc>
              <w:tc>
                <w:tcPr>
                  <w:tcW w:w="2550" w:type="dxa"/>
                  <w:vMerge w:val="continue"/>
                  <w:tcBorders>
                    <w:tl2br w:val="nil"/>
                    <w:tr2bl w:val="nil"/>
                  </w:tcBorders>
                  <w:noWrap w:val="0"/>
                  <w:vAlign w:val="center"/>
                </w:tcPr>
                <w:p w14:paraId="0FD6C7A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kern w:val="0"/>
                      <w:sz w:val="21"/>
                      <w:szCs w:val="21"/>
                    </w:rPr>
                  </w:pPr>
                </w:p>
              </w:tc>
            </w:tr>
            <w:tr w14:paraId="7C7F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95" w:type="dxa"/>
                  <w:gridSpan w:val="2"/>
                  <w:vMerge w:val="continue"/>
                  <w:tcBorders>
                    <w:tl2br w:val="nil"/>
                    <w:tr2bl w:val="nil"/>
                  </w:tcBorders>
                  <w:noWrap w:val="0"/>
                  <w:vAlign w:val="center"/>
                </w:tcPr>
                <w:p w14:paraId="7FBD593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rPr>
                  </w:pPr>
                </w:p>
              </w:tc>
              <w:tc>
                <w:tcPr>
                  <w:tcW w:w="1350" w:type="dxa"/>
                  <w:tcBorders>
                    <w:tl2br w:val="nil"/>
                    <w:tr2bl w:val="nil"/>
                  </w:tcBorders>
                  <w:noWrap w:val="0"/>
                  <w:vAlign w:val="center"/>
                </w:tcPr>
                <w:p w14:paraId="373763D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1530" w:type="dxa"/>
                  <w:tcBorders>
                    <w:tl2br w:val="nil"/>
                    <w:tr2bl w:val="nil"/>
                  </w:tcBorders>
                  <w:noWrap w:val="0"/>
                  <w:vAlign w:val="center"/>
                </w:tcPr>
                <w:p w14:paraId="53742D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15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0.03</w:t>
                  </w:r>
                  <w:r>
                    <w:rPr>
                      <w:rFonts w:hint="default" w:ascii="Times New Roman" w:hAnsi="Times New Roman" w:eastAsia="宋体" w:cs="Times New Roman"/>
                      <w:color w:val="auto"/>
                      <w:sz w:val="21"/>
                      <w:szCs w:val="21"/>
                      <w:lang w:val="en-US" w:eastAsia="zh-CN"/>
                    </w:rPr>
                    <w:t>t/a</w:t>
                  </w:r>
                </w:p>
              </w:tc>
              <w:tc>
                <w:tcPr>
                  <w:tcW w:w="1376" w:type="dxa"/>
                  <w:tcBorders>
                    <w:tl2br w:val="nil"/>
                    <w:tr2bl w:val="nil"/>
                  </w:tcBorders>
                  <w:noWrap w:val="0"/>
                  <w:vAlign w:val="center"/>
                </w:tcPr>
                <w:p w14:paraId="531118B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0.03</w:t>
                  </w:r>
                  <w:r>
                    <w:rPr>
                      <w:rFonts w:hint="default" w:ascii="Times New Roman" w:hAnsi="Times New Roman" w:eastAsia="宋体" w:cs="Times New Roman"/>
                      <w:color w:val="auto"/>
                      <w:sz w:val="21"/>
                      <w:szCs w:val="21"/>
                      <w:lang w:val="en-US" w:eastAsia="zh-CN"/>
                    </w:rPr>
                    <w:t>t/a</w:t>
                  </w:r>
                </w:p>
              </w:tc>
              <w:tc>
                <w:tcPr>
                  <w:tcW w:w="2550" w:type="dxa"/>
                  <w:vMerge w:val="continue"/>
                  <w:tcBorders>
                    <w:tl2br w:val="nil"/>
                    <w:tr2bl w:val="nil"/>
                  </w:tcBorders>
                  <w:noWrap w:val="0"/>
                  <w:vAlign w:val="center"/>
                </w:tcPr>
                <w:p w14:paraId="47AA0E4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kern w:val="0"/>
                      <w:sz w:val="21"/>
                      <w:szCs w:val="21"/>
                    </w:rPr>
                  </w:pPr>
                </w:p>
              </w:tc>
            </w:tr>
            <w:tr w14:paraId="2468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dxa"/>
                  <w:vMerge w:val="restart"/>
                  <w:tcBorders>
                    <w:tl2br w:val="nil"/>
                    <w:tr2bl w:val="nil"/>
                  </w:tcBorders>
                  <w:noWrap w:val="0"/>
                  <w:vAlign w:val="center"/>
                </w:tcPr>
                <w:p w14:paraId="67B60F6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固体废物</w:t>
                  </w:r>
                </w:p>
              </w:tc>
              <w:tc>
                <w:tcPr>
                  <w:tcW w:w="1139" w:type="dxa"/>
                  <w:tcBorders>
                    <w:tl2br w:val="nil"/>
                    <w:tr2bl w:val="nil"/>
                  </w:tcBorders>
                  <w:noWrap w:val="0"/>
                  <w:vAlign w:val="center"/>
                </w:tcPr>
                <w:p w14:paraId="12F1956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350" w:type="dxa"/>
                  <w:tcBorders>
                    <w:tl2br w:val="nil"/>
                    <w:tr2bl w:val="nil"/>
                  </w:tcBorders>
                  <w:noWrap w:val="0"/>
                  <w:vAlign w:val="center"/>
                </w:tcPr>
                <w:p w14:paraId="235C43E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530" w:type="dxa"/>
                  <w:tcBorders>
                    <w:tl2br w:val="nil"/>
                    <w:tr2bl w:val="nil"/>
                  </w:tcBorders>
                  <w:noWrap w:val="0"/>
                  <w:vAlign w:val="center"/>
                </w:tcPr>
                <w:p w14:paraId="719A69D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3.65</w:t>
                  </w:r>
                </w:p>
              </w:tc>
              <w:tc>
                <w:tcPr>
                  <w:tcW w:w="1376" w:type="dxa"/>
                  <w:tcBorders>
                    <w:tl2br w:val="nil"/>
                    <w:tr2bl w:val="nil"/>
                  </w:tcBorders>
                  <w:noWrap w:val="0"/>
                  <w:vAlign w:val="center"/>
                </w:tcPr>
                <w:p w14:paraId="4F5DB5E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2550" w:type="dxa"/>
                  <w:tcBorders>
                    <w:tl2br w:val="nil"/>
                    <w:tr2bl w:val="nil"/>
                  </w:tcBorders>
                  <w:noWrap w:val="0"/>
                  <w:vAlign w:val="center"/>
                </w:tcPr>
                <w:p w14:paraId="14B173A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由环卫部门统一清理外运</w:t>
                  </w:r>
                </w:p>
              </w:tc>
            </w:tr>
            <w:tr w14:paraId="1541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0ADDAA9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p>
              </w:tc>
              <w:tc>
                <w:tcPr>
                  <w:tcW w:w="1139" w:type="dxa"/>
                  <w:vMerge w:val="restart"/>
                  <w:tcBorders>
                    <w:tl2br w:val="nil"/>
                    <w:tr2bl w:val="nil"/>
                  </w:tcBorders>
                  <w:noWrap w:val="0"/>
                  <w:vAlign w:val="center"/>
                </w:tcPr>
                <w:p w14:paraId="422C4A2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一般固废</w:t>
                  </w:r>
                </w:p>
              </w:tc>
              <w:tc>
                <w:tcPr>
                  <w:tcW w:w="1350" w:type="dxa"/>
                  <w:tcBorders>
                    <w:tl2br w:val="nil"/>
                    <w:tr2bl w:val="nil"/>
                  </w:tcBorders>
                  <w:noWrap w:val="0"/>
                  <w:vAlign w:val="center"/>
                </w:tcPr>
                <w:p w14:paraId="2A06DC0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highlight w:val="none"/>
                      <w:lang w:val="en-US" w:eastAsia="zh-CN" w:bidi="ar-SA"/>
                    </w:rPr>
                    <w:t>废包装</w:t>
                  </w:r>
                  <w:r>
                    <w:rPr>
                      <w:rFonts w:hint="eastAsia" w:ascii="Times New Roman" w:hAnsi="Times New Roman" w:cs="Times New Roman"/>
                      <w:color w:val="auto"/>
                      <w:kern w:val="2"/>
                      <w:sz w:val="21"/>
                      <w:szCs w:val="21"/>
                      <w:highlight w:val="none"/>
                      <w:lang w:val="en-US" w:eastAsia="zh-CN" w:bidi="ar-SA"/>
                    </w:rPr>
                    <w:t>材料</w:t>
                  </w:r>
                </w:p>
              </w:tc>
              <w:tc>
                <w:tcPr>
                  <w:tcW w:w="1530" w:type="dxa"/>
                  <w:tcBorders>
                    <w:tl2br w:val="nil"/>
                    <w:tr2bl w:val="nil"/>
                  </w:tcBorders>
                  <w:noWrap w:val="0"/>
                  <w:vAlign w:val="center"/>
                </w:tcPr>
                <w:p w14:paraId="0177D13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eastAsia" w:ascii="Times New Roman" w:hAnsi="Times New Roman" w:eastAsia="宋体" w:cs="Times New Roman"/>
                      <w:color w:val="auto"/>
                      <w:sz w:val="21"/>
                      <w:szCs w:val="21"/>
                      <w:lang w:val="en-US" w:eastAsia="zh-CN"/>
                    </w:rPr>
                  </w:pPr>
                  <w:r>
                    <w:rPr>
                      <w:rFonts w:hint="eastAsia"/>
                      <w:snapToGrid w:val="0"/>
                      <w:color w:val="auto"/>
                      <w:kern w:val="21"/>
                      <w:szCs w:val="21"/>
                      <w:lang w:val="en-US" w:eastAsia="zh-CN"/>
                    </w:rPr>
                    <w:t>0.2</w:t>
                  </w:r>
                </w:p>
              </w:tc>
              <w:tc>
                <w:tcPr>
                  <w:tcW w:w="1376" w:type="dxa"/>
                  <w:tcBorders>
                    <w:tl2br w:val="nil"/>
                    <w:tr2bl w:val="nil"/>
                  </w:tcBorders>
                  <w:noWrap w:val="0"/>
                  <w:vAlign w:val="center"/>
                </w:tcPr>
                <w:p w14:paraId="7902F59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2550" w:type="dxa"/>
                  <w:vMerge w:val="restart"/>
                  <w:tcBorders>
                    <w:tl2br w:val="nil"/>
                    <w:tr2bl w:val="nil"/>
                  </w:tcBorders>
                  <w:noWrap w:val="0"/>
                  <w:vAlign w:val="center"/>
                </w:tcPr>
                <w:p w14:paraId="3D19D08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外售综合利用</w:t>
                  </w:r>
                </w:p>
              </w:tc>
            </w:tr>
            <w:tr w14:paraId="2ABF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17CF904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p>
              </w:tc>
              <w:tc>
                <w:tcPr>
                  <w:tcW w:w="1139" w:type="dxa"/>
                  <w:vMerge w:val="continue"/>
                  <w:tcBorders>
                    <w:tl2br w:val="nil"/>
                    <w:tr2bl w:val="nil"/>
                  </w:tcBorders>
                  <w:noWrap w:val="0"/>
                  <w:vAlign w:val="center"/>
                </w:tcPr>
                <w:p w14:paraId="6035220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lang w:val="en-US" w:eastAsia="zh-CN"/>
                    </w:rPr>
                  </w:pPr>
                </w:p>
              </w:tc>
              <w:tc>
                <w:tcPr>
                  <w:tcW w:w="1350" w:type="dxa"/>
                  <w:tcBorders>
                    <w:tl2br w:val="nil"/>
                    <w:tr2bl w:val="nil"/>
                  </w:tcBorders>
                  <w:noWrap w:val="0"/>
                  <w:vAlign w:val="center"/>
                </w:tcPr>
                <w:p w14:paraId="24DA263C">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废培养基</w:t>
                  </w:r>
                </w:p>
              </w:tc>
              <w:tc>
                <w:tcPr>
                  <w:tcW w:w="1530" w:type="dxa"/>
                  <w:tcBorders>
                    <w:tl2br w:val="nil"/>
                    <w:tr2bl w:val="nil"/>
                  </w:tcBorders>
                  <w:noWrap w:val="0"/>
                  <w:vAlign w:val="center"/>
                </w:tcPr>
                <w:p w14:paraId="32D8EDDC">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olor w:val="auto"/>
                      <w:szCs w:val="21"/>
                      <w:lang w:val="en-US" w:eastAsia="zh-CN"/>
                    </w:rPr>
                    <w:t>0.005</w:t>
                  </w:r>
                </w:p>
              </w:tc>
              <w:tc>
                <w:tcPr>
                  <w:tcW w:w="1376" w:type="dxa"/>
                  <w:tcBorders>
                    <w:tl2br w:val="nil"/>
                    <w:tr2bl w:val="nil"/>
                  </w:tcBorders>
                  <w:noWrap w:val="0"/>
                  <w:vAlign w:val="center"/>
                </w:tcPr>
                <w:p w14:paraId="6A0044D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2550" w:type="dxa"/>
                  <w:vMerge w:val="continue"/>
                  <w:tcBorders>
                    <w:tl2br w:val="nil"/>
                    <w:tr2bl w:val="nil"/>
                  </w:tcBorders>
                  <w:noWrap w:val="0"/>
                  <w:vAlign w:val="center"/>
                </w:tcPr>
                <w:p w14:paraId="33C2E2B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p>
              </w:tc>
            </w:tr>
            <w:tr w14:paraId="5E9F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4548068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p>
              </w:tc>
              <w:tc>
                <w:tcPr>
                  <w:tcW w:w="1139" w:type="dxa"/>
                  <w:vMerge w:val="restart"/>
                  <w:tcBorders>
                    <w:tl2br w:val="nil"/>
                    <w:tr2bl w:val="nil"/>
                  </w:tcBorders>
                  <w:noWrap w:val="0"/>
                  <w:vAlign w:val="center"/>
                </w:tcPr>
                <w:p w14:paraId="5AF82D3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w:t>
                  </w:r>
                </w:p>
              </w:tc>
              <w:tc>
                <w:tcPr>
                  <w:tcW w:w="1350" w:type="dxa"/>
                  <w:tcBorders>
                    <w:tl2br w:val="nil"/>
                    <w:tr2bl w:val="nil"/>
                  </w:tcBorders>
                  <w:noWrap w:val="0"/>
                  <w:vAlign w:val="center"/>
                </w:tcPr>
                <w:p w14:paraId="7282919A">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实验废液</w:t>
                  </w:r>
                </w:p>
              </w:tc>
              <w:tc>
                <w:tcPr>
                  <w:tcW w:w="1530" w:type="dxa"/>
                  <w:tcBorders>
                    <w:tl2br w:val="nil"/>
                    <w:tr2bl w:val="nil"/>
                  </w:tcBorders>
                  <w:noWrap w:val="0"/>
                  <w:vAlign w:val="center"/>
                </w:tcPr>
                <w:p w14:paraId="1AA20CDC">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0.025</w:t>
                  </w:r>
                </w:p>
              </w:tc>
              <w:tc>
                <w:tcPr>
                  <w:tcW w:w="1376" w:type="dxa"/>
                  <w:tcBorders>
                    <w:tl2br w:val="nil"/>
                    <w:tr2bl w:val="nil"/>
                  </w:tcBorders>
                  <w:noWrap w:val="0"/>
                  <w:vAlign w:val="center"/>
                </w:tcPr>
                <w:p w14:paraId="538250D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2550" w:type="dxa"/>
                  <w:vMerge w:val="restart"/>
                  <w:tcBorders>
                    <w:tl2br w:val="nil"/>
                    <w:tr2bl w:val="nil"/>
                  </w:tcBorders>
                  <w:noWrap w:val="0"/>
                  <w:vAlign w:val="center"/>
                </w:tcPr>
                <w:p w14:paraId="3D18C4B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厂区暂存</w:t>
                  </w:r>
                </w:p>
              </w:tc>
            </w:tr>
            <w:tr w14:paraId="2DD5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dxa"/>
                  <w:vMerge w:val="continue"/>
                </w:tcPr>
                <w:p w14:paraId="0B194DF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p>
              </w:tc>
              <w:tc>
                <w:tcPr>
                  <w:tcW w:w="1139" w:type="dxa"/>
                  <w:vMerge w:val="continue"/>
                </w:tcPr>
                <w:p w14:paraId="6FB9F8C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lang w:val="en-US" w:eastAsia="zh-CN"/>
                    </w:rPr>
                  </w:pPr>
                </w:p>
              </w:tc>
              <w:tc>
                <w:tcPr>
                  <w:tcW w:w="1350" w:type="dxa"/>
                  <w:vAlign w:val="center"/>
                </w:tcPr>
                <w:p w14:paraId="616C93A1">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废润滑油</w:t>
                  </w:r>
                </w:p>
              </w:tc>
              <w:tc>
                <w:tcPr>
                  <w:tcW w:w="1530" w:type="dxa"/>
                  <w:vAlign w:val="center"/>
                </w:tcPr>
                <w:p w14:paraId="709A55AF">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0.08</w:t>
                  </w:r>
                </w:p>
              </w:tc>
              <w:tc>
                <w:tcPr>
                  <w:tcW w:w="1376" w:type="dxa"/>
                </w:tcPr>
                <w:p w14:paraId="3473D4E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2550" w:type="dxa"/>
                  <w:vMerge w:val="continue"/>
                </w:tcPr>
                <w:p w14:paraId="4E7706E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p>
              </w:tc>
            </w:tr>
            <w:tr w14:paraId="659F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dxa"/>
                  <w:vMerge w:val="continue"/>
                </w:tcPr>
                <w:p w14:paraId="17C65B2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bCs/>
                      <w:color w:val="auto"/>
                      <w:kern w:val="0"/>
                      <w:sz w:val="21"/>
                      <w:szCs w:val="21"/>
                    </w:rPr>
                  </w:pPr>
                </w:p>
              </w:tc>
              <w:tc>
                <w:tcPr>
                  <w:tcW w:w="1139" w:type="dxa"/>
                  <w:vMerge w:val="continue"/>
                </w:tcPr>
                <w:p w14:paraId="68E4D47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lang w:val="en-US" w:eastAsia="zh-CN"/>
                    </w:rPr>
                  </w:pPr>
                </w:p>
              </w:tc>
              <w:tc>
                <w:tcPr>
                  <w:tcW w:w="1350" w:type="dxa"/>
                  <w:vAlign w:val="center"/>
                </w:tcPr>
                <w:p w14:paraId="68E3D373">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废包装瓶/桶</w:t>
                  </w:r>
                </w:p>
              </w:tc>
              <w:tc>
                <w:tcPr>
                  <w:tcW w:w="1530" w:type="dxa"/>
                  <w:vAlign w:val="center"/>
                </w:tcPr>
                <w:p w14:paraId="681A837D">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0.008</w:t>
                  </w:r>
                </w:p>
              </w:tc>
              <w:tc>
                <w:tcPr>
                  <w:tcW w:w="1376" w:type="dxa"/>
                </w:tcPr>
                <w:p w14:paraId="3007AAF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2550" w:type="dxa"/>
                  <w:vMerge w:val="continue"/>
                </w:tcPr>
                <w:p w14:paraId="183BCC9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contextualSpacing/>
                    <w:jc w:val="center"/>
                    <w:textAlignment w:val="auto"/>
                    <w:rPr>
                      <w:rFonts w:hint="default" w:ascii="Times New Roman" w:hAnsi="Times New Roman" w:eastAsia="宋体" w:cs="Times New Roman"/>
                      <w:color w:val="auto"/>
                      <w:sz w:val="21"/>
                      <w:szCs w:val="21"/>
                    </w:rPr>
                  </w:pPr>
                </w:p>
              </w:tc>
            </w:tr>
          </w:tbl>
          <w:p w14:paraId="2E1F157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98" w:firstLineChars="200"/>
              <w:textAlignment w:val="auto"/>
              <w:rPr>
                <w:rFonts w:hint="default" w:ascii="Times New Roman" w:hAnsi="Times New Roman" w:eastAsia="宋体" w:cs="Times New Roman"/>
                <w:b/>
                <w:bCs w:val="0"/>
                <w:i w:val="0"/>
                <w:iCs w:val="0"/>
                <w:color w:val="auto"/>
                <w:spacing w:val="4"/>
                <w:sz w:val="24"/>
              </w:rPr>
            </w:pPr>
            <w:r>
              <w:rPr>
                <w:rFonts w:hint="default" w:ascii="Times New Roman" w:hAnsi="Times New Roman" w:eastAsia="宋体" w:cs="Times New Roman"/>
                <w:b/>
                <w:bCs w:val="0"/>
                <w:i w:val="0"/>
                <w:iCs w:val="0"/>
                <w:color w:val="auto"/>
                <w:spacing w:val="4"/>
                <w:sz w:val="24"/>
              </w:rPr>
              <w:t>3、现有项目存在的主要环境问题及整改措施</w:t>
            </w:r>
          </w:p>
          <w:p w14:paraId="011050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现有项目已投产运行，目前存在的主要环境问题有：</w:t>
            </w:r>
            <w:r>
              <w:rPr>
                <w:rFonts w:hint="eastAsia" w:cs="Times New Roman"/>
                <w:color w:val="auto"/>
                <w:sz w:val="24"/>
                <w:szCs w:val="24"/>
                <w:highlight w:val="none"/>
                <w:lang w:val="en-US" w:eastAsia="zh-CN"/>
              </w:rPr>
              <w:t>现有水池部分有裂缝现象，污泥系统建成后一直未启用，</w:t>
            </w:r>
            <w:r>
              <w:rPr>
                <w:rFonts w:hint="default"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实际生产使用润滑油，</w:t>
            </w:r>
            <w:r>
              <w:rPr>
                <w:rFonts w:hint="default" w:ascii="Times New Roman" w:hAnsi="Times New Roman" w:eastAsia="宋体" w:cs="Times New Roman"/>
                <w:color w:val="auto"/>
                <w:sz w:val="24"/>
                <w:szCs w:val="24"/>
                <w:highlight w:val="none"/>
                <w:lang w:val="en-US" w:eastAsia="zh-CN"/>
              </w:rPr>
              <w:t>未设置危废暂存间，其它方面无有关的原有污染问题。</w:t>
            </w:r>
          </w:p>
          <w:p w14:paraId="2B3A3FFF">
            <w:pPr>
              <w:pStyle w:val="30"/>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表2-1</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pacing w:val="4"/>
                <w:highlight w:val="none"/>
                <w:lang w:val="en-US" w:eastAsia="zh-CN"/>
              </w:rPr>
              <w:t>原有项目</w:t>
            </w:r>
            <w:r>
              <w:rPr>
                <w:rFonts w:hint="default" w:ascii="Times New Roman" w:hAnsi="Times New Roman" w:eastAsia="宋体" w:cs="Times New Roman"/>
                <w:b/>
                <w:bCs/>
                <w:color w:val="auto"/>
                <w:spacing w:val="4"/>
                <w:highlight w:val="none"/>
              </w:rPr>
              <w:t>主</w:t>
            </w:r>
            <w:r>
              <w:rPr>
                <w:rFonts w:hint="default" w:ascii="Times New Roman" w:hAnsi="Times New Roman" w:eastAsia="宋体" w:cs="Times New Roman"/>
                <w:b/>
                <w:bCs/>
                <w:color w:val="auto"/>
                <w:highlight w:val="none"/>
              </w:rPr>
              <w:t>要环境问题</w:t>
            </w:r>
            <w:r>
              <w:rPr>
                <w:rFonts w:hint="default" w:ascii="Times New Roman" w:hAnsi="Times New Roman" w:eastAsia="宋体" w:cs="Times New Roman"/>
                <w:b/>
                <w:bCs/>
                <w:color w:val="auto"/>
                <w:highlight w:val="none"/>
                <w:lang w:val="en-US" w:eastAsia="zh-CN"/>
              </w:rPr>
              <w:t>梳理及</w:t>
            </w:r>
            <w:r>
              <w:rPr>
                <w:rFonts w:hint="default" w:ascii="Times New Roman" w:hAnsi="Times New Roman" w:eastAsia="宋体" w:cs="Times New Roman"/>
                <w:b/>
                <w:bCs/>
                <w:color w:val="auto"/>
                <w:highlight w:val="none"/>
              </w:rPr>
              <w:t>整改措施</w:t>
            </w:r>
            <w:r>
              <w:rPr>
                <w:rFonts w:hint="default" w:ascii="Times New Roman" w:hAnsi="Times New Roman" w:eastAsia="宋体" w:cs="Times New Roman"/>
                <w:b/>
                <w:bCs/>
                <w:color w:val="auto"/>
                <w:highlight w:val="none"/>
                <w:lang w:val="en-US" w:eastAsia="zh-CN"/>
              </w:rPr>
              <w:t>要求</w:t>
            </w:r>
          </w:p>
          <w:tbl>
            <w:tblPr>
              <w:tblStyle w:val="31"/>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3204"/>
              <w:gridCol w:w="3200"/>
              <w:gridCol w:w="1519"/>
            </w:tblGrid>
            <w:tr w14:paraId="7E84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noWrap w:val="0"/>
                  <w:vAlign w:val="center"/>
                </w:tcPr>
                <w:p w14:paraId="611539E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3204" w:type="dxa"/>
                  <w:tcBorders>
                    <w:tl2br w:val="nil"/>
                    <w:tr2bl w:val="nil"/>
                  </w:tcBorders>
                  <w:noWrap w:val="0"/>
                  <w:vAlign w:val="center"/>
                </w:tcPr>
                <w:p w14:paraId="57315C1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原有项目主要</w:t>
                  </w:r>
                  <w:r>
                    <w:rPr>
                      <w:rFonts w:hint="default" w:ascii="Times New Roman" w:hAnsi="Times New Roman" w:eastAsia="宋体" w:cs="Times New Roman"/>
                      <w:bCs/>
                      <w:color w:val="auto"/>
                      <w:sz w:val="21"/>
                      <w:szCs w:val="21"/>
                      <w:highlight w:val="none"/>
                    </w:rPr>
                    <w:t>环境问题</w:t>
                  </w:r>
                </w:p>
              </w:tc>
              <w:tc>
                <w:tcPr>
                  <w:tcW w:w="3200" w:type="dxa"/>
                  <w:tcBorders>
                    <w:tl2br w:val="nil"/>
                    <w:tr2bl w:val="nil"/>
                  </w:tcBorders>
                  <w:noWrap w:val="0"/>
                  <w:vAlign w:val="center"/>
                </w:tcPr>
                <w:p w14:paraId="669A0C8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整改措施</w:t>
                  </w:r>
                  <w:r>
                    <w:rPr>
                      <w:rFonts w:hint="default" w:ascii="Times New Roman" w:hAnsi="Times New Roman" w:eastAsia="宋体" w:cs="Times New Roman"/>
                      <w:bCs/>
                      <w:color w:val="auto"/>
                      <w:sz w:val="21"/>
                      <w:szCs w:val="21"/>
                      <w:highlight w:val="none"/>
                      <w:lang w:val="en-US" w:eastAsia="zh-CN"/>
                    </w:rPr>
                    <w:t>要求</w:t>
                  </w:r>
                </w:p>
              </w:tc>
              <w:tc>
                <w:tcPr>
                  <w:tcW w:w="1519" w:type="dxa"/>
                  <w:tcBorders>
                    <w:tl2br w:val="nil"/>
                    <w:tr2bl w:val="nil"/>
                  </w:tcBorders>
                  <w:noWrap w:val="0"/>
                  <w:vAlign w:val="center"/>
                </w:tcPr>
                <w:p w14:paraId="41967CA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整改时间</w:t>
                  </w:r>
                </w:p>
              </w:tc>
            </w:tr>
            <w:tr w14:paraId="7094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noWrap w:val="0"/>
                  <w:vAlign w:val="center"/>
                </w:tcPr>
                <w:p w14:paraId="79EE03B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204" w:type="dxa"/>
                  <w:tcBorders>
                    <w:tl2br w:val="nil"/>
                    <w:tr2bl w:val="nil"/>
                  </w:tcBorders>
                  <w:noWrap w:val="0"/>
                  <w:vAlign w:val="center"/>
                </w:tcPr>
                <w:p w14:paraId="730BA48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厂区未设置危废暂存间</w:t>
                  </w:r>
                </w:p>
              </w:tc>
              <w:tc>
                <w:tcPr>
                  <w:tcW w:w="3200" w:type="dxa"/>
                  <w:tcBorders>
                    <w:tl2br w:val="nil"/>
                    <w:tr2bl w:val="nil"/>
                  </w:tcBorders>
                  <w:noWrap w:val="0"/>
                  <w:vAlign w:val="center"/>
                </w:tcPr>
                <w:p w14:paraId="66A8D8C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厂区新建一间危废暂存间，并采取重点防渗措施</w:t>
                  </w:r>
                </w:p>
              </w:tc>
              <w:tc>
                <w:tcPr>
                  <w:tcW w:w="1519" w:type="dxa"/>
                  <w:tcBorders>
                    <w:tl2br w:val="nil"/>
                    <w:tr2bl w:val="nil"/>
                  </w:tcBorders>
                  <w:noWrap w:val="0"/>
                  <w:vAlign w:val="center"/>
                </w:tcPr>
                <w:p w14:paraId="4D0046C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2024年10月底</w:t>
                  </w:r>
                </w:p>
              </w:tc>
            </w:tr>
            <w:tr w14:paraId="73C4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noWrap w:val="0"/>
                  <w:vAlign w:val="center"/>
                </w:tcPr>
                <w:p w14:paraId="4F42111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204" w:type="dxa"/>
                  <w:tcBorders>
                    <w:tl2br w:val="nil"/>
                    <w:tr2bl w:val="nil"/>
                  </w:tcBorders>
                  <w:noWrap w:val="0"/>
                  <w:vAlign w:val="center"/>
                </w:tcPr>
                <w:p w14:paraId="541E604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折板絮凝平流沉淀池池体存在几处较大的裂缝，且有渗水现象</w:t>
                  </w:r>
                  <w:r>
                    <w:rPr>
                      <w:rFonts w:hint="eastAsia" w:cs="Times New Roman"/>
                      <w:color w:val="auto"/>
                      <w:sz w:val="21"/>
                      <w:szCs w:val="21"/>
                      <w:highlight w:val="none"/>
                      <w:lang w:val="en-US" w:eastAsia="zh-CN"/>
                    </w:rPr>
                    <w:t>；滤池正常使用中，根据现场情况调查，反冲洗总阀目前无法关闭，其余6个反冲洗阀门正常使用；普通滤池西南及东北侧两处流量计故障，无法正常使用</w:t>
                  </w:r>
                </w:p>
              </w:tc>
              <w:tc>
                <w:tcPr>
                  <w:tcW w:w="3200" w:type="dxa"/>
                  <w:tcBorders>
                    <w:tl2br w:val="nil"/>
                    <w:tr2bl w:val="nil"/>
                  </w:tcBorders>
                  <w:noWrap w:val="0"/>
                  <w:vAlign w:val="center"/>
                </w:tcPr>
                <w:p w14:paraId="3E41DD0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对水池、设备等及时进行维护检修</w:t>
                  </w:r>
                </w:p>
              </w:tc>
              <w:tc>
                <w:tcPr>
                  <w:tcW w:w="1519" w:type="dxa"/>
                  <w:tcBorders>
                    <w:tl2br w:val="nil"/>
                    <w:tr2bl w:val="nil"/>
                  </w:tcBorders>
                  <w:noWrap w:val="0"/>
                  <w:vAlign w:val="center"/>
                </w:tcPr>
                <w:p w14:paraId="64CA84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rPr>
                    <w:t>与本次改建项目同步进行</w:t>
                  </w:r>
                </w:p>
              </w:tc>
            </w:tr>
            <w:tr w14:paraId="01A7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noWrap w:val="0"/>
                  <w:vAlign w:val="center"/>
                </w:tcPr>
                <w:p w14:paraId="2B1A1C4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3204" w:type="dxa"/>
                  <w:tcBorders>
                    <w:tl2br w:val="nil"/>
                    <w:tr2bl w:val="nil"/>
                  </w:tcBorders>
                  <w:noWrap w:val="0"/>
                  <w:vAlign w:val="center"/>
                </w:tcPr>
                <w:p w14:paraId="3CF95D0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污泥系统建成后一直未启用，已弃用多年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厂区产生的污泥目前直排厂区外的朱大沟水渠</w:t>
                  </w:r>
                </w:p>
              </w:tc>
              <w:tc>
                <w:tcPr>
                  <w:tcW w:w="3200" w:type="dxa"/>
                  <w:tcBorders>
                    <w:tl2br w:val="nil"/>
                    <w:tr2bl w:val="nil"/>
                  </w:tcBorders>
                  <w:noWrap w:val="0"/>
                  <w:vAlign w:val="center"/>
                </w:tcPr>
                <w:p w14:paraId="45AFC2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完善建设一套污泥处理系统，避免污泥污染风险</w:t>
                  </w:r>
                </w:p>
              </w:tc>
              <w:tc>
                <w:tcPr>
                  <w:tcW w:w="1519" w:type="dxa"/>
                  <w:tcBorders>
                    <w:tl2br w:val="nil"/>
                    <w:tr2bl w:val="nil"/>
                  </w:tcBorders>
                  <w:noWrap w:val="0"/>
                  <w:vAlign w:val="center"/>
                </w:tcPr>
                <w:p w14:paraId="61AF35D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rPr>
                    <w:t>与本次改建项目同步进行</w:t>
                  </w:r>
                </w:p>
              </w:tc>
            </w:tr>
          </w:tbl>
          <w:p w14:paraId="04E2D223">
            <w:pPr>
              <w:pStyle w:val="8"/>
              <w:keepNext w:val="0"/>
              <w:keepLines w:val="0"/>
              <w:pageBreakBefore w:val="0"/>
              <w:widowControl w:val="0"/>
              <w:kinsoku/>
              <w:wordWrap/>
              <w:overflowPunct/>
              <w:topLinePunct w:val="0"/>
              <w:bidi w:val="0"/>
              <w:spacing w:before="0" w:beforeAutospacing="0" w:after="0" w:afterAutospacing="0"/>
              <w:ind w:left="0" w:leftChars="0" w:right="0"/>
              <w:jc w:val="center"/>
              <w:rPr>
                <w:color w:val="auto"/>
              </w:rPr>
            </w:pPr>
            <w:r>
              <w:rPr>
                <w:color w:val="auto"/>
              </w:rPr>
              <w:drawing>
                <wp:inline distT="0" distB="0" distL="114300" distR="114300">
                  <wp:extent cx="2607945" cy="3477895"/>
                  <wp:effectExtent l="0" t="0" r="1905" b="8255"/>
                  <wp:docPr id="44" name="图片 44" descr="IMG_20230601_13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30601_135347"/>
                          <pic:cNvPicPr>
                            <a:picLocks noChangeAspect="1"/>
                          </pic:cNvPicPr>
                        </pic:nvPicPr>
                        <pic:blipFill>
                          <a:blip r:embed="rId24"/>
                          <a:stretch>
                            <a:fillRect/>
                          </a:stretch>
                        </pic:blipFill>
                        <pic:spPr>
                          <a:xfrm>
                            <a:off x="0" y="0"/>
                            <a:ext cx="2607945" cy="3477895"/>
                          </a:xfrm>
                          <a:prstGeom prst="rect">
                            <a:avLst/>
                          </a:prstGeom>
                        </pic:spPr>
                      </pic:pic>
                    </a:graphicData>
                  </a:graphic>
                </wp:inline>
              </w:drawing>
            </w:r>
            <w:r>
              <w:rPr>
                <w:rFonts w:hint="eastAsia"/>
                <w:color w:val="auto"/>
              </w:rPr>
              <w:t xml:space="preserve">  </w:t>
            </w:r>
            <w:r>
              <w:rPr>
                <w:color w:val="auto"/>
              </w:rPr>
              <w:drawing>
                <wp:inline distT="0" distB="0" distL="114300" distR="114300">
                  <wp:extent cx="3453130" cy="2590800"/>
                  <wp:effectExtent l="0" t="0" r="0" b="13970"/>
                  <wp:docPr id="48" name="图片 48" descr="2e07eff133e05e88567b026b061e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e07eff133e05e88567b026b061e3ca"/>
                          <pic:cNvPicPr>
                            <a:picLocks noChangeAspect="1"/>
                          </pic:cNvPicPr>
                        </pic:nvPicPr>
                        <pic:blipFill>
                          <a:blip r:embed="rId25"/>
                          <a:stretch>
                            <a:fillRect/>
                          </a:stretch>
                        </pic:blipFill>
                        <pic:spPr>
                          <a:xfrm rot="5400000">
                            <a:off x="0" y="0"/>
                            <a:ext cx="3453130" cy="2590800"/>
                          </a:xfrm>
                          <a:prstGeom prst="rect">
                            <a:avLst/>
                          </a:prstGeom>
                        </pic:spPr>
                      </pic:pic>
                    </a:graphicData>
                  </a:graphic>
                </wp:inline>
              </w:drawing>
            </w:r>
          </w:p>
          <w:p w14:paraId="23C9A13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图2-14  絮凝沉淀池现场裂缝情况</w:t>
            </w:r>
          </w:p>
          <w:p w14:paraId="53D89B92">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b w:val="0"/>
                <w:bCs w:val="0"/>
                <w:color w:val="auto"/>
                <w:lang w:val="en-US" w:eastAsia="zh-CN"/>
              </w:rPr>
            </w:pPr>
          </w:p>
          <w:p w14:paraId="778A71DE">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b w:val="0"/>
                <w:bCs w:val="0"/>
                <w:color w:val="auto"/>
                <w:lang w:val="en-US" w:eastAsia="zh-CN"/>
              </w:rPr>
            </w:pPr>
          </w:p>
          <w:p w14:paraId="62FD151F">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b w:val="0"/>
                <w:bCs w:val="0"/>
                <w:color w:val="auto"/>
                <w:lang w:val="en-US" w:eastAsia="zh-CN"/>
              </w:rPr>
            </w:pPr>
          </w:p>
          <w:p w14:paraId="38F375E2">
            <w:pPr>
              <w:pStyle w:val="61"/>
              <w:keepNext w:val="0"/>
              <w:keepLines w:val="0"/>
              <w:pageBreakBefore w:val="0"/>
              <w:widowControl w:val="0"/>
              <w:kinsoku/>
              <w:wordWrap/>
              <w:overflowPunct/>
              <w:topLinePunct w:val="0"/>
              <w:bidi w:val="0"/>
              <w:spacing w:beforeAutospacing="0" w:afterAutospacing="0"/>
              <w:ind w:left="0" w:leftChars="0" w:right="0" w:firstLine="480"/>
              <w:rPr>
                <w:rFonts w:hint="eastAsia" w:eastAsia="宋体"/>
                <w:b w:val="0"/>
                <w:bCs w:val="0"/>
                <w:color w:val="auto"/>
                <w:lang w:val="en-US" w:eastAsia="zh-CN"/>
              </w:rPr>
            </w:pPr>
          </w:p>
        </w:tc>
      </w:tr>
    </w:tbl>
    <w:p w14:paraId="122BBDA9">
      <w:pPr>
        <w:pStyle w:val="27"/>
        <w:keepNext w:val="0"/>
        <w:keepLines w:val="0"/>
        <w:pageBreakBefore w:val="0"/>
        <w:widowControl w:val="0"/>
        <w:kinsoku/>
        <w:overflowPunct/>
        <w:bidi w:val="0"/>
        <w:spacing w:before="0" w:beforeAutospacing="0" w:after="0" w:afterAutospacing="0"/>
        <w:ind w:left="0" w:leftChars="0"/>
        <w:jc w:val="center"/>
        <w:rPr>
          <w:rFonts w:ascii="黑体" w:hAnsi="黑体" w:eastAsia="黑体"/>
          <w:snapToGrid w:val="0"/>
          <w:color w:val="auto"/>
          <w:sz w:val="36"/>
          <w:szCs w:val="36"/>
        </w:rPr>
        <w:sectPr>
          <w:pgSz w:w="11906" w:h="16838"/>
          <w:pgMar w:top="1417" w:right="1417" w:bottom="1417" w:left="1417" w:header="851" w:footer="851" w:gutter="0"/>
          <w:cols w:space="720" w:num="1"/>
          <w:docGrid w:linePitch="312" w:charSpace="0"/>
        </w:sectPr>
      </w:pPr>
    </w:p>
    <w:p w14:paraId="1ACD9A4E">
      <w:pPr>
        <w:pStyle w:val="1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b/>
          <w:bCs/>
          <w:snapToGrid w:val="0"/>
          <w:color w:val="auto"/>
          <w:sz w:val="32"/>
          <w:szCs w:val="32"/>
        </w:rPr>
      </w:pPr>
      <w:r>
        <w:rPr>
          <w:rFonts w:hint="eastAsia" w:ascii="Times New Roman" w:hAnsi="Times New Roman" w:eastAsia="宋体" w:cs="Times New Roman"/>
          <w:b/>
          <w:bCs/>
          <w:snapToGrid w:val="0"/>
          <w:color w:val="auto"/>
          <w:sz w:val="32"/>
          <w:szCs w:val="32"/>
        </w:rPr>
        <w:t>三、区域环境质量现状、环境保护目标及评价标准</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839"/>
      </w:tblGrid>
      <w:tr w14:paraId="2F1EC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450" w:type="dxa"/>
            <w:noWrap w:val="0"/>
            <w:vAlign w:val="center"/>
          </w:tcPr>
          <w:p w14:paraId="4259539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区域</w:t>
            </w:r>
          </w:p>
          <w:p w14:paraId="1BE54FB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环境</w:t>
            </w:r>
          </w:p>
          <w:p w14:paraId="5D38017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质量</w:t>
            </w:r>
          </w:p>
          <w:p w14:paraId="6C92F3F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ascii="宋体" w:hAnsi="宋体" w:cs="宋体"/>
                <w:color w:val="auto"/>
                <w:kern w:val="0"/>
                <w:szCs w:val="21"/>
              </w:rPr>
            </w:pPr>
            <w:r>
              <w:rPr>
                <w:rFonts w:hint="eastAsia" w:ascii="宋体" w:hAnsi="宋体" w:cs="宋体"/>
                <w:b/>
                <w:bCs/>
                <w:color w:val="auto"/>
                <w:kern w:val="0"/>
                <w:sz w:val="24"/>
                <w:szCs w:val="24"/>
              </w:rPr>
              <w:t>现状</w:t>
            </w:r>
          </w:p>
        </w:tc>
        <w:tc>
          <w:tcPr>
            <w:tcW w:w="8839" w:type="dxa"/>
            <w:noWrap w:val="0"/>
            <w:vAlign w:val="center"/>
          </w:tcPr>
          <w:p w14:paraId="1F2178E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outlineLvl w:val="2"/>
              <w:rPr>
                <w:rFonts w:hint="eastAsia"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val="en-US" w:eastAsia="zh-CN"/>
              </w:rPr>
              <w:t>一</w:t>
            </w:r>
            <w:r>
              <w:rPr>
                <w:rFonts w:hint="default" w:ascii="Times New Roman" w:hAnsi="Times New Roman" w:eastAsia="宋体" w:cs="Times New Roman"/>
                <w:b/>
                <w:color w:val="auto"/>
                <w:sz w:val="24"/>
                <w:szCs w:val="24"/>
              </w:rPr>
              <w:t>、</w:t>
            </w:r>
            <w:r>
              <w:rPr>
                <w:rFonts w:hint="eastAsia" w:cs="Times New Roman"/>
                <w:b/>
                <w:color w:val="auto"/>
                <w:sz w:val="24"/>
                <w:szCs w:val="24"/>
                <w:lang w:eastAsia="zh-CN"/>
              </w:rPr>
              <w:t>大气环境</w:t>
            </w:r>
          </w:p>
          <w:p w14:paraId="3A6E061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cs="Times New Roman"/>
                <w:color w:val="auto"/>
                <w:sz w:val="24"/>
                <w:lang w:eastAsia="zh-CN"/>
              </w:rPr>
            </w:pPr>
            <w:r>
              <w:rPr>
                <w:rFonts w:hint="eastAsia" w:cs="Times New Roman"/>
                <w:color w:val="auto"/>
                <w:sz w:val="24"/>
                <w:lang w:eastAsia="zh-CN"/>
              </w:rPr>
              <w:t>根据建设项目环境影响报告表编制技术指南（污染影响类）（试行）要求，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根据建设项目所在环境功能区及适用的国家、地方环境质量标准，以及地方环境质量管理要求评价大气环境质量现状达标情况。</w:t>
            </w:r>
          </w:p>
          <w:p w14:paraId="795BF23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24"/>
                <w:sz w:val="24"/>
                <w:szCs w:val="24"/>
                <w:highlight w:val="none"/>
                <w:lang w:val="en-US" w:eastAsia="zh-CN" w:bidi="ar-SA"/>
              </w:rPr>
            </w:pPr>
            <w:r>
              <w:rPr>
                <w:rFonts w:hint="eastAsia"/>
                <w:color w:val="auto"/>
                <w:sz w:val="24"/>
              </w:rPr>
              <w:t>根</w:t>
            </w:r>
            <w:r>
              <w:rPr>
                <w:color w:val="auto"/>
                <w:sz w:val="24"/>
              </w:rPr>
              <w:t>据《淮南市202</w:t>
            </w:r>
            <w:r>
              <w:rPr>
                <w:rFonts w:hint="eastAsia"/>
                <w:color w:val="auto"/>
                <w:sz w:val="24"/>
                <w:lang w:val="en-US" w:eastAsia="zh-CN"/>
              </w:rPr>
              <w:t>3</w:t>
            </w:r>
            <w:r>
              <w:rPr>
                <w:color w:val="auto"/>
                <w:sz w:val="24"/>
              </w:rPr>
              <w:t>年环境质量状况公</w:t>
            </w:r>
            <w:r>
              <w:rPr>
                <w:rFonts w:hint="default" w:ascii="Times New Roman" w:hAnsi="Times New Roman" w:eastAsia="宋体" w:cs="Times New Roman"/>
                <w:color w:val="auto"/>
                <w:kern w:val="24"/>
                <w:sz w:val="24"/>
                <w:szCs w:val="24"/>
                <w:highlight w:val="none"/>
                <w:lang w:val="en-US" w:eastAsia="zh-CN" w:bidi="ar-SA"/>
              </w:rPr>
              <w:t>报》，根据AQI标准六个空气质量级别的划分，2023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w:t>
            </w:r>
          </w:p>
          <w:p w14:paraId="74C2C73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color w:val="auto"/>
                <w:kern w:val="24"/>
                <w:sz w:val="24"/>
                <w:szCs w:val="24"/>
                <w:highlight w:val="none"/>
                <w:lang w:val="en-US" w:eastAsia="zh-CN" w:bidi="ar-SA"/>
              </w:rPr>
              <w:t>细颗粒物（PM</w:t>
            </w:r>
            <w:r>
              <w:rPr>
                <w:rFonts w:hint="default" w:ascii="Times New Roman" w:hAnsi="Times New Roman" w:eastAsia="宋体" w:cs="Times New Roman"/>
                <w:color w:val="auto"/>
                <w:kern w:val="24"/>
                <w:sz w:val="24"/>
                <w:szCs w:val="24"/>
                <w:highlight w:val="none"/>
                <w:vertAlign w:val="subscript"/>
                <w:lang w:val="en-US" w:eastAsia="zh-CN" w:bidi="ar-SA"/>
              </w:rPr>
              <w:t>2.5</w:t>
            </w:r>
            <w:r>
              <w:rPr>
                <w:rFonts w:hint="default" w:ascii="Times New Roman" w:hAnsi="Times New Roman" w:eastAsia="宋体" w:cs="Times New Roman"/>
                <w:color w:val="auto"/>
                <w:kern w:val="24"/>
                <w:sz w:val="24"/>
                <w:szCs w:val="24"/>
                <w:highlight w:val="none"/>
                <w:lang w:val="en-US" w:eastAsia="zh-CN" w:bidi="ar-SA"/>
              </w:rPr>
              <w:t>）日均浓度范围为8～252微克/立方米，日均值达标率为93.0%。年均值为38.7微克/立方米，与上年相比下降了4.4个百分点。</w:t>
            </w:r>
          </w:p>
          <w:p w14:paraId="1EE5EE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color w:val="auto"/>
                <w:kern w:val="24"/>
                <w:sz w:val="24"/>
                <w:szCs w:val="24"/>
                <w:highlight w:val="none"/>
                <w:lang w:val="en-US" w:eastAsia="zh-CN" w:bidi="ar-SA"/>
              </w:rPr>
              <w:t>可吸入颗粒物（PM</w:t>
            </w:r>
            <w:r>
              <w:rPr>
                <w:rFonts w:hint="default" w:ascii="Times New Roman" w:hAnsi="Times New Roman" w:eastAsia="宋体" w:cs="Times New Roman"/>
                <w:color w:val="auto"/>
                <w:kern w:val="24"/>
                <w:sz w:val="24"/>
                <w:szCs w:val="24"/>
                <w:highlight w:val="none"/>
                <w:vertAlign w:val="subscript"/>
                <w:lang w:val="en-US" w:eastAsia="zh-CN" w:bidi="ar-SA"/>
              </w:rPr>
              <w:t>10</w:t>
            </w:r>
            <w:r>
              <w:rPr>
                <w:rFonts w:hint="default" w:ascii="Times New Roman" w:hAnsi="Times New Roman" w:eastAsia="宋体" w:cs="Times New Roman"/>
                <w:color w:val="auto"/>
                <w:kern w:val="24"/>
                <w:sz w:val="24"/>
                <w:szCs w:val="24"/>
                <w:highlight w:val="none"/>
                <w:lang w:val="en-US" w:eastAsia="zh-CN" w:bidi="ar-SA"/>
              </w:rPr>
              <w:t>）日均浓度范围为12～313微克/立方米，日均值达标率为97.6%。年均值为65.9微克/立方米，与上年相比下降了0.8个百分点。</w:t>
            </w:r>
          </w:p>
          <w:p w14:paraId="07937F6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color w:val="auto"/>
                <w:kern w:val="24"/>
                <w:sz w:val="24"/>
                <w:szCs w:val="24"/>
                <w:highlight w:val="none"/>
                <w:lang w:val="en-US" w:eastAsia="zh-CN" w:bidi="ar-SA"/>
              </w:rPr>
              <w:t>二氧化氮（NO</w:t>
            </w:r>
            <w:r>
              <w:rPr>
                <w:rFonts w:hint="default" w:ascii="Times New Roman" w:hAnsi="Times New Roman" w:eastAsia="宋体" w:cs="Times New Roman"/>
                <w:color w:val="auto"/>
                <w:kern w:val="24"/>
                <w:sz w:val="24"/>
                <w:szCs w:val="24"/>
                <w:highlight w:val="none"/>
                <w:vertAlign w:val="subscript"/>
                <w:lang w:val="en-US" w:eastAsia="zh-CN" w:bidi="ar-SA"/>
              </w:rPr>
              <w:t>2</w:t>
            </w:r>
            <w:r>
              <w:rPr>
                <w:rFonts w:hint="default" w:ascii="Times New Roman" w:hAnsi="Times New Roman" w:eastAsia="宋体" w:cs="Times New Roman"/>
                <w:color w:val="auto"/>
                <w:kern w:val="24"/>
                <w:sz w:val="24"/>
                <w:szCs w:val="24"/>
                <w:highlight w:val="none"/>
                <w:lang w:val="en-US" w:eastAsia="zh-CN" w:bidi="ar-SA"/>
              </w:rPr>
              <w:t>）日均浓度范围为6～70微克/立方米，日均值达标率为100%。年均浓度为21微克/立方米，与上年相比上升了10.5个百分点。</w:t>
            </w:r>
          </w:p>
          <w:p w14:paraId="6C5E6C9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color w:val="auto"/>
                <w:kern w:val="24"/>
                <w:sz w:val="24"/>
                <w:szCs w:val="24"/>
                <w:highlight w:val="none"/>
                <w:lang w:val="en-US" w:eastAsia="zh-CN" w:bidi="ar-SA"/>
              </w:rPr>
              <w:t>二氧化硫（SO</w:t>
            </w:r>
            <w:r>
              <w:rPr>
                <w:rFonts w:hint="default" w:ascii="Times New Roman" w:hAnsi="Times New Roman" w:eastAsia="宋体" w:cs="Times New Roman"/>
                <w:color w:val="auto"/>
                <w:kern w:val="24"/>
                <w:sz w:val="24"/>
                <w:szCs w:val="24"/>
                <w:highlight w:val="none"/>
                <w:vertAlign w:val="subscript"/>
                <w:lang w:val="en-US" w:eastAsia="zh-CN" w:bidi="ar-SA"/>
              </w:rPr>
              <w:t>2</w:t>
            </w:r>
            <w:r>
              <w:rPr>
                <w:rFonts w:hint="default" w:ascii="Times New Roman" w:hAnsi="Times New Roman" w:eastAsia="宋体" w:cs="Times New Roman"/>
                <w:color w:val="auto"/>
                <w:kern w:val="24"/>
                <w:sz w:val="24"/>
                <w:szCs w:val="24"/>
                <w:highlight w:val="none"/>
                <w:lang w:val="en-US" w:eastAsia="zh-CN" w:bidi="ar-SA"/>
              </w:rPr>
              <w:t>）日均浓度范围为3～15微克/立方米，日均值达标率为100%。年均浓度为8微克/立方米，与上年持平。</w:t>
            </w:r>
          </w:p>
          <w:p w14:paraId="0838D1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color w:val="auto"/>
                <w:kern w:val="24"/>
                <w:sz w:val="24"/>
                <w:szCs w:val="24"/>
                <w:highlight w:val="none"/>
                <w:lang w:val="en-US" w:eastAsia="zh-CN" w:bidi="ar-SA"/>
              </w:rPr>
              <w:t>一氧化碳（CO）日均浓度范围为0.2～1.5毫克/立方米，日均值达标率为100%。日均值第95百分位数为0.7毫克/立方米，与上年相比下降了12.5个百分点。</w:t>
            </w:r>
          </w:p>
          <w:p w14:paraId="0B8BC54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360" w:lineRule="auto"/>
              <w:ind w:left="0" w:leftChars="0" w:right="0" w:firstLine="480" w:firstLineChars="200"/>
              <w:jc w:val="both"/>
              <w:textAlignment w:val="auto"/>
              <w:rPr>
                <w:rFonts w:hint="default" w:cs="Times New Roman"/>
                <w:color w:val="auto"/>
                <w:sz w:val="24"/>
                <w:szCs w:val="24"/>
                <w:lang w:val="en-US" w:eastAsia="zh-CN"/>
              </w:rPr>
            </w:pPr>
            <w:r>
              <w:rPr>
                <w:rFonts w:hint="default" w:ascii="Times New Roman" w:hAnsi="Times New Roman" w:eastAsia="宋体" w:cs="Times New Roman"/>
                <w:color w:val="auto"/>
                <w:kern w:val="24"/>
                <w:sz w:val="24"/>
                <w:szCs w:val="24"/>
                <w:highlight w:val="none"/>
                <w:lang w:val="en-US" w:eastAsia="zh-CN" w:bidi="ar-SA"/>
              </w:rPr>
              <w:t>臭氧日最大8小时（O3-8h）滑动平均值范围为4～210微克/立方米，达标率为91.8%。日最大8小时滑动平均值第90百分位数为157微克/立方米，与上年相比上升了4.0个百分点。</w:t>
            </w:r>
          </w:p>
          <w:p w14:paraId="6DD630AA">
            <w:pPr>
              <w:keepNext w:val="0"/>
              <w:keepLines w:val="0"/>
              <w:pageBreakBefore w:val="0"/>
              <w:widowControl w:val="0"/>
              <w:kinsoku/>
              <w:overflowPunct/>
              <w:bidi w:val="0"/>
              <w:adjustRightInd w:val="0"/>
              <w:spacing w:beforeAutospacing="0" w:afterAutospacing="0" w:line="360" w:lineRule="auto"/>
              <w:ind w:left="0" w:leftChars="0" w:firstLine="480" w:firstLineChars="200"/>
              <w:jc w:val="both"/>
              <w:rPr>
                <w:rFonts w:hint="eastAsia"/>
                <w:color w:val="auto"/>
                <w:sz w:val="24"/>
                <w:lang w:eastAsia="zh-CN"/>
              </w:rPr>
            </w:pPr>
            <w:r>
              <w:rPr>
                <w:rFonts w:hint="default" w:ascii="Times New Roman" w:hAnsi="Times New Roman" w:eastAsia="宋体" w:cs="Times New Roman"/>
                <w:color w:val="auto"/>
                <w:sz w:val="24"/>
              </w:rPr>
              <w:t>综上，该区域</w:t>
            </w:r>
            <w:r>
              <w:rPr>
                <w:rFonts w:hint="default" w:ascii="Times New Roman" w:hAnsi="Times New Roman" w:eastAsia="宋体" w:cs="Times New Roman"/>
                <w:color w:val="auto"/>
                <w:kern w:val="24"/>
                <w:sz w:val="24"/>
                <w:szCs w:val="24"/>
                <w:highlight w:val="none"/>
                <w:lang w:val="en-US" w:eastAsia="zh-CN" w:bidi="ar-SA"/>
              </w:rPr>
              <w:t>细颗粒物（PM</w:t>
            </w:r>
            <w:r>
              <w:rPr>
                <w:rFonts w:hint="default" w:ascii="Times New Roman" w:hAnsi="Times New Roman" w:eastAsia="宋体" w:cs="Times New Roman"/>
                <w:color w:val="auto"/>
                <w:kern w:val="24"/>
                <w:sz w:val="24"/>
                <w:szCs w:val="24"/>
                <w:highlight w:val="none"/>
                <w:vertAlign w:val="subscript"/>
                <w:lang w:val="en-US" w:eastAsia="zh-CN" w:bidi="ar-SA"/>
              </w:rPr>
              <w:t>2.5</w:t>
            </w:r>
            <w:r>
              <w:rPr>
                <w:rFonts w:hint="default" w:ascii="Times New Roman" w:hAnsi="Times New Roman" w:eastAsia="宋体" w:cs="Times New Roman"/>
                <w:color w:val="auto"/>
                <w:kern w:val="24"/>
                <w:sz w:val="24"/>
                <w:szCs w:val="24"/>
                <w:highlight w:val="none"/>
                <w:lang w:val="en-US" w:eastAsia="zh-CN" w:bidi="ar-SA"/>
              </w:rPr>
              <w:t>）</w:t>
            </w:r>
            <w:r>
              <w:rPr>
                <w:rFonts w:hint="eastAsia"/>
                <w:color w:val="auto"/>
                <w:sz w:val="24"/>
                <w:shd w:val="clear" w:color="auto" w:fill="FFFFFF"/>
                <w:lang w:eastAsia="zh-CN"/>
              </w:rPr>
              <w:t>不满足</w:t>
            </w:r>
            <w:r>
              <w:rPr>
                <w:color w:val="auto"/>
                <w:sz w:val="24"/>
                <w:shd w:val="clear" w:color="auto" w:fill="FFFFFF"/>
              </w:rPr>
              <w:t>《环境空气质量标准》（GB3095-2012）二级标准</w:t>
            </w:r>
            <w:r>
              <w:rPr>
                <w:rFonts w:hint="eastAsia"/>
                <w:color w:val="auto"/>
                <w:sz w:val="24"/>
                <w:shd w:val="clear" w:color="auto" w:fill="FFFFFF"/>
                <w:lang w:eastAsia="zh-CN"/>
              </w:rPr>
              <w:t>，</w:t>
            </w:r>
            <w:r>
              <w:rPr>
                <w:rFonts w:hint="eastAsia" w:ascii="宋体" w:hAnsi="宋体" w:cs="宋体"/>
                <w:color w:val="auto"/>
                <w:kern w:val="0"/>
                <w:sz w:val="24"/>
              </w:rPr>
              <w:t>项目所在区域为不达标区</w:t>
            </w:r>
            <w:r>
              <w:rPr>
                <w:rFonts w:hint="default" w:ascii="Times New Roman" w:hAnsi="Times New Roman" w:eastAsia="宋体" w:cs="Times New Roman"/>
                <w:color w:val="auto"/>
                <w:sz w:val="24"/>
              </w:rPr>
              <w:t>。</w:t>
            </w:r>
            <w:r>
              <w:rPr>
                <w:color w:val="auto"/>
                <w:sz w:val="24"/>
              </w:rPr>
              <w:t>根据大气环境质量达标规划，通过进一步控制扬尘污染，机动车尾气污染防治等措施，</w:t>
            </w:r>
            <w:r>
              <w:rPr>
                <w:rFonts w:hint="eastAsia"/>
                <w:color w:val="auto"/>
                <w:sz w:val="24"/>
              </w:rPr>
              <w:t>预计</w:t>
            </w:r>
            <w:r>
              <w:rPr>
                <w:color w:val="auto"/>
                <w:sz w:val="24"/>
              </w:rPr>
              <w:t>大气环境质量状况可以得到进一步改善</w:t>
            </w:r>
            <w:r>
              <w:rPr>
                <w:rFonts w:hint="eastAsia"/>
                <w:color w:val="auto"/>
                <w:sz w:val="24"/>
                <w:lang w:eastAsia="zh-CN"/>
              </w:rPr>
              <w:t>。</w:t>
            </w:r>
          </w:p>
          <w:p w14:paraId="5E88EB34">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jc w:val="both"/>
              <w:textAlignment w:val="auto"/>
              <w:rPr>
                <w:color w:val="auto"/>
              </w:rPr>
            </w:pPr>
            <w:r>
              <w:rPr>
                <w:color w:val="auto"/>
              </w:rPr>
              <w:t>二、地表水环境质量现状</w:t>
            </w:r>
          </w:p>
          <w:p w14:paraId="776BC0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color w:val="auto"/>
                <w:sz w:val="24"/>
              </w:rPr>
            </w:pPr>
            <w:r>
              <w:rPr>
                <w:rFonts w:hint="eastAsia"/>
                <w:color w:val="auto"/>
                <w:sz w:val="24"/>
              </w:rPr>
              <w:t>根据《淮南市202</w:t>
            </w:r>
            <w:r>
              <w:rPr>
                <w:rFonts w:hint="eastAsia"/>
                <w:color w:val="auto"/>
                <w:sz w:val="24"/>
                <w:lang w:val="en-US" w:eastAsia="zh-CN"/>
              </w:rPr>
              <w:t>3</w:t>
            </w:r>
            <w:r>
              <w:rPr>
                <w:rFonts w:hint="eastAsia"/>
                <w:color w:val="auto"/>
                <w:sz w:val="24"/>
              </w:rPr>
              <w:t>年环境质量状况公报》可知，2023年，全市地表水24个监测断面中优良水质比例为95.8%，比上年提升了16.6个百分点，Ⅳ类水质比例4.2%，总体水质状况优。全市8个国控断面中优良水质比例为87.5%，Ⅳ类水质比例12.5%，总体水质状况良好；11个省控断面中优良水质比例为100%，总体水质状况优。</w:t>
            </w:r>
          </w:p>
          <w:p w14:paraId="384BE2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color w:val="auto"/>
                <w:sz w:val="24"/>
              </w:rPr>
            </w:pPr>
            <w:r>
              <w:rPr>
                <w:rFonts w:hint="eastAsia"/>
                <w:color w:val="auto"/>
                <w:sz w:val="24"/>
              </w:rP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63C8D1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default" w:ascii="Times New Roman" w:hAnsi="Times New Roman" w:eastAsia="宋体" w:cs="Times New Roman"/>
                <w:color w:val="auto"/>
                <w:sz w:val="24"/>
              </w:rPr>
            </w:pPr>
            <w:r>
              <w:rPr>
                <w:rFonts w:hint="eastAsia"/>
                <w:color w:val="auto"/>
                <w:sz w:val="24"/>
              </w:rPr>
              <w:t>综上所述，项目所在地周边水质良好</w:t>
            </w:r>
            <w:r>
              <w:rPr>
                <w:rFonts w:hint="default" w:ascii="Times New Roman" w:hAnsi="Times New Roman" w:eastAsia="宋体" w:cs="Times New Roman"/>
                <w:color w:val="auto"/>
                <w:sz w:val="24"/>
              </w:rPr>
              <w:t>。</w:t>
            </w:r>
          </w:p>
          <w:p w14:paraId="57C34B3F">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textAlignment w:val="auto"/>
              <w:rPr>
                <w:color w:val="auto"/>
              </w:rPr>
            </w:pPr>
            <w:r>
              <w:rPr>
                <w:color w:val="auto"/>
              </w:rPr>
              <w:t>三、声环境</w:t>
            </w:r>
          </w:p>
          <w:p w14:paraId="17D72D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default" w:ascii="Times New Roman" w:hAnsi="Times New Roman" w:eastAsia="宋体" w:cs="Times New Roman"/>
                <w:color w:val="auto"/>
                <w:sz w:val="24"/>
                <w:lang w:val="en-US"/>
              </w:rPr>
            </w:pPr>
            <w:r>
              <w:rPr>
                <w:rFonts w:hint="eastAsia" w:ascii="Times New Roman" w:hAnsi="Times New Roman" w:eastAsia="宋体" w:cs="Times New Roman"/>
                <w:color w:val="auto"/>
                <w:sz w:val="24"/>
                <w:lang w:val="en-US" w:eastAsia="zh-CN"/>
              </w:rPr>
              <w:t>根据现场勘探，本项目厂界外周边50m范围内存在声环境保护目标。因此，本项目委托</w:t>
            </w:r>
            <w:r>
              <w:rPr>
                <w:rFonts w:hint="eastAsia" w:cs="Times New Roman"/>
                <w:color w:val="auto"/>
                <w:sz w:val="24"/>
                <w:lang w:val="en-US" w:eastAsia="zh-CN"/>
              </w:rPr>
              <w:t>安徽金祁环境检测技术有限公司</w:t>
            </w:r>
            <w:r>
              <w:rPr>
                <w:rFonts w:hint="eastAsia" w:ascii="Times New Roman" w:hAnsi="Times New Roman" w:eastAsia="宋体" w:cs="Times New Roman"/>
                <w:color w:val="auto"/>
                <w:sz w:val="24"/>
                <w:lang w:val="en-US" w:eastAsia="zh-CN"/>
              </w:rPr>
              <w:t>对厂界及周边敏感点进行监测，数据如下。</w:t>
            </w:r>
          </w:p>
          <w:p w14:paraId="69B7AD0D">
            <w:pPr>
              <w:pStyle w:val="110"/>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表3-</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 xml:space="preserve">  噪声监测结果统计表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2561"/>
              <w:gridCol w:w="2296"/>
              <w:gridCol w:w="2004"/>
            </w:tblGrid>
            <w:tr w14:paraId="6B78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1" w:type="dxa"/>
                  <w:vMerge w:val="restart"/>
                  <w:noWrap w:val="0"/>
                  <w:vAlign w:val="center"/>
                </w:tcPr>
                <w:p w14:paraId="205157D9">
                  <w:pPr>
                    <w:keepNext w:val="0"/>
                    <w:keepLines w:val="0"/>
                    <w:pageBreakBefore w:val="0"/>
                    <w:widowControl w:val="0"/>
                    <w:kinsoku/>
                    <w:wordWrap/>
                    <w:overflowPunct/>
                    <w:topLinePunct w:val="0"/>
                    <w:autoSpaceDE/>
                    <w:autoSpaceDN/>
                    <w:bidi w:val="0"/>
                    <w:spacing w:line="240" w:lineRule="auto"/>
                    <w:jc w:val="center"/>
                    <w:textAlignment w:val="auto"/>
                    <w:rPr>
                      <w:szCs w:val="21"/>
                    </w:rPr>
                  </w:pPr>
                  <w:r>
                    <w:rPr>
                      <w:szCs w:val="21"/>
                    </w:rPr>
                    <w:t>编号</w:t>
                  </w:r>
                </w:p>
              </w:tc>
              <w:tc>
                <w:tcPr>
                  <w:tcW w:w="2561" w:type="dxa"/>
                  <w:vMerge w:val="restart"/>
                  <w:noWrap w:val="0"/>
                  <w:vAlign w:val="center"/>
                </w:tcPr>
                <w:p w14:paraId="31132616">
                  <w:pPr>
                    <w:keepNext w:val="0"/>
                    <w:keepLines w:val="0"/>
                    <w:pageBreakBefore w:val="0"/>
                    <w:widowControl w:val="0"/>
                    <w:kinsoku/>
                    <w:wordWrap/>
                    <w:overflowPunct/>
                    <w:topLinePunct w:val="0"/>
                    <w:autoSpaceDE/>
                    <w:autoSpaceDN/>
                    <w:bidi w:val="0"/>
                    <w:spacing w:line="240" w:lineRule="auto"/>
                    <w:jc w:val="center"/>
                    <w:textAlignment w:val="auto"/>
                    <w:rPr>
                      <w:szCs w:val="21"/>
                    </w:rPr>
                  </w:pPr>
                  <w:r>
                    <w:rPr>
                      <w:szCs w:val="21"/>
                    </w:rPr>
                    <w:t>检测点位</w:t>
                  </w:r>
                </w:p>
              </w:tc>
              <w:tc>
                <w:tcPr>
                  <w:tcW w:w="4300" w:type="dxa"/>
                  <w:gridSpan w:val="2"/>
                  <w:noWrap w:val="0"/>
                  <w:vAlign w:val="center"/>
                </w:tcPr>
                <w:p w14:paraId="6E32066C">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2024.08.20</w:t>
                  </w:r>
                </w:p>
              </w:tc>
            </w:tr>
            <w:tr w14:paraId="7FCB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1" w:type="dxa"/>
                  <w:vMerge w:val="continue"/>
                  <w:noWrap w:val="0"/>
                  <w:vAlign w:val="center"/>
                </w:tcPr>
                <w:p w14:paraId="1AEBA9CA">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lang w:val="en-US" w:eastAsia="zh-CN"/>
                    </w:rPr>
                  </w:pPr>
                  <w:r>
                    <w:rPr>
                      <w:rFonts w:hint="eastAsia"/>
                      <w:lang w:eastAsia="zh-CN"/>
                    </w:rPr>
                    <w:t xml:space="preserve"> </w:t>
                  </w:r>
                  <w:r>
                    <w:rPr>
                      <w:rFonts w:hint="eastAsia"/>
                      <w:lang w:val="en-US" w:eastAsia="zh-CN"/>
                    </w:rPr>
                    <w:t xml:space="preserve">                                      </w:t>
                  </w:r>
                </w:p>
              </w:tc>
              <w:tc>
                <w:tcPr>
                  <w:tcW w:w="2561" w:type="dxa"/>
                  <w:vMerge w:val="continue"/>
                  <w:noWrap w:val="0"/>
                  <w:vAlign w:val="center"/>
                </w:tcPr>
                <w:p w14:paraId="6E175A4C">
                  <w:pPr>
                    <w:keepNext w:val="0"/>
                    <w:keepLines w:val="0"/>
                    <w:pageBreakBefore w:val="0"/>
                    <w:widowControl w:val="0"/>
                    <w:kinsoku/>
                    <w:wordWrap/>
                    <w:overflowPunct/>
                    <w:topLinePunct w:val="0"/>
                    <w:autoSpaceDE/>
                    <w:autoSpaceDN/>
                    <w:bidi w:val="0"/>
                    <w:spacing w:line="240" w:lineRule="auto"/>
                    <w:jc w:val="center"/>
                    <w:textAlignment w:val="auto"/>
                  </w:pPr>
                </w:p>
              </w:tc>
              <w:tc>
                <w:tcPr>
                  <w:tcW w:w="2296" w:type="dxa"/>
                  <w:noWrap w:val="0"/>
                  <w:vAlign w:val="center"/>
                </w:tcPr>
                <w:p w14:paraId="3848715E">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Cs w:val="21"/>
                      <w:highlight w:val="none"/>
                      <w:lang w:val="en-US" w:eastAsia="zh-CN"/>
                    </w:rPr>
                  </w:pPr>
                  <w:r>
                    <w:rPr>
                      <w:rFonts w:hint="eastAsia"/>
                      <w:b/>
                      <w:bCs/>
                      <w:color w:val="auto"/>
                      <w:szCs w:val="21"/>
                      <w:highlight w:val="none"/>
                      <w:lang w:val="en-US" w:eastAsia="zh-CN"/>
                    </w:rPr>
                    <w:t>昼间</w:t>
                  </w:r>
                  <w:r>
                    <w:rPr>
                      <w:b/>
                      <w:bCs/>
                      <w:sz w:val="18"/>
                      <w:szCs w:val="18"/>
                    </w:rPr>
                    <w:t>Leq</w:t>
                  </w:r>
                </w:p>
              </w:tc>
              <w:tc>
                <w:tcPr>
                  <w:tcW w:w="2004" w:type="dxa"/>
                  <w:noWrap w:val="0"/>
                  <w:vAlign w:val="center"/>
                </w:tcPr>
                <w:p w14:paraId="46F4860D">
                  <w:pPr>
                    <w:keepNext w:val="0"/>
                    <w:keepLines w:val="0"/>
                    <w:pageBreakBefore w:val="0"/>
                    <w:widowControl w:val="0"/>
                    <w:kinsoku/>
                    <w:wordWrap/>
                    <w:overflowPunct/>
                    <w:topLinePunct w:val="0"/>
                    <w:autoSpaceDE/>
                    <w:autoSpaceDN/>
                    <w:bidi w:val="0"/>
                    <w:spacing w:line="240" w:lineRule="auto"/>
                    <w:jc w:val="center"/>
                    <w:textAlignment w:val="auto"/>
                  </w:pPr>
                  <w:r>
                    <w:rPr>
                      <w:rFonts w:hint="eastAsia"/>
                      <w:b/>
                      <w:bCs/>
                      <w:color w:val="auto"/>
                      <w:szCs w:val="21"/>
                      <w:highlight w:val="none"/>
                      <w:lang w:val="en-US" w:eastAsia="zh-CN"/>
                    </w:rPr>
                    <w:t>夜间</w:t>
                  </w:r>
                  <w:r>
                    <w:rPr>
                      <w:b/>
                      <w:bCs/>
                      <w:sz w:val="18"/>
                      <w:szCs w:val="18"/>
                    </w:rPr>
                    <w:t>Leq</w:t>
                  </w:r>
                </w:p>
              </w:tc>
            </w:tr>
            <w:tr w14:paraId="6185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1" w:type="dxa"/>
                  <w:noWrap w:val="0"/>
                  <w:vAlign w:val="center"/>
                </w:tcPr>
                <w:p w14:paraId="68800EF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szCs w:val="21"/>
                      <w:lang w:val="en-US" w:eastAsia="zh-CN"/>
                    </w:rPr>
                    <w:t>N1</w:t>
                  </w:r>
                </w:p>
              </w:tc>
              <w:tc>
                <w:tcPr>
                  <w:tcW w:w="2561" w:type="dxa"/>
                  <w:noWrap w:val="0"/>
                  <w:vAlign w:val="center"/>
                </w:tcPr>
                <w:p w14:paraId="49280FD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szCs w:val="21"/>
                      <w:lang w:eastAsia="zh-CN"/>
                    </w:rPr>
                    <w:t>厂界</w:t>
                  </w:r>
                  <w:r>
                    <w:rPr>
                      <w:rFonts w:hint="eastAsia" w:cs="Times New Roman"/>
                      <w:color w:val="000000"/>
                      <w:szCs w:val="21"/>
                      <w:lang w:eastAsia="zh-CN"/>
                    </w:rPr>
                    <w:t>西</w:t>
                  </w:r>
                  <w:r>
                    <w:rPr>
                      <w:rFonts w:hint="eastAsia" w:cs="Times New Roman"/>
                      <w:color w:val="000000"/>
                      <w:szCs w:val="21"/>
                      <w:lang w:val="en-US" w:eastAsia="zh-CN"/>
                    </w:rPr>
                    <w:t>侧外1m</w:t>
                  </w:r>
                </w:p>
              </w:tc>
              <w:tc>
                <w:tcPr>
                  <w:tcW w:w="2296" w:type="dxa"/>
                  <w:noWrap w:val="0"/>
                  <w:vAlign w:val="center"/>
                </w:tcPr>
                <w:p w14:paraId="678CB84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46.1</w:t>
                  </w:r>
                </w:p>
              </w:tc>
              <w:tc>
                <w:tcPr>
                  <w:tcW w:w="2004" w:type="dxa"/>
                  <w:noWrap w:val="0"/>
                  <w:vAlign w:val="center"/>
                </w:tcPr>
                <w:p w14:paraId="34BE83FD">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lang w:val="en-US" w:eastAsia="zh-CN"/>
                    </w:rPr>
                  </w:pPr>
                  <w:r>
                    <w:rPr>
                      <w:rFonts w:hint="eastAsia"/>
                      <w:lang w:val="en-US" w:eastAsia="zh-CN"/>
                    </w:rPr>
                    <w:t>40.8</w:t>
                  </w:r>
                </w:p>
              </w:tc>
            </w:tr>
            <w:tr w14:paraId="0EB0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1" w:type="dxa"/>
                  <w:noWrap w:val="0"/>
                  <w:vAlign w:val="center"/>
                </w:tcPr>
                <w:p w14:paraId="28F3772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szCs w:val="21"/>
                      <w:lang w:val="en-US" w:eastAsia="zh-CN"/>
                    </w:rPr>
                    <w:t>N2</w:t>
                  </w:r>
                </w:p>
              </w:tc>
              <w:tc>
                <w:tcPr>
                  <w:tcW w:w="2561" w:type="dxa"/>
                  <w:noWrap w:val="0"/>
                  <w:vAlign w:val="center"/>
                </w:tcPr>
                <w:p w14:paraId="48D65CE1">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szCs w:val="21"/>
                      <w:lang w:eastAsia="zh-CN"/>
                    </w:rPr>
                    <w:t>厂界</w:t>
                  </w:r>
                  <w:r>
                    <w:rPr>
                      <w:rFonts w:hint="eastAsia" w:cs="Times New Roman"/>
                      <w:color w:val="000000"/>
                      <w:szCs w:val="21"/>
                      <w:lang w:eastAsia="zh-CN"/>
                    </w:rPr>
                    <w:t>南</w:t>
                  </w:r>
                  <w:r>
                    <w:rPr>
                      <w:rFonts w:hint="eastAsia" w:cs="Times New Roman"/>
                      <w:color w:val="000000"/>
                      <w:szCs w:val="21"/>
                      <w:lang w:val="en-US" w:eastAsia="zh-CN"/>
                    </w:rPr>
                    <w:t>侧外1m</w:t>
                  </w:r>
                </w:p>
              </w:tc>
              <w:tc>
                <w:tcPr>
                  <w:tcW w:w="2296" w:type="dxa"/>
                  <w:noWrap w:val="0"/>
                  <w:vAlign w:val="center"/>
                </w:tcPr>
                <w:p w14:paraId="1520B84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44.7</w:t>
                  </w:r>
                </w:p>
              </w:tc>
              <w:tc>
                <w:tcPr>
                  <w:tcW w:w="2004" w:type="dxa"/>
                  <w:noWrap w:val="0"/>
                  <w:vAlign w:val="center"/>
                </w:tcPr>
                <w:p w14:paraId="729FF636">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lang w:val="en-US" w:eastAsia="zh-CN"/>
                    </w:rPr>
                  </w:pPr>
                  <w:r>
                    <w:rPr>
                      <w:rFonts w:hint="eastAsia"/>
                      <w:lang w:val="en-US" w:eastAsia="zh-CN"/>
                    </w:rPr>
                    <w:t>49.3</w:t>
                  </w:r>
                </w:p>
              </w:tc>
            </w:tr>
            <w:tr w14:paraId="0069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1" w:type="dxa"/>
                  <w:noWrap w:val="0"/>
                  <w:vAlign w:val="center"/>
                </w:tcPr>
                <w:p w14:paraId="43CE220D">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szCs w:val="21"/>
                      <w:lang w:val="en-US" w:eastAsia="zh-CN"/>
                    </w:rPr>
                    <w:t>N</w:t>
                  </w:r>
                  <w:r>
                    <w:rPr>
                      <w:rFonts w:hint="eastAsia"/>
                      <w:szCs w:val="21"/>
                    </w:rPr>
                    <w:t>3</w:t>
                  </w:r>
                </w:p>
              </w:tc>
              <w:tc>
                <w:tcPr>
                  <w:tcW w:w="2561" w:type="dxa"/>
                  <w:noWrap w:val="0"/>
                  <w:vAlign w:val="center"/>
                </w:tcPr>
                <w:p w14:paraId="6C56BD13">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szCs w:val="21"/>
                      <w:lang w:eastAsia="zh-CN"/>
                    </w:rPr>
                    <w:t>厂界</w:t>
                  </w:r>
                  <w:r>
                    <w:rPr>
                      <w:rFonts w:hint="eastAsia" w:cs="Times New Roman"/>
                      <w:color w:val="000000"/>
                      <w:szCs w:val="21"/>
                      <w:lang w:eastAsia="zh-CN"/>
                    </w:rPr>
                    <w:t>东</w:t>
                  </w:r>
                  <w:r>
                    <w:rPr>
                      <w:rFonts w:hint="eastAsia" w:cs="Times New Roman"/>
                      <w:color w:val="000000"/>
                      <w:szCs w:val="21"/>
                      <w:lang w:val="en-US" w:eastAsia="zh-CN"/>
                    </w:rPr>
                    <w:t>侧外1m</w:t>
                  </w:r>
                </w:p>
              </w:tc>
              <w:tc>
                <w:tcPr>
                  <w:tcW w:w="2296" w:type="dxa"/>
                  <w:noWrap w:val="0"/>
                  <w:vAlign w:val="center"/>
                </w:tcPr>
                <w:p w14:paraId="6274FF8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47.5</w:t>
                  </w:r>
                </w:p>
              </w:tc>
              <w:tc>
                <w:tcPr>
                  <w:tcW w:w="2004" w:type="dxa"/>
                  <w:noWrap w:val="0"/>
                  <w:vAlign w:val="center"/>
                </w:tcPr>
                <w:p w14:paraId="714CBC1F">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lang w:val="en-US" w:eastAsia="zh-CN"/>
                    </w:rPr>
                  </w:pPr>
                  <w:r>
                    <w:rPr>
                      <w:rFonts w:hint="eastAsia"/>
                      <w:lang w:val="en-US" w:eastAsia="zh-CN"/>
                    </w:rPr>
                    <w:t>41.9</w:t>
                  </w:r>
                </w:p>
              </w:tc>
            </w:tr>
            <w:tr w14:paraId="1CFC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1" w:type="dxa"/>
                  <w:noWrap w:val="0"/>
                  <w:vAlign w:val="center"/>
                </w:tcPr>
                <w:p w14:paraId="3F99635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szCs w:val="21"/>
                      <w:lang w:val="en-US" w:eastAsia="zh-CN"/>
                    </w:rPr>
                    <w:t>N4</w:t>
                  </w:r>
                </w:p>
              </w:tc>
              <w:tc>
                <w:tcPr>
                  <w:tcW w:w="2561" w:type="dxa"/>
                  <w:noWrap w:val="0"/>
                  <w:vAlign w:val="center"/>
                </w:tcPr>
                <w:p w14:paraId="174C22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szCs w:val="21"/>
                      <w:lang w:eastAsia="zh-CN"/>
                    </w:rPr>
                    <w:t>厂界</w:t>
                  </w:r>
                  <w:r>
                    <w:rPr>
                      <w:rFonts w:hint="eastAsia" w:cs="Times New Roman"/>
                      <w:color w:val="000000"/>
                      <w:szCs w:val="21"/>
                      <w:lang w:eastAsia="zh-CN"/>
                    </w:rPr>
                    <w:t>北</w:t>
                  </w:r>
                  <w:r>
                    <w:rPr>
                      <w:rFonts w:hint="eastAsia" w:cs="Times New Roman"/>
                      <w:color w:val="000000"/>
                      <w:szCs w:val="21"/>
                      <w:lang w:val="en-US" w:eastAsia="zh-CN"/>
                    </w:rPr>
                    <w:t>侧外1m</w:t>
                  </w:r>
                </w:p>
              </w:tc>
              <w:tc>
                <w:tcPr>
                  <w:tcW w:w="2296" w:type="dxa"/>
                  <w:noWrap w:val="0"/>
                  <w:vAlign w:val="center"/>
                </w:tcPr>
                <w:p w14:paraId="4B4AE27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46.1</w:t>
                  </w:r>
                </w:p>
              </w:tc>
              <w:tc>
                <w:tcPr>
                  <w:tcW w:w="2004" w:type="dxa"/>
                  <w:noWrap w:val="0"/>
                  <w:vAlign w:val="center"/>
                </w:tcPr>
                <w:p w14:paraId="5BE6AEF7">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lang w:val="en-US" w:eastAsia="zh-CN"/>
                    </w:rPr>
                  </w:pPr>
                  <w:r>
                    <w:rPr>
                      <w:rFonts w:hint="eastAsia"/>
                      <w:lang w:val="en-US" w:eastAsia="zh-CN"/>
                    </w:rPr>
                    <w:t>43.4</w:t>
                  </w:r>
                </w:p>
              </w:tc>
            </w:tr>
            <w:tr w14:paraId="3CE0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1" w:type="dxa"/>
                  <w:noWrap w:val="0"/>
                  <w:vAlign w:val="center"/>
                </w:tcPr>
                <w:p w14:paraId="6588FDBE">
                  <w:pPr>
                    <w:keepNext w:val="0"/>
                    <w:keepLines w:val="0"/>
                    <w:pageBreakBefore w:val="0"/>
                    <w:widowControl w:val="0"/>
                    <w:kinsoku/>
                    <w:wordWrap/>
                    <w:overflowPunct/>
                    <w:topLinePunct w:val="0"/>
                    <w:autoSpaceDE/>
                    <w:autoSpaceDN/>
                    <w:bidi w:val="0"/>
                    <w:spacing w:line="240" w:lineRule="auto"/>
                    <w:jc w:val="center"/>
                    <w:textAlignment w:val="auto"/>
                    <w:rPr>
                      <w:rFonts w:hint="default"/>
                      <w:szCs w:val="21"/>
                      <w:lang w:val="en-US" w:eastAsia="zh-CN"/>
                    </w:rPr>
                  </w:pPr>
                  <w:r>
                    <w:rPr>
                      <w:rFonts w:hint="eastAsia"/>
                      <w:szCs w:val="21"/>
                      <w:lang w:val="en-US" w:eastAsia="zh-CN"/>
                    </w:rPr>
                    <w:t>N5</w:t>
                  </w:r>
                </w:p>
              </w:tc>
              <w:tc>
                <w:tcPr>
                  <w:tcW w:w="2561" w:type="dxa"/>
                  <w:noWrap w:val="0"/>
                  <w:vAlign w:val="center"/>
                </w:tcPr>
                <w:p w14:paraId="478FE8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szCs w:val="21"/>
                      <w:lang w:eastAsia="zh-CN"/>
                    </w:rPr>
                  </w:pPr>
                  <w:r>
                    <w:rPr>
                      <w:rFonts w:hint="eastAsia" w:cs="Times New Roman"/>
                      <w:color w:val="000000"/>
                      <w:szCs w:val="21"/>
                      <w:lang w:eastAsia="zh-CN"/>
                    </w:rPr>
                    <w:t>沿街居民点</w:t>
                  </w:r>
                </w:p>
              </w:tc>
              <w:tc>
                <w:tcPr>
                  <w:tcW w:w="2296" w:type="dxa"/>
                  <w:noWrap w:val="0"/>
                  <w:vAlign w:val="center"/>
                </w:tcPr>
                <w:p w14:paraId="0BC59FD0">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45.2</w:t>
                  </w:r>
                </w:p>
              </w:tc>
              <w:tc>
                <w:tcPr>
                  <w:tcW w:w="2004" w:type="dxa"/>
                  <w:noWrap w:val="0"/>
                  <w:vAlign w:val="center"/>
                </w:tcPr>
                <w:p w14:paraId="3BE712FC">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40.4</w:t>
                  </w:r>
                </w:p>
              </w:tc>
            </w:tr>
          </w:tbl>
          <w:p w14:paraId="2E20F7C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由</w:t>
            </w:r>
            <w:r>
              <w:rPr>
                <w:rFonts w:hint="eastAsia" w:ascii="Times New Roman" w:hAnsi="Times New Roman" w:eastAsia="宋体" w:cs="Times New Roman"/>
                <w:color w:val="auto"/>
                <w:sz w:val="24"/>
                <w:u w:val="none"/>
                <w:lang w:val="en-US" w:eastAsia="zh-CN"/>
              </w:rPr>
              <w:t>上表</w:t>
            </w:r>
            <w:r>
              <w:rPr>
                <w:rFonts w:hint="default" w:ascii="Times New Roman" w:hAnsi="Times New Roman" w:eastAsia="宋体" w:cs="Times New Roman"/>
                <w:color w:val="auto"/>
                <w:sz w:val="24"/>
                <w:u w:val="none"/>
              </w:rPr>
              <w:t>可知，建设项目的</w:t>
            </w:r>
            <w:r>
              <w:rPr>
                <w:rFonts w:hint="eastAsia" w:ascii="Times New Roman" w:hAnsi="Times New Roman" w:eastAsia="宋体" w:cs="Times New Roman"/>
                <w:color w:val="auto"/>
                <w:sz w:val="24"/>
                <w:u w:val="none"/>
                <w:lang w:val="en-US" w:eastAsia="zh-CN"/>
              </w:rPr>
              <w:t>各监测点</w:t>
            </w:r>
            <w:r>
              <w:rPr>
                <w:rFonts w:hint="default" w:ascii="Times New Roman" w:hAnsi="Times New Roman" w:eastAsia="宋体" w:cs="Times New Roman"/>
                <w:color w:val="auto"/>
                <w:sz w:val="24"/>
                <w:u w:val="none"/>
                <w:lang w:val="en-US" w:eastAsia="zh-CN"/>
              </w:rPr>
              <w:t>噪声</w:t>
            </w:r>
            <w:r>
              <w:rPr>
                <w:rFonts w:hint="default" w:ascii="Times New Roman" w:hAnsi="Times New Roman" w:eastAsia="宋体" w:cs="Times New Roman"/>
                <w:color w:val="auto"/>
                <w:sz w:val="24"/>
                <w:u w:val="none"/>
              </w:rPr>
              <w:t>昼夜间等效声级均可</w:t>
            </w:r>
            <w:r>
              <w:rPr>
                <w:rFonts w:hint="default" w:ascii="Times New Roman" w:hAnsi="Times New Roman" w:eastAsia="宋体" w:cs="Times New Roman"/>
                <w:color w:val="auto"/>
                <w:sz w:val="24"/>
                <w:u w:val="none"/>
                <w:lang w:val="en-US" w:eastAsia="zh-CN"/>
              </w:rPr>
              <w:t>满足</w:t>
            </w:r>
            <w:r>
              <w:rPr>
                <w:rFonts w:hint="default" w:ascii="Times New Roman" w:hAnsi="Times New Roman" w:eastAsia="宋体" w:cs="Times New Roman"/>
                <w:color w:val="auto"/>
                <w:sz w:val="24"/>
                <w:u w:val="none"/>
              </w:rPr>
              <w:t>《声环境质量标准》（GB3096-2008）中</w:t>
            </w:r>
            <w:r>
              <w:rPr>
                <w:rFonts w:hint="eastAsia" w:ascii="Times New Roman" w:hAnsi="Times New Roman" w:eastAsia="宋体" w:cs="Times New Roman"/>
                <w:color w:val="auto"/>
                <w:sz w:val="24"/>
                <w:u w:val="none"/>
                <w:lang w:val="en-US" w:eastAsia="zh-CN"/>
              </w:rPr>
              <w:t>2</w:t>
            </w:r>
            <w:r>
              <w:rPr>
                <w:rFonts w:hint="default" w:ascii="Times New Roman" w:hAnsi="Times New Roman" w:eastAsia="宋体" w:cs="Times New Roman"/>
                <w:color w:val="auto"/>
                <w:sz w:val="24"/>
                <w:u w:val="none"/>
                <w:lang w:eastAsia="zh-CN"/>
              </w:rPr>
              <w:t>类标准</w:t>
            </w:r>
            <w:r>
              <w:rPr>
                <w:rFonts w:hint="default" w:ascii="Times New Roman" w:hAnsi="Times New Roman" w:eastAsia="宋体" w:cs="Times New Roman"/>
                <w:color w:val="auto"/>
                <w:sz w:val="24"/>
                <w:u w:val="none"/>
              </w:rPr>
              <w:t>限值的要求，即昼间≤</w:t>
            </w:r>
            <w:r>
              <w:rPr>
                <w:rFonts w:hint="eastAsia" w:ascii="Times New Roman" w:hAnsi="Times New Roman" w:eastAsia="宋体" w:cs="Times New Roman"/>
                <w:color w:val="auto"/>
                <w:sz w:val="24"/>
                <w:u w:val="none"/>
                <w:lang w:val="en-US" w:eastAsia="zh-CN"/>
              </w:rPr>
              <w:t>60</w:t>
            </w:r>
            <w:r>
              <w:rPr>
                <w:rFonts w:hint="default" w:ascii="Times New Roman" w:hAnsi="Times New Roman" w:eastAsia="宋体" w:cs="Times New Roman"/>
                <w:color w:val="auto"/>
                <w:sz w:val="24"/>
                <w:u w:val="none"/>
              </w:rPr>
              <w:t>dB(A)、夜间≤</w:t>
            </w:r>
            <w:r>
              <w:rPr>
                <w:rFonts w:hint="eastAsia" w:ascii="Times New Roman" w:hAnsi="Times New Roman" w:eastAsia="宋体" w:cs="Times New Roman"/>
                <w:color w:val="auto"/>
                <w:sz w:val="24"/>
                <w:u w:val="none"/>
                <w:lang w:val="en-US" w:eastAsia="zh-CN"/>
              </w:rPr>
              <w:t>50</w:t>
            </w:r>
            <w:r>
              <w:rPr>
                <w:rFonts w:hint="default" w:ascii="Times New Roman" w:hAnsi="Times New Roman" w:eastAsia="宋体" w:cs="Times New Roman"/>
                <w:color w:val="auto"/>
                <w:sz w:val="24"/>
                <w:u w:val="none"/>
              </w:rPr>
              <w:t>dB(A)。因此，项目所在地周围声环境质量现状良好。</w:t>
            </w:r>
          </w:p>
          <w:p w14:paraId="3F5B080C">
            <w:pPr>
              <w:keepNext w:val="0"/>
              <w:keepLines w:val="0"/>
              <w:pageBreakBefore w:val="0"/>
              <w:widowControl w:val="0"/>
              <w:tabs>
                <w:tab w:val="left" w:pos="452"/>
              </w:tabs>
              <w:kinsoku/>
              <w:overflowPunct/>
              <w:bidi w:val="0"/>
              <w:adjustRightInd w:val="0"/>
              <w:snapToGrid w:val="0"/>
              <w:spacing w:beforeAutospacing="0" w:afterAutospacing="0" w:line="360" w:lineRule="auto"/>
              <w:ind w:left="0" w:leftChars="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四</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生态环境</w:t>
            </w:r>
          </w:p>
          <w:p w14:paraId="5993FA1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 w:val="24"/>
              </w:rPr>
              <w:t>本项目位于</w:t>
            </w:r>
            <w:r>
              <w:rPr>
                <w:rFonts w:hint="eastAsia"/>
                <w:color w:val="auto"/>
                <w:sz w:val="24"/>
                <w:u w:val="none"/>
              </w:rPr>
              <w:t>淮南市潘集区袁庄</w:t>
            </w:r>
            <w:r>
              <w:rPr>
                <w:rFonts w:hint="default" w:ascii="Times New Roman" w:hAnsi="Times New Roman" w:cs="Times New Roman"/>
                <w:color w:val="auto"/>
                <w:sz w:val="24"/>
              </w:rPr>
              <w:t>，</w:t>
            </w:r>
            <w:r>
              <w:rPr>
                <w:rFonts w:hint="eastAsia" w:cs="Times New Roman"/>
                <w:color w:val="auto"/>
                <w:sz w:val="24"/>
                <w:lang w:val="en-US" w:eastAsia="zh-CN"/>
              </w:rPr>
              <w:t>水厂利用现有厂区进行扩建，取水泵房仅进行设备改造</w:t>
            </w:r>
            <w:r>
              <w:rPr>
                <w:rFonts w:hint="default" w:ascii="Times New Roman" w:hAnsi="Times New Roman" w:cs="Times New Roman"/>
                <w:color w:val="auto"/>
                <w:sz w:val="24"/>
                <w:lang w:val="en-US" w:eastAsia="zh-CN"/>
              </w:rPr>
              <w:t>，</w:t>
            </w:r>
            <w:r>
              <w:rPr>
                <w:rFonts w:hint="eastAsia" w:cs="Times New Roman"/>
                <w:color w:val="auto"/>
                <w:sz w:val="24"/>
                <w:lang w:val="en-US" w:eastAsia="zh-CN"/>
              </w:rPr>
              <w:t>新增一条输水管线建设，输水管线主要为农田，</w:t>
            </w:r>
            <w:r>
              <w:rPr>
                <w:rFonts w:hint="default" w:ascii="Times New Roman" w:hAnsi="Times New Roman" w:cs="Times New Roman"/>
                <w:color w:val="auto"/>
                <w:sz w:val="24"/>
                <w:lang w:val="en-US" w:eastAsia="zh-CN"/>
              </w:rPr>
              <w:t>陆生植物的生物多样性一般，生态环境质量现状一般。本项目建设用地范围内不含生态环境保护目标，根据《建设项目环境影响报告表编制技术指南（污染影响类）（试行）》，可不开展生态现状调查</w:t>
            </w:r>
            <w:r>
              <w:rPr>
                <w:rFonts w:hint="default" w:ascii="Times New Roman" w:hAnsi="Times New Roman" w:cs="Times New Roman"/>
                <w:color w:val="auto"/>
                <w:sz w:val="24"/>
              </w:rPr>
              <w:t>。</w:t>
            </w:r>
          </w:p>
          <w:p w14:paraId="2F927961">
            <w:pPr>
              <w:keepNext w:val="0"/>
              <w:keepLines w:val="0"/>
              <w:pageBreakBefore w:val="0"/>
              <w:widowControl w:val="0"/>
              <w:kinsoku/>
              <w:overflowPunct/>
              <w:bidi w:val="0"/>
              <w:spacing w:beforeAutospacing="0" w:afterAutospacing="0" w:line="360" w:lineRule="auto"/>
              <w:ind w:left="0" w:leftChars="0" w:right="0" w:rightChars="0" w:firstLine="482" w:firstLineChars="200"/>
              <w:rPr>
                <w:rFonts w:cs="Calibri"/>
                <w:b/>
                <w:bCs/>
                <w:color w:val="auto"/>
                <w:sz w:val="24"/>
              </w:rPr>
            </w:pPr>
            <w:r>
              <w:rPr>
                <w:rFonts w:hint="eastAsia" w:cs="Calibri"/>
                <w:b/>
                <w:bCs/>
                <w:color w:val="auto"/>
                <w:sz w:val="24"/>
                <w:lang w:eastAsia="zh-CN"/>
              </w:rPr>
              <w:t>五</w:t>
            </w:r>
            <w:r>
              <w:rPr>
                <w:rFonts w:hint="eastAsia" w:cs="Calibri"/>
                <w:b/>
                <w:bCs/>
                <w:color w:val="auto"/>
                <w:sz w:val="24"/>
              </w:rPr>
              <w:t>、电磁辐射</w:t>
            </w:r>
          </w:p>
          <w:p w14:paraId="0F657C95">
            <w:pPr>
              <w:keepNext w:val="0"/>
              <w:keepLines w:val="0"/>
              <w:pageBreakBefore w:val="0"/>
              <w:widowControl w:val="0"/>
              <w:kinsoku/>
              <w:overflowPunct/>
              <w:bidi w:val="0"/>
              <w:spacing w:beforeAutospacing="0" w:afterAutospacing="0" w:line="360" w:lineRule="auto"/>
              <w:ind w:left="0" w:leftChars="0" w:right="0" w:rightChars="0" w:firstLine="480" w:firstLineChars="200"/>
              <w:rPr>
                <w:rFonts w:hint="eastAsia"/>
                <w:b w:val="0"/>
                <w:bCs w:val="0"/>
                <w:color w:val="auto"/>
                <w:sz w:val="24"/>
                <w:lang w:val="en-US" w:eastAsia="zh-CN"/>
              </w:rPr>
            </w:pPr>
            <w:r>
              <w:rPr>
                <w:rFonts w:hint="eastAsia" w:cs="Calibri"/>
                <w:b w:val="0"/>
                <w:bCs w:val="0"/>
                <w:color w:val="auto"/>
                <w:sz w:val="24"/>
              </w:rPr>
              <w:t>无电磁辐射影响</w:t>
            </w:r>
            <w:r>
              <w:rPr>
                <w:rFonts w:hint="default" w:ascii="Times New Roman" w:hAnsi="Times New Roman" w:eastAsia="宋体" w:cs="Times New Roman"/>
                <w:b w:val="0"/>
                <w:bCs w:val="0"/>
                <w:color w:val="auto"/>
                <w:sz w:val="24"/>
                <w:lang w:val="en-US" w:eastAsia="zh-CN"/>
              </w:rPr>
              <w:t>。</w:t>
            </w:r>
          </w:p>
          <w:p w14:paraId="34DF2B3A">
            <w:pPr>
              <w:pStyle w:val="82"/>
              <w:keepNext w:val="0"/>
              <w:keepLines w:val="0"/>
              <w:pageBreakBefore w:val="0"/>
              <w:widowControl w:val="0"/>
              <w:numPr>
                <w:ilvl w:val="0"/>
                <w:numId w:val="0"/>
              </w:numPr>
              <w:tabs>
                <w:tab w:val="left" w:pos="954"/>
              </w:tabs>
              <w:kinsoku/>
              <w:overflowPunct/>
              <w:bidi w:val="0"/>
              <w:spacing w:beforeAutospacing="0" w:afterAutospacing="0" w:line="360" w:lineRule="auto"/>
              <w:ind w:left="0" w:leftChars="0" w:right="0" w:rightChars="0" w:firstLine="482" w:firstLineChars="200"/>
              <w:jc w:val="left"/>
              <w:rPr>
                <w:b/>
                <w:bCs/>
                <w:color w:val="auto"/>
                <w:sz w:val="24"/>
              </w:rPr>
            </w:pPr>
            <w:r>
              <w:rPr>
                <w:rFonts w:hint="eastAsia"/>
                <w:b/>
                <w:bCs/>
                <w:color w:val="auto"/>
                <w:sz w:val="24"/>
                <w:lang w:val="en-US" w:eastAsia="zh-CN"/>
              </w:rPr>
              <w:t>六、</w:t>
            </w:r>
            <w:r>
              <w:rPr>
                <w:b/>
                <w:bCs/>
                <w:color w:val="auto"/>
                <w:sz w:val="24"/>
              </w:rPr>
              <w:t>地下水、土壤环境质量现状</w:t>
            </w:r>
          </w:p>
          <w:p w14:paraId="14ACF7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ascii="宋体" w:hAnsi="宋体" w:cs="宋体"/>
                <w:color w:val="auto"/>
                <w:kern w:val="0"/>
                <w:szCs w:val="21"/>
              </w:rPr>
            </w:pPr>
            <w:r>
              <w:rPr>
                <w:rFonts w:hint="default" w:ascii="Times New Roman" w:hAnsi="Times New Roman" w:eastAsia="宋体" w:cs="Times New Roman"/>
                <w:b w:val="0"/>
                <w:bCs w:val="0"/>
                <w:color w:val="auto"/>
                <w:sz w:val="24"/>
                <w:lang w:val="en-US" w:eastAsia="zh-CN"/>
              </w:rPr>
              <w:t>本项目</w:t>
            </w:r>
            <w:r>
              <w:rPr>
                <w:rFonts w:hint="eastAsia" w:cs="Times New Roman"/>
                <w:b w:val="0"/>
                <w:bCs w:val="0"/>
                <w:color w:val="auto"/>
                <w:sz w:val="24"/>
                <w:lang w:val="en-US" w:eastAsia="zh-CN"/>
              </w:rPr>
              <w:t>采取防腐防渗等措施可有效避免对</w:t>
            </w:r>
            <w:r>
              <w:rPr>
                <w:rFonts w:hint="default" w:ascii="Times New Roman" w:hAnsi="Times New Roman" w:eastAsia="宋体" w:cs="Times New Roman"/>
                <w:b w:val="0"/>
                <w:bCs w:val="0"/>
                <w:color w:val="auto"/>
                <w:sz w:val="24"/>
                <w:lang w:val="en-US" w:eastAsia="zh-CN"/>
              </w:rPr>
              <w:t>土壤、地下水环境</w:t>
            </w:r>
            <w:r>
              <w:rPr>
                <w:rFonts w:hint="eastAsia" w:cs="Times New Roman"/>
                <w:b w:val="0"/>
                <w:bCs w:val="0"/>
                <w:color w:val="auto"/>
                <w:sz w:val="24"/>
                <w:lang w:val="en-US" w:eastAsia="zh-CN"/>
              </w:rPr>
              <w:t>造成</w:t>
            </w:r>
            <w:r>
              <w:rPr>
                <w:rFonts w:hint="default" w:ascii="Times New Roman" w:hAnsi="Times New Roman" w:eastAsia="宋体" w:cs="Times New Roman"/>
                <w:b w:val="0"/>
                <w:bCs w:val="0"/>
                <w:color w:val="auto"/>
                <w:sz w:val="24"/>
                <w:lang w:val="en-US" w:eastAsia="zh-CN"/>
              </w:rPr>
              <w:t>污染，</w:t>
            </w:r>
            <w:r>
              <w:rPr>
                <w:rFonts w:hint="eastAsia" w:cs="Times New Roman"/>
                <w:b w:val="0"/>
                <w:bCs w:val="0"/>
                <w:color w:val="auto"/>
                <w:sz w:val="24"/>
                <w:lang w:val="en-US" w:eastAsia="zh-CN"/>
              </w:rPr>
              <w:t>可有效避免对</w:t>
            </w:r>
            <w:r>
              <w:rPr>
                <w:rFonts w:hint="default" w:ascii="Times New Roman" w:hAnsi="Times New Roman" w:eastAsia="宋体" w:cs="Times New Roman"/>
                <w:b w:val="0"/>
                <w:bCs w:val="0"/>
                <w:color w:val="auto"/>
                <w:sz w:val="24"/>
                <w:lang w:val="en-US" w:eastAsia="zh-CN"/>
              </w:rPr>
              <w:t>土壤、地下水环境污染途径</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根据建设项目环境影响报告表编制技术指南（污染影响类）（试行），不</w:t>
            </w:r>
            <w:r>
              <w:rPr>
                <w:rFonts w:hint="eastAsia" w:cs="Times New Roman"/>
                <w:b w:val="0"/>
                <w:bCs w:val="0"/>
                <w:color w:val="auto"/>
                <w:sz w:val="24"/>
                <w:lang w:val="en-US" w:eastAsia="zh-CN"/>
              </w:rPr>
              <w:t>对</w:t>
            </w:r>
            <w:r>
              <w:rPr>
                <w:rFonts w:hint="default" w:ascii="Times New Roman" w:hAnsi="Times New Roman" w:eastAsia="宋体" w:cs="Times New Roman"/>
                <w:b w:val="0"/>
                <w:bCs w:val="0"/>
                <w:color w:val="auto"/>
                <w:sz w:val="24"/>
                <w:lang w:val="en-US" w:eastAsia="zh-CN"/>
              </w:rPr>
              <w:t>地下水、土壤环境质量</w:t>
            </w:r>
            <w:r>
              <w:rPr>
                <w:rFonts w:hint="eastAsia" w:cs="Times New Roman"/>
                <w:b w:val="0"/>
                <w:bCs w:val="0"/>
                <w:color w:val="auto"/>
                <w:sz w:val="24"/>
                <w:lang w:val="en-US" w:eastAsia="zh-CN"/>
              </w:rPr>
              <w:t>进行</w:t>
            </w:r>
            <w:r>
              <w:rPr>
                <w:rFonts w:hint="default" w:ascii="Times New Roman" w:hAnsi="Times New Roman" w:eastAsia="宋体" w:cs="Times New Roman"/>
                <w:b w:val="0"/>
                <w:bCs w:val="0"/>
                <w:color w:val="auto"/>
                <w:sz w:val="24"/>
                <w:lang w:val="en-US" w:eastAsia="zh-CN"/>
              </w:rPr>
              <w:t>现状监测</w:t>
            </w:r>
            <w:r>
              <w:rPr>
                <w:rFonts w:hint="eastAsia" w:ascii="Times New Roman" w:hAnsi="Times New Roman" w:eastAsia="宋体" w:cs="Times New Roman"/>
                <w:b w:val="0"/>
                <w:bCs w:val="0"/>
                <w:color w:val="auto"/>
                <w:sz w:val="24"/>
                <w:lang w:val="en-US" w:eastAsia="zh-CN"/>
              </w:rPr>
              <w:t>。</w:t>
            </w:r>
          </w:p>
        </w:tc>
      </w:tr>
      <w:tr w14:paraId="5468C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450" w:type="dxa"/>
            <w:noWrap w:val="0"/>
            <w:vAlign w:val="center"/>
          </w:tcPr>
          <w:p w14:paraId="0E8955F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环境</w:t>
            </w:r>
          </w:p>
          <w:p w14:paraId="53DEDC1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保护</w:t>
            </w:r>
          </w:p>
          <w:p w14:paraId="5823F0A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目标</w:t>
            </w:r>
          </w:p>
        </w:tc>
        <w:tc>
          <w:tcPr>
            <w:tcW w:w="8839" w:type="dxa"/>
            <w:noWrap w:val="0"/>
            <w:vAlign w:val="center"/>
          </w:tcPr>
          <w:p w14:paraId="586A288E">
            <w:pPr>
              <w:keepNext w:val="0"/>
              <w:keepLines w:val="0"/>
              <w:pageBreakBefore w:val="0"/>
              <w:widowControl w:val="0"/>
              <w:kinsoku/>
              <w:overflowPunct/>
              <w:bidi w:val="0"/>
              <w:adjustRightInd w:val="0"/>
              <w:snapToGrid w:val="0"/>
              <w:spacing w:beforeAutospacing="0" w:afterAutospacing="0" w:line="360" w:lineRule="auto"/>
              <w:ind w:left="0" w:leftChars="0" w:firstLine="482" w:firstLineChars="200"/>
              <w:rPr>
                <w:rFonts w:hint="default" w:ascii="Times New Roman" w:hAnsi="Times New Roman" w:cs="Times New Roman"/>
                <w:b/>
                <w:bCs/>
                <w:iCs/>
                <w:color w:val="auto"/>
                <w:sz w:val="24"/>
              </w:rPr>
            </w:pPr>
            <w:r>
              <w:rPr>
                <w:rFonts w:hint="default" w:ascii="Times New Roman" w:hAnsi="Times New Roman" w:cs="Times New Roman"/>
                <w:b/>
                <w:bCs/>
                <w:iCs/>
                <w:color w:val="auto"/>
                <w:sz w:val="24"/>
              </w:rPr>
              <w:t>1、大气环境保护目标</w:t>
            </w:r>
          </w:p>
          <w:p w14:paraId="23E90AE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textAlignment w:val="auto"/>
              <w:rPr>
                <w:rFonts w:hint="eastAsia"/>
                <w:color w:val="auto"/>
                <w:lang w:eastAsia="zh-CN"/>
              </w:rPr>
            </w:pPr>
            <w:r>
              <w:rPr>
                <w:rFonts w:hint="default" w:ascii="Times New Roman" w:hAnsi="Times New Roman" w:cs="Times New Roman"/>
                <w:color w:val="auto"/>
                <w:kern w:val="0"/>
                <w:sz w:val="24"/>
              </w:rPr>
              <w:t>根据现场踏勘与调查，</w:t>
            </w:r>
            <w:r>
              <w:rPr>
                <w:rFonts w:hint="default" w:ascii="Times New Roman" w:hAnsi="Times New Roman" w:cs="Times New Roman"/>
                <w:color w:val="auto"/>
                <w:sz w:val="24"/>
                <w:szCs w:val="24"/>
              </w:rPr>
              <w:t>厂界外500m范围内无</w:t>
            </w:r>
            <w:r>
              <w:rPr>
                <w:rFonts w:hint="eastAsia" w:cs="Times New Roman"/>
                <w:color w:val="auto"/>
                <w:sz w:val="24"/>
                <w:szCs w:val="24"/>
                <w:lang w:val="en-US" w:eastAsia="zh-CN"/>
              </w:rPr>
              <w:t>自然保护区、风景名胜区、文化区等，在厂界外500m内含有村庄，详细位置见附图。</w:t>
            </w:r>
          </w:p>
          <w:p w14:paraId="5BC71E5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表3-</w:t>
            </w:r>
            <w:r>
              <w:rPr>
                <w:rFonts w:hint="eastAsia" w:cs="Times New Roman"/>
                <w:b/>
                <w:color w:val="auto"/>
                <w:kern w:val="0"/>
                <w:sz w:val="24"/>
                <w:szCs w:val="24"/>
                <w:lang w:val="en-US" w:eastAsia="zh-CN"/>
              </w:rPr>
              <w:t>2</w:t>
            </w:r>
            <w:r>
              <w:rPr>
                <w:rFonts w:hint="default" w:ascii="Times New Roman" w:hAnsi="Times New Roman" w:cs="Times New Roman"/>
                <w:b/>
                <w:color w:val="auto"/>
                <w:kern w:val="0"/>
                <w:sz w:val="24"/>
                <w:szCs w:val="24"/>
              </w:rPr>
              <w:t xml:space="preserve"> </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项目环境敏感保护目标一览表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686"/>
              <w:gridCol w:w="640"/>
              <w:gridCol w:w="630"/>
              <w:gridCol w:w="670"/>
              <w:gridCol w:w="1160"/>
              <w:gridCol w:w="880"/>
              <w:gridCol w:w="970"/>
              <w:gridCol w:w="1306"/>
            </w:tblGrid>
            <w:tr w14:paraId="4295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restart"/>
                  <w:vAlign w:val="center"/>
                </w:tcPr>
                <w:p w14:paraId="030BF40B">
                  <w:pPr>
                    <w:keepNext w:val="0"/>
                    <w:keepLines w:val="0"/>
                    <w:pageBreakBefore w:val="0"/>
                    <w:widowControl w:val="0"/>
                    <w:kinsoku/>
                    <w:overflowPunct/>
                    <w:bidi w:val="0"/>
                    <w:spacing w:beforeAutospacing="0" w:afterAutospacing="0"/>
                    <w:ind w:left="0" w:leftChars="0"/>
                    <w:contextualSpacing/>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Cs w:val="21"/>
                      <w:highlight w:val="none"/>
                    </w:rPr>
                    <w:t>环境要素</w:t>
                  </w:r>
                </w:p>
              </w:tc>
              <w:tc>
                <w:tcPr>
                  <w:tcW w:w="1686" w:type="dxa"/>
                  <w:vMerge w:val="restart"/>
                  <w:vAlign w:val="center"/>
                </w:tcPr>
                <w:p w14:paraId="253F9B7D">
                  <w:pPr>
                    <w:keepNext w:val="0"/>
                    <w:keepLines w:val="0"/>
                    <w:pageBreakBefore w:val="0"/>
                    <w:widowControl w:val="0"/>
                    <w:kinsoku/>
                    <w:overflowPunct/>
                    <w:bidi w:val="0"/>
                    <w:spacing w:beforeAutospacing="0" w:afterAutospacing="0"/>
                    <w:ind w:left="0" w:leftChars="0"/>
                    <w:contextualSpacing/>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Cs w:val="21"/>
                      <w:highlight w:val="none"/>
                    </w:rPr>
                    <w:t>名称</w:t>
                  </w:r>
                </w:p>
              </w:tc>
              <w:tc>
                <w:tcPr>
                  <w:tcW w:w="1270" w:type="dxa"/>
                  <w:gridSpan w:val="2"/>
                  <w:vAlign w:val="center"/>
                </w:tcPr>
                <w:p w14:paraId="5795574B">
                  <w:pPr>
                    <w:keepNext w:val="0"/>
                    <w:keepLines w:val="0"/>
                    <w:pageBreakBefore w:val="0"/>
                    <w:widowControl w:val="0"/>
                    <w:kinsoku/>
                    <w:overflowPunct/>
                    <w:bidi w:val="0"/>
                    <w:spacing w:beforeAutospacing="0" w:afterAutospacing="0"/>
                    <w:ind w:left="0" w:leftChars="0"/>
                    <w:contextualSpacing/>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Cs w:val="21"/>
                      <w:highlight w:val="none"/>
                    </w:rPr>
                    <w:t>坐标</w:t>
                  </w:r>
                </w:p>
              </w:tc>
              <w:tc>
                <w:tcPr>
                  <w:tcW w:w="670" w:type="dxa"/>
                  <w:vMerge w:val="restart"/>
                  <w:vAlign w:val="center"/>
                </w:tcPr>
                <w:p w14:paraId="1280B30B">
                  <w:pPr>
                    <w:keepNext w:val="0"/>
                    <w:keepLines w:val="0"/>
                    <w:pageBreakBefore w:val="0"/>
                    <w:widowControl w:val="0"/>
                    <w:kinsoku/>
                    <w:overflowPunct/>
                    <w:bidi w:val="0"/>
                    <w:spacing w:beforeAutospacing="0" w:afterAutospacing="0"/>
                    <w:ind w:left="0" w:leftChars="0"/>
                    <w:contextualSpacing/>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Cs w:val="21"/>
                      <w:highlight w:val="none"/>
                    </w:rPr>
                    <w:t>保护对象</w:t>
                  </w:r>
                </w:p>
              </w:tc>
              <w:tc>
                <w:tcPr>
                  <w:tcW w:w="1160" w:type="dxa"/>
                  <w:vMerge w:val="restart"/>
                  <w:vAlign w:val="center"/>
                </w:tcPr>
                <w:p w14:paraId="1C5B1FA4">
                  <w:pPr>
                    <w:keepNext w:val="0"/>
                    <w:keepLines w:val="0"/>
                    <w:pageBreakBefore w:val="0"/>
                    <w:widowControl w:val="0"/>
                    <w:kinsoku/>
                    <w:overflowPunct/>
                    <w:bidi w:val="0"/>
                    <w:spacing w:beforeAutospacing="0" w:afterAutospacing="0"/>
                    <w:ind w:left="0" w:leftChars="0"/>
                    <w:contextualSpacing/>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Cs w:val="21"/>
                      <w:highlight w:val="none"/>
                    </w:rPr>
                    <w:t>保护内容</w:t>
                  </w:r>
                </w:p>
              </w:tc>
              <w:tc>
                <w:tcPr>
                  <w:tcW w:w="880" w:type="dxa"/>
                  <w:vMerge w:val="restart"/>
                  <w:vAlign w:val="center"/>
                </w:tcPr>
                <w:p w14:paraId="4DEFDA0D">
                  <w:pPr>
                    <w:keepNext w:val="0"/>
                    <w:keepLines w:val="0"/>
                    <w:pageBreakBefore w:val="0"/>
                    <w:widowControl w:val="0"/>
                    <w:kinsoku/>
                    <w:overflowPunct/>
                    <w:bidi w:val="0"/>
                    <w:spacing w:beforeAutospacing="0" w:afterAutospacing="0"/>
                    <w:ind w:left="0" w:leftChars="0"/>
                    <w:contextualSpacing/>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Cs w:val="21"/>
                      <w:highlight w:val="none"/>
                    </w:rPr>
                    <w:t>环境功能区</w:t>
                  </w:r>
                </w:p>
              </w:tc>
              <w:tc>
                <w:tcPr>
                  <w:tcW w:w="970" w:type="dxa"/>
                  <w:vMerge w:val="restart"/>
                  <w:vAlign w:val="center"/>
                </w:tcPr>
                <w:p w14:paraId="430F3295">
                  <w:pPr>
                    <w:keepNext w:val="0"/>
                    <w:keepLines w:val="0"/>
                    <w:pageBreakBefore w:val="0"/>
                    <w:widowControl w:val="0"/>
                    <w:kinsoku/>
                    <w:overflowPunct/>
                    <w:bidi w:val="0"/>
                    <w:spacing w:beforeAutospacing="0" w:afterAutospacing="0"/>
                    <w:ind w:left="0" w:leftChars="0"/>
                    <w:contextualSpacing/>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Cs w:val="21"/>
                      <w:highlight w:val="none"/>
                    </w:rPr>
                    <w:t>相对厂址方位</w:t>
                  </w:r>
                </w:p>
              </w:tc>
              <w:tc>
                <w:tcPr>
                  <w:tcW w:w="1306" w:type="dxa"/>
                  <w:vMerge w:val="restart"/>
                  <w:vAlign w:val="center"/>
                </w:tcPr>
                <w:p w14:paraId="211A6F8F">
                  <w:pPr>
                    <w:keepNext w:val="0"/>
                    <w:keepLines w:val="0"/>
                    <w:pageBreakBefore w:val="0"/>
                    <w:widowControl w:val="0"/>
                    <w:kinsoku/>
                    <w:overflowPunct/>
                    <w:bidi w:val="0"/>
                    <w:spacing w:beforeAutospacing="0" w:afterAutospacing="0"/>
                    <w:ind w:left="0" w:leftChars="0"/>
                    <w:contextualSpacing/>
                    <w:jc w:val="center"/>
                    <w:rPr>
                      <w:rFonts w:hint="default" w:ascii="Times New Roman" w:hAnsi="Times New Roman" w:eastAsia="宋体" w:cs="Times New Roman"/>
                      <w:b/>
                      <w:bCs/>
                      <w:color w:val="auto"/>
                      <w:sz w:val="21"/>
                      <w:szCs w:val="21"/>
                      <w:lang w:val="en-US" w:eastAsia="zh-CN"/>
                    </w:rPr>
                  </w:pPr>
                  <w:r>
                    <w:rPr>
                      <w:rFonts w:hint="default"/>
                      <w:b w:val="0"/>
                      <w:bCs w:val="0"/>
                      <w:color w:val="auto"/>
                    </w:rPr>
                    <w:t>距</w:t>
                  </w:r>
                  <w:r>
                    <w:rPr>
                      <w:rFonts w:hint="eastAsia"/>
                      <w:b w:val="0"/>
                      <w:bCs w:val="0"/>
                      <w:color w:val="auto"/>
                      <w:lang w:val="en-US" w:eastAsia="zh-CN"/>
                    </w:rPr>
                    <w:t>厂区边界最近距离</w:t>
                  </w:r>
                  <w:r>
                    <w:rPr>
                      <w:rFonts w:hint="default" w:ascii="Times New Roman" w:hAnsi="Times New Roman" w:cs="Times New Roman"/>
                      <w:color w:val="auto"/>
                      <w:szCs w:val="21"/>
                      <w:highlight w:val="none"/>
                    </w:rPr>
                    <w:t>m</w:t>
                  </w:r>
                </w:p>
              </w:tc>
            </w:tr>
            <w:tr w14:paraId="5F12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00650A3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lang w:val="en-US" w:eastAsia="zh-CN"/>
                    </w:rPr>
                  </w:pPr>
                </w:p>
              </w:tc>
              <w:tc>
                <w:tcPr>
                  <w:tcW w:w="1686" w:type="dxa"/>
                  <w:vMerge w:val="continue"/>
                  <w:vAlign w:val="center"/>
                </w:tcPr>
                <w:p w14:paraId="41003E9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lang w:val="en-US" w:eastAsia="zh-CN"/>
                    </w:rPr>
                  </w:pPr>
                </w:p>
              </w:tc>
              <w:tc>
                <w:tcPr>
                  <w:tcW w:w="640" w:type="dxa"/>
                  <w:vAlign w:val="center"/>
                </w:tcPr>
                <w:p w14:paraId="2421290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X</w:t>
                  </w:r>
                </w:p>
              </w:tc>
              <w:tc>
                <w:tcPr>
                  <w:tcW w:w="630" w:type="dxa"/>
                  <w:vAlign w:val="center"/>
                </w:tcPr>
                <w:p w14:paraId="44759F2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670" w:type="dxa"/>
                  <w:vMerge w:val="continue"/>
                  <w:vAlign w:val="center"/>
                </w:tcPr>
                <w:p w14:paraId="764B3BC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lang w:val="en-US" w:eastAsia="zh-CN"/>
                    </w:rPr>
                  </w:pPr>
                </w:p>
              </w:tc>
              <w:tc>
                <w:tcPr>
                  <w:tcW w:w="1160" w:type="dxa"/>
                  <w:vMerge w:val="continue"/>
                  <w:vAlign w:val="center"/>
                </w:tcPr>
                <w:p w14:paraId="5CD6580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lang w:val="en-US" w:eastAsia="zh-CN"/>
                    </w:rPr>
                  </w:pPr>
                </w:p>
              </w:tc>
              <w:tc>
                <w:tcPr>
                  <w:tcW w:w="880" w:type="dxa"/>
                  <w:vMerge w:val="continue"/>
                  <w:vAlign w:val="center"/>
                </w:tcPr>
                <w:p w14:paraId="0F66240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lang w:val="en-US" w:eastAsia="zh-CN"/>
                    </w:rPr>
                  </w:pPr>
                </w:p>
              </w:tc>
              <w:tc>
                <w:tcPr>
                  <w:tcW w:w="970" w:type="dxa"/>
                  <w:vMerge w:val="continue"/>
                  <w:vAlign w:val="center"/>
                </w:tcPr>
                <w:p w14:paraId="261C012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lang w:val="en-US" w:eastAsia="zh-CN"/>
                    </w:rPr>
                  </w:pPr>
                </w:p>
              </w:tc>
              <w:tc>
                <w:tcPr>
                  <w:tcW w:w="1306" w:type="dxa"/>
                  <w:vMerge w:val="continue"/>
                  <w:vAlign w:val="center"/>
                </w:tcPr>
                <w:p w14:paraId="38AF229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auto"/>
                      <w:sz w:val="21"/>
                      <w:szCs w:val="21"/>
                      <w:lang w:val="en-US" w:eastAsia="zh-CN"/>
                    </w:rPr>
                  </w:pPr>
                </w:p>
              </w:tc>
            </w:tr>
            <w:tr w14:paraId="4E4F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restart"/>
                  <w:vAlign w:val="center"/>
                </w:tcPr>
                <w:p w14:paraId="742E638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大气</w:t>
                  </w:r>
                  <w:r>
                    <w:rPr>
                      <w:rFonts w:hint="default" w:ascii="Times New Roman" w:hAnsi="Times New Roman" w:eastAsia="宋体" w:cs="Times New Roman"/>
                      <w:b w:val="0"/>
                      <w:bCs w:val="0"/>
                      <w:color w:val="auto"/>
                      <w:sz w:val="21"/>
                      <w:szCs w:val="21"/>
                    </w:rPr>
                    <w:t>环境</w:t>
                  </w:r>
                </w:p>
              </w:tc>
              <w:tc>
                <w:tcPr>
                  <w:tcW w:w="1686" w:type="dxa"/>
                  <w:vAlign w:val="center"/>
                </w:tcPr>
                <w:p w14:paraId="78C8E46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沿街居民</w:t>
                  </w:r>
                </w:p>
              </w:tc>
              <w:tc>
                <w:tcPr>
                  <w:tcW w:w="640" w:type="dxa"/>
                  <w:vAlign w:val="center"/>
                </w:tcPr>
                <w:p w14:paraId="43679E6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630" w:type="dxa"/>
                  <w:vAlign w:val="center"/>
                </w:tcPr>
                <w:p w14:paraId="4DDC171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85</w:t>
                  </w:r>
                </w:p>
              </w:tc>
              <w:tc>
                <w:tcPr>
                  <w:tcW w:w="670" w:type="dxa"/>
                  <w:vAlign w:val="center"/>
                </w:tcPr>
                <w:p w14:paraId="067DECD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居民区</w:t>
                  </w:r>
                </w:p>
              </w:tc>
              <w:tc>
                <w:tcPr>
                  <w:tcW w:w="1160" w:type="dxa"/>
                  <w:vAlign w:val="center"/>
                </w:tcPr>
                <w:p w14:paraId="2CB13D3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约50户</w:t>
                  </w:r>
                </w:p>
              </w:tc>
              <w:tc>
                <w:tcPr>
                  <w:tcW w:w="880" w:type="dxa"/>
                  <w:vMerge w:val="restart"/>
                  <w:vAlign w:val="center"/>
                </w:tcPr>
                <w:p w14:paraId="101366B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GB3095-2012-</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级</w:t>
                  </w:r>
                </w:p>
              </w:tc>
              <w:tc>
                <w:tcPr>
                  <w:tcW w:w="970" w:type="dxa"/>
                  <w:vAlign w:val="center"/>
                </w:tcPr>
                <w:p w14:paraId="286A02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N</w:t>
                  </w:r>
                </w:p>
              </w:tc>
              <w:tc>
                <w:tcPr>
                  <w:tcW w:w="1306" w:type="dxa"/>
                  <w:vAlign w:val="center"/>
                </w:tcPr>
                <w:p w14:paraId="171757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r>
            <w:tr w14:paraId="3281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54FD4D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5931C1B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水务大厦</w:t>
                  </w:r>
                  <w:r>
                    <w:rPr>
                      <w:rFonts w:hint="eastAsia" w:cs="Times New Roman"/>
                      <w:b w:val="0"/>
                      <w:bCs w:val="0"/>
                      <w:color w:val="auto"/>
                      <w:sz w:val="21"/>
                      <w:szCs w:val="21"/>
                      <w:lang w:val="en-US" w:eastAsia="zh-CN"/>
                    </w:rPr>
                    <w:t>小区</w:t>
                  </w:r>
                </w:p>
              </w:tc>
              <w:tc>
                <w:tcPr>
                  <w:tcW w:w="640" w:type="dxa"/>
                  <w:vAlign w:val="center"/>
                </w:tcPr>
                <w:p w14:paraId="34BCB8E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166</w:t>
                  </w:r>
                </w:p>
              </w:tc>
              <w:tc>
                <w:tcPr>
                  <w:tcW w:w="630" w:type="dxa"/>
                  <w:vAlign w:val="center"/>
                </w:tcPr>
                <w:p w14:paraId="52AD16B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670" w:type="dxa"/>
                  <w:vAlign w:val="center"/>
                </w:tcPr>
                <w:p w14:paraId="0FA0850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居民区</w:t>
                  </w:r>
                </w:p>
              </w:tc>
              <w:tc>
                <w:tcPr>
                  <w:tcW w:w="1160" w:type="dxa"/>
                  <w:vAlign w:val="center"/>
                </w:tcPr>
                <w:p w14:paraId="4EA8087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约100户</w:t>
                  </w:r>
                </w:p>
              </w:tc>
              <w:tc>
                <w:tcPr>
                  <w:tcW w:w="880" w:type="dxa"/>
                  <w:vMerge w:val="continue"/>
                  <w:vAlign w:val="center"/>
                </w:tcPr>
                <w:p w14:paraId="6CF86F3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684222E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E</w:t>
                  </w:r>
                </w:p>
              </w:tc>
              <w:tc>
                <w:tcPr>
                  <w:tcW w:w="1306" w:type="dxa"/>
                  <w:vAlign w:val="center"/>
                </w:tcPr>
                <w:p w14:paraId="72EA794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89</w:t>
                  </w:r>
                </w:p>
              </w:tc>
            </w:tr>
            <w:tr w14:paraId="3D0B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2C80F3B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7B0B527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杨集新村</w:t>
                  </w:r>
                </w:p>
              </w:tc>
              <w:tc>
                <w:tcPr>
                  <w:tcW w:w="640" w:type="dxa"/>
                  <w:vAlign w:val="center"/>
                </w:tcPr>
                <w:p w14:paraId="749C12D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-496</w:t>
                  </w:r>
                </w:p>
              </w:tc>
              <w:tc>
                <w:tcPr>
                  <w:tcW w:w="630" w:type="dxa"/>
                  <w:vAlign w:val="center"/>
                </w:tcPr>
                <w:p w14:paraId="3577E50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670" w:type="dxa"/>
                  <w:vAlign w:val="center"/>
                </w:tcPr>
                <w:p w14:paraId="541A530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村庄</w:t>
                  </w:r>
                </w:p>
              </w:tc>
              <w:tc>
                <w:tcPr>
                  <w:tcW w:w="1160" w:type="dxa"/>
                  <w:vAlign w:val="center"/>
                </w:tcPr>
                <w:p w14:paraId="7A12800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约100户</w:t>
                  </w:r>
                </w:p>
              </w:tc>
              <w:tc>
                <w:tcPr>
                  <w:tcW w:w="880" w:type="dxa"/>
                  <w:vMerge w:val="continue"/>
                  <w:vAlign w:val="center"/>
                </w:tcPr>
                <w:p w14:paraId="27A2405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0220EB0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w:t>
                  </w:r>
                </w:p>
              </w:tc>
              <w:tc>
                <w:tcPr>
                  <w:tcW w:w="1306" w:type="dxa"/>
                  <w:vAlign w:val="center"/>
                </w:tcPr>
                <w:p w14:paraId="4578730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403</w:t>
                  </w:r>
                </w:p>
              </w:tc>
            </w:tr>
            <w:tr w14:paraId="647B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1EEF08A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5B32D85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绿城珠江丽景</w:t>
                  </w:r>
                  <w:r>
                    <w:rPr>
                      <w:rFonts w:hint="eastAsia" w:cs="Times New Roman"/>
                      <w:b w:val="0"/>
                      <w:bCs w:val="0"/>
                      <w:color w:val="auto"/>
                      <w:sz w:val="21"/>
                      <w:szCs w:val="21"/>
                      <w:lang w:val="en-US" w:eastAsia="zh-CN"/>
                    </w:rPr>
                    <w:t>小区</w:t>
                  </w:r>
                </w:p>
              </w:tc>
              <w:tc>
                <w:tcPr>
                  <w:tcW w:w="640" w:type="dxa"/>
                  <w:vAlign w:val="center"/>
                </w:tcPr>
                <w:p w14:paraId="236243B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225</w:t>
                  </w:r>
                </w:p>
              </w:tc>
              <w:tc>
                <w:tcPr>
                  <w:tcW w:w="630" w:type="dxa"/>
                  <w:vAlign w:val="center"/>
                </w:tcPr>
                <w:p w14:paraId="00D4771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w:t>
                  </w:r>
                </w:p>
              </w:tc>
              <w:tc>
                <w:tcPr>
                  <w:tcW w:w="670" w:type="dxa"/>
                  <w:vAlign w:val="center"/>
                </w:tcPr>
                <w:p w14:paraId="06C8B6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居民区</w:t>
                  </w:r>
                </w:p>
              </w:tc>
              <w:tc>
                <w:tcPr>
                  <w:tcW w:w="1160" w:type="dxa"/>
                  <w:vAlign w:val="center"/>
                </w:tcPr>
                <w:p w14:paraId="7C4F3BC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约100户</w:t>
                  </w:r>
                </w:p>
              </w:tc>
              <w:tc>
                <w:tcPr>
                  <w:tcW w:w="880" w:type="dxa"/>
                  <w:vMerge w:val="continue"/>
                  <w:vAlign w:val="center"/>
                </w:tcPr>
                <w:p w14:paraId="2FE025F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0A0BBF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E</w:t>
                  </w:r>
                </w:p>
              </w:tc>
              <w:tc>
                <w:tcPr>
                  <w:tcW w:w="1306" w:type="dxa"/>
                  <w:vAlign w:val="center"/>
                </w:tcPr>
                <w:p w14:paraId="7965416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161</w:t>
                  </w:r>
                </w:p>
              </w:tc>
            </w:tr>
            <w:tr w14:paraId="45B2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28A08AB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2D4E478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潘集区第三小学</w:t>
                  </w:r>
                </w:p>
              </w:tc>
              <w:tc>
                <w:tcPr>
                  <w:tcW w:w="640" w:type="dxa"/>
                  <w:vAlign w:val="center"/>
                </w:tcPr>
                <w:p w14:paraId="7BFFC2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499</w:t>
                  </w:r>
                </w:p>
              </w:tc>
              <w:tc>
                <w:tcPr>
                  <w:tcW w:w="630" w:type="dxa"/>
                  <w:vAlign w:val="center"/>
                </w:tcPr>
                <w:p w14:paraId="4D90FAE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-144</w:t>
                  </w:r>
                </w:p>
              </w:tc>
              <w:tc>
                <w:tcPr>
                  <w:tcW w:w="670" w:type="dxa"/>
                  <w:vAlign w:val="center"/>
                </w:tcPr>
                <w:p w14:paraId="59643D3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学校</w:t>
                  </w:r>
                </w:p>
              </w:tc>
              <w:tc>
                <w:tcPr>
                  <w:tcW w:w="1160" w:type="dxa"/>
                  <w:vAlign w:val="center"/>
                </w:tcPr>
                <w:p w14:paraId="7AAC169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约1000人</w:t>
                  </w:r>
                </w:p>
              </w:tc>
              <w:tc>
                <w:tcPr>
                  <w:tcW w:w="880" w:type="dxa"/>
                  <w:vMerge w:val="continue"/>
                  <w:vAlign w:val="center"/>
                </w:tcPr>
                <w:p w14:paraId="7F341AC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2B786BD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E</w:t>
                  </w:r>
                </w:p>
              </w:tc>
              <w:tc>
                <w:tcPr>
                  <w:tcW w:w="1306" w:type="dxa"/>
                  <w:vAlign w:val="center"/>
                </w:tcPr>
                <w:p w14:paraId="399D044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463</w:t>
                  </w:r>
                </w:p>
              </w:tc>
            </w:tr>
            <w:tr w14:paraId="7A65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19D95E3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35D1385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庙西村</w:t>
                  </w:r>
                </w:p>
              </w:tc>
              <w:tc>
                <w:tcPr>
                  <w:tcW w:w="640" w:type="dxa"/>
                  <w:vAlign w:val="center"/>
                </w:tcPr>
                <w:p w14:paraId="45F49C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244</w:t>
                  </w:r>
                </w:p>
              </w:tc>
              <w:tc>
                <w:tcPr>
                  <w:tcW w:w="630" w:type="dxa"/>
                  <w:vAlign w:val="center"/>
                </w:tcPr>
                <w:p w14:paraId="5EF87B9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403</w:t>
                  </w:r>
                </w:p>
              </w:tc>
              <w:tc>
                <w:tcPr>
                  <w:tcW w:w="670" w:type="dxa"/>
                  <w:vAlign w:val="center"/>
                </w:tcPr>
                <w:p w14:paraId="371D8F5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村庄</w:t>
                  </w:r>
                </w:p>
              </w:tc>
              <w:tc>
                <w:tcPr>
                  <w:tcW w:w="1160" w:type="dxa"/>
                  <w:vAlign w:val="center"/>
                </w:tcPr>
                <w:p w14:paraId="1ECE574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约100户</w:t>
                  </w:r>
                </w:p>
              </w:tc>
              <w:tc>
                <w:tcPr>
                  <w:tcW w:w="880" w:type="dxa"/>
                  <w:vMerge w:val="continue"/>
                  <w:vAlign w:val="center"/>
                </w:tcPr>
                <w:p w14:paraId="2054AD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34CA6F8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NE</w:t>
                  </w:r>
                </w:p>
              </w:tc>
              <w:tc>
                <w:tcPr>
                  <w:tcW w:w="1306" w:type="dxa"/>
                  <w:vAlign w:val="center"/>
                </w:tcPr>
                <w:p w14:paraId="7F0DD6B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372</w:t>
                  </w:r>
                </w:p>
              </w:tc>
            </w:tr>
            <w:tr w14:paraId="0B81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3D7D853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4A1C864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新圩孜村</w:t>
                  </w:r>
                </w:p>
              </w:tc>
              <w:tc>
                <w:tcPr>
                  <w:tcW w:w="640" w:type="dxa"/>
                  <w:vAlign w:val="center"/>
                </w:tcPr>
                <w:p w14:paraId="0B64319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-61</w:t>
                  </w:r>
                </w:p>
              </w:tc>
              <w:tc>
                <w:tcPr>
                  <w:tcW w:w="630" w:type="dxa"/>
                  <w:vAlign w:val="center"/>
                </w:tcPr>
                <w:p w14:paraId="4FF4427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444</w:t>
                  </w:r>
                </w:p>
              </w:tc>
              <w:tc>
                <w:tcPr>
                  <w:tcW w:w="670" w:type="dxa"/>
                  <w:vAlign w:val="center"/>
                </w:tcPr>
                <w:p w14:paraId="0BF834A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村庄</w:t>
                  </w:r>
                </w:p>
              </w:tc>
              <w:tc>
                <w:tcPr>
                  <w:tcW w:w="1160" w:type="dxa"/>
                  <w:vAlign w:val="center"/>
                </w:tcPr>
                <w:p w14:paraId="18E5E04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约100户</w:t>
                  </w:r>
                </w:p>
              </w:tc>
              <w:tc>
                <w:tcPr>
                  <w:tcW w:w="880" w:type="dxa"/>
                  <w:vMerge w:val="continue"/>
                  <w:vAlign w:val="center"/>
                </w:tcPr>
                <w:p w14:paraId="34A7C1E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2BC5DCC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NW</w:t>
                  </w:r>
                </w:p>
              </w:tc>
              <w:tc>
                <w:tcPr>
                  <w:tcW w:w="1306" w:type="dxa"/>
                  <w:vAlign w:val="center"/>
                </w:tcPr>
                <w:p w14:paraId="796E262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353</w:t>
                  </w:r>
                </w:p>
              </w:tc>
            </w:tr>
            <w:tr w14:paraId="0C8E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5C0D57A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1B0B878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田集新一村小区</w:t>
                  </w:r>
                </w:p>
              </w:tc>
              <w:tc>
                <w:tcPr>
                  <w:tcW w:w="640" w:type="dxa"/>
                  <w:vAlign w:val="center"/>
                </w:tcPr>
                <w:p w14:paraId="21C1031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-344</w:t>
                  </w:r>
                </w:p>
              </w:tc>
              <w:tc>
                <w:tcPr>
                  <w:tcW w:w="630" w:type="dxa"/>
                  <w:vAlign w:val="center"/>
                </w:tcPr>
                <w:p w14:paraId="71191A0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122</w:t>
                  </w:r>
                </w:p>
              </w:tc>
              <w:tc>
                <w:tcPr>
                  <w:tcW w:w="670" w:type="dxa"/>
                  <w:vAlign w:val="center"/>
                </w:tcPr>
                <w:p w14:paraId="53E232E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村庄</w:t>
                  </w:r>
                </w:p>
              </w:tc>
              <w:tc>
                <w:tcPr>
                  <w:tcW w:w="1160" w:type="dxa"/>
                  <w:vAlign w:val="center"/>
                </w:tcPr>
                <w:p w14:paraId="2586E8F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约100户</w:t>
                  </w:r>
                </w:p>
              </w:tc>
              <w:tc>
                <w:tcPr>
                  <w:tcW w:w="880" w:type="dxa"/>
                  <w:vMerge w:val="continue"/>
                  <w:vAlign w:val="center"/>
                </w:tcPr>
                <w:p w14:paraId="1F40775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5AEC566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NW</w:t>
                  </w:r>
                </w:p>
              </w:tc>
              <w:tc>
                <w:tcPr>
                  <w:tcW w:w="1306" w:type="dxa"/>
                  <w:vAlign w:val="center"/>
                </w:tcPr>
                <w:p w14:paraId="1E00DA7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344</w:t>
                  </w:r>
                </w:p>
              </w:tc>
            </w:tr>
            <w:tr w14:paraId="60B6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1F75702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5881D57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李圩社区</w:t>
                  </w:r>
                </w:p>
              </w:tc>
              <w:tc>
                <w:tcPr>
                  <w:tcW w:w="640" w:type="dxa"/>
                  <w:vAlign w:val="center"/>
                </w:tcPr>
                <w:p w14:paraId="5CF4DF9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-232</w:t>
                  </w:r>
                </w:p>
              </w:tc>
              <w:tc>
                <w:tcPr>
                  <w:tcW w:w="630" w:type="dxa"/>
                  <w:vAlign w:val="center"/>
                </w:tcPr>
                <w:p w14:paraId="40E551F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670" w:type="dxa"/>
                  <w:vAlign w:val="center"/>
                </w:tcPr>
                <w:p w14:paraId="1910E6C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村庄</w:t>
                  </w:r>
                </w:p>
              </w:tc>
              <w:tc>
                <w:tcPr>
                  <w:tcW w:w="1160" w:type="dxa"/>
                  <w:vAlign w:val="center"/>
                </w:tcPr>
                <w:p w14:paraId="1525B04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约100户</w:t>
                  </w:r>
                </w:p>
              </w:tc>
              <w:tc>
                <w:tcPr>
                  <w:tcW w:w="880" w:type="dxa"/>
                  <w:vMerge w:val="continue"/>
                  <w:vAlign w:val="center"/>
                </w:tcPr>
                <w:p w14:paraId="15CC5D0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7680DCC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w:t>
                  </w:r>
                </w:p>
              </w:tc>
              <w:tc>
                <w:tcPr>
                  <w:tcW w:w="1306" w:type="dxa"/>
                  <w:vAlign w:val="center"/>
                </w:tcPr>
                <w:p w14:paraId="774F8C3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131</w:t>
                  </w:r>
                </w:p>
              </w:tc>
            </w:tr>
            <w:tr w14:paraId="2449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vMerge w:val="continue"/>
                  <w:vAlign w:val="center"/>
                </w:tcPr>
                <w:p w14:paraId="060CCD4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ascii="Times New Roman" w:hAnsi="Times New Roman" w:eastAsia="宋体" w:cs="Times New Roman"/>
                      <w:b w:val="0"/>
                      <w:bCs w:val="0"/>
                      <w:color w:val="auto"/>
                      <w:sz w:val="21"/>
                      <w:szCs w:val="21"/>
                      <w:lang w:val="en-US" w:eastAsia="zh-CN"/>
                    </w:rPr>
                  </w:pPr>
                </w:p>
              </w:tc>
              <w:tc>
                <w:tcPr>
                  <w:tcW w:w="1686" w:type="dxa"/>
                  <w:vAlign w:val="center"/>
                </w:tcPr>
                <w:p w14:paraId="427ECFB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秦庄社区</w:t>
                  </w:r>
                </w:p>
              </w:tc>
              <w:tc>
                <w:tcPr>
                  <w:tcW w:w="640" w:type="dxa"/>
                  <w:vAlign w:val="center"/>
                </w:tcPr>
                <w:p w14:paraId="3E08F78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-332</w:t>
                  </w:r>
                </w:p>
              </w:tc>
              <w:tc>
                <w:tcPr>
                  <w:tcW w:w="630" w:type="dxa"/>
                  <w:vAlign w:val="center"/>
                </w:tcPr>
                <w:p w14:paraId="1A71D05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270</w:t>
                  </w:r>
                </w:p>
              </w:tc>
              <w:tc>
                <w:tcPr>
                  <w:tcW w:w="670" w:type="dxa"/>
                  <w:vAlign w:val="center"/>
                </w:tcPr>
                <w:p w14:paraId="49C5456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村庄</w:t>
                  </w:r>
                </w:p>
              </w:tc>
              <w:tc>
                <w:tcPr>
                  <w:tcW w:w="1160" w:type="dxa"/>
                  <w:vAlign w:val="center"/>
                </w:tcPr>
                <w:p w14:paraId="1451B9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约600户</w:t>
                  </w:r>
                </w:p>
              </w:tc>
              <w:tc>
                <w:tcPr>
                  <w:tcW w:w="880" w:type="dxa"/>
                  <w:vMerge w:val="continue"/>
                  <w:vAlign w:val="center"/>
                </w:tcPr>
                <w:p w14:paraId="7DA897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val="0"/>
                      <w:bCs w:val="0"/>
                      <w:color w:val="auto"/>
                      <w:sz w:val="21"/>
                      <w:szCs w:val="21"/>
                    </w:rPr>
                  </w:pPr>
                </w:p>
              </w:tc>
              <w:tc>
                <w:tcPr>
                  <w:tcW w:w="970" w:type="dxa"/>
                  <w:vAlign w:val="center"/>
                </w:tcPr>
                <w:p w14:paraId="5906561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NW</w:t>
                  </w:r>
                </w:p>
              </w:tc>
              <w:tc>
                <w:tcPr>
                  <w:tcW w:w="1306" w:type="dxa"/>
                  <w:vAlign w:val="center"/>
                </w:tcPr>
                <w:p w14:paraId="52CC25B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372</w:t>
                  </w:r>
                </w:p>
              </w:tc>
            </w:tr>
          </w:tbl>
          <w:p w14:paraId="3F3A56C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jc w:val="both"/>
              <w:textAlignment w:val="auto"/>
              <w:rPr>
                <w:rFonts w:hint="default" w:ascii="Times New Roman" w:hAnsi="Times New Roman" w:eastAsia="宋体" w:cs="Times New Roman"/>
                <w:b/>
                <w:bCs/>
                <w:iCs/>
                <w:color w:val="auto"/>
                <w:sz w:val="24"/>
              </w:rPr>
            </w:pPr>
            <w:r>
              <w:rPr>
                <w:rFonts w:hint="default" w:ascii="Times New Roman" w:hAnsi="Times New Roman" w:eastAsia="宋体" w:cs="Times New Roman"/>
                <w:b/>
                <w:bCs/>
                <w:iCs/>
                <w:color w:val="auto"/>
                <w:sz w:val="18"/>
                <w:szCs w:val="18"/>
                <w:lang w:val="en-US" w:eastAsia="zh-CN"/>
              </w:rPr>
              <w:t>注：取</w:t>
            </w:r>
            <w:r>
              <w:rPr>
                <w:rFonts w:hint="eastAsia" w:cs="Times New Roman"/>
                <w:b/>
                <w:bCs/>
                <w:iCs/>
                <w:color w:val="auto"/>
                <w:sz w:val="18"/>
                <w:szCs w:val="18"/>
                <w:lang w:val="en-US" w:eastAsia="zh-CN"/>
              </w:rPr>
              <w:t>水厂厂区中心</w:t>
            </w:r>
            <w:r>
              <w:rPr>
                <w:rFonts w:hint="default" w:ascii="Times New Roman" w:hAnsi="Times New Roman" w:eastAsia="宋体" w:cs="Times New Roman"/>
                <w:b/>
                <w:bCs/>
                <w:iCs/>
                <w:color w:val="auto"/>
                <w:sz w:val="18"/>
                <w:szCs w:val="18"/>
                <w:lang w:val="en-US" w:eastAsia="zh-CN"/>
              </w:rPr>
              <w:t>为坐标原点。</w:t>
            </w:r>
          </w:p>
          <w:p w14:paraId="00EE7E54">
            <w:pPr>
              <w:keepNext w:val="0"/>
              <w:keepLines w:val="0"/>
              <w:pageBreakBefore w:val="0"/>
              <w:widowControl w:val="0"/>
              <w:kinsoku/>
              <w:overflowPunct/>
              <w:bidi w:val="0"/>
              <w:adjustRightInd w:val="0"/>
              <w:snapToGrid w:val="0"/>
              <w:spacing w:beforeAutospacing="0" w:afterAutospacing="0" w:line="360" w:lineRule="auto"/>
              <w:ind w:left="0" w:leftChars="0" w:firstLine="482" w:firstLineChars="200"/>
              <w:rPr>
                <w:rFonts w:hint="default" w:ascii="Times New Roman" w:hAnsi="Times New Roman" w:eastAsia="宋体" w:cs="Times New Roman"/>
                <w:b/>
                <w:bCs/>
                <w:iCs/>
                <w:color w:val="auto"/>
                <w:sz w:val="24"/>
                <w:lang w:val="en-US" w:eastAsia="zh-CN"/>
              </w:rPr>
            </w:pPr>
            <w:r>
              <w:rPr>
                <w:rFonts w:hint="default" w:ascii="Times New Roman" w:hAnsi="Times New Roman" w:eastAsia="宋体" w:cs="Times New Roman"/>
                <w:b/>
                <w:bCs/>
                <w:iCs/>
                <w:color w:val="auto"/>
                <w:sz w:val="24"/>
                <w:lang w:val="en-US" w:eastAsia="zh-CN"/>
              </w:rPr>
              <w:t>2、水环境保护目标</w:t>
            </w:r>
          </w:p>
          <w:p w14:paraId="7ECB975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项目地表水水体为</w:t>
            </w:r>
            <w:r>
              <w:rPr>
                <w:rFonts w:hint="eastAsia" w:ascii="Times New Roman" w:hAnsi="Times New Roman" w:eastAsia="宋体" w:cs="Times New Roman"/>
                <w:b w:val="0"/>
                <w:bCs w:val="0"/>
                <w:color w:val="auto"/>
                <w:kern w:val="2"/>
                <w:sz w:val="24"/>
                <w:szCs w:val="24"/>
                <w:lang w:val="en-US" w:eastAsia="zh-CN" w:bidi="ar-SA"/>
              </w:rPr>
              <w:t>淮河</w:t>
            </w:r>
            <w:r>
              <w:rPr>
                <w:rFonts w:hint="default" w:ascii="Times New Roman" w:hAnsi="Times New Roman" w:eastAsia="宋体" w:cs="Times New Roman"/>
                <w:b w:val="0"/>
                <w:bCs w:val="0"/>
                <w:color w:val="auto"/>
                <w:kern w:val="2"/>
                <w:sz w:val="24"/>
                <w:szCs w:val="24"/>
                <w:lang w:val="en-US" w:eastAsia="zh-CN" w:bidi="ar-SA"/>
              </w:rPr>
              <w:t>。</w:t>
            </w:r>
          </w:p>
          <w:p w14:paraId="030848A8">
            <w:pPr>
              <w:pStyle w:val="110"/>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表3-</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 xml:space="preserve">  项目环境敏感保护目标一览表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12"/>
              <w:gridCol w:w="526"/>
              <w:gridCol w:w="866"/>
              <w:gridCol w:w="920"/>
              <w:gridCol w:w="828"/>
              <w:gridCol w:w="843"/>
              <w:gridCol w:w="888"/>
              <w:gridCol w:w="692"/>
              <w:gridCol w:w="2239"/>
            </w:tblGrid>
            <w:tr w14:paraId="70B4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70" w:type="dxa"/>
                  <w:vMerge w:val="restart"/>
                  <w:tcBorders>
                    <w:tl2br w:val="nil"/>
                    <w:tr2bl w:val="nil"/>
                  </w:tcBorders>
                  <w:noWrap w:val="0"/>
                  <w:vAlign w:val="center"/>
                </w:tcPr>
                <w:p w14:paraId="5E8095C0">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类别</w:t>
                  </w:r>
                </w:p>
              </w:tc>
              <w:tc>
                <w:tcPr>
                  <w:tcW w:w="500" w:type="dxa"/>
                  <w:vMerge w:val="restart"/>
                  <w:tcBorders>
                    <w:tl2br w:val="nil"/>
                    <w:tr2bl w:val="nil"/>
                  </w:tcBorders>
                  <w:noWrap w:val="0"/>
                  <w:vAlign w:val="center"/>
                </w:tcPr>
                <w:p w14:paraId="44861552">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lang w:val="en-US" w:eastAsia="zh-CN"/>
                    </w:rPr>
                  </w:pPr>
                  <w:r>
                    <w:rPr>
                      <w:rFonts w:hint="default"/>
                      <w:b/>
                      <w:bCs/>
                      <w:color w:val="auto"/>
                      <w:highlight w:val="none"/>
                      <w:lang w:val="en-US" w:eastAsia="zh-CN"/>
                    </w:rPr>
                    <w:t>序号</w:t>
                  </w:r>
                </w:p>
              </w:tc>
              <w:tc>
                <w:tcPr>
                  <w:tcW w:w="821" w:type="dxa"/>
                  <w:vMerge w:val="restart"/>
                  <w:tcBorders>
                    <w:tl2br w:val="nil"/>
                    <w:tr2bl w:val="nil"/>
                  </w:tcBorders>
                  <w:noWrap w:val="0"/>
                  <w:vAlign w:val="center"/>
                </w:tcPr>
                <w:p w14:paraId="2B32B57A">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主要保护目标</w:t>
                  </w:r>
                </w:p>
              </w:tc>
              <w:tc>
                <w:tcPr>
                  <w:tcW w:w="1657" w:type="dxa"/>
                  <w:gridSpan w:val="2"/>
                  <w:tcBorders>
                    <w:tl2br w:val="nil"/>
                    <w:tr2bl w:val="nil"/>
                  </w:tcBorders>
                  <w:noWrap w:val="0"/>
                  <w:vAlign w:val="center"/>
                </w:tcPr>
                <w:p w14:paraId="5E6CCFFA">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坐标/m</w:t>
                  </w:r>
                </w:p>
              </w:tc>
              <w:tc>
                <w:tcPr>
                  <w:tcW w:w="799" w:type="dxa"/>
                  <w:vMerge w:val="restart"/>
                  <w:tcBorders>
                    <w:tl2br w:val="nil"/>
                    <w:tr2bl w:val="nil"/>
                  </w:tcBorders>
                  <w:noWrap w:val="0"/>
                  <w:vAlign w:val="center"/>
                </w:tcPr>
                <w:p w14:paraId="0E52C0D0">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性质、规模</w:t>
                  </w:r>
                </w:p>
              </w:tc>
              <w:tc>
                <w:tcPr>
                  <w:tcW w:w="843" w:type="dxa"/>
                  <w:vMerge w:val="restart"/>
                  <w:tcBorders>
                    <w:tl2br w:val="nil"/>
                    <w:tr2bl w:val="nil"/>
                  </w:tcBorders>
                  <w:noWrap w:val="0"/>
                  <w:vAlign w:val="center"/>
                </w:tcPr>
                <w:p w14:paraId="7CCCF6F7">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距离</w:t>
                  </w:r>
                  <w:r>
                    <w:rPr>
                      <w:rFonts w:hint="eastAsia"/>
                      <w:b/>
                      <w:bCs/>
                      <w:color w:val="auto"/>
                      <w:highlight w:val="none"/>
                      <w:lang w:eastAsia="zh-CN"/>
                    </w:rPr>
                    <w:t>（</w:t>
                  </w:r>
                  <w:r>
                    <w:rPr>
                      <w:rFonts w:hint="eastAsia"/>
                      <w:b/>
                      <w:bCs/>
                      <w:color w:val="auto"/>
                      <w:highlight w:val="none"/>
                      <w:lang w:val="en-US" w:eastAsia="zh-CN"/>
                    </w:rPr>
                    <w:t>k</w:t>
                  </w:r>
                  <w:r>
                    <w:rPr>
                      <w:rFonts w:hint="default"/>
                      <w:b/>
                      <w:bCs/>
                      <w:color w:val="auto"/>
                      <w:highlight w:val="none"/>
                    </w:rPr>
                    <w:t>m)</w:t>
                  </w:r>
                </w:p>
              </w:tc>
              <w:tc>
                <w:tcPr>
                  <w:tcW w:w="657" w:type="dxa"/>
                  <w:vMerge w:val="restart"/>
                  <w:tcBorders>
                    <w:tl2br w:val="nil"/>
                    <w:tr2bl w:val="nil"/>
                  </w:tcBorders>
                  <w:noWrap w:val="0"/>
                  <w:vAlign w:val="center"/>
                </w:tcPr>
                <w:p w14:paraId="5F00F8CA">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方位</w:t>
                  </w:r>
                </w:p>
              </w:tc>
              <w:tc>
                <w:tcPr>
                  <w:tcW w:w="2124" w:type="dxa"/>
                  <w:vMerge w:val="restart"/>
                  <w:tcBorders>
                    <w:tl2br w:val="nil"/>
                    <w:tr2bl w:val="nil"/>
                  </w:tcBorders>
                  <w:noWrap w:val="0"/>
                  <w:vAlign w:val="center"/>
                </w:tcPr>
                <w:p w14:paraId="1B161632">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保护级别</w:t>
                  </w:r>
                </w:p>
              </w:tc>
            </w:tr>
            <w:tr w14:paraId="6ECC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70" w:type="dxa"/>
                  <w:vMerge w:val="continue"/>
                  <w:tcBorders>
                    <w:tl2br w:val="nil"/>
                    <w:tr2bl w:val="nil"/>
                  </w:tcBorders>
                  <w:noWrap w:val="0"/>
                  <w:vAlign w:val="center"/>
                </w:tcPr>
                <w:p w14:paraId="115EE6B0">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p>
              </w:tc>
              <w:tc>
                <w:tcPr>
                  <w:tcW w:w="500" w:type="dxa"/>
                  <w:vMerge w:val="continue"/>
                  <w:tcBorders>
                    <w:tl2br w:val="nil"/>
                    <w:tr2bl w:val="nil"/>
                  </w:tcBorders>
                  <w:noWrap w:val="0"/>
                  <w:vAlign w:val="center"/>
                </w:tcPr>
                <w:p w14:paraId="671D1FD5">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p>
              </w:tc>
              <w:tc>
                <w:tcPr>
                  <w:tcW w:w="821" w:type="dxa"/>
                  <w:vMerge w:val="continue"/>
                  <w:tcBorders>
                    <w:tl2br w:val="nil"/>
                    <w:tr2bl w:val="nil"/>
                  </w:tcBorders>
                  <w:noWrap w:val="0"/>
                  <w:vAlign w:val="center"/>
                </w:tcPr>
                <w:p w14:paraId="09319121">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p>
              </w:tc>
              <w:tc>
                <w:tcPr>
                  <w:tcW w:w="873" w:type="dxa"/>
                  <w:tcBorders>
                    <w:tl2br w:val="nil"/>
                    <w:tr2bl w:val="nil"/>
                  </w:tcBorders>
                  <w:noWrap w:val="0"/>
                  <w:vAlign w:val="center"/>
                </w:tcPr>
                <w:p w14:paraId="381C32D2">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X</w:t>
                  </w:r>
                </w:p>
              </w:tc>
              <w:tc>
                <w:tcPr>
                  <w:tcW w:w="784" w:type="dxa"/>
                  <w:tcBorders>
                    <w:tl2br w:val="nil"/>
                    <w:tr2bl w:val="nil"/>
                  </w:tcBorders>
                  <w:noWrap w:val="0"/>
                  <w:vAlign w:val="center"/>
                </w:tcPr>
                <w:p w14:paraId="28C64168">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b/>
                      <w:bCs/>
                      <w:color w:val="auto"/>
                      <w:highlight w:val="none"/>
                    </w:rPr>
                  </w:pPr>
                  <w:r>
                    <w:rPr>
                      <w:rFonts w:hint="default"/>
                      <w:b/>
                      <w:bCs/>
                      <w:color w:val="auto"/>
                      <w:highlight w:val="none"/>
                    </w:rPr>
                    <w:t>Y</w:t>
                  </w:r>
                </w:p>
              </w:tc>
              <w:tc>
                <w:tcPr>
                  <w:tcW w:w="799" w:type="dxa"/>
                  <w:vMerge w:val="continue"/>
                  <w:tcBorders>
                    <w:tl2br w:val="nil"/>
                    <w:tr2bl w:val="nil"/>
                  </w:tcBorders>
                  <w:noWrap w:val="0"/>
                  <w:vAlign w:val="center"/>
                </w:tcPr>
                <w:p w14:paraId="784FB4E9">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rPr>
                  </w:pPr>
                </w:p>
              </w:tc>
              <w:tc>
                <w:tcPr>
                  <w:tcW w:w="843" w:type="dxa"/>
                  <w:vMerge w:val="continue"/>
                  <w:tcBorders>
                    <w:tl2br w:val="nil"/>
                    <w:tr2bl w:val="nil"/>
                  </w:tcBorders>
                  <w:noWrap w:val="0"/>
                  <w:vAlign w:val="center"/>
                </w:tcPr>
                <w:p w14:paraId="1BB88AF4">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rPr>
                  </w:pPr>
                </w:p>
              </w:tc>
              <w:tc>
                <w:tcPr>
                  <w:tcW w:w="657" w:type="dxa"/>
                  <w:vMerge w:val="continue"/>
                  <w:tcBorders>
                    <w:tl2br w:val="nil"/>
                    <w:tr2bl w:val="nil"/>
                  </w:tcBorders>
                  <w:noWrap w:val="0"/>
                  <w:vAlign w:val="center"/>
                </w:tcPr>
                <w:p w14:paraId="4270534D">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rPr>
                  </w:pPr>
                </w:p>
              </w:tc>
              <w:tc>
                <w:tcPr>
                  <w:tcW w:w="2124" w:type="dxa"/>
                  <w:vMerge w:val="continue"/>
                  <w:tcBorders>
                    <w:tl2br w:val="nil"/>
                    <w:tr2bl w:val="nil"/>
                  </w:tcBorders>
                  <w:noWrap w:val="0"/>
                  <w:vAlign w:val="center"/>
                </w:tcPr>
                <w:p w14:paraId="1D9AA261">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rPr>
                  </w:pPr>
                </w:p>
              </w:tc>
            </w:tr>
            <w:tr w14:paraId="3428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70" w:type="dxa"/>
                  <w:tcBorders>
                    <w:tl2br w:val="nil"/>
                    <w:tr2bl w:val="nil"/>
                  </w:tcBorders>
                  <w:noWrap w:val="0"/>
                  <w:vAlign w:val="center"/>
                </w:tcPr>
                <w:p w14:paraId="0EFA7C31">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rPr>
                  </w:pPr>
                  <w:r>
                    <w:rPr>
                      <w:rFonts w:hint="default"/>
                      <w:color w:val="auto"/>
                      <w:highlight w:val="none"/>
                    </w:rPr>
                    <w:t>地表水环境</w:t>
                  </w:r>
                </w:p>
              </w:tc>
              <w:tc>
                <w:tcPr>
                  <w:tcW w:w="500" w:type="dxa"/>
                  <w:tcBorders>
                    <w:tl2br w:val="nil"/>
                    <w:tr2bl w:val="nil"/>
                  </w:tcBorders>
                  <w:noWrap w:val="0"/>
                  <w:vAlign w:val="center"/>
                </w:tcPr>
                <w:p w14:paraId="3E871651">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lang w:val="en-US" w:eastAsia="zh-CN"/>
                    </w:rPr>
                  </w:pPr>
                  <w:r>
                    <w:rPr>
                      <w:rFonts w:hint="default"/>
                      <w:color w:val="auto"/>
                      <w:highlight w:val="none"/>
                      <w:lang w:val="en-US" w:eastAsia="zh-CN"/>
                    </w:rPr>
                    <w:t>1</w:t>
                  </w:r>
                </w:p>
              </w:tc>
              <w:tc>
                <w:tcPr>
                  <w:tcW w:w="821" w:type="dxa"/>
                  <w:tcBorders>
                    <w:tl2br w:val="nil"/>
                    <w:tr2bl w:val="nil"/>
                  </w:tcBorders>
                  <w:noWrap w:val="0"/>
                  <w:vAlign w:val="center"/>
                </w:tcPr>
                <w:p w14:paraId="5C14B648">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lang w:eastAsia="zh-CN"/>
                    </w:rPr>
                  </w:pPr>
                  <w:r>
                    <w:rPr>
                      <w:rFonts w:hint="eastAsia" w:cs="Times New Roman"/>
                      <w:color w:val="auto"/>
                      <w:szCs w:val="21"/>
                      <w:lang w:val="en-US" w:eastAsia="zh-Hans"/>
                    </w:rPr>
                    <w:t>淮河</w:t>
                  </w:r>
                </w:p>
              </w:tc>
              <w:tc>
                <w:tcPr>
                  <w:tcW w:w="873" w:type="dxa"/>
                  <w:tcBorders>
                    <w:tl2br w:val="nil"/>
                    <w:tr2bl w:val="nil"/>
                  </w:tcBorders>
                  <w:noWrap w:val="0"/>
                  <w:vAlign w:val="center"/>
                </w:tcPr>
                <w:p w14:paraId="315C4F87">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lang w:val="en-US" w:eastAsia="zh-CN"/>
                    </w:rPr>
                  </w:pPr>
                  <w:r>
                    <w:rPr>
                      <w:rFonts w:hint="default"/>
                      <w:color w:val="auto"/>
                      <w:highlight w:val="none"/>
                      <w:lang w:val="en-US" w:eastAsia="zh-CN"/>
                    </w:rPr>
                    <w:t>/</w:t>
                  </w:r>
                </w:p>
              </w:tc>
              <w:tc>
                <w:tcPr>
                  <w:tcW w:w="784" w:type="dxa"/>
                  <w:tcBorders>
                    <w:tl2br w:val="nil"/>
                    <w:tr2bl w:val="nil"/>
                  </w:tcBorders>
                  <w:noWrap w:val="0"/>
                  <w:vAlign w:val="center"/>
                </w:tcPr>
                <w:p w14:paraId="594D5ABE">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lang w:val="en-US" w:eastAsia="zh-CN"/>
                    </w:rPr>
                  </w:pPr>
                  <w:r>
                    <w:rPr>
                      <w:rFonts w:hint="default"/>
                      <w:color w:val="auto"/>
                      <w:highlight w:val="none"/>
                      <w:lang w:val="en-US" w:eastAsia="zh-CN"/>
                    </w:rPr>
                    <w:t>/</w:t>
                  </w:r>
                </w:p>
              </w:tc>
              <w:tc>
                <w:tcPr>
                  <w:tcW w:w="799" w:type="dxa"/>
                  <w:tcBorders>
                    <w:tl2br w:val="nil"/>
                    <w:tr2bl w:val="nil"/>
                  </w:tcBorders>
                  <w:noWrap w:val="0"/>
                  <w:vAlign w:val="center"/>
                </w:tcPr>
                <w:p w14:paraId="7030B620">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lang w:eastAsia="zh-CN"/>
                    </w:rPr>
                  </w:pPr>
                  <w:r>
                    <w:rPr>
                      <w:rFonts w:hint="eastAsia"/>
                      <w:color w:val="auto"/>
                      <w:highlight w:val="none"/>
                      <w:lang w:val="en-US" w:eastAsia="zh-CN"/>
                    </w:rPr>
                    <w:t>大型河流</w:t>
                  </w:r>
                </w:p>
              </w:tc>
              <w:tc>
                <w:tcPr>
                  <w:tcW w:w="843" w:type="dxa"/>
                  <w:tcBorders>
                    <w:tl2br w:val="nil"/>
                    <w:tr2bl w:val="nil"/>
                  </w:tcBorders>
                  <w:noWrap w:val="0"/>
                  <w:vAlign w:val="center"/>
                </w:tcPr>
                <w:p w14:paraId="2E404932">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6172</w:t>
                  </w:r>
                </w:p>
              </w:tc>
              <w:tc>
                <w:tcPr>
                  <w:tcW w:w="657" w:type="dxa"/>
                  <w:tcBorders>
                    <w:tl2br w:val="nil"/>
                    <w:tr2bl w:val="nil"/>
                  </w:tcBorders>
                  <w:noWrap w:val="0"/>
                  <w:vAlign w:val="center"/>
                </w:tcPr>
                <w:p w14:paraId="090AF2D7">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S</w:t>
                  </w:r>
                </w:p>
              </w:tc>
              <w:tc>
                <w:tcPr>
                  <w:tcW w:w="2124" w:type="dxa"/>
                  <w:tcBorders>
                    <w:tl2br w:val="nil"/>
                    <w:tr2bl w:val="nil"/>
                  </w:tcBorders>
                  <w:noWrap w:val="0"/>
                  <w:vAlign w:val="center"/>
                </w:tcPr>
                <w:p w14:paraId="32BCAFFD">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rPr>
                  </w:pPr>
                  <w:r>
                    <w:rPr>
                      <w:rFonts w:hint="default"/>
                      <w:color w:val="auto"/>
                      <w:highlight w:val="none"/>
                    </w:rPr>
                    <w:t>《地表水环境质量标准》（GB3838-2002）</w:t>
                  </w:r>
                </w:p>
                <w:p w14:paraId="1809A2E7">
                  <w:pPr>
                    <w:pStyle w:val="99"/>
                    <w:keepNext w:val="0"/>
                    <w:keepLines w:val="0"/>
                    <w:pageBreakBefore w:val="0"/>
                    <w:widowControl w:val="0"/>
                    <w:kinsoku/>
                    <w:wordWrap/>
                    <w:overflowPunct/>
                    <w:topLinePunct w:val="0"/>
                    <w:bidi w:val="0"/>
                    <w:spacing w:beforeAutospacing="0" w:afterAutospacing="0"/>
                    <w:ind w:left="0" w:leftChars="0" w:right="0" w:rightChars="0"/>
                    <w:jc w:val="center"/>
                    <w:textAlignment w:val="auto"/>
                    <w:rPr>
                      <w:rFonts w:hint="default"/>
                      <w:color w:val="auto"/>
                      <w:highlight w:val="none"/>
                    </w:rPr>
                  </w:pPr>
                  <w:r>
                    <w:rPr>
                      <w:rFonts w:hint="eastAsia"/>
                      <w:color w:val="auto"/>
                      <w:highlight w:val="none"/>
                      <w:lang w:val="en-US" w:eastAsia="zh-CN"/>
                    </w:rPr>
                    <w:t>Ⅲ</w:t>
                  </w:r>
                  <w:r>
                    <w:rPr>
                      <w:rFonts w:hint="default"/>
                      <w:color w:val="auto"/>
                      <w:highlight w:val="none"/>
                    </w:rPr>
                    <w:t>类标准</w:t>
                  </w:r>
                </w:p>
              </w:tc>
            </w:tr>
          </w:tbl>
          <w:p w14:paraId="5FE2580A">
            <w:pPr>
              <w:keepNext w:val="0"/>
              <w:keepLines w:val="0"/>
              <w:pageBreakBefore w:val="0"/>
              <w:widowControl w:val="0"/>
              <w:kinsoku/>
              <w:overflowPunct/>
              <w:bidi w:val="0"/>
              <w:adjustRightInd w:val="0"/>
              <w:snapToGrid w:val="0"/>
              <w:spacing w:beforeAutospacing="0" w:afterAutospacing="0" w:line="360" w:lineRule="auto"/>
              <w:ind w:left="0" w:leftChars="0" w:firstLine="482" w:firstLineChars="200"/>
              <w:rPr>
                <w:rFonts w:hint="default" w:ascii="Times New Roman" w:hAnsi="Times New Roman" w:eastAsia="宋体" w:cs="Times New Roman"/>
                <w:b/>
                <w:bCs/>
                <w:iCs/>
                <w:color w:val="auto"/>
                <w:sz w:val="24"/>
              </w:rPr>
            </w:pPr>
            <w:r>
              <w:rPr>
                <w:rFonts w:hint="eastAsia" w:cs="Times New Roman"/>
                <w:b/>
                <w:bCs/>
                <w:iCs/>
                <w:color w:val="auto"/>
                <w:sz w:val="24"/>
                <w:lang w:val="en-US" w:eastAsia="zh-CN"/>
              </w:rPr>
              <w:t>3</w:t>
            </w:r>
            <w:r>
              <w:rPr>
                <w:rFonts w:hint="default" w:ascii="Times New Roman" w:hAnsi="Times New Roman" w:eastAsia="宋体" w:cs="Times New Roman"/>
                <w:b/>
                <w:bCs/>
                <w:iCs/>
                <w:color w:val="auto"/>
                <w:sz w:val="24"/>
              </w:rPr>
              <w:t>、声环境保护目标</w:t>
            </w:r>
          </w:p>
          <w:p w14:paraId="4C66FB1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厂界外50m范围声环境保护目标</w:t>
            </w:r>
            <w:r>
              <w:rPr>
                <w:rFonts w:hint="eastAsia" w:ascii="Times New Roman" w:hAnsi="Times New Roman" w:eastAsia="宋体" w:cs="Times New Roman"/>
                <w:b w:val="0"/>
                <w:bCs w:val="0"/>
                <w:color w:val="auto"/>
                <w:kern w:val="2"/>
                <w:sz w:val="24"/>
                <w:szCs w:val="24"/>
                <w:lang w:val="en-US" w:eastAsia="zh-CN" w:bidi="ar-SA"/>
              </w:rPr>
              <w:t>见下表</w:t>
            </w:r>
            <w:r>
              <w:rPr>
                <w:rFonts w:hint="default" w:ascii="Times New Roman" w:hAnsi="Times New Roman" w:eastAsia="宋体" w:cs="Times New Roman"/>
                <w:b w:val="0"/>
                <w:bCs w:val="0"/>
                <w:color w:val="auto"/>
                <w:kern w:val="2"/>
                <w:sz w:val="24"/>
                <w:szCs w:val="24"/>
                <w:lang w:val="en-US" w:eastAsia="zh-CN" w:bidi="ar-SA"/>
              </w:rPr>
              <w:t>。</w:t>
            </w:r>
          </w:p>
          <w:p w14:paraId="33EA5D7B">
            <w:pPr>
              <w:pStyle w:val="110"/>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表3-</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 xml:space="preserve">  项目环境敏感保护目标一览表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29"/>
              <w:gridCol w:w="453"/>
              <w:gridCol w:w="1069"/>
              <w:gridCol w:w="587"/>
              <w:gridCol w:w="633"/>
              <w:gridCol w:w="1265"/>
              <w:gridCol w:w="1250"/>
              <w:gridCol w:w="738"/>
              <w:gridCol w:w="1985"/>
            </w:tblGrid>
            <w:tr w14:paraId="370E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626" w:type="dxa"/>
                  <w:vMerge w:val="restart"/>
                  <w:tcBorders>
                    <w:tl2br w:val="nil"/>
                    <w:tr2bl w:val="nil"/>
                  </w:tcBorders>
                  <w:noWrap w:val="0"/>
                  <w:vAlign w:val="center"/>
                </w:tcPr>
                <w:p w14:paraId="260C8ABF">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r>
                    <w:rPr>
                      <w:rFonts w:hint="default"/>
                      <w:b/>
                      <w:bCs/>
                      <w:color w:val="auto"/>
                    </w:rPr>
                    <w:t>类别</w:t>
                  </w:r>
                </w:p>
              </w:tc>
              <w:tc>
                <w:tcPr>
                  <w:tcW w:w="451" w:type="dxa"/>
                  <w:vMerge w:val="restart"/>
                  <w:tcBorders>
                    <w:tl2br w:val="nil"/>
                    <w:tr2bl w:val="nil"/>
                  </w:tcBorders>
                  <w:noWrap w:val="0"/>
                  <w:vAlign w:val="center"/>
                </w:tcPr>
                <w:p w14:paraId="0BF4D135">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lang w:val="en-US" w:eastAsia="zh-CN"/>
                    </w:rPr>
                  </w:pPr>
                  <w:r>
                    <w:rPr>
                      <w:rFonts w:hint="default"/>
                      <w:b/>
                      <w:bCs/>
                      <w:color w:val="auto"/>
                      <w:lang w:val="en-US" w:eastAsia="zh-CN"/>
                    </w:rPr>
                    <w:t>序号</w:t>
                  </w:r>
                </w:p>
              </w:tc>
              <w:tc>
                <w:tcPr>
                  <w:tcW w:w="1065" w:type="dxa"/>
                  <w:vMerge w:val="restart"/>
                  <w:tcBorders>
                    <w:tl2br w:val="nil"/>
                    <w:tr2bl w:val="nil"/>
                  </w:tcBorders>
                  <w:noWrap w:val="0"/>
                  <w:vAlign w:val="center"/>
                </w:tcPr>
                <w:p w14:paraId="5C2638A7">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r>
                    <w:rPr>
                      <w:rFonts w:hint="default"/>
                      <w:b/>
                      <w:bCs/>
                      <w:color w:val="auto"/>
                    </w:rPr>
                    <w:t>主要保护目标</w:t>
                  </w:r>
                </w:p>
              </w:tc>
              <w:tc>
                <w:tcPr>
                  <w:tcW w:w="1215" w:type="dxa"/>
                  <w:gridSpan w:val="2"/>
                  <w:tcBorders>
                    <w:tl2br w:val="nil"/>
                    <w:tr2bl w:val="nil"/>
                  </w:tcBorders>
                  <w:noWrap w:val="0"/>
                  <w:vAlign w:val="center"/>
                </w:tcPr>
                <w:p w14:paraId="594CF9C3">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r>
                    <w:rPr>
                      <w:rFonts w:hint="default"/>
                      <w:b/>
                      <w:bCs/>
                      <w:color w:val="auto"/>
                    </w:rPr>
                    <w:t>坐标/m</w:t>
                  </w:r>
                </w:p>
              </w:tc>
              <w:tc>
                <w:tcPr>
                  <w:tcW w:w="1260" w:type="dxa"/>
                  <w:vMerge w:val="restart"/>
                  <w:tcBorders>
                    <w:tl2br w:val="nil"/>
                    <w:tr2bl w:val="nil"/>
                  </w:tcBorders>
                  <w:noWrap w:val="0"/>
                  <w:vAlign w:val="center"/>
                </w:tcPr>
                <w:p w14:paraId="58587580">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r>
                    <w:rPr>
                      <w:rFonts w:hint="default"/>
                      <w:b/>
                      <w:bCs/>
                      <w:color w:val="auto"/>
                    </w:rPr>
                    <w:t>性质、规模</w:t>
                  </w:r>
                </w:p>
              </w:tc>
              <w:tc>
                <w:tcPr>
                  <w:tcW w:w="1245" w:type="dxa"/>
                  <w:vMerge w:val="restart"/>
                  <w:tcBorders>
                    <w:tl2br w:val="nil"/>
                    <w:tr2bl w:val="nil"/>
                  </w:tcBorders>
                  <w:noWrap w:val="0"/>
                  <w:vAlign w:val="center"/>
                </w:tcPr>
                <w:p w14:paraId="1FCBCC56">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lang w:val="en-US"/>
                    </w:rPr>
                  </w:pPr>
                  <w:r>
                    <w:rPr>
                      <w:rFonts w:hint="default"/>
                      <w:b/>
                      <w:bCs/>
                      <w:color w:val="auto"/>
                    </w:rPr>
                    <w:t>距</w:t>
                  </w:r>
                  <w:r>
                    <w:rPr>
                      <w:rFonts w:hint="eastAsia"/>
                      <w:b/>
                      <w:bCs/>
                      <w:color w:val="auto"/>
                      <w:lang w:val="en-US" w:eastAsia="zh-CN"/>
                    </w:rPr>
                    <w:t>厂区边界最近距离m</w:t>
                  </w:r>
                </w:p>
              </w:tc>
              <w:tc>
                <w:tcPr>
                  <w:tcW w:w="735" w:type="dxa"/>
                  <w:vMerge w:val="restart"/>
                  <w:tcBorders>
                    <w:tl2br w:val="nil"/>
                    <w:tr2bl w:val="nil"/>
                  </w:tcBorders>
                  <w:noWrap w:val="0"/>
                  <w:vAlign w:val="center"/>
                </w:tcPr>
                <w:p w14:paraId="27840DF4">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r>
                    <w:rPr>
                      <w:rFonts w:hint="default"/>
                      <w:b/>
                      <w:bCs/>
                      <w:color w:val="auto"/>
                    </w:rPr>
                    <w:t>方位</w:t>
                  </w:r>
                </w:p>
              </w:tc>
              <w:tc>
                <w:tcPr>
                  <w:tcW w:w="1977" w:type="dxa"/>
                  <w:vMerge w:val="restart"/>
                  <w:tcBorders>
                    <w:tl2br w:val="nil"/>
                    <w:tr2bl w:val="nil"/>
                  </w:tcBorders>
                  <w:noWrap w:val="0"/>
                  <w:vAlign w:val="center"/>
                </w:tcPr>
                <w:p w14:paraId="3BBDC5D9">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r>
                    <w:rPr>
                      <w:rFonts w:hint="default"/>
                      <w:b/>
                      <w:bCs/>
                      <w:color w:val="auto"/>
                    </w:rPr>
                    <w:t>保护级别</w:t>
                  </w:r>
                </w:p>
              </w:tc>
            </w:tr>
            <w:tr w14:paraId="525E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626" w:type="dxa"/>
                  <w:vMerge w:val="continue"/>
                  <w:tcBorders>
                    <w:tl2br w:val="nil"/>
                    <w:tr2bl w:val="nil"/>
                  </w:tcBorders>
                  <w:noWrap w:val="0"/>
                  <w:vAlign w:val="center"/>
                </w:tcPr>
                <w:p w14:paraId="39EA61A4">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p>
              </w:tc>
              <w:tc>
                <w:tcPr>
                  <w:tcW w:w="451" w:type="dxa"/>
                  <w:vMerge w:val="continue"/>
                  <w:tcBorders>
                    <w:tl2br w:val="nil"/>
                    <w:tr2bl w:val="nil"/>
                  </w:tcBorders>
                  <w:noWrap w:val="0"/>
                  <w:vAlign w:val="center"/>
                </w:tcPr>
                <w:p w14:paraId="0996F260">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p>
              </w:tc>
              <w:tc>
                <w:tcPr>
                  <w:tcW w:w="1065" w:type="dxa"/>
                  <w:vMerge w:val="continue"/>
                  <w:tcBorders>
                    <w:tl2br w:val="nil"/>
                    <w:tr2bl w:val="nil"/>
                  </w:tcBorders>
                  <w:noWrap w:val="0"/>
                  <w:vAlign w:val="center"/>
                </w:tcPr>
                <w:p w14:paraId="3B0F73FC">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p>
              </w:tc>
              <w:tc>
                <w:tcPr>
                  <w:tcW w:w="585" w:type="dxa"/>
                  <w:tcBorders>
                    <w:tl2br w:val="nil"/>
                    <w:tr2bl w:val="nil"/>
                  </w:tcBorders>
                  <w:noWrap w:val="0"/>
                  <w:vAlign w:val="center"/>
                </w:tcPr>
                <w:p w14:paraId="0FA5D8E4">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r>
                    <w:rPr>
                      <w:rFonts w:hint="default"/>
                      <w:b/>
                      <w:bCs/>
                      <w:color w:val="auto"/>
                    </w:rPr>
                    <w:t>X</w:t>
                  </w:r>
                </w:p>
              </w:tc>
              <w:tc>
                <w:tcPr>
                  <w:tcW w:w="630" w:type="dxa"/>
                  <w:tcBorders>
                    <w:tl2br w:val="nil"/>
                    <w:tr2bl w:val="nil"/>
                  </w:tcBorders>
                  <w:noWrap w:val="0"/>
                  <w:vAlign w:val="center"/>
                </w:tcPr>
                <w:p w14:paraId="08719143">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rPr>
                  </w:pPr>
                  <w:r>
                    <w:rPr>
                      <w:rFonts w:hint="default"/>
                      <w:b/>
                      <w:bCs/>
                      <w:color w:val="auto"/>
                    </w:rPr>
                    <w:t>Y</w:t>
                  </w:r>
                </w:p>
              </w:tc>
              <w:tc>
                <w:tcPr>
                  <w:tcW w:w="1260" w:type="dxa"/>
                  <w:vMerge w:val="continue"/>
                  <w:tcBorders>
                    <w:tl2br w:val="nil"/>
                    <w:tr2bl w:val="nil"/>
                  </w:tcBorders>
                  <w:noWrap w:val="0"/>
                  <w:vAlign w:val="center"/>
                </w:tcPr>
                <w:p w14:paraId="3C26118D">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color w:val="auto"/>
                    </w:rPr>
                  </w:pPr>
                </w:p>
              </w:tc>
              <w:tc>
                <w:tcPr>
                  <w:tcW w:w="1245" w:type="dxa"/>
                  <w:vMerge w:val="continue"/>
                  <w:tcBorders>
                    <w:tl2br w:val="nil"/>
                    <w:tr2bl w:val="nil"/>
                  </w:tcBorders>
                  <w:noWrap w:val="0"/>
                  <w:vAlign w:val="center"/>
                </w:tcPr>
                <w:p w14:paraId="5B65464A">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color w:val="auto"/>
                    </w:rPr>
                  </w:pPr>
                </w:p>
              </w:tc>
              <w:tc>
                <w:tcPr>
                  <w:tcW w:w="735" w:type="dxa"/>
                  <w:vMerge w:val="continue"/>
                  <w:tcBorders>
                    <w:tl2br w:val="nil"/>
                    <w:tr2bl w:val="nil"/>
                  </w:tcBorders>
                  <w:noWrap w:val="0"/>
                  <w:vAlign w:val="center"/>
                </w:tcPr>
                <w:p w14:paraId="4C8EBED0">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color w:val="auto"/>
                    </w:rPr>
                  </w:pPr>
                </w:p>
              </w:tc>
              <w:tc>
                <w:tcPr>
                  <w:tcW w:w="1977" w:type="dxa"/>
                  <w:vMerge w:val="continue"/>
                  <w:tcBorders>
                    <w:tl2br w:val="nil"/>
                    <w:tr2bl w:val="nil"/>
                  </w:tcBorders>
                  <w:noWrap w:val="0"/>
                  <w:vAlign w:val="center"/>
                </w:tcPr>
                <w:p w14:paraId="7CED92B6">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color w:val="auto"/>
                    </w:rPr>
                  </w:pPr>
                </w:p>
              </w:tc>
            </w:tr>
            <w:tr w14:paraId="1F06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626" w:type="dxa"/>
                  <w:tcBorders>
                    <w:tl2br w:val="nil"/>
                    <w:tr2bl w:val="nil"/>
                  </w:tcBorders>
                  <w:noWrap w:val="0"/>
                  <w:vAlign w:val="center"/>
                </w:tcPr>
                <w:p w14:paraId="154EB72F">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color w:val="auto"/>
                      <w:lang w:val="en-US" w:eastAsia="zh-CN"/>
                    </w:rPr>
                  </w:pPr>
                  <w:r>
                    <w:rPr>
                      <w:rFonts w:hint="eastAsia"/>
                      <w:color w:val="auto"/>
                      <w:lang w:val="en-US" w:eastAsia="zh-CN"/>
                    </w:rPr>
                    <w:t>声环境</w:t>
                  </w:r>
                </w:p>
              </w:tc>
              <w:tc>
                <w:tcPr>
                  <w:tcW w:w="451" w:type="dxa"/>
                  <w:tcBorders>
                    <w:tl2br w:val="nil"/>
                    <w:tr2bl w:val="nil"/>
                  </w:tcBorders>
                  <w:noWrap w:val="0"/>
                  <w:vAlign w:val="center"/>
                </w:tcPr>
                <w:p w14:paraId="58046D7F">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color w:val="auto"/>
                      <w:lang w:val="en-US" w:eastAsia="zh-CN"/>
                    </w:rPr>
                  </w:pPr>
                  <w:r>
                    <w:rPr>
                      <w:rFonts w:hint="default"/>
                      <w:color w:val="auto"/>
                      <w:lang w:val="en-US" w:eastAsia="zh-CN"/>
                    </w:rPr>
                    <w:t>1</w:t>
                  </w:r>
                </w:p>
              </w:tc>
              <w:tc>
                <w:tcPr>
                  <w:tcW w:w="1065" w:type="dxa"/>
                  <w:tcBorders>
                    <w:tl2br w:val="nil"/>
                    <w:tr2bl w:val="nil"/>
                  </w:tcBorders>
                  <w:noWrap w:val="0"/>
                  <w:vAlign w:val="center"/>
                </w:tcPr>
                <w:p w14:paraId="795D5103">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color w:val="auto"/>
                      <w:lang w:val="en-US" w:eastAsia="zh-CN"/>
                    </w:rPr>
                  </w:pPr>
                  <w:r>
                    <w:rPr>
                      <w:rFonts w:hint="eastAsia" w:cs="Times New Roman"/>
                      <w:b w:val="0"/>
                      <w:bCs w:val="0"/>
                      <w:color w:val="auto"/>
                      <w:sz w:val="21"/>
                      <w:szCs w:val="21"/>
                      <w:lang w:val="en-US" w:eastAsia="zh-CN"/>
                    </w:rPr>
                    <w:t>沿街居民</w:t>
                  </w:r>
                </w:p>
              </w:tc>
              <w:tc>
                <w:tcPr>
                  <w:tcW w:w="585" w:type="dxa"/>
                  <w:tcBorders>
                    <w:tl2br w:val="nil"/>
                    <w:tr2bl w:val="nil"/>
                  </w:tcBorders>
                  <w:noWrap w:val="0"/>
                  <w:vAlign w:val="center"/>
                </w:tcPr>
                <w:p w14:paraId="5EC0AAD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color w:val="auto"/>
                      <w:lang w:val="en-US" w:eastAsia="zh-CN"/>
                    </w:rPr>
                  </w:pPr>
                  <w:r>
                    <w:rPr>
                      <w:rFonts w:hint="eastAsia" w:cs="Times New Roman"/>
                      <w:b w:val="0"/>
                      <w:bCs w:val="0"/>
                      <w:color w:val="auto"/>
                      <w:sz w:val="21"/>
                      <w:szCs w:val="21"/>
                      <w:lang w:val="en-US" w:eastAsia="zh-CN"/>
                    </w:rPr>
                    <w:t>0</w:t>
                  </w:r>
                </w:p>
              </w:tc>
              <w:tc>
                <w:tcPr>
                  <w:tcW w:w="630" w:type="dxa"/>
                  <w:tcBorders>
                    <w:tl2br w:val="nil"/>
                    <w:tr2bl w:val="nil"/>
                  </w:tcBorders>
                  <w:noWrap w:val="0"/>
                  <w:vAlign w:val="center"/>
                </w:tcPr>
                <w:p w14:paraId="3D5C56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color w:val="auto"/>
                      <w:lang w:val="en-US" w:eastAsia="zh-CN"/>
                    </w:rPr>
                  </w:pPr>
                  <w:r>
                    <w:rPr>
                      <w:rFonts w:hint="eastAsia" w:cs="Times New Roman"/>
                      <w:b w:val="0"/>
                      <w:bCs w:val="0"/>
                      <w:color w:val="auto"/>
                      <w:sz w:val="21"/>
                      <w:szCs w:val="21"/>
                      <w:lang w:val="en-US" w:eastAsia="zh-CN"/>
                    </w:rPr>
                    <w:t>85</w:t>
                  </w:r>
                </w:p>
              </w:tc>
              <w:tc>
                <w:tcPr>
                  <w:tcW w:w="1260" w:type="dxa"/>
                  <w:tcBorders>
                    <w:tl2br w:val="nil"/>
                    <w:tr2bl w:val="nil"/>
                  </w:tcBorders>
                  <w:noWrap w:val="0"/>
                  <w:vAlign w:val="center"/>
                </w:tcPr>
                <w:p w14:paraId="7948146C">
                  <w:pPr>
                    <w:pStyle w:val="99"/>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textAlignment w:val="auto"/>
                    <w:rPr>
                      <w:rFonts w:hint="default"/>
                      <w:color w:val="auto"/>
                      <w:lang w:val="en-US" w:eastAsia="zh-CN"/>
                    </w:rPr>
                  </w:pPr>
                  <w:r>
                    <w:rPr>
                      <w:rFonts w:hint="eastAsia"/>
                      <w:color w:val="auto"/>
                      <w:highlight w:val="none"/>
                      <w:lang w:val="en-US" w:eastAsia="zh-CN"/>
                    </w:rPr>
                    <w:t>居民点，</w:t>
                  </w:r>
                  <w:r>
                    <w:rPr>
                      <w:rFonts w:hint="eastAsia" w:cs="Times New Roman"/>
                      <w:b w:val="0"/>
                      <w:bCs w:val="0"/>
                      <w:color w:val="auto"/>
                      <w:sz w:val="21"/>
                      <w:szCs w:val="21"/>
                      <w:lang w:val="en-US" w:eastAsia="zh-CN"/>
                    </w:rPr>
                    <w:t>约50户</w:t>
                  </w:r>
                </w:p>
              </w:tc>
              <w:tc>
                <w:tcPr>
                  <w:tcW w:w="1245" w:type="dxa"/>
                  <w:tcBorders>
                    <w:tl2br w:val="nil"/>
                    <w:tr2bl w:val="nil"/>
                  </w:tcBorders>
                  <w:noWrap w:val="0"/>
                  <w:vAlign w:val="center"/>
                </w:tcPr>
                <w:p w14:paraId="72DC93B1">
                  <w:pPr>
                    <w:pStyle w:val="99"/>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textAlignment w:val="auto"/>
                    <w:rPr>
                      <w:rFonts w:hint="eastAsia"/>
                      <w:color w:val="auto"/>
                      <w:lang w:val="en-US" w:eastAsia="zh-CN"/>
                    </w:rPr>
                  </w:pPr>
                  <w:r>
                    <w:rPr>
                      <w:rFonts w:hint="eastAsia"/>
                      <w:color w:val="auto"/>
                      <w:lang w:val="en-US" w:eastAsia="zh-CN"/>
                    </w:rPr>
                    <w:t>5</w:t>
                  </w:r>
                </w:p>
              </w:tc>
              <w:tc>
                <w:tcPr>
                  <w:tcW w:w="735" w:type="dxa"/>
                  <w:tcBorders>
                    <w:tl2br w:val="nil"/>
                    <w:tr2bl w:val="nil"/>
                  </w:tcBorders>
                  <w:noWrap w:val="0"/>
                  <w:vAlign w:val="center"/>
                </w:tcPr>
                <w:p w14:paraId="342084D7">
                  <w:pPr>
                    <w:pStyle w:val="99"/>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textAlignment w:val="auto"/>
                    <w:rPr>
                      <w:rFonts w:hint="default"/>
                      <w:color w:val="auto"/>
                      <w:lang w:val="en-US" w:eastAsia="zh-CN"/>
                    </w:rPr>
                  </w:pPr>
                  <w:r>
                    <w:rPr>
                      <w:rFonts w:hint="eastAsia"/>
                      <w:color w:val="auto"/>
                      <w:highlight w:val="none"/>
                      <w:lang w:val="en-US" w:eastAsia="zh-CN"/>
                    </w:rPr>
                    <w:t>N</w:t>
                  </w:r>
                </w:p>
              </w:tc>
              <w:tc>
                <w:tcPr>
                  <w:tcW w:w="1977" w:type="dxa"/>
                  <w:tcBorders>
                    <w:tl2br w:val="nil"/>
                    <w:tr2bl w:val="nil"/>
                  </w:tcBorders>
                  <w:noWrap w:val="0"/>
                  <w:vAlign w:val="center"/>
                </w:tcPr>
                <w:p w14:paraId="554662FB">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color w:val="auto"/>
                      <w:lang w:val="en-US" w:eastAsia="zh-CN"/>
                    </w:rPr>
                  </w:pPr>
                  <w:r>
                    <w:rPr>
                      <w:rFonts w:hint="default"/>
                      <w:color w:val="auto"/>
                    </w:rPr>
                    <w:t>《声环境质量标准》（GB3096-2008）中</w:t>
                  </w:r>
                  <w:r>
                    <w:rPr>
                      <w:rFonts w:hint="eastAsia"/>
                      <w:color w:val="auto"/>
                      <w:lang w:val="en-US" w:eastAsia="zh-CN"/>
                    </w:rPr>
                    <w:t>2</w:t>
                  </w:r>
                  <w:r>
                    <w:rPr>
                      <w:rFonts w:hint="default"/>
                      <w:color w:val="auto"/>
                      <w:lang w:eastAsia="zh-CN"/>
                    </w:rPr>
                    <w:t>类</w:t>
                  </w:r>
                  <w:r>
                    <w:rPr>
                      <w:rFonts w:hint="eastAsia"/>
                      <w:color w:val="auto"/>
                      <w:lang w:val="en-US" w:eastAsia="zh-CN"/>
                    </w:rPr>
                    <w:t>区标准</w:t>
                  </w:r>
                </w:p>
              </w:tc>
            </w:tr>
          </w:tbl>
          <w:p w14:paraId="1F2842C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98" w:firstLineChars="200"/>
              <w:textAlignment w:val="auto"/>
              <w:rPr>
                <w:rFonts w:hint="default" w:ascii="Times New Roman" w:hAnsi="Times New Roman" w:eastAsia="宋体" w:cs="Times New Roman"/>
                <w:b/>
                <w:bCs w:val="0"/>
                <w:color w:val="auto"/>
                <w:spacing w:val="4"/>
                <w:sz w:val="24"/>
                <w:szCs w:val="24"/>
              </w:rPr>
            </w:pPr>
            <w:r>
              <w:rPr>
                <w:rFonts w:hint="eastAsia" w:cs="Times New Roman"/>
                <w:b/>
                <w:bCs w:val="0"/>
                <w:color w:val="auto"/>
                <w:spacing w:val="4"/>
                <w:sz w:val="24"/>
                <w:szCs w:val="24"/>
                <w:lang w:val="en-US" w:eastAsia="zh-CN"/>
              </w:rPr>
              <w:t>4</w:t>
            </w:r>
            <w:r>
              <w:rPr>
                <w:rFonts w:hint="default" w:ascii="Times New Roman" w:hAnsi="Times New Roman" w:eastAsia="宋体" w:cs="Times New Roman"/>
                <w:b/>
                <w:bCs w:val="0"/>
                <w:color w:val="auto"/>
                <w:spacing w:val="4"/>
                <w:sz w:val="24"/>
                <w:szCs w:val="24"/>
              </w:rPr>
              <w:t>、</w:t>
            </w:r>
            <w:r>
              <w:rPr>
                <w:rFonts w:hint="eastAsia" w:ascii="Times New Roman" w:hAnsi="Times New Roman" w:eastAsia="宋体" w:cs="Times New Roman"/>
                <w:b/>
                <w:bCs w:val="0"/>
                <w:color w:val="auto"/>
                <w:spacing w:val="4"/>
                <w:sz w:val="24"/>
                <w:szCs w:val="24"/>
                <w:lang w:val="en-US" w:eastAsia="zh-CN"/>
              </w:rPr>
              <w:t>地下水</w:t>
            </w:r>
            <w:r>
              <w:rPr>
                <w:rFonts w:hint="default" w:ascii="Times New Roman" w:hAnsi="Times New Roman" w:eastAsia="宋体" w:cs="Times New Roman"/>
                <w:b/>
                <w:bCs w:val="0"/>
                <w:color w:val="auto"/>
                <w:spacing w:val="4"/>
                <w:sz w:val="24"/>
                <w:szCs w:val="24"/>
              </w:rPr>
              <w:t>环境</w:t>
            </w:r>
          </w:p>
          <w:p w14:paraId="1040245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val="0"/>
                <w:bCs/>
                <w:color w:val="auto"/>
                <w:kern w:val="0"/>
                <w:sz w:val="24"/>
                <w:szCs w:val="24"/>
              </w:rPr>
              <w:t>厂界外500米范围内</w:t>
            </w:r>
            <w:r>
              <w:rPr>
                <w:rFonts w:hint="eastAsia" w:ascii="Times New Roman" w:hAnsi="Times New Roman" w:eastAsia="宋体" w:cs="Times New Roman"/>
                <w:b w:val="0"/>
                <w:bCs/>
                <w:color w:val="auto"/>
                <w:kern w:val="0"/>
                <w:sz w:val="24"/>
                <w:szCs w:val="24"/>
                <w:lang w:val="en-US" w:eastAsia="zh-CN"/>
              </w:rPr>
              <w:t>无</w:t>
            </w:r>
            <w:r>
              <w:rPr>
                <w:rFonts w:hint="eastAsia" w:ascii="Times New Roman" w:hAnsi="Times New Roman" w:eastAsia="宋体" w:cs="Times New Roman"/>
                <w:b w:val="0"/>
                <w:bCs/>
                <w:color w:val="auto"/>
                <w:kern w:val="0"/>
                <w:sz w:val="24"/>
                <w:szCs w:val="24"/>
              </w:rPr>
              <w:t>地下水集中式饮用水水源和热水、矿泉水、温泉等特殊地下水资源</w:t>
            </w:r>
            <w:r>
              <w:rPr>
                <w:rFonts w:hint="eastAsia" w:ascii="Times New Roman" w:hAnsi="Times New Roman" w:eastAsia="宋体" w:cs="Times New Roman"/>
                <w:b w:val="0"/>
                <w:bCs/>
                <w:color w:val="auto"/>
                <w:kern w:val="0"/>
                <w:sz w:val="24"/>
                <w:szCs w:val="24"/>
                <w:lang w:val="en-US" w:eastAsia="zh-CN"/>
              </w:rPr>
              <w:t>等地下水环境保护目标。</w:t>
            </w:r>
          </w:p>
          <w:p w14:paraId="4390CBC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98" w:firstLineChars="200"/>
              <w:textAlignment w:val="auto"/>
              <w:rPr>
                <w:rFonts w:hint="default" w:ascii="Times New Roman" w:hAnsi="Times New Roman" w:eastAsia="宋体" w:cs="Times New Roman"/>
                <w:b/>
                <w:bCs/>
                <w:color w:val="auto"/>
                <w:spacing w:val="4"/>
                <w:sz w:val="24"/>
                <w:szCs w:val="24"/>
              </w:rPr>
            </w:pPr>
            <w:r>
              <w:rPr>
                <w:rFonts w:hint="eastAsia" w:cs="Times New Roman"/>
                <w:b/>
                <w:bCs w:val="0"/>
                <w:color w:val="auto"/>
                <w:spacing w:val="4"/>
                <w:sz w:val="24"/>
                <w:szCs w:val="24"/>
                <w:lang w:val="en-US" w:eastAsia="zh-CN"/>
              </w:rPr>
              <w:t>4</w:t>
            </w:r>
            <w:r>
              <w:rPr>
                <w:rFonts w:hint="default" w:ascii="Times New Roman" w:hAnsi="Times New Roman" w:eastAsia="宋体" w:cs="Times New Roman"/>
                <w:b/>
                <w:bCs w:val="0"/>
                <w:color w:val="auto"/>
                <w:spacing w:val="4"/>
                <w:sz w:val="24"/>
                <w:szCs w:val="24"/>
              </w:rPr>
              <w:t>、</w:t>
            </w:r>
            <w:r>
              <w:rPr>
                <w:b/>
                <w:bCs/>
                <w:color w:val="auto"/>
                <w:sz w:val="24"/>
              </w:rPr>
              <w:t>生态环境</w:t>
            </w:r>
          </w:p>
          <w:p w14:paraId="3E71F609">
            <w:pPr>
              <w:pStyle w:val="93"/>
              <w:keepNext w:val="0"/>
              <w:keepLines w:val="0"/>
              <w:pageBreakBefore w:val="0"/>
              <w:widowControl w:val="0"/>
              <w:kinsoku/>
              <w:overflowPunct/>
              <w:bidi w:val="0"/>
              <w:spacing w:beforeAutospacing="0" w:afterAutospacing="0"/>
              <w:ind w:left="0" w:leftChars="0" w:firstLine="420"/>
              <w:rPr>
                <w:rFonts w:ascii="宋体" w:hAnsi="宋体" w:cs="宋体"/>
                <w:color w:val="auto"/>
                <w:kern w:val="0"/>
                <w:szCs w:val="21"/>
              </w:rPr>
            </w:pPr>
            <w:r>
              <w:rPr>
                <w:color w:val="auto"/>
                <w:sz w:val="24"/>
              </w:rPr>
              <w:t>项目不涉及生态环境保护目标</w:t>
            </w:r>
            <w:r>
              <w:rPr>
                <w:rFonts w:hint="default" w:ascii="Times New Roman" w:hAnsi="Times New Roman" w:cs="Times New Roman"/>
                <w:color w:val="auto"/>
                <w:sz w:val="24"/>
                <w:szCs w:val="24"/>
              </w:rPr>
              <w:t>。</w:t>
            </w:r>
          </w:p>
        </w:tc>
      </w:tr>
      <w:tr w14:paraId="43F45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dxa"/>
            <w:noWrap w:val="0"/>
            <w:tcMar>
              <w:left w:w="28" w:type="dxa"/>
              <w:right w:w="28" w:type="dxa"/>
            </w:tcMar>
            <w:vAlign w:val="center"/>
          </w:tcPr>
          <w:p w14:paraId="2152DA1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污染</w:t>
            </w:r>
          </w:p>
          <w:p w14:paraId="057C175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物排</w:t>
            </w:r>
          </w:p>
          <w:p w14:paraId="072692F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放控</w:t>
            </w:r>
          </w:p>
          <w:p w14:paraId="0C9D13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制标</w:t>
            </w:r>
          </w:p>
          <w:p w14:paraId="26DA7F8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准</w:t>
            </w:r>
          </w:p>
        </w:tc>
        <w:tc>
          <w:tcPr>
            <w:tcW w:w="8839" w:type="dxa"/>
            <w:noWrap w:val="0"/>
            <w:vAlign w:val="center"/>
          </w:tcPr>
          <w:p w14:paraId="20DA717F">
            <w:pPr>
              <w:pStyle w:val="6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一、废气</w:t>
            </w:r>
          </w:p>
          <w:p w14:paraId="46FE2803">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本次扩建废气主要为污泥浓缩产生的氨、硫化氢、臭气浓度，执行《恶臭污染物排放标准》（GB14554-93）。</w:t>
            </w:r>
          </w:p>
          <w:p w14:paraId="0E7A5D94">
            <w:pPr>
              <w:pStyle w:val="110"/>
              <w:keepNext/>
              <w:keepLines/>
              <w:pageBreakBefore w:val="0"/>
              <w:widowControl w:val="0"/>
              <w:kinsoku/>
              <w:wordWrap/>
              <w:overflowPunct/>
              <w:topLinePunct w:val="0"/>
              <w:autoSpaceDE/>
              <w:autoSpaceDN/>
              <w:bidi w:val="0"/>
              <w:adjustRightInd w:val="0"/>
              <w:snapToGrid/>
              <w:spacing w:line="360" w:lineRule="auto"/>
              <w:textAlignment w:val="auto"/>
              <w:rPr>
                <w:rFonts w:hint="default"/>
                <w:color w:val="auto"/>
                <w:lang w:val="en-US" w:eastAsia="zh-CN"/>
              </w:rPr>
            </w:pPr>
            <w:r>
              <w:rPr>
                <w:rFonts w:hint="eastAsia"/>
                <w:color w:val="auto"/>
                <w:lang w:val="en-US" w:eastAsia="zh-CN"/>
              </w:rPr>
              <w:t>表3-5  《恶臭污染物排放标准》（GB14554-93）</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582"/>
              <w:gridCol w:w="1551"/>
              <w:gridCol w:w="2557"/>
              <w:gridCol w:w="1723"/>
            </w:tblGrid>
            <w:tr w14:paraId="44A4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5022EC1F">
                  <w:pPr>
                    <w:pStyle w:val="99"/>
                    <w:bidi w:val="0"/>
                    <w:jc w:val="center"/>
                    <w:rPr>
                      <w:rFonts w:hint="default"/>
                      <w:b/>
                      <w:bCs/>
                      <w:color w:val="auto"/>
                      <w:lang w:val="en-US" w:eastAsia="zh-CN"/>
                    </w:rPr>
                  </w:pPr>
                  <w:r>
                    <w:rPr>
                      <w:rFonts w:hint="eastAsia"/>
                      <w:b/>
                      <w:bCs/>
                      <w:color w:val="auto"/>
                      <w:lang w:val="en-US" w:eastAsia="zh-CN"/>
                    </w:rPr>
                    <w:t>序号</w:t>
                  </w:r>
                </w:p>
              </w:tc>
              <w:tc>
                <w:tcPr>
                  <w:tcW w:w="1545" w:type="dxa"/>
                  <w:vAlign w:val="center"/>
                </w:tcPr>
                <w:p w14:paraId="7611E4FF">
                  <w:pPr>
                    <w:pStyle w:val="99"/>
                    <w:bidi w:val="0"/>
                    <w:jc w:val="center"/>
                    <w:rPr>
                      <w:rFonts w:hint="default"/>
                      <w:b/>
                      <w:bCs/>
                      <w:color w:val="auto"/>
                      <w:lang w:val="en-US" w:eastAsia="zh-CN"/>
                    </w:rPr>
                  </w:pPr>
                  <w:r>
                    <w:rPr>
                      <w:rFonts w:hint="eastAsia"/>
                      <w:b/>
                      <w:bCs/>
                      <w:color w:val="auto"/>
                      <w:lang w:val="en-US" w:eastAsia="zh-CN"/>
                    </w:rPr>
                    <w:t>污染源</w:t>
                  </w:r>
                </w:p>
              </w:tc>
              <w:tc>
                <w:tcPr>
                  <w:tcW w:w="1515" w:type="dxa"/>
                  <w:vAlign w:val="center"/>
                </w:tcPr>
                <w:p w14:paraId="7ECB1708">
                  <w:pPr>
                    <w:pStyle w:val="99"/>
                    <w:bidi w:val="0"/>
                    <w:jc w:val="center"/>
                    <w:rPr>
                      <w:rFonts w:hint="default"/>
                      <w:b/>
                      <w:bCs/>
                      <w:color w:val="auto"/>
                      <w:lang w:val="en-US" w:eastAsia="zh-CN"/>
                    </w:rPr>
                  </w:pPr>
                  <w:r>
                    <w:rPr>
                      <w:rFonts w:hint="eastAsia"/>
                      <w:b/>
                      <w:bCs/>
                      <w:color w:val="auto"/>
                      <w:lang w:val="en-US" w:eastAsia="zh-CN"/>
                    </w:rPr>
                    <w:t>污染物</w:t>
                  </w:r>
                </w:p>
              </w:tc>
              <w:tc>
                <w:tcPr>
                  <w:tcW w:w="2498" w:type="dxa"/>
                  <w:vAlign w:val="center"/>
                </w:tcPr>
                <w:p w14:paraId="1470822C">
                  <w:pPr>
                    <w:pStyle w:val="99"/>
                    <w:bidi w:val="0"/>
                    <w:jc w:val="center"/>
                    <w:rPr>
                      <w:rFonts w:hint="default"/>
                      <w:b/>
                      <w:bCs/>
                      <w:color w:val="auto"/>
                      <w:lang w:val="en-US" w:eastAsia="zh-CN"/>
                    </w:rPr>
                  </w:pPr>
                  <w:r>
                    <w:rPr>
                      <w:rFonts w:hint="eastAsia"/>
                      <w:b/>
                      <w:bCs/>
                      <w:color w:val="auto"/>
                      <w:lang w:val="en-US" w:eastAsia="zh-CN"/>
                    </w:rPr>
                    <w:t>浓度限值（mg/m</w:t>
                  </w:r>
                  <w:r>
                    <w:rPr>
                      <w:rFonts w:hint="eastAsia"/>
                      <w:b/>
                      <w:bCs/>
                      <w:color w:val="auto"/>
                      <w:vertAlign w:val="superscript"/>
                      <w:lang w:val="en-US" w:eastAsia="zh-CN"/>
                    </w:rPr>
                    <w:t>3</w:t>
                  </w:r>
                  <w:r>
                    <w:rPr>
                      <w:rFonts w:hint="eastAsia"/>
                      <w:b/>
                      <w:bCs/>
                      <w:color w:val="auto"/>
                      <w:lang w:val="en-US" w:eastAsia="zh-CN"/>
                    </w:rPr>
                    <w:t>)</w:t>
                  </w:r>
                </w:p>
              </w:tc>
              <w:tc>
                <w:tcPr>
                  <w:tcW w:w="1683" w:type="dxa"/>
                  <w:vAlign w:val="center"/>
                </w:tcPr>
                <w:p w14:paraId="27010B23">
                  <w:pPr>
                    <w:pStyle w:val="99"/>
                    <w:bidi w:val="0"/>
                    <w:jc w:val="center"/>
                    <w:rPr>
                      <w:rFonts w:hint="default"/>
                      <w:b/>
                      <w:bCs/>
                      <w:color w:val="auto"/>
                      <w:lang w:val="en-US" w:eastAsia="zh-CN"/>
                    </w:rPr>
                  </w:pPr>
                  <w:r>
                    <w:rPr>
                      <w:rFonts w:hint="eastAsia"/>
                      <w:b/>
                      <w:bCs/>
                      <w:color w:val="auto"/>
                      <w:lang w:val="en-US" w:eastAsia="zh-CN"/>
                    </w:rPr>
                    <w:t>监控位置</w:t>
                  </w:r>
                </w:p>
              </w:tc>
            </w:tr>
            <w:tr w14:paraId="1AFA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5C7C69D2">
                  <w:pPr>
                    <w:pStyle w:val="99"/>
                    <w:bidi w:val="0"/>
                    <w:jc w:val="center"/>
                    <w:rPr>
                      <w:rFonts w:hint="default"/>
                      <w:color w:val="auto"/>
                      <w:lang w:val="en-US" w:eastAsia="zh-CN"/>
                    </w:rPr>
                  </w:pPr>
                  <w:r>
                    <w:rPr>
                      <w:rFonts w:hint="eastAsia"/>
                      <w:color w:val="auto"/>
                      <w:lang w:val="en-US" w:eastAsia="zh-CN"/>
                    </w:rPr>
                    <w:t>1</w:t>
                  </w:r>
                </w:p>
              </w:tc>
              <w:tc>
                <w:tcPr>
                  <w:tcW w:w="1545" w:type="dxa"/>
                  <w:vMerge w:val="restart"/>
                  <w:vAlign w:val="center"/>
                </w:tcPr>
                <w:p w14:paraId="420FCA5E">
                  <w:pPr>
                    <w:pStyle w:val="99"/>
                    <w:bidi w:val="0"/>
                    <w:jc w:val="center"/>
                    <w:rPr>
                      <w:rFonts w:hint="default"/>
                      <w:color w:val="auto"/>
                      <w:lang w:val="en-US" w:eastAsia="zh-CN"/>
                    </w:rPr>
                  </w:pPr>
                  <w:r>
                    <w:rPr>
                      <w:rFonts w:hint="eastAsia"/>
                      <w:color w:val="auto"/>
                      <w:lang w:val="en-US" w:eastAsia="zh-CN"/>
                    </w:rPr>
                    <w:t>厂界</w:t>
                  </w:r>
                </w:p>
              </w:tc>
              <w:tc>
                <w:tcPr>
                  <w:tcW w:w="1515" w:type="dxa"/>
                  <w:vAlign w:val="center"/>
                </w:tcPr>
                <w:p w14:paraId="6A542365">
                  <w:pPr>
                    <w:pStyle w:val="99"/>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氨</w:t>
                  </w:r>
                </w:p>
              </w:tc>
              <w:tc>
                <w:tcPr>
                  <w:tcW w:w="2498" w:type="dxa"/>
                  <w:vAlign w:val="center"/>
                </w:tcPr>
                <w:p w14:paraId="03A9C45C">
                  <w:pPr>
                    <w:pStyle w:val="99"/>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1.5</w:t>
                  </w:r>
                </w:p>
              </w:tc>
              <w:tc>
                <w:tcPr>
                  <w:tcW w:w="1683" w:type="dxa"/>
                  <w:vMerge w:val="restart"/>
                  <w:vAlign w:val="center"/>
                </w:tcPr>
                <w:p w14:paraId="3EB3BF75">
                  <w:pPr>
                    <w:pStyle w:val="99"/>
                    <w:bidi w:val="0"/>
                    <w:jc w:val="center"/>
                    <w:rPr>
                      <w:rFonts w:hint="default"/>
                      <w:color w:val="auto"/>
                      <w:lang w:val="en-US" w:eastAsia="zh-CN"/>
                    </w:rPr>
                  </w:pPr>
                  <w:r>
                    <w:rPr>
                      <w:rFonts w:hint="eastAsia"/>
                      <w:color w:val="auto"/>
                      <w:lang w:val="en-US" w:eastAsia="zh-CN"/>
                    </w:rPr>
                    <w:t>厂界无组织排放监控点</w:t>
                  </w:r>
                </w:p>
              </w:tc>
            </w:tr>
            <w:tr w14:paraId="5158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3317D057">
                  <w:pPr>
                    <w:pStyle w:val="99"/>
                    <w:bidi w:val="0"/>
                    <w:jc w:val="center"/>
                    <w:rPr>
                      <w:rFonts w:hint="default"/>
                      <w:color w:val="auto"/>
                      <w:lang w:val="en-US" w:eastAsia="zh-CN"/>
                    </w:rPr>
                  </w:pPr>
                  <w:r>
                    <w:rPr>
                      <w:rFonts w:hint="eastAsia"/>
                      <w:color w:val="auto"/>
                      <w:lang w:val="en-US" w:eastAsia="zh-CN"/>
                    </w:rPr>
                    <w:t>2</w:t>
                  </w:r>
                </w:p>
              </w:tc>
              <w:tc>
                <w:tcPr>
                  <w:tcW w:w="1545" w:type="dxa"/>
                  <w:vMerge w:val="continue"/>
                  <w:vAlign w:val="center"/>
                </w:tcPr>
                <w:p w14:paraId="58BDEB3C">
                  <w:pPr>
                    <w:pStyle w:val="99"/>
                    <w:bidi w:val="0"/>
                    <w:jc w:val="center"/>
                    <w:rPr>
                      <w:rFonts w:hint="default"/>
                      <w:color w:val="auto"/>
                      <w:lang w:val="en-US" w:eastAsia="zh-CN"/>
                    </w:rPr>
                  </w:pPr>
                </w:p>
              </w:tc>
              <w:tc>
                <w:tcPr>
                  <w:tcW w:w="1515" w:type="dxa"/>
                  <w:vAlign w:val="center"/>
                </w:tcPr>
                <w:p w14:paraId="5F9ADFE2">
                  <w:pPr>
                    <w:pStyle w:val="99"/>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硫化氢</w:t>
                  </w:r>
                </w:p>
              </w:tc>
              <w:tc>
                <w:tcPr>
                  <w:tcW w:w="2498" w:type="dxa"/>
                  <w:vAlign w:val="center"/>
                </w:tcPr>
                <w:p w14:paraId="4D772D89">
                  <w:pPr>
                    <w:pStyle w:val="99"/>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0.06</w:t>
                  </w:r>
                </w:p>
              </w:tc>
              <w:tc>
                <w:tcPr>
                  <w:tcW w:w="1683" w:type="dxa"/>
                  <w:vMerge w:val="continue"/>
                  <w:vAlign w:val="center"/>
                </w:tcPr>
                <w:p w14:paraId="3CE44D22">
                  <w:pPr>
                    <w:pStyle w:val="99"/>
                    <w:bidi w:val="0"/>
                    <w:jc w:val="center"/>
                    <w:rPr>
                      <w:rFonts w:hint="default"/>
                      <w:color w:val="auto"/>
                      <w:lang w:val="en-US" w:eastAsia="zh-CN"/>
                    </w:rPr>
                  </w:pPr>
                </w:p>
              </w:tc>
            </w:tr>
            <w:tr w14:paraId="5052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6A507E85">
                  <w:pPr>
                    <w:pStyle w:val="99"/>
                    <w:bidi w:val="0"/>
                    <w:jc w:val="center"/>
                    <w:rPr>
                      <w:rFonts w:hint="default"/>
                      <w:color w:val="auto"/>
                      <w:lang w:val="en-US" w:eastAsia="zh-CN"/>
                    </w:rPr>
                  </w:pPr>
                  <w:r>
                    <w:rPr>
                      <w:rFonts w:hint="eastAsia"/>
                      <w:color w:val="auto"/>
                      <w:lang w:val="en-US" w:eastAsia="zh-CN"/>
                    </w:rPr>
                    <w:t>3</w:t>
                  </w:r>
                </w:p>
              </w:tc>
              <w:tc>
                <w:tcPr>
                  <w:tcW w:w="1545" w:type="dxa"/>
                  <w:vMerge w:val="continue"/>
                  <w:vAlign w:val="center"/>
                </w:tcPr>
                <w:p w14:paraId="11605A26">
                  <w:pPr>
                    <w:pStyle w:val="99"/>
                    <w:bidi w:val="0"/>
                    <w:jc w:val="center"/>
                    <w:rPr>
                      <w:rFonts w:hint="default"/>
                      <w:color w:val="auto"/>
                      <w:lang w:val="en-US" w:eastAsia="zh-CN"/>
                    </w:rPr>
                  </w:pPr>
                </w:p>
              </w:tc>
              <w:tc>
                <w:tcPr>
                  <w:tcW w:w="1515" w:type="dxa"/>
                  <w:vAlign w:val="center"/>
                </w:tcPr>
                <w:p w14:paraId="00E5CB1A">
                  <w:pPr>
                    <w:pStyle w:val="99"/>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臭气浓度</w:t>
                  </w:r>
                </w:p>
              </w:tc>
              <w:tc>
                <w:tcPr>
                  <w:tcW w:w="2498" w:type="dxa"/>
                  <w:vAlign w:val="center"/>
                </w:tcPr>
                <w:p w14:paraId="21EAF574">
                  <w:pPr>
                    <w:pStyle w:val="99"/>
                    <w:bidi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20</w:t>
                  </w:r>
                </w:p>
              </w:tc>
              <w:tc>
                <w:tcPr>
                  <w:tcW w:w="1683" w:type="dxa"/>
                  <w:vMerge w:val="continue"/>
                  <w:vAlign w:val="center"/>
                </w:tcPr>
                <w:p w14:paraId="4B14BCD4">
                  <w:pPr>
                    <w:pStyle w:val="99"/>
                    <w:bidi w:val="0"/>
                    <w:jc w:val="center"/>
                    <w:rPr>
                      <w:rFonts w:hint="default"/>
                      <w:color w:val="auto"/>
                      <w:lang w:val="en-US" w:eastAsia="zh-CN"/>
                    </w:rPr>
                  </w:pPr>
                </w:p>
              </w:tc>
            </w:tr>
          </w:tbl>
          <w:p w14:paraId="0E8175E9">
            <w:pPr>
              <w:pStyle w:val="6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auto"/>
              <w:rPr>
                <w:rFonts w:hint="default" w:ascii="Times New Roman" w:hAnsi="Times New Roman" w:eastAsia="宋体" w:cs="Times New Roman"/>
                <w:color w:val="auto"/>
                <w:sz w:val="24"/>
                <w:szCs w:val="24"/>
              </w:rPr>
            </w:pPr>
            <w:commentRangeStart w:id="6"/>
            <w:commentRangeStart w:id="7"/>
            <w:r>
              <w:commentReference w:id="6"/>
            </w:r>
            <w:commentRangeEnd w:id="6"/>
            <w:commentRangeEnd w:id="7"/>
            <w:r>
              <w:commentReference w:id="7"/>
            </w:r>
            <w:r>
              <w:rPr>
                <w:rFonts w:hint="default" w:ascii="Times New Roman" w:hAnsi="Times New Roman" w:eastAsia="宋体" w:cs="Times New Roman"/>
                <w:color w:val="auto"/>
                <w:sz w:val="24"/>
                <w:szCs w:val="24"/>
              </w:rPr>
              <w:t>二、废水</w:t>
            </w:r>
          </w:p>
          <w:p w14:paraId="17944263">
            <w:pPr>
              <w:pStyle w:val="8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本项目</w:t>
            </w:r>
            <w:r>
              <w:rPr>
                <w:rFonts w:hint="eastAsia" w:ascii="Times New Roman" w:hAnsi="Times New Roman" w:eastAsia="宋体" w:cs="Times New Roman"/>
                <w:b w:val="0"/>
                <w:color w:val="auto"/>
                <w:kern w:val="2"/>
                <w:sz w:val="24"/>
                <w:szCs w:val="24"/>
                <w:lang w:val="en-US" w:eastAsia="zh-CN" w:bidi="ar-SA"/>
              </w:rPr>
              <w:t>不新增员工，不新增生活污水，生产废水经污泥池上清液回用于生产，不外排，污泥压滤液排入潘集污水处理厂处理</w:t>
            </w:r>
            <w:r>
              <w:rPr>
                <w:rFonts w:hint="default" w:ascii="Times New Roman" w:hAnsi="Times New Roman" w:eastAsia="宋体" w:cs="Times New Roman"/>
                <w:b w:val="0"/>
                <w:color w:val="auto"/>
                <w:kern w:val="2"/>
                <w:sz w:val="24"/>
                <w:szCs w:val="24"/>
                <w:lang w:val="en-US" w:eastAsia="zh-CN" w:bidi="ar-SA"/>
              </w:rPr>
              <w:t>。</w:t>
            </w:r>
          </w:p>
          <w:p w14:paraId="74C230BB">
            <w:pPr>
              <w:pStyle w:val="110"/>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color w:val="auto"/>
                <w:kern w:val="2"/>
                <w:sz w:val="24"/>
                <w:szCs w:val="24"/>
                <w:lang w:val="en-US" w:eastAsia="zh-CN" w:bidi="ar-SA"/>
              </w:rPr>
              <w:t>废水排放执行</w:t>
            </w:r>
            <w:r>
              <w:rPr>
                <w:rFonts w:hint="eastAsia" w:cs="Times New Roman"/>
                <w:b w:val="0"/>
                <w:color w:val="auto"/>
                <w:kern w:val="2"/>
                <w:sz w:val="24"/>
                <w:szCs w:val="24"/>
                <w:lang w:val="en-US" w:eastAsia="zh-CN" w:bidi="ar-SA"/>
              </w:rPr>
              <w:t>潘集</w:t>
            </w:r>
            <w:r>
              <w:rPr>
                <w:rFonts w:hint="default" w:ascii="Times New Roman" w:hAnsi="Times New Roman" w:eastAsia="宋体" w:cs="Times New Roman"/>
                <w:b w:val="0"/>
                <w:color w:val="auto"/>
                <w:kern w:val="2"/>
                <w:sz w:val="24"/>
                <w:szCs w:val="24"/>
                <w:lang w:val="en-US" w:eastAsia="zh-CN" w:bidi="ar-SA"/>
              </w:rPr>
              <w:t>污水处理厂接管标准，</w:t>
            </w:r>
            <w:r>
              <w:rPr>
                <w:rFonts w:hint="eastAsia" w:ascii="Times New Roman" w:hAnsi="Times New Roman" w:eastAsia="宋体" w:cs="Times New Roman"/>
                <w:b w:val="0"/>
                <w:color w:val="auto"/>
                <w:kern w:val="2"/>
                <w:sz w:val="24"/>
                <w:szCs w:val="24"/>
                <w:lang w:val="en-US" w:eastAsia="zh-CN" w:bidi="ar-SA"/>
              </w:rPr>
              <w:t>接管标准</w:t>
            </w:r>
            <w:r>
              <w:rPr>
                <w:rFonts w:hint="default" w:ascii="Times New Roman" w:hAnsi="Times New Roman" w:eastAsia="宋体" w:cs="Times New Roman"/>
                <w:b w:val="0"/>
                <w:color w:val="auto"/>
                <w:kern w:val="2"/>
                <w:sz w:val="24"/>
                <w:szCs w:val="24"/>
                <w:lang w:val="en-US" w:eastAsia="zh-CN" w:bidi="ar-SA"/>
              </w:rPr>
              <w:t>中尚未规定的执行《污水综合排放标准》（GB8978-1996）中三级标准要求</w:t>
            </w:r>
            <w:r>
              <w:rPr>
                <w:rFonts w:hint="eastAsia" w:ascii="Times New Roman" w:hAnsi="Times New Roman" w:eastAsia="宋体" w:cs="Times New Roman"/>
                <w:b w:val="0"/>
                <w:color w:val="auto"/>
                <w:kern w:val="2"/>
                <w:sz w:val="24"/>
                <w:szCs w:val="24"/>
                <w:lang w:val="en-US" w:eastAsia="zh-CN" w:bidi="ar-SA"/>
              </w:rPr>
              <w:t>，</w:t>
            </w:r>
            <w:r>
              <w:rPr>
                <w:rFonts w:hint="eastAsia" w:cs="Times New Roman"/>
                <w:b w:val="0"/>
                <w:color w:val="auto"/>
                <w:kern w:val="2"/>
                <w:sz w:val="24"/>
                <w:szCs w:val="24"/>
                <w:lang w:val="en-US" w:eastAsia="zh-CN" w:bidi="ar-SA"/>
              </w:rPr>
              <w:t>潘集</w:t>
            </w:r>
            <w:r>
              <w:rPr>
                <w:rFonts w:hint="default" w:ascii="Times New Roman" w:hAnsi="Times New Roman" w:eastAsia="宋体" w:cs="Times New Roman"/>
                <w:b w:val="0"/>
                <w:color w:val="auto"/>
                <w:kern w:val="2"/>
                <w:sz w:val="24"/>
                <w:szCs w:val="24"/>
                <w:lang w:val="en-US" w:eastAsia="zh-CN" w:bidi="ar-SA"/>
              </w:rPr>
              <w:t>污水处理厂的出水执行《城镇污水处理厂污染物排放标准》（GB18918-2002）一级标准中A标准）。具体标准值见下表</w:t>
            </w:r>
            <w:r>
              <w:rPr>
                <w:rFonts w:hint="default" w:ascii="Times New Roman" w:hAnsi="Times New Roman" w:eastAsia="宋体" w:cs="Times New Roman"/>
                <w:color w:val="auto"/>
                <w:highlight w:val="none"/>
                <w:lang w:val="en-US" w:eastAsia="zh-CN"/>
              </w:rPr>
              <w:t>。</w:t>
            </w:r>
          </w:p>
          <w:p w14:paraId="2807EB66">
            <w:pPr>
              <w:pStyle w:val="110"/>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textAlignment w:val="auto"/>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表3-</w:t>
            </w: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 xml:space="preserve">  污水污染物排放标准限值（单位：mg/L  pH无量纲）</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5"/>
              <w:gridCol w:w="1014"/>
              <w:gridCol w:w="962"/>
              <w:gridCol w:w="1076"/>
              <w:gridCol w:w="910"/>
              <w:gridCol w:w="936"/>
            </w:tblGrid>
            <w:tr w14:paraId="3689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pct"/>
                  <w:noWrap/>
                  <w:vAlign w:val="center"/>
                </w:tcPr>
                <w:p w14:paraId="7A2740BD">
                  <w:pPr>
                    <w:jc w:val="center"/>
                    <w:rPr>
                      <w:b/>
                      <w:color w:val="auto"/>
                      <w:sz w:val="21"/>
                      <w:szCs w:val="21"/>
                    </w:rPr>
                  </w:pPr>
                  <w:r>
                    <w:rPr>
                      <w:b/>
                      <w:color w:val="auto"/>
                      <w:sz w:val="21"/>
                      <w:szCs w:val="21"/>
                    </w:rPr>
                    <w:t>污染物</w:t>
                  </w:r>
                </w:p>
              </w:tc>
              <w:tc>
                <w:tcPr>
                  <w:tcW w:w="588" w:type="pct"/>
                  <w:noWrap/>
                  <w:vAlign w:val="center"/>
                </w:tcPr>
                <w:p w14:paraId="3D29D1A2">
                  <w:pPr>
                    <w:tabs>
                      <w:tab w:val="right" w:leader="middleDot" w:pos="8505"/>
                    </w:tabs>
                    <w:jc w:val="center"/>
                    <w:rPr>
                      <w:b/>
                      <w:color w:val="auto"/>
                      <w:sz w:val="21"/>
                      <w:szCs w:val="21"/>
                    </w:rPr>
                  </w:pPr>
                  <w:r>
                    <w:rPr>
                      <w:b/>
                      <w:color w:val="auto"/>
                      <w:sz w:val="21"/>
                      <w:szCs w:val="21"/>
                    </w:rPr>
                    <w:t>pH</w:t>
                  </w:r>
                </w:p>
              </w:tc>
              <w:tc>
                <w:tcPr>
                  <w:tcW w:w="558" w:type="pct"/>
                  <w:noWrap/>
                  <w:vAlign w:val="center"/>
                </w:tcPr>
                <w:p w14:paraId="1C1E6E31">
                  <w:pPr>
                    <w:tabs>
                      <w:tab w:val="right" w:leader="middleDot" w:pos="8505"/>
                    </w:tabs>
                    <w:jc w:val="center"/>
                    <w:rPr>
                      <w:b/>
                      <w:color w:val="auto"/>
                      <w:sz w:val="21"/>
                      <w:szCs w:val="21"/>
                    </w:rPr>
                  </w:pPr>
                  <w:r>
                    <w:rPr>
                      <w:b/>
                      <w:color w:val="auto"/>
                      <w:sz w:val="21"/>
                      <w:szCs w:val="21"/>
                    </w:rPr>
                    <w:t>COD</w:t>
                  </w:r>
                </w:p>
              </w:tc>
              <w:tc>
                <w:tcPr>
                  <w:tcW w:w="624" w:type="pct"/>
                  <w:noWrap/>
                  <w:vAlign w:val="center"/>
                </w:tcPr>
                <w:p w14:paraId="2B71F726">
                  <w:pPr>
                    <w:jc w:val="center"/>
                    <w:rPr>
                      <w:b/>
                      <w:color w:val="auto"/>
                      <w:sz w:val="21"/>
                      <w:szCs w:val="21"/>
                    </w:rPr>
                  </w:pPr>
                  <w:r>
                    <w:rPr>
                      <w:b/>
                      <w:color w:val="auto"/>
                      <w:sz w:val="21"/>
                      <w:szCs w:val="21"/>
                    </w:rPr>
                    <w:t>BOD</w:t>
                  </w:r>
                  <w:r>
                    <w:rPr>
                      <w:b/>
                      <w:color w:val="auto"/>
                      <w:sz w:val="21"/>
                      <w:szCs w:val="21"/>
                      <w:vertAlign w:val="subscript"/>
                    </w:rPr>
                    <w:t>5</w:t>
                  </w:r>
                </w:p>
              </w:tc>
              <w:tc>
                <w:tcPr>
                  <w:tcW w:w="528" w:type="pct"/>
                  <w:noWrap/>
                  <w:vAlign w:val="center"/>
                </w:tcPr>
                <w:p w14:paraId="3DDCDD8B">
                  <w:pPr>
                    <w:jc w:val="center"/>
                    <w:rPr>
                      <w:b/>
                      <w:color w:val="auto"/>
                      <w:sz w:val="21"/>
                      <w:szCs w:val="21"/>
                    </w:rPr>
                  </w:pPr>
                  <w:r>
                    <w:rPr>
                      <w:b/>
                      <w:color w:val="auto"/>
                      <w:sz w:val="21"/>
                      <w:szCs w:val="21"/>
                    </w:rPr>
                    <w:t>SS</w:t>
                  </w:r>
                </w:p>
              </w:tc>
              <w:tc>
                <w:tcPr>
                  <w:tcW w:w="543" w:type="pct"/>
                  <w:noWrap/>
                  <w:vAlign w:val="center"/>
                </w:tcPr>
                <w:p w14:paraId="7E79F38D">
                  <w:pPr>
                    <w:jc w:val="center"/>
                    <w:rPr>
                      <w:b/>
                      <w:color w:val="auto"/>
                      <w:sz w:val="21"/>
                      <w:szCs w:val="21"/>
                    </w:rPr>
                  </w:pPr>
                  <w:r>
                    <w:rPr>
                      <w:b/>
                      <w:color w:val="auto"/>
                      <w:sz w:val="21"/>
                      <w:szCs w:val="21"/>
                    </w:rPr>
                    <w:t>NH</w:t>
                  </w:r>
                  <w:r>
                    <w:rPr>
                      <w:b/>
                      <w:color w:val="auto"/>
                      <w:sz w:val="21"/>
                      <w:szCs w:val="21"/>
                      <w:vertAlign w:val="subscript"/>
                    </w:rPr>
                    <w:t>3</w:t>
                  </w:r>
                  <w:r>
                    <w:rPr>
                      <w:b/>
                      <w:color w:val="auto"/>
                      <w:sz w:val="21"/>
                      <w:szCs w:val="21"/>
                    </w:rPr>
                    <w:t>-N</w:t>
                  </w:r>
                </w:p>
              </w:tc>
            </w:tr>
            <w:tr w14:paraId="2E6E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pct"/>
                  <w:noWrap/>
                  <w:vAlign w:val="center"/>
                </w:tcPr>
                <w:p w14:paraId="5C7C8AA1">
                  <w:pPr>
                    <w:jc w:val="center"/>
                    <w:rPr>
                      <w:color w:val="auto"/>
                      <w:sz w:val="21"/>
                      <w:szCs w:val="21"/>
                    </w:rPr>
                  </w:pPr>
                  <w:r>
                    <w:rPr>
                      <w:rFonts w:hint="eastAsia"/>
                      <w:color w:val="auto"/>
                      <w:sz w:val="21"/>
                      <w:szCs w:val="21"/>
                      <w:lang w:eastAsia="zh-CN"/>
                    </w:rPr>
                    <w:t>潘集</w:t>
                  </w:r>
                  <w:r>
                    <w:rPr>
                      <w:color w:val="auto"/>
                      <w:sz w:val="21"/>
                      <w:szCs w:val="21"/>
                    </w:rPr>
                    <w:t>污水处理厂</w:t>
                  </w:r>
                  <w:r>
                    <w:rPr>
                      <w:rFonts w:hint="eastAsia"/>
                      <w:bCs/>
                      <w:color w:val="auto"/>
                      <w:sz w:val="21"/>
                      <w:szCs w:val="21"/>
                    </w:rPr>
                    <w:t>接管限值</w:t>
                  </w:r>
                </w:p>
              </w:tc>
              <w:tc>
                <w:tcPr>
                  <w:tcW w:w="588" w:type="pct"/>
                  <w:noWrap/>
                  <w:vAlign w:val="center"/>
                </w:tcPr>
                <w:p w14:paraId="282AA01B">
                  <w:pPr>
                    <w:pStyle w:val="19"/>
                    <w:jc w:val="center"/>
                    <w:rPr>
                      <w:color w:val="auto"/>
                      <w:sz w:val="21"/>
                      <w:szCs w:val="21"/>
                    </w:rPr>
                  </w:pPr>
                  <w:r>
                    <w:rPr>
                      <w:color w:val="auto"/>
                      <w:sz w:val="21"/>
                      <w:szCs w:val="21"/>
                    </w:rPr>
                    <w:t>6-9</w:t>
                  </w:r>
                </w:p>
              </w:tc>
              <w:tc>
                <w:tcPr>
                  <w:tcW w:w="558" w:type="pct"/>
                  <w:noWrap/>
                  <w:vAlign w:val="center"/>
                </w:tcPr>
                <w:p w14:paraId="3BAB7377">
                  <w:pPr>
                    <w:pStyle w:val="19"/>
                    <w:jc w:val="center"/>
                    <w:rPr>
                      <w:rFonts w:hint="default" w:eastAsia="宋体"/>
                      <w:color w:val="auto"/>
                      <w:sz w:val="21"/>
                      <w:szCs w:val="21"/>
                      <w:lang w:val="en-US" w:eastAsia="zh-CN"/>
                    </w:rPr>
                  </w:pPr>
                  <w:r>
                    <w:rPr>
                      <w:rFonts w:hint="eastAsia"/>
                      <w:color w:val="auto"/>
                      <w:sz w:val="21"/>
                      <w:szCs w:val="21"/>
                      <w:lang w:val="en-US" w:eastAsia="zh-CN"/>
                    </w:rPr>
                    <w:t>360</w:t>
                  </w:r>
                </w:p>
              </w:tc>
              <w:tc>
                <w:tcPr>
                  <w:tcW w:w="624" w:type="pct"/>
                  <w:noWrap/>
                  <w:vAlign w:val="center"/>
                </w:tcPr>
                <w:p w14:paraId="12337A4D">
                  <w:pPr>
                    <w:pStyle w:val="19"/>
                    <w:jc w:val="center"/>
                    <w:rPr>
                      <w:rFonts w:hint="default" w:eastAsia="宋体"/>
                      <w:color w:val="auto"/>
                      <w:sz w:val="21"/>
                      <w:szCs w:val="21"/>
                      <w:lang w:val="en-US" w:eastAsia="zh-CN"/>
                    </w:rPr>
                  </w:pPr>
                  <w:r>
                    <w:rPr>
                      <w:rFonts w:hint="eastAsia"/>
                      <w:color w:val="auto"/>
                      <w:sz w:val="21"/>
                      <w:szCs w:val="21"/>
                      <w:lang w:val="en-US" w:eastAsia="zh-CN"/>
                    </w:rPr>
                    <w:t>180</w:t>
                  </w:r>
                </w:p>
              </w:tc>
              <w:tc>
                <w:tcPr>
                  <w:tcW w:w="528" w:type="pct"/>
                  <w:noWrap/>
                  <w:vAlign w:val="center"/>
                </w:tcPr>
                <w:p w14:paraId="43A4EF68">
                  <w:pPr>
                    <w:pStyle w:val="19"/>
                    <w:jc w:val="center"/>
                    <w:rPr>
                      <w:rFonts w:hint="default" w:eastAsia="宋体"/>
                      <w:color w:val="auto"/>
                      <w:sz w:val="21"/>
                      <w:szCs w:val="21"/>
                      <w:lang w:val="en-US" w:eastAsia="zh-CN"/>
                    </w:rPr>
                  </w:pPr>
                  <w:r>
                    <w:rPr>
                      <w:rFonts w:hint="eastAsia"/>
                      <w:color w:val="auto"/>
                      <w:sz w:val="21"/>
                      <w:szCs w:val="21"/>
                      <w:lang w:val="en-US" w:eastAsia="zh-CN"/>
                    </w:rPr>
                    <w:t>220</w:t>
                  </w:r>
                </w:p>
              </w:tc>
              <w:tc>
                <w:tcPr>
                  <w:tcW w:w="543" w:type="pct"/>
                  <w:noWrap/>
                  <w:vAlign w:val="center"/>
                </w:tcPr>
                <w:p w14:paraId="37889E8F">
                  <w:pPr>
                    <w:pStyle w:val="19"/>
                    <w:jc w:val="center"/>
                    <w:rPr>
                      <w:color w:val="auto"/>
                      <w:sz w:val="21"/>
                      <w:szCs w:val="21"/>
                    </w:rPr>
                  </w:pPr>
                  <w:r>
                    <w:rPr>
                      <w:rFonts w:hint="eastAsia"/>
                      <w:color w:val="auto"/>
                      <w:sz w:val="21"/>
                      <w:szCs w:val="21"/>
                      <w:lang w:val="en-US" w:eastAsia="zh-CN"/>
                    </w:rPr>
                    <w:t>2</w:t>
                  </w:r>
                  <w:r>
                    <w:rPr>
                      <w:color w:val="auto"/>
                      <w:sz w:val="21"/>
                      <w:szCs w:val="21"/>
                    </w:rPr>
                    <w:t>5</w:t>
                  </w:r>
                </w:p>
              </w:tc>
            </w:tr>
            <w:tr w14:paraId="2C03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pct"/>
                  <w:noWrap/>
                  <w:vAlign w:val="center"/>
                </w:tcPr>
                <w:p w14:paraId="3EC277AF">
                  <w:pPr>
                    <w:jc w:val="center"/>
                    <w:rPr>
                      <w:color w:val="auto"/>
                      <w:sz w:val="21"/>
                      <w:szCs w:val="21"/>
                    </w:rPr>
                  </w:pPr>
                  <w:r>
                    <w:rPr>
                      <w:rFonts w:hint="eastAsia"/>
                      <w:color w:val="auto"/>
                      <w:sz w:val="21"/>
                      <w:szCs w:val="21"/>
                    </w:rPr>
                    <w:t>污水综合排放标准</w:t>
                  </w:r>
                </w:p>
              </w:tc>
              <w:tc>
                <w:tcPr>
                  <w:tcW w:w="588" w:type="pct"/>
                  <w:noWrap/>
                  <w:vAlign w:val="center"/>
                </w:tcPr>
                <w:p w14:paraId="3C686A2B">
                  <w:pPr>
                    <w:jc w:val="center"/>
                    <w:rPr>
                      <w:color w:val="auto"/>
                      <w:sz w:val="21"/>
                      <w:szCs w:val="21"/>
                    </w:rPr>
                  </w:pPr>
                  <w:r>
                    <w:rPr>
                      <w:color w:val="auto"/>
                      <w:sz w:val="21"/>
                      <w:szCs w:val="21"/>
                    </w:rPr>
                    <w:t>6-9</w:t>
                  </w:r>
                </w:p>
              </w:tc>
              <w:tc>
                <w:tcPr>
                  <w:tcW w:w="558" w:type="pct"/>
                  <w:noWrap/>
                  <w:vAlign w:val="center"/>
                </w:tcPr>
                <w:p w14:paraId="16838763">
                  <w:pPr>
                    <w:pStyle w:val="19"/>
                    <w:jc w:val="center"/>
                    <w:rPr>
                      <w:color w:val="auto"/>
                      <w:sz w:val="21"/>
                      <w:szCs w:val="21"/>
                    </w:rPr>
                  </w:pPr>
                  <w:r>
                    <w:rPr>
                      <w:rFonts w:hint="eastAsia"/>
                      <w:color w:val="auto"/>
                      <w:sz w:val="21"/>
                      <w:szCs w:val="21"/>
                    </w:rPr>
                    <w:t>500</w:t>
                  </w:r>
                </w:p>
              </w:tc>
              <w:tc>
                <w:tcPr>
                  <w:tcW w:w="624" w:type="pct"/>
                  <w:noWrap/>
                  <w:vAlign w:val="center"/>
                </w:tcPr>
                <w:p w14:paraId="55C76DD9">
                  <w:pPr>
                    <w:pStyle w:val="19"/>
                    <w:jc w:val="center"/>
                    <w:rPr>
                      <w:color w:val="auto"/>
                      <w:sz w:val="21"/>
                      <w:szCs w:val="21"/>
                    </w:rPr>
                  </w:pPr>
                  <w:r>
                    <w:rPr>
                      <w:rFonts w:hint="eastAsia"/>
                      <w:color w:val="auto"/>
                      <w:sz w:val="21"/>
                      <w:szCs w:val="21"/>
                    </w:rPr>
                    <w:t>300</w:t>
                  </w:r>
                </w:p>
              </w:tc>
              <w:tc>
                <w:tcPr>
                  <w:tcW w:w="528" w:type="pct"/>
                  <w:noWrap/>
                  <w:vAlign w:val="center"/>
                </w:tcPr>
                <w:p w14:paraId="0BE524DB">
                  <w:pPr>
                    <w:pStyle w:val="19"/>
                    <w:jc w:val="center"/>
                    <w:rPr>
                      <w:color w:val="auto"/>
                      <w:sz w:val="21"/>
                      <w:szCs w:val="21"/>
                    </w:rPr>
                  </w:pPr>
                  <w:r>
                    <w:rPr>
                      <w:rFonts w:hint="eastAsia"/>
                      <w:color w:val="auto"/>
                      <w:sz w:val="21"/>
                      <w:szCs w:val="21"/>
                    </w:rPr>
                    <w:t>400</w:t>
                  </w:r>
                </w:p>
              </w:tc>
              <w:tc>
                <w:tcPr>
                  <w:tcW w:w="543" w:type="pct"/>
                  <w:noWrap/>
                  <w:vAlign w:val="center"/>
                </w:tcPr>
                <w:p w14:paraId="7F2C2DF5">
                  <w:pPr>
                    <w:pStyle w:val="19"/>
                    <w:jc w:val="center"/>
                    <w:rPr>
                      <w:color w:val="auto"/>
                      <w:sz w:val="21"/>
                      <w:szCs w:val="21"/>
                    </w:rPr>
                  </w:pPr>
                  <w:r>
                    <w:rPr>
                      <w:rFonts w:hint="eastAsia"/>
                      <w:color w:val="auto"/>
                      <w:sz w:val="21"/>
                      <w:szCs w:val="21"/>
                    </w:rPr>
                    <w:t>/</w:t>
                  </w:r>
                </w:p>
              </w:tc>
            </w:tr>
            <w:tr w14:paraId="5C8F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pct"/>
                  <w:noWrap/>
                  <w:vAlign w:val="center"/>
                </w:tcPr>
                <w:p w14:paraId="1FEFAC5F">
                  <w:pPr>
                    <w:jc w:val="center"/>
                    <w:rPr>
                      <w:color w:val="auto"/>
                      <w:sz w:val="21"/>
                      <w:szCs w:val="21"/>
                    </w:rPr>
                  </w:pPr>
                  <w:r>
                    <w:rPr>
                      <w:rFonts w:hint="eastAsia"/>
                      <w:color w:val="auto"/>
                      <w:sz w:val="21"/>
                      <w:szCs w:val="21"/>
                    </w:rPr>
                    <w:t>本项目接管限值</w:t>
                  </w:r>
                </w:p>
              </w:tc>
              <w:tc>
                <w:tcPr>
                  <w:tcW w:w="588" w:type="pct"/>
                  <w:noWrap/>
                  <w:vAlign w:val="center"/>
                </w:tcPr>
                <w:p w14:paraId="02CE25A6">
                  <w:pPr>
                    <w:jc w:val="center"/>
                    <w:rPr>
                      <w:color w:val="auto"/>
                      <w:sz w:val="21"/>
                      <w:szCs w:val="21"/>
                    </w:rPr>
                  </w:pPr>
                  <w:r>
                    <w:rPr>
                      <w:color w:val="auto"/>
                      <w:sz w:val="21"/>
                      <w:szCs w:val="21"/>
                    </w:rPr>
                    <w:t>6-9</w:t>
                  </w:r>
                </w:p>
              </w:tc>
              <w:tc>
                <w:tcPr>
                  <w:tcW w:w="962" w:type="dxa"/>
                  <w:noWrap/>
                  <w:vAlign w:val="center"/>
                </w:tcPr>
                <w:p w14:paraId="5B5A8AD2">
                  <w:pPr>
                    <w:pStyle w:val="19"/>
                    <w:jc w:val="center"/>
                    <w:rPr>
                      <w:color w:val="auto"/>
                      <w:sz w:val="21"/>
                      <w:szCs w:val="21"/>
                    </w:rPr>
                  </w:pPr>
                  <w:r>
                    <w:rPr>
                      <w:rFonts w:hint="eastAsia"/>
                      <w:color w:val="auto"/>
                      <w:sz w:val="21"/>
                      <w:szCs w:val="21"/>
                      <w:lang w:val="en-US" w:eastAsia="zh-CN"/>
                    </w:rPr>
                    <w:t>360</w:t>
                  </w:r>
                </w:p>
              </w:tc>
              <w:tc>
                <w:tcPr>
                  <w:tcW w:w="1076" w:type="dxa"/>
                  <w:noWrap/>
                  <w:vAlign w:val="center"/>
                </w:tcPr>
                <w:p w14:paraId="748CA448">
                  <w:pPr>
                    <w:pStyle w:val="19"/>
                    <w:jc w:val="center"/>
                    <w:rPr>
                      <w:color w:val="auto"/>
                      <w:sz w:val="21"/>
                      <w:szCs w:val="21"/>
                    </w:rPr>
                  </w:pPr>
                  <w:r>
                    <w:rPr>
                      <w:rFonts w:hint="eastAsia"/>
                      <w:color w:val="auto"/>
                      <w:sz w:val="21"/>
                      <w:szCs w:val="21"/>
                      <w:lang w:val="en-US" w:eastAsia="zh-CN"/>
                    </w:rPr>
                    <w:t>180</w:t>
                  </w:r>
                </w:p>
              </w:tc>
              <w:tc>
                <w:tcPr>
                  <w:tcW w:w="910" w:type="dxa"/>
                  <w:noWrap/>
                  <w:vAlign w:val="center"/>
                </w:tcPr>
                <w:p w14:paraId="38A8F054">
                  <w:pPr>
                    <w:pStyle w:val="19"/>
                    <w:jc w:val="center"/>
                    <w:rPr>
                      <w:color w:val="auto"/>
                      <w:sz w:val="21"/>
                      <w:szCs w:val="21"/>
                    </w:rPr>
                  </w:pPr>
                  <w:r>
                    <w:rPr>
                      <w:rFonts w:hint="eastAsia"/>
                      <w:color w:val="auto"/>
                      <w:sz w:val="21"/>
                      <w:szCs w:val="21"/>
                      <w:lang w:val="en-US" w:eastAsia="zh-CN"/>
                    </w:rPr>
                    <w:t>220</w:t>
                  </w:r>
                </w:p>
              </w:tc>
              <w:tc>
                <w:tcPr>
                  <w:tcW w:w="543" w:type="pct"/>
                  <w:noWrap/>
                  <w:vAlign w:val="center"/>
                </w:tcPr>
                <w:p w14:paraId="1FA07C5B">
                  <w:pPr>
                    <w:pStyle w:val="19"/>
                    <w:jc w:val="center"/>
                    <w:rPr>
                      <w:rFonts w:hint="default" w:eastAsia="宋体"/>
                      <w:color w:val="auto"/>
                      <w:sz w:val="21"/>
                      <w:szCs w:val="21"/>
                      <w:lang w:val="en-US" w:eastAsia="zh-CN"/>
                    </w:rPr>
                  </w:pPr>
                  <w:r>
                    <w:rPr>
                      <w:rFonts w:hint="eastAsia"/>
                      <w:color w:val="auto"/>
                      <w:sz w:val="21"/>
                      <w:szCs w:val="21"/>
                      <w:lang w:val="en-US" w:eastAsia="zh-CN"/>
                    </w:rPr>
                    <w:t>25</w:t>
                  </w:r>
                </w:p>
              </w:tc>
            </w:tr>
            <w:tr w14:paraId="254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pct"/>
                  <w:noWrap/>
                  <w:vAlign w:val="center"/>
                </w:tcPr>
                <w:p w14:paraId="645068DF">
                  <w:pPr>
                    <w:jc w:val="center"/>
                    <w:rPr>
                      <w:color w:val="auto"/>
                      <w:sz w:val="21"/>
                      <w:szCs w:val="21"/>
                    </w:rPr>
                  </w:pPr>
                  <w:r>
                    <w:rPr>
                      <w:rFonts w:hint="eastAsia"/>
                      <w:color w:val="auto"/>
                      <w:sz w:val="21"/>
                      <w:szCs w:val="21"/>
                      <w:lang w:eastAsia="zh-CN"/>
                    </w:rPr>
                    <w:t>潘集</w:t>
                  </w:r>
                  <w:r>
                    <w:rPr>
                      <w:rFonts w:hint="eastAsia"/>
                      <w:color w:val="auto"/>
                      <w:sz w:val="21"/>
                      <w:szCs w:val="21"/>
                    </w:rPr>
                    <w:t>污水处理厂</w:t>
                  </w:r>
                  <w:r>
                    <w:rPr>
                      <w:color w:val="auto"/>
                      <w:sz w:val="21"/>
                      <w:szCs w:val="21"/>
                    </w:rPr>
                    <w:t>出水执行标准</w:t>
                  </w:r>
                </w:p>
              </w:tc>
              <w:tc>
                <w:tcPr>
                  <w:tcW w:w="588" w:type="pct"/>
                  <w:noWrap/>
                  <w:vAlign w:val="center"/>
                </w:tcPr>
                <w:p w14:paraId="0283236A">
                  <w:pPr>
                    <w:jc w:val="center"/>
                    <w:rPr>
                      <w:color w:val="auto"/>
                      <w:sz w:val="21"/>
                      <w:szCs w:val="21"/>
                    </w:rPr>
                  </w:pPr>
                  <w:r>
                    <w:rPr>
                      <w:color w:val="auto"/>
                      <w:sz w:val="21"/>
                      <w:szCs w:val="21"/>
                    </w:rPr>
                    <w:t>6-9</w:t>
                  </w:r>
                </w:p>
              </w:tc>
              <w:tc>
                <w:tcPr>
                  <w:tcW w:w="558" w:type="pct"/>
                  <w:noWrap/>
                  <w:vAlign w:val="center"/>
                </w:tcPr>
                <w:p w14:paraId="4A1D9561">
                  <w:pPr>
                    <w:pStyle w:val="19"/>
                    <w:jc w:val="center"/>
                    <w:rPr>
                      <w:color w:val="auto"/>
                      <w:sz w:val="21"/>
                      <w:szCs w:val="21"/>
                    </w:rPr>
                  </w:pPr>
                  <w:r>
                    <w:rPr>
                      <w:rFonts w:hint="eastAsia"/>
                      <w:color w:val="auto"/>
                      <w:sz w:val="21"/>
                      <w:szCs w:val="21"/>
                    </w:rPr>
                    <w:t>5</w:t>
                  </w:r>
                  <w:r>
                    <w:rPr>
                      <w:color w:val="auto"/>
                      <w:sz w:val="21"/>
                      <w:szCs w:val="21"/>
                    </w:rPr>
                    <w:t>0</w:t>
                  </w:r>
                </w:p>
              </w:tc>
              <w:tc>
                <w:tcPr>
                  <w:tcW w:w="624" w:type="pct"/>
                  <w:noWrap/>
                  <w:vAlign w:val="center"/>
                </w:tcPr>
                <w:p w14:paraId="60D99609">
                  <w:pPr>
                    <w:pStyle w:val="19"/>
                    <w:jc w:val="center"/>
                    <w:rPr>
                      <w:color w:val="auto"/>
                      <w:sz w:val="21"/>
                      <w:szCs w:val="21"/>
                    </w:rPr>
                  </w:pPr>
                  <w:r>
                    <w:rPr>
                      <w:color w:val="auto"/>
                      <w:sz w:val="21"/>
                      <w:szCs w:val="21"/>
                    </w:rPr>
                    <w:t>10</w:t>
                  </w:r>
                </w:p>
              </w:tc>
              <w:tc>
                <w:tcPr>
                  <w:tcW w:w="528" w:type="pct"/>
                  <w:noWrap/>
                  <w:vAlign w:val="center"/>
                </w:tcPr>
                <w:p w14:paraId="312E5F75">
                  <w:pPr>
                    <w:pStyle w:val="19"/>
                    <w:jc w:val="center"/>
                    <w:rPr>
                      <w:color w:val="auto"/>
                      <w:sz w:val="21"/>
                      <w:szCs w:val="21"/>
                    </w:rPr>
                  </w:pPr>
                  <w:r>
                    <w:rPr>
                      <w:color w:val="auto"/>
                      <w:sz w:val="21"/>
                      <w:szCs w:val="21"/>
                    </w:rPr>
                    <w:t>10</w:t>
                  </w:r>
                </w:p>
              </w:tc>
              <w:tc>
                <w:tcPr>
                  <w:tcW w:w="543" w:type="pct"/>
                  <w:noWrap/>
                  <w:vAlign w:val="center"/>
                </w:tcPr>
                <w:p w14:paraId="4E62388B">
                  <w:pPr>
                    <w:pStyle w:val="19"/>
                    <w:jc w:val="center"/>
                    <w:rPr>
                      <w:color w:val="auto"/>
                      <w:sz w:val="21"/>
                      <w:szCs w:val="21"/>
                    </w:rPr>
                  </w:pPr>
                  <w:r>
                    <w:rPr>
                      <w:rFonts w:hint="eastAsia"/>
                      <w:color w:val="auto"/>
                      <w:sz w:val="21"/>
                      <w:szCs w:val="21"/>
                    </w:rPr>
                    <w:t>5</w:t>
                  </w:r>
                </w:p>
              </w:tc>
            </w:tr>
          </w:tbl>
          <w:p w14:paraId="5CF7F9A9">
            <w:pPr>
              <w:pStyle w:val="6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三、噪声</w:t>
            </w:r>
          </w:p>
          <w:p w14:paraId="047D472D">
            <w:pPr>
              <w:pStyle w:val="110"/>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项目</w:t>
            </w:r>
            <w:r>
              <w:rPr>
                <w:rFonts w:hint="default" w:ascii="Times New Roman" w:hAnsi="Times New Roman" w:eastAsia="宋体" w:cs="Times New Roman"/>
                <w:b w:val="0"/>
                <w:color w:val="auto"/>
                <w:kern w:val="2"/>
                <w:sz w:val="24"/>
                <w:szCs w:val="24"/>
                <w:lang w:val="en-US" w:eastAsia="zh-CN" w:bidi="ar-SA"/>
              </w:rPr>
              <w:t>厂界噪声执行《工业企业厂界环境噪声排放标准》（GB12348—2008）中</w:t>
            </w:r>
            <w:r>
              <w:rPr>
                <w:rFonts w:hint="eastAsia" w:ascii="Times New Roman" w:hAnsi="Times New Roman" w:eastAsia="宋体" w:cs="Times New Roman"/>
                <w:b w:val="0"/>
                <w:color w:val="auto"/>
                <w:kern w:val="2"/>
                <w:sz w:val="24"/>
                <w:szCs w:val="24"/>
                <w:lang w:val="en-US" w:eastAsia="zh-CN" w:bidi="ar-SA"/>
              </w:rPr>
              <w:t>2</w:t>
            </w:r>
            <w:r>
              <w:rPr>
                <w:rFonts w:hint="default" w:ascii="Times New Roman" w:hAnsi="Times New Roman" w:eastAsia="宋体" w:cs="Times New Roman"/>
                <w:b w:val="0"/>
                <w:color w:val="auto"/>
                <w:kern w:val="2"/>
                <w:sz w:val="24"/>
                <w:szCs w:val="24"/>
                <w:lang w:val="en-US" w:eastAsia="zh-CN" w:bidi="ar-SA"/>
              </w:rPr>
              <w:t>类标准。</w:t>
            </w:r>
          </w:p>
          <w:p w14:paraId="09AE2E78">
            <w:pPr>
              <w:pStyle w:val="110"/>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textAlignment w:val="auto"/>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表3-</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 xml:space="preserve">  厂界噪声评价标准  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447"/>
              <w:gridCol w:w="2064"/>
              <w:gridCol w:w="3176"/>
            </w:tblGrid>
            <w:tr w14:paraId="7CF5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26" w:type="dxa"/>
                  <w:noWrap w:val="0"/>
                  <w:vAlign w:val="center"/>
                </w:tcPr>
                <w:p w14:paraId="68FF0DA7">
                  <w:pPr>
                    <w:pStyle w:val="38"/>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firstLine="0" w:firstLineChars="0"/>
                    <w:jc w:val="center"/>
                    <w:textAlignment w:val="auto"/>
                    <w:rPr>
                      <w:rFonts w:hint="eastAsia" w:ascii="Times New Roman" w:eastAsia="宋体"/>
                      <w:color w:val="auto"/>
                      <w:sz w:val="21"/>
                      <w:szCs w:val="21"/>
                      <w:lang w:eastAsia="zh-CN"/>
                    </w:rPr>
                  </w:pPr>
                  <w:r>
                    <w:rPr>
                      <w:rFonts w:hint="eastAsia" w:ascii="Times New Roman" w:eastAsia="宋体"/>
                      <w:color w:val="auto"/>
                      <w:sz w:val="21"/>
                      <w:szCs w:val="21"/>
                      <w:lang w:eastAsia="zh-CN"/>
                    </w:rPr>
                    <w:t>项目</w:t>
                  </w:r>
                </w:p>
              </w:tc>
              <w:tc>
                <w:tcPr>
                  <w:tcW w:w="1447" w:type="dxa"/>
                  <w:noWrap w:val="0"/>
                  <w:vAlign w:val="center"/>
                </w:tcPr>
                <w:p w14:paraId="29110C49">
                  <w:pPr>
                    <w:pStyle w:val="38"/>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firstLine="0" w:firstLineChars="0"/>
                    <w:jc w:val="center"/>
                    <w:textAlignment w:val="auto"/>
                    <w:rPr>
                      <w:rFonts w:ascii="Times New Roman" w:eastAsia="宋体"/>
                      <w:color w:val="auto"/>
                      <w:sz w:val="21"/>
                      <w:szCs w:val="21"/>
                    </w:rPr>
                  </w:pPr>
                  <w:r>
                    <w:rPr>
                      <w:rFonts w:ascii="Times New Roman" w:eastAsia="宋体"/>
                      <w:color w:val="auto"/>
                      <w:sz w:val="21"/>
                      <w:szCs w:val="21"/>
                    </w:rPr>
                    <w:t>昼间</w:t>
                  </w:r>
                </w:p>
              </w:tc>
              <w:tc>
                <w:tcPr>
                  <w:tcW w:w="2064" w:type="dxa"/>
                  <w:noWrap w:val="0"/>
                  <w:vAlign w:val="center"/>
                </w:tcPr>
                <w:p w14:paraId="7A31E448">
                  <w:pPr>
                    <w:pStyle w:val="38"/>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firstLine="0" w:firstLineChars="0"/>
                    <w:jc w:val="center"/>
                    <w:textAlignment w:val="auto"/>
                    <w:rPr>
                      <w:rFonts w:ascii="Times New Roman" w:eastAsia="宋体"/>
                      <w:color w:val="auto"/>
                      <w:sz w:val="21"/>
                      <w:szCs w:val="21"/>
                    </w:rPr>
                  </w:pPr>
                  <w:r>
                    <w:rPr>
                      <w:rFonts w:ascii="Times New Roman" w:eastAsia="宋体"/>
                      <w:color w:val="auto"/>
                      <w:sz w:val="21"/>
                      <w:szCs w:val="21"/>
                    </w:rPr>
                    <w:t>夜间</w:t>
                  </w:r>
                </w:p>
              </w:tc>
              <w:tc>
                <w:tcPr>
                  <w:tcW w:w="3176" w:type="dxa"/>
                  <w:noWrap w:val="0"/>
                  <w:vAlign w:val="center"/>
                </w:tcPr>
                <w:p w14:paraId="4E5A0E80">
                  <w:pPr>
                    <w:pStyle w:val="38"/>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firstLine="0" w:firstLineChars="0"/>
                    <w:jc w:val="center"/>
                    <w:textAlignment w:val="auto"/>
                    <w:rPr>
                      <w:rFonts w:ascii="Times New Roman" w:eastAsia="宋体"/>
                      <w:color w:val="auto"/>
                      <w:sz w:val="21"/>
                      <w:szCs w:val="21"/>
                    </w:rPr>
                  </w:pPr>
                  <w:r>
                    <w:rPr>
                      <w:rFonts w:ascii="Times New Roman" w:eastAsia="宋体"/>
                      <w:color w:val="auto"/>
                      <w:sz w:val="21"/>
                      <w:szCs w:val="21"/>
                    </w:rPr>
                    <w:t>标准类别</w:t>
                  </w:r>
                </w:p>
              </w:tc>
            </w:tr>
            <w:tr w14:paraId="0918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26" w:type="dxa"/>
                  <w:noWrap w:val="0"/>
                  <w:vAlign w:val="center"/>
                </w:tcPr>
                <w:p w14:paraId="184D543B">
                  <w:pPr>
                    <w:pStyle w:val="38"/>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firstLine="0" w:firstLineChars="0"/>
                    <w:jc w:val="center"/>
                    <w:textAlignment w:val="auto"/>
                    <w:rPr>
                      <w:rFonts w:ascii="Times New Roman" w:eastAsia="宋体"/>
                      <w:color w:val="auto"/>
                      <w:sz w:val="21"/>
                      <w:szCs w:val="21"/>
                    </w:rPr>
                  </w:pPr>
                  <w:r>
                    <w:rPr>
                      <w:rFonts w:ascii="Times New Roman" w:eastAsia="宋体"/>
                      <w:color w:val="auto"/>
                      <w:sz w:val="21"/>
                      <w:szCs w:val="21"/>
                    </w:rPr>
                    <w:t>运营期</w:t>
                  </w:r>
                </w:p>
              </w:tc>
              <w:tc>
                <w:tcPr>
                  <w:tcW w:w="1447" w:type="dxa"/>
                  <w:noWrap w:val="0"/>
                  <w:vAlign w:val="center"/>
                </w:tcPr>
                <w:p w14:paraId="1A1ECC4B">
                  <w:pPr>
                    <w:pStyle w:val="38"/>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firstLine="0" w:firstLineChars="0"/>
                    <w:jc w:val="center"/>
                    <w:textAlignment w:val="auto"/>
                    <w:rPr>
                      <w:rFonts w:hint="eastAsia" w:ascii="Times New Roman" w:eastAsia="宋体"/>
                      <w:color w:val="auto"/>
                      <w:sz w:val="21"/>
                      <w:szCs w:val="21"/>
                      <w:lang w:eastAsia="zh-CN"/>
                    </w:rPr>
                  </w:pPr>
                  <w:r>
                    <w:rPr>
                      <w:rFonts w:ascii="Times New Roman" w:eastAsia="宋体"/>
                      <w:color w:val="auto"/>
                      <w:sz w:val="21"/>
                      <w:szCs w:val="21"/>
                    </w:rPr>
                    <w:t>6</w:t>
                  </w:r>
                  <w:r>
                    <w:rPr>
                      <w:rFonts w:hint="eastAsia" w:ascii="Times New Roman"/>
                      <w:color w:val="auto"/>
                      <w:sz w:val="21"/>
                      <w:szCs w:val="21"/>
                      <w:lang w:val="en-US" w:eastAsia="zh-CN"/>
                    </w:rPr>
                    <w:t>0</w:t>
                  </w:r>
                </w:p>
              </w:tc>
              <w:tc>
                <w:tcPr>
                  <w:tcW w:w="2064" w:type="dxa"/>
                  <w:noWrap w:val="0"/>
                  <w:vAlign w:val="center"/>
                </w:tcPr>
                <w:p w14:paraId="052F36B4">
                  <w:pPr>
                    <w:pStyle w:val="38"/>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firstLine="0" w:firstLineChars="0"/>
                    <w:jc w:val="center"/>
                    <w:textAlignment w:val="auto"/>
                    <w:rPr>
                      <w:rFonts w:hint="eastAsia" w:ascii="Times New Roman" w:eastAsia="宋体"/>
                      <w:color w:val="auto"/>
                      <w:sz w:val="21"/>
                      <w:szCs w:val="21"/>
                      <w:lang w:eastAsia="zh-CN"/>
                    </w:rPr>
                  </w:pPr>
                  <w:r>
                    <w:rPr>
                      <w:rFonts w:ascii="Times New Roman" w:eastAsia="宋体"/>
                      <w:color w:val="auto"/>
                      <w:sz w:val="21"/>
                      <w:szCs w:val="21"/>
                    </w:rPr>
                    <w:t>5</w:t>
                  </w:r>
                  <w:r>
                    <w:rPr>
                      <w:rFonts w:hint="eastAsia" w:ascii="Times New Roman"/>
                      <w:color w:val="auto"/>
                      <w:sz w:val="21"/>
                      <w:szCs w:val="21"/>
                      <w:lang w:val="en-US" w:eastAsia="zh-CN"/>
                    </w:rPr>
                    <w:t>0</w:t>
                  </w:r>
                </w:p>
              </w:tc>
              <w:tc>
                <w:tcPr>
                  <w:tcW w:w="3176" w:type="dxa"/>
                  <w:noWrap w:val="0"/>
                  <w:vAlign w:val="center"/>
                </w:tcPr>
                <w:p w14:paraId="3A370294">
                  <w:pPr>
                    <w:pStyle w:val="38"/>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firstLine="0" w:firstLineChars="0"/>
                    <w:jc w:val="center"/>
                    <w:textAlignment w:val="auto"/>
                    <w:rPr>
                      <w:rFonts w:hint="default" w:ascii="Times New Roman" w:eastAsia="宋体"/>
                      <w:color w:val="auto"/>
                      <w:sz w:val="21"/>
                      <w:szCs w:val="21"/>
                      <w:lang w:val="en-US" w:eastAsia="zh-CN"/>
                    </w:rPr>
                  </w:pPr>
                  <w:r>
                    <w:rPr>
                      <w:rFonts w:ascii="Times New Roman" w:eastAsia="宋体"/>
                      <w:color w:val="auto"/>
                      <w:sz w:val="21"/>
                      <w:szCs w:val="21"/>
                    </w:rPr>
                    <w:t>GB12348—2008</w:t>
                  </w:r>
                  <w:r>
                    <w:rPr>
                      <w:rFonts w:hint="eastAsia" w:ascii="Times New Roman"/>
                      <w:color w:val="auto"/>
                      <w:sz w:val="21"/>
                      <w:szCs w:val="21"/>
                      <w:lang w:eastAsia="zh-CN"/>
                    </w:rPr>
                    <w:t>中</w:t>
                  </w:r>
                  <w:r>
                    <w:rPr>
                      <w:rFonts w:hint="eastAsia" w:ascii="Times New Roman"/>
                      <w:color w:val="auto"/>
                      <w:sz w:val="21"/>
                      <w:szCs w:val="21"/>
                      <w:lang w:val="en-US" w:eastAsia="zh-CN"/>
                    </w:rPr>
                    <w:t>2类标准</w:t>
                  </w:r>
                </w:p>
              </w:tc>
            </w:tr>
          </w:tbl>
          <w:p w14:paraId="3C693A65">
            <w:pPr>
              <w:pStyle w:val="6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color w:val="auto"/>
                <w:sz w:val="24"/>
                <w:szCs w:val="24"/>
              </w:rPr>
            </w:pPr>
            <w:r>
              <w:rPr>
                <w:rFonts w:hint="eastAsia"/>
                <w:color w:val="auto"/>
                <w:sz w:val="24"/>
                <w:szCs w:val="24"/>
                <w:lang w:eastAsia="zh-CN"/>
              </w:rPr>
              <w:t>四、</w:t>
            </w:r>
            <w:r>
              <w:rPr>
                <w:color w:val="auto"/>
                <w:sz w:val="24"/>
                <w:szCs w:val="24"/>
              </w:rPr>
              <w:t>固废</w:t>
            </w:r>
          </w:p>
          <w:p w14:paraId="762713EB">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firstLine="480" w:firstLineChars="200"/>
              <w:jc w:val="both"/>
              <w:textAlignment w:val="auto"/>
              <w:rPr>
                <w:rFonts w:ascii="宋体" w:hAnsi="宋体" w:cs="宋体"/>
                <w:color w:val="auto"/>
                <w:kern w:val="0"/>
                <w:szCs w:val="21"/>
              </w:rPr>
            </w:pPr>
            <w:r>
              <w:rPr>
                <w:color w:val="auto"/>
                <w:sz w:val="24"/>
                <w:szCs w:val="24"/>
              </w:rPr>
              <w:t>一般工业固体废弃物存放</w:t>
            </w:r>
            <w:r>
              <w:rPr>
                <w:rFonts w:hint="eastAsia"/>
                <w:color w:val="auto"/>
                <w:sz w:val="24"/>
                <w:szCs w:val="24"/>
                <w:lang w:eastAsia="zh-CN"/>
              </w:rPr>
              <w:t>参照</w:t>
            </w:r>
            <w:r>
              <w:rPr>
                <w:color w:val="auto"/>
                <w:sz w:val="24"/>
                <w:szCs w:val="24"/>
              </w:rPr>
              <w:t>执行《一般工业固体废物贮存和填埋污染控制标准》（GB18559-2020）</w:t>
            </w:r>
            <w:r>
              <w:rPr>
                <w:rFonts w:hint="eastAsia"/>
                <w:color w:val="auto"/>
                <w:sz w:val="24"/>
                <w:szCs w:val="24"/>
              </w:rPr>
              <w:t>中的有关规定</w:t>
            </w:r>
            <w:r>
              <w:rPr>
                <w:color w:val="auto"/>
                <w:sz w:val="24"/>
                <w:szCs w:val="24"/>
              </w:rPr>
              <w:t>；危险废物贮存</w:t>
            </w:r>
            <w:r>
              <w:rPr>
                <w:rFonts w:hint="eastAsia"/>
                <w:color w:val="auto"/>
                <w:sz w:val="24"/>
                <w:szCs w:val="24"/>
                <w:lang w:eastAsia="zh-CN"/>
              </w:rPr>
              <w:t>参照</w:t>
            </w:r>
            <w:r>
              <w:rPr>
                <w:color w:val="auto"/>
                <w:sz w:val="24"/>
                <w:szCs w:val="24"/>
              </w:rPr>
              <w:t>执行</w:t>
            </w:r>
            <w:r>
              <w:rPr>
                <w:rFonts w:hint="default" w:ascii="Times New Roman" w:hAnsi="Times New Roman" w:eastAsia="宋体" w:cs="Times New Roman"/>
                <w:color w:val="auto"/>
                <w:spacing w:val="-4"/>
                <w:sz w:val="24"/>
                <w:szCs w:val="24"/>
              </w:rPr>
              <w:t>《危险废物贮存污染控制标准》（GB18597-20</w:t>
            </w:r>
            <w:r>
              <w:rPr>
                <w:rFonts w:hint="eastAsia"/>
                <w:color w:val="auto"/>
                <w:sz w:val="24"/>
                <w:szCs w:val="24"/>
                <w:lang w:val="en-US" w:eastAsia="zh-CN"/>
              </w:rPr>
              <w:t>23</w:t>
            </w:r>
            <w:r>
              <w:rPr>
                <w:rFonts w:hint="default" w:ascii="Times New Roman" w:hAnsi="Times New Roman" w:eastAsia="宋体" w:cs="Times New Roman"/>
                <w:color w:val="auto"/>
                <w:spacing w:val="-4"/>
                <w:sz w:val="24"/>
                <w:szCs w:val="24"/>
              </w:rPr>
              <w:t>）</w:t>
            </w:r>
            <w:r>
              <w:rPr>
                <w:color w:val="auto"/>
                <w:sz w:val="24"/>
              </w:rPr>
              <w:t>中相关标准。</w:t>
            </w:r>
          </w:p>
        </w:tc>
      </w:tr>
      <w:tr w14:paraId="135E9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2" w:hRule="atLeast"/>
          <w:jc w:val="center"/>
        </w:trPr>
        <w:tc>
          <w:tcPr>
            <w:tcW w:w="450" w:type="dxa"/>
            <w:noWrap w:val="0"/>
            <w:vAlign w:val="center"/>
          </w:tcPr>
          <w:p w14:paraId="79A3D51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总量</w:t>
            </w:r>
          </w:p>
          <w:p w14:paraId="0908F12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hint="eastAsia" w:ascii="宋体" w:hAnsi="宋体" w:cs="宋体"/>
                <w:b/>
                <w:bCs/>
                <w:color w:val="auto"/>
                <w:kern w:val="0"/>
                <w:sz w:val="24"/>
                <w:szCs w:val="24"/>
              </w:rPr>
            </w:pPr>
            <w:r>
              <w:rPr>
                <w:rFonts w:hint="eastAsia" w:ascii="宋体" w:hAnsi="宋体" w:cs="宋体"/>
                <w:b/>
                <w:bCs/>
                <w:color w:val="auto"/>
                <w:kern w:val="0"/>
                <w:sz w:val="24"/>
                <w:szCs w:val="24"/>
              </w:rPr>
              <w:t>控制</w:t>
            </w:r>
          </w:p>
          <w:p w14:paraId="584284C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center"/>
              <w:textAlignment w:val="auto"/>
              <w:rPr>
                <w:rFonts w:ascii="宋体" w:hAnsi="宋体" w:cs="宋体"/>
                <w:color w:val="auto"/>
                <w:kern w:val="0"/>
                <w:szCs w:val="21"/>
              </w:rPr>
            </w:pPr>
            <w:r>
              <w:rPr>
                <w:rFonts w:hint="eastAsia" w:ascii="宋体" w:hAnsi="宋体" w:cs="宋体"/>
                <w:b/>
                <w:bCs/>
                <w:color w:val="auto"/>
                <w:kern w:val="0"/>
                <w:sz w:val="24"/>
                <w:szCs w:val="24"/>
              </w:rPr>
              <w:t>指标</w:t>
            </w:r>
          </w:p>
        </w:tc>
        <w:tc>
          <w:tcPr>
            <w:tcW w:w="8839" w:type="dxa"/>
            <w:noWrap w:val="0"/>
            <w:vAlign w:val="center"/>
          </w:tcPr>
          <w:p w14:paraId="71534197">
            <w:pPr>
              <w:pStyle w:val="87"/>
              <w:keepNext w:val="0"/>
              <w:keepLines w:val="0"/>
              <w:pageBreakBefore w:val="0"/>
              <w:widowControl w:val="0"/>
              <w:kinsoku/>
              <w:overflowPunct/>
              <w:bidi w:val="0"/>
              <w:spacing w:beforeAutospacing="0" w:afterAutospacing="0"/>
              <w:ind w:left="0" w:leftChars="0" w:firstLine="480"/>
              <w:rPr>
                <w:rFonts w:hint="eastAsia"/>
                <w:color w:val="auto"/>
              </w:rPr>
            </w:pPr>
            <w:r>
              <w:rPr>
                <w:rFonts w:hint="eastAsia"/>
                <w:color w:val="auto"/>
              </w:rPr>
              <w:t>根据安徽省人民政府《安徽省大气污染防治行动计划实施方案》（皖政[2013]89号）中第（四）类19条和《关于进一步加强建设项目新增大气污染物总量控制指标工作的通知》（皖环发[2017]19号）中的规定，严格实施主要污染物排放总量控制，水污染物总量控制指标为COD、氨氮，大气污染物总量指标在二氧化硫（SO</w:t>
            </w:r>
            <w:r>
              <w:rPr>
                <w:rFonts w:hint="eastAsia"/>
                <w:color w:val="auto"/>
                <w:vertAlign w:val="subscript"/>
              </w:rPr>
              <w:t>2</w:t>
            </w:r>
            <w:r>
              <w:rPr>
                <w:rFonts w:hint="eastAsia"/>
                <w:color w:val="auto"/>
              </w:rPr>
              <w:t>）、氮氧化物（NOx）的基础上增加烟（粉）尘、挥发性有机物（VOCs）两项指标。</w:t>
            </w:r>
          </w:p>
          <w:p w14:paraId="04381E7E">
            <w:pPr>
              <w:pStyle w:val="87"/>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jc w:val="both"/>
              <w:textAlignment w:val="auto"/>
              <w:rPr>
                <w:rFonts w:hint="eastAsia"/>
                <w:color w:val="auto"/>
              </w:rPr>
            </w:pPr>
            <w:r>
              <w:rPr>
                <w:rFonts w:hint="eastAsia"/>
                <w:color w:val="auto"/>
              </w:rPr>
              <w:t>1、水污染物总量控制指标：根据工程分析可知</w:t>
            </w:r>
            <w:r>
              <w:rPr>
                <w:rFonts w:hint="eastAsia"/>
                <w:color w:val="auto"/>
                <w:lang w:eastAsia="zh-CN"/>
              </w:rPr>
              <w:t>本</w:t>
            </w:r>
            <w:r>
              <w:rPr>
                <w:rFonts w:hint="eastAsia"/>
                <w:color w:val="auto"/>
              </w:rPr>
              <w:t>项目</w:t>
            </w:r>
            <w:r>
              <w:rPr>
                <w:rFonts w:hint="eastAsia"/>
                <w:color w:val="auto"/>
                <w:lang w:eastAsia="zh-CN"/>
              </w:rPr>
              <w:t>生产废水经处理后回用于生产，</w:t>
            </w:r>
            <w:r>
              <w:rPr>
                <w:rFonts w:hint="eastAsia" w:ascii="Times New Roman" w:hAnsi="Times New Roman" w:eastAsia="宋体" w:cs="Times New Roman"/>
                <w:b w:val="0"/>
                <w:color w:val="auto"/>
                <w:kern w:val="2"/>
                <w:sz w:val="24"/>
                <w:szCs w:val="24"/>
                <w:lang w:val="en-US" w:eastAsia="zh-CN" w:bidi="ar-SA"/>
              </w:rPr>
              <w:t>污泥压滤液排入潘集污水处理厂处理</w:t>
            </w:r>
            <w:r>
              <w:rPr>
                <w:rFonts w:hint="eastAsia" w:cs="Times New Roman"/>
                <w:b w:val="0"/>
                <w:color w:val="auto"/>
                <w:kern w:val="2"/>
                <w:sz w:val="24"/>
                <w:szCs w:val="24"/>
                <w:lang w:val="en-US" w:eastAsia="zh-CN" w:bidi="ar-SA"/>
              </w:rPr>
              <w:t>，</w:t>
            </w:r>
            <w:r>
              <w:rPr>
                <w:rFonts w:hint="eastAsia"/>
                <w:color w:val="auto"/>
                <w:lang w:eastAsia="zh-CN"/>
              </w:rPr>
              <w:t>生活污水经隔油池</w:t>
            </w:r>
            <w:r>
              <w:rPr>
                <w:rFonts w:hint="eastAsia"/>
                <w:color w:val="auto"/>
                <w:lang w:val="en-US" w:eastAsia="zh-CN"/>
              </w:rPr>
              <w:t>+化粪池处理后排入潘集污水处理厂处理</w:t>
            </w:r>
            <w:r>
              <w:rPr>
                <w:rFonts w:hint="eastAsia"/>
                <w:color w:val="auto"/>
              </w:rPr>
              <w:t>，本项目不</w:t>
            </w:r>
            <w:r>
              <w:rPr>
                <w:rFonts w:hint="eastAsia"/>
                <w:color w:val="auto"/>
                <w:lang w:eastAsia="zh-CN"/>
              </w:rPr>
              <w:t>需要</w:t>
            </w:r>
            <w:r>
              <w:rPr>
                <w:rFonts w:hint="eastAsia"/>
                <w:color w:val="auto"/>
              </w:rPr>
              <w:t>单独申请COD、氨氮指标。</w:t>
            </w:r>
          </w:p>
          <w:p w14:paraId="6B2A4686">
            <w:pPr>
              <w:pStyle w:val="87"/>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jc w:val="both"/>
              <w:textAlignment w:val="auto"/>
              <w:rPr>
                <w:rFonts w:hint="eastAsia"/>
                <w:color w:val="auto"/>
              </w:rPr>
            </w:pPr>
            <w:r>
              <w:rPr>
                <w:rFonts w:hint="eastAsia"/>
                <w:color w:val="auto"/>
              </w:rPr>
              <w:t>2、大气污染物总量控制指标：</w:t>
            </w:r>
          </w:p>
          <w:p w14:paraId="7D5A5793">
            <w:pPr>
              <w:pStyle w:val="87"/>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jc w:val="both"/>
              <w:textAlignment w:val="auto"/>
              <w:rPr>
                <w:rFonts w:hint="eastAsia" w:ascii="宋体" w:hAnsi="宋体" w:cs="宋体"/>
                <w:color w:val="auto"/>
                <w:kern w:val="0"/>
                <w:szCs w:val="21"/>
              </w:rPr>
            </w:pPr>
            <w:r>
              <w:rPr>
                <w:rFonts w:hint="eastAsia"/>
                <w:color w:val="auto"/>
              </w:rPr>
              <w:t>废气污染物为氨、硫化氢，无需申请总量。</w:t>
            </w:r>
          </w:p>
        </w:tc>
      </w:tr>
    </w:tbl>
    <w:p w14:paraId="7DAF70A4">
      <w:pPr>
        <w:pStyle w:val="1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br w:type="page"/>
      </w:r>
      <w:r>
        <w:rPr>
          <w:rFonts w:hint="eastAsia" w:ascii="Times New Roman" w:hAnsi="Times New Roman" w:eastAsia="宋体" w:cs="Times New Roman"/>
          <w:b/>
          <w:bCs/>
          <w:snapToGrid w:val="0"/>
          <w:color w:val="auto"/>
          <w:sz w:val="32"/>
          <w:szCs w:val="32"/>
        </w:rPr>
        <w:t>四、主要环境影响和保护措施</w:t>
      </w:r>
    </w:p>
    <w:tbl>
      <w:tblPr>
        <w:tblStyle w:val="31"/>
        <w:tblW w:w="51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9005"/>
      </w:tblGrid>
      <w:tr w14:paraId="4760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1" w:type="dxa"/>
            <w:noWrap w:val="0"/>
            <w:tcMar>
              <w:left w:w="28" w:type="dxa"/>
              <w:right w:w="28" w:type="dxa"/>
            </w:tcMar>
            <w:vAlign w:val="center"/>
          </w:tcPr>
          <w:p w14:paraId="258583DF">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cs="宋体"/>
                <w:b/>
                <w:bCs/>
                <w:color w:val="auto"/>
                <w:kern w:val="2"/>
                <w:sz w:val="24"/>
                <w:szCs w:val="24"/>
              </w:rPr>
            </w:pPr>
            <w:r>
              <w:rPr>
                <w:rFonts w:hint="eastAsia" w:cs="宋体"/>
                <w:b/>
                <w:bCs/>
                <w:color w:val="auto"/>
                <w:kern w:val="2"/>
                <w:sz w:val="24"/>
                <w:szCs w:val="24"/>
              </w:rPr>
              <w:t>施工</w:t>
            </w:r>
          </w:p>
          <w:p w14:paraId="2B114184">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cs="宋体"/>
                <w:b/>
                <w:bCs/>
                <w:color w:val="auto"/>
                <w:kern w:val="2"/>
                <w:sz w:val="24"/>
                <w:szCs w:val="24"/>
              </w:rPr>
            </w:pPr>
            <w:r>
              <w:rPr>
                <w:rFonts w:hint="eastAsia" w:cs="宋体"/>
                <w:b/>
                <w:bCs/>
                <w:color w:val="auto"/>
                <w:kern w:val="2"/>
                <w:sz w:val="24"/>
                <w:szCs w:val="24"/>
              </w:rPr>
              <w:t>期环</w:t>
            </w:r>
          </w:p>
          <w:p w14:paraId="2CD3ABD7">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cs="宋体"/>
                <w:b/>
                <w:bCs/>
                <w:color w:val="auto"/>
                <w:kern w:val="2"/>
                <w:sz w:val="24"/>
                <w:szCs w:val="24"/>
              </w:rPr>
            </w:pPr>
            <w:r>
              <w:rPr>
                <w:rFonts w:hint="eastAsia" w:cs="宋体"/>
                <w:b/>
                <w:bCs/>
                <w:color w:val="auto"/>
                <w:kern w:val="2"/>
                <w:sz w:val="24"/>
                <w:szCs w:val="24"/>
              </w:rPr>
              <w:t>境保</w:t>
            </w:r>
          </w:p>
          <w:p w14:paraId="7A6F4680">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cs="宋体"/>
                <w:b/>
                <w:bCs/>
                <w:color w:val="auto"/>
                <w:kern w:val="2"/>
                <w:sz w:val="24"/>
                <w:szCs w:val="24"/>
              </w:rPr>
            </w:pPr>
            <w:r>
              <w:rPr>
                <w:rFonts w:hint="eastAsia" w:cs="宋体"/>
                <w:b/>
                <w:bCs/>
                <w:color w:val="auto"/>
                <w:kern w:val="2"/>
                <w:sz w:val="24"/>
                <w:szCs w:val="24"/>
              </w:rPr>
              <w:t>护措</w:t>
            </w:r>
          </w:p>
          <w:p w14:paraId="18896D46">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cs="宋体"/>
                <w:bCs/>
                <w:color w:val="auto"/>
                <w:kern w:val="2"/>
                <w:sz w:val="21"/>
                <w:szCs w:val="21"/>
              </w:rPr>
            </w:pPr>
            <w:r>
              <w:rPr>
                <w:rFonts w:hint="eastAsia" w:cs="宋体"/>
                <w:b/>
                <w:bCs/>
                <w:color w:val="auto"/>
                <w:kern w:val="2"/>
                <w:sz w:val="24"/>
                <w:szCs w:val="24"/>
              </w:rPr>
              <w:t>施</w:t>
            </w:r>
          </w:p>
        </w:tc>
        <w:tc>
          <w:tcPr>
            <w:tcW w:w="8928" w:type="dxa"/>
            <w:noWrap w:val="0"/>
            <w:vAlign w:val="center"/>
          </w:tcPr>
          <w:p w14:paraId="6C44C6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42" w:firstLineChars="200"/>
              <w:textAlignment w:val="auto"/>
              <w:rPr>
                <w:rFonts w:hint="default" w:ascii="宋体" w:hAnsi="宋体" w:cs="宋体"/>
                <w:b/>
                <w:bCs w:val="0"/>
                <w:color w:val="auto"/>
                <w:spacing w:val="-10"/>
                <w:sz w:val="24"/>
                <w:szCs w:val="24"/>
                <w:lang w:val="en-US" w:eastAsia="zh-CN"/>
              </w:rPr>
            </w:pPr>
            <w:r>
              <w:rPr>
                <w:rFonts w:hint="eastAsia" w:ascii="宋体" w:hAnsi="宋体" w:cs="宋体"/>
                <w:b/>
                <w:bCs w:val="0"/>
                <w:color w:val="auto"/>
                <w:spacing w:val="-10"/>
                <w:sz w:val="24"/>
                <w:szCs w:val="24"/>
                <w:lang w:val="en-US" w:eastAsia="zh-CN"/>
              </w:rPr>
              <w:t>一、废气</w:t>
            </w:r>
          </w:p>
          <w:p w14:paraId="3FDD64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40" w:firstLineChars="200"/>
              <w:textAlignment w:val="auto"/>
              <w:rPr>
                <w:rFonts w:hint="default"/>
                <w:color w:val="auto"/>
                <w:sz w:val="24"/>
                <w:szCs w:val="24"/>
                <w:lang w:val="en-US" w:eastAsia="zh-CN"/>
              </w:rPr>
            </w:pPr>
            <w:r>
              <w:rPr>
                <w:rFonts w:hint="default" w:ascii="宋体" w:hAnsi="宋体" w:cs="宋体"/>
                <w:bCs/>
                <w:color w:val="auto"/>
                <w:spacing w:val="-10"/>
                <w:sz w:val="24"/>
                <w:szCs w:val="24"/>
                <w:lang w:val="en-US" w:eastAsia="zh-CN"/>
              </w:rPr>
              <w:t>1</w:t>
            </w:r>
            <w:r>
              <w:rPr>
                <w:rFonts w:hint="eastAsia"/>
                <w:color w:val="auto"/>
                <w:sz w:val="24"/>
                <w:szCs w:val="24"/>
                <w:lang w:val="en-US" w:eastAsia="zh-CN"/>
              </w:rPr>
              <w:t>、</w:t>
            </w:r>
            <w:r>
              <w:rPr>
                <w:rFonts w:hint="default"/>
                <w:color w:val="auto"/>
                <w:sz w:val="24"/>
                <w:szCs w:val="24"/>
                <w:lang w:val="en-US" w:eastAsia="zh-CN"/>
              </w:rPr>
              <w:t>水厂内施工</w:t>
            </w:r>
          </w:p>
          <w:p w14:paraId="2BB55E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项目净水工程施工期废气主要为：挖土、运土、填土、夯实和汽车运输</w:t>
            </w:r>
            <w:r>
              <w:rPr>
                <w:rFonts w:hint="eastAsia"/>
                <w:color w:val="auto"/>
                <w:sz w:val="24"/>
                <w:szCs w:val="24"/>
                <w:lang w:val="en-US" w:eastAsia="zh-CN"/>
              </w:rPr>
              <w:t>过程</w:t>
            </w:r>
            <w:r>
              <w:rPr>
                <w:rFonts w:hint="default"/>
                <w:color w:val="auto"/>
                <w:sz w:val="24"/>
                <w:szCs w:val="24"/>
                <w:lang w:val="en-US" w:eastAsia="zh-CN"/>
              </w:rPr>
              <w:t>产生的扬尘，各种燃油动力机械和运输车辆排放的尾气。污染大气的主要因子是NOx、CO、SO</w:t>
            </w:r>
            <w:r>
              <w:rPr>
                <w:rFonts w:hint="default"/>
                <w:color w:val="auto"/>
                <w:sz w:val="24"/>
                <w:szCs w:val="24"/>
                <w:vertAlign w:val="subscript"/>
                <w:lang w:val="en-US" w:eastAsia="zh-CN"/>
              </w:rPr>
              <w:t>2</w:t>
            </w:r>
            <w:r>
              <w:rPr>
                <w:rFonts w:hint="default"/>
                <w:color w:val="auto"/>
                <w:sz w:val="24"/>
                <w:szCs w:val="24"/>
                <w:lang w:val="en-US" w:eastAsia="zh-CN"/>
              </w:rPr>
              <w:t>和扬尘，尤其扬尘污染最为严重。</w:t>
            </w:r>
          </w:p>
          <w:p w14:paraId="2A4EAD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1）扬尘影响分析</w:t>
            </w:r>
          </w:p>
          <w:p w14:paraId="6B4523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根据有关资料，在施工现场，近地面的粉尘浓度一般为1.5～30mg/m</w:t>
            </w:r>
            <w:r>
              <w:rPr>
                <w:rFonts w:hint="default"/>
                <w:color w:val="auto"/>
                <w:sz w:val="24"/>
                <w:szCs w:val="24"/>
                <w:vertAlign w:val="superscript"/>
                <w:lang w:val="en-US" w:eastAsia="zh-CN"/>
              </w:rPr>
              <w:t>3</w:t>
            </w:r>
            <w:r>
              <w:rPr>
                <w:rFonts w:hint="default"/>
                <w:color w:val="auto"/>
                <w:sz w:val="24"/>
                <w:szCs w:val="24"/>
                <w:lang w:val="en-US" w:eastAsia="zh-CN"/>
              </w:rPr>
              <w:t>；物料运输车辆在一般行车道路两侧近距离内产生的扬尘浓度可达8~10mg/m</w:t>
            </w:r>
            <w:r>
              <w:rPr>
                <w:rFonts w:hint="default"/>
                <w:color w:val="auto"/>
                <w:sz w:val="24"/>
                <w:szCs w:val="24"/>
                <w:vertAlign w:val="superscript"/>
                <w:lang w:val="en-US" w:eastAsia="zh-CN"/>
              </w:rPr>
              <w:t>3</w:t>
            </w:r>
            <w:r>
              <w:rPr>
                <w:rFonts w:hint="default"/>
                <w:color w:val="auto"/>
                <w:sz w:val="24"/>
                <w:szCs w:val="24"/>
                <w:lang w:val="en-US" w:eastAsia="zh-CN"/>
              </w:rPr>
              <w:t>，均超过《环境空气质量标准》（GB3095-2012）中的二级标准要求，扬尘影响范围一般在道路两侧50m以内。</w:t>
            </w:r>
          </w:p>
          <w:p w14:paraId="1B3722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2）扬尘污染防治措施</w:t>
            </w:r>
          </w:p>
          <w:p w14:paraId="44718C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根据《安徽省建筑工程施工扬尘污染防治规定》、《安徽省大气污染防治行动计划实施方案》、《</w:t>
            </w:r>
            <w:r>
              <w:rPr>
                <w:rFonts w:hint="eastAsia"/>
                <w:color w:val="auto"/>
                <w:sz w:val="24"/>
                <w:szCs w:val="24"/>
                <w:lang w:val="en-US" w:eastAsia="zh-CN"/>
              </w:rPr>
              <w:t>淮南</w:t>
            </w:r>
            <w:r>
              <w:rPr>
                <w:rFonts w:hint="default"/>
                <w:color w:val="auto"/>
                <w:sz w:val="24"/>
                <w:szCs w:val="24"/>
                <w:lang w:val="en-US" w:eastAsia="zh-CN"/>
              </w:rPr>
              <w:t>市大气污染防治行动计划实施方案》等规定和方案，结合本项目的施工特点，项目施工应当遵守下列规定：</w:t>
            </w:r>
          </w:p>
          <w:p w14:paraId="10101D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①施工中大量的挖方和填方应采用湿法作业抑制扬尘，开挖土方应集中堆放，缩小粉尘影响范围，及时回填，减少粉尘影响时间。</w:t>
            </w:r>
          </w:p>
          <w:p w14:paraId="409FF7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②加强运输车辆的管理，合理安排施工车辆行驶路线，</w:t>
            </w:r>
            <w:r>
              <w:rPr>
                <w:rFonts w:hint="eastAsia"/>
                <w:color w:val="auto"/>
                <w:sz w:val="24"/>
                <w:szCs w:val="24"/>
                <w:lang w:val="en-US" w:eastAsia="zh-CN"/>
              </w:rPr>
              <w:t>途经</w:t>
            </w:r>
            <w:r>
              <w:rPr>
                <w:rFonts w:hint="default"/>
                <w:color w:val="auto"/>
                <w:sz w:val="24"/>
                <w:szCs w:val="24"/>
                <w:lang w:val="en-US" w:eastAsia="zh-CN"/>
              </w:rPr>
              <w:t>居民区集中区域应尽量减缓行驶车速。</w:t>
            </w:r>
          </w:p>
          <w:p w14:paraId="3488B0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③施工作业应尽量避开大风天气，对施工场地和运输车辆行驶路面定期洒水，防止浮尘产生，如在大风日则加大洒水量及洒水次数。</w:t>
            </w:r>
          </w:p>
          <w:p w14:paraId="302A80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④施工区域干道车辆实行限速行驶，土方、砂石、淤泥等在运输过程中应加盖封闭并适量装车，以防运输过程中撒落引起二次扬尘；运输车辆在离开施工区时冲洗轮胎，检查装车质量，防止扬尘污染。</w:t>
            </w:r>
          </w:p>
          <w:p w14:paraId="3DC1AB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⑤施工现场只存放回填利用的开挖土方，弃土要及时清运。晴天干燥季节对存土、铲土运输，要采取洒水措施，以保持表面湿润，减少扬尘产生量。</w:t>
            </w:r>
          </w:p>
          <w:p w14:paraId="65A3F6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⑥加强施工管理，贯彻边施工、边防护的原则，施工现场在敏感区域段时，设置围栏，减少施工扬尘的扩散，同时对施工过程中尘土进行定期清理，每日洒水抑尘。</w:t>
            </w:r>
          </w:p>
          <w:p w14:paraId="0EDCFD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⑦遇有5级以上大风或重度污染天气时，必须采取扬尘应急措施。</w:t>
            </w:r>
          </w:p>
          <w:p w14:paraId="0B451A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⑧对于施工场地的扬尘治理，还要做到“六个百分百”措施：</w:t>
            </w:r>
          </w:p>
          <w:p w14:paraId="4D93C4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施工现场沿工地四周设置连续围挡100%；</w:t>
            </w:r>
          </w:p>
          <w:p w14:paraId="6F2D0E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物料、裸露场地遮盖率100%</w:t>
            </w:r>
            <w:r>
              <w:rPr>
                <w:rFonts w:hint="eastAsia"/>
                <w:color w:val="auto"/>
                <w:sz w:val="24"/>
                <w:szCs w:val="24"/>
                <w:lang w:val="en-US" w:eastAsia="zh-CN"/>
              </w:rPr>
              <w:t>；</w:t>
            </w:r>
          </w:p>
          <w:p w14:paraId="35A9A4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施工现场出入口，主要道路硬化率100%</w:t>
            </w:r>
            <w:r>
              <w:rPr>
                <w:rFonts w:hint="eastAsia"/>
                <w:color w:val="auto"/>
                <w:sz w:val="24"/>
                <w:szCs w:val="24"/>
                <w:lang w:val="en-US" w:eastAsia="zh-CN"/>
              </w:rPr>
              <w:t>；</w:t>
            </w:r>
          </w:p>
          <w:p w14:paraId="2F968A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出场车辆冲洗设施及冲洗制度落实率100%；</w:t>
            </w:r>
          </w:p>
          <w:p w14:paraId="6D488F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渣土运输车辆出场密闭率100%；</w:t>
            </w:r>
          </w:p>
          <w:p w14:paraId="44A24B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洒水、喷淋（雾）降尘措施100%;</w:t>
            </w:r>
          </w:p>
          <w:p w14:paraId="37125B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⑨对于物料、渣土临时堆场尘治理措施：</w:t>
            </w:r>
          </w:p>
          <w:p w14:paraId="2A1B08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A.对建筑垃圾、工程渣土施工单位不能及时清运的，必须在施工工地设置临时堆放场，临时堆放场必须采取围挡、覆盖等防尘措施，对于在施工工地内堆放易产生扬尘的建筑物料，必须积极采取洒水降尘；</w:t>
            </w:r>
          </w:p>
          <w:p w14:paraId="51D864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B.工地围挡高度不低于1.8m；</w:t>
            </w:r>
          </w:p>
          <w:p w14:paraId="5655C9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C.对于临时占地区的地面进行硬化处理；</w:t>
            </w:r>
          </w:p>
          <w:p w14:paraId="33378E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D.项目堆土场的位置应远离道路雨污水管网，并在堆土场四周设置雨水导排及沉淀池工程施工期对环境空气污染具有随时间变化程度大、漂移距离近、影响距离和范围小等特点，其影响只限于施工期，随建设期的结束而停止，不会产生累积的污染影响。采取上述的措施后，可有效减少施工期扬尘的产生，降低扬尘对环境空气的影响。</w:t>
            </w:r>
          </w:p>
          <w:p w14:paraId="707F31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3）机械设备废气对周边环境影响</w:t>
            </w:r>
          </w:p>
          <w:p w14:paraId="7071F0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项目施工过程中使用的施工车辆、挖掘机等车辆，会产生的二氧化硫、氮氧化物、一氧化碳、烃类、TSP等污染物，对项目区域环境空气会产生一定影响，但由于施工期较短，施工中燃油设备的使用不是连续性使用，此类污染物排放量不大，因此燃油废气对区域大气环境的影响较小。</w:t>
            </w:r>
          </w:p>
          <w:p w14:paraId="1C972D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w:t>
            </w:r>
            <w:r>
              <w:rPr>
                <w:rFonts w:hint="eastAsia"/>
                <w:color w:val="auto"/>
                <w:sz w:val="24"/>
                <w:szCs w:val="24"/>
                <w:lang w:val="en-US" w:eastAsia="zh-CN"/>
              </w:rPr>
              <w:t>、输水</w:t>
            </w:r>
            <w:r>
              <w:rPr>
                <w:rFonts w:hint="default"/>
                <w:color w:val="auto"/>
                <w:sz w:val="24"/>
                <w:szCs w:val="24"/>
                <w:lang w:val="en-US" w:eastAsia="zh-CN"/>
              </w:rPr>
              <w:t>管网施工</w:t>
            </w:r>
          </w:p>
          <w:p w14:paraId="07AF96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输水</w:t>
            </w:r>
            <w:r>
              <w:rPr>
                <w:rFonts w:hint="default"/>
                <w:color w:val="auto"/>
                <w:sz w:val="24"/>
                <w:szCs w:val="24"/>
                <w:lang w:val="en-US" w:eastAsia="zh-CN"/>
              </w:rPr>
              <w:t>管网施工过程中需要开挖地面，由此不可避免的产生扬尘。施工扬尘主要来源于机械挖土、废土堆放、运输过程。为了有效控制配水管网施工期沿线扬尘污染，建设单位在施工过程中应采取如下措施减轻大气污染</w:t>
            </w:r>
            <w:r>
              <w:rPr>
                <w:rFonts w:hint="eastAsia"/>
                <w:color w:val="auto"/>
                <w:sz w:val="24"/>
                <w:szCs w:val="24"/>
                <w:lang w:val="en-US" w:eastAsia="zh-CN"/>
              </w:rPr>
              <w:t>：</w:t>
            </w:r>
          </w:p>
          <w:p w14:paraId="35B94C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（1）施工现场周边设临时围挡；在施工路段前方200m设置警示牌，提醒过路车辆；</w:t>
            </w:r>
          </w:p>
          <w:p w14:paraId="3C517A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（2）定期洒水，洒水频次4~5次/天；在大风的天气加大洒水量和洒水次数，并对撒落在路面的渣土及时清除。清理阶段做到先洒水后清扫，避免产生扬尘对周边环境造成影响；</w:t>
            </w:r>
          </w:p>
          <w:p w14:paraId="023A6E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（3）车辆在运输沙、石、废土方时，不得装载过满，防止沿途洒落，造成二次扬尘；选择对周围环境影响较小的运输路线，定时对运输路线进行清扫。</w:t>
            </w:r>
          </w:p>
          <w:p w14:paraId="080359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（4）对施工场内的物料采取临时拦挡及临时覆盖措施。</w:t>
            </w:r>
          </w:p>
          <w:p w14:paraId="42C6FB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（5）施工车辆运输物料时需加盖密封。</w:t>
            </w:r>
          </w:p>
          <w:p w14:paraId="6A600A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综上，在严格落实以上措施后，施工期产生的大气污染将得到有效控制，对施工人员、以及周边单位及群众的影响基本在人们可接受范围之内，对区域大气环境影响不大。此外，施工期大气环境影响是暂时的、局部的，随着工程的建成完工而消失。</w:t>
            </w:r>
          </w:p>
          <w:p w14:paraId="3F8BC2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rPr>
                <w:b/>
                <w:bCs/>
                <w:color w:val="auto"/>
                <w:sz w:val="24"/>
                <w:szCs w:val="24"/>
              </w:rPr>
            </w:pPr>
            <w:r>
              <w:rPr>
                <w:rFonts w:hint="eastAsia"/>
                <w:b/>
                <w:bCs/>
                <w:color w:val="auto"/>
                <w:sz w:val="24"/>
                <w:szCs w:val="24"/>
                <w:lang w:val="en-US" w:eastAsia="zh-CN"/>
              </w:rPr>
              <w:t>二、</w:t>
            </w:r>
            <w:r>
              <w:rPr>
                <w:b/>
                <w:bCs/>
                <w:color w:val="auto"/>
                <w:sz w:val="24"/>
                <w:szCs w:val="24"/>
              </w:rPr>
              <w:t>废水</w:t>
            </w:r>
          </w:p>
          <w:p w14:paraId="28BFBE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施工期产生的废水主要为人员生活污水和施工生产废水。</w:t>
            </w:r>
          </w:p>
          <w:p w14:paraId="0F3B59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项目施工场地不设食堂和临时生活设施，施工期生活污水主要来源于施工工人及管理人员简单洗脸、洗手及上厕所等用水环节</w:t>
            </w:r>
            <w:r>
              <w:rPr>
                <w:rFonts w:hint="eastAsia"/>
                <w:color w:val="auto"/>
                <w:sz w:val="24"/>
                <w:szCs w:val="24"/>
                <w:lang w:eastAsia="zh-CN"/>
              </w:rPr>
              <w:t>，</w:t>
            </w:r>
            <w:r>
              <w:rPr>
                <w:color w:val="auto"/>
                <w:sz w:val="24"/>
                <w:szCs w:val="24"/>
              </w:rPr>
              <w:t>施工期施工生产废水主要来源于混凝土养护水、石料冲洗水、机械车辆设备冲洗水、施工机械滴、漏的污油及露天机械被雨水冲刷后产生的油污水、管道试压冲洗等产生的废水。</w:t>
            </w:r>
          </w:p>
          <w:p w14:paraId="777D9F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由于施工活动的周期一般不会太长，故施工期产生的废水污染往往不被人们所重视，其实施工废水类别较多，某些水污染物的浓度可能还比较高，处置不当会对施工场地周围的水环境产生短时间的不良影响。例如：</w:t>
            </w:r>
          </w:p>
          <w:p w14:paraId="580297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（1）施工场地的暴雨地表径流，将会携带大量的泥沙，随意排放将会使纳污水体悬浮物出现短时间的超标；</w:t>
            </w:r>
          </w:p>
          <w:p w14:paraId="4ED7E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（2）施工车辆、施工机械的洗涤水含有较高的石油类、悬浮物等，直接排放将会使纳污水体受到一定程度的污染；</w:t>
            </w:r>
          </w:p>
          <w:p w14:paraId="31FE8B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（3）工人生活污水含有COD、SS、NH</w:t>
            </w:r>
            <w:r>
              <w:rPr>
                <w:color w:val="auto"/>
                <w:sz w:val="24"/>
                <w:szCs w:val="24"/>
                <w:vertAlign w:val="subscript"/>
              </w:rPr>
              <w:t>3</w:t>
            </w:r>
            <w:r>
              <w:rPr>
                <w:color w:val="auto"/>
                <w:sz w:val="24"/>
                <w:szCs w:val="24"/>
              </w:rPr>
              <w:t>-N等，对纳污水体的水环境质量影响较大。</w:t>
            </w:r>
          </w:p>
          <w:p w14:paraId="6F9BB9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（4）管道试压冲洗消毒水：管道试压分段进行，用量一般为充满整个管道容积的1.2倍。本次施工管道全长</w:t>
            </w:r>
            <w:r>
              <w:rPr>
                <w:rFonts w:hint="eastAsia"/>
                <w:color w:val="auto"/>
                <w:sz w:val="24"/>
                <w:szCs w:val="24"/>
                <w:lang w:val="en-US" w:eastAsia="zh-CN"/>
              </w:rPr>
              <w:t>7.2</w:t>
            </w:r>
            <w:r>
              <w:rPr>
                <w:color w:val="auto"/>
                <w:sz w:val="24"/>
                <w:szCs w:val="24"/>
              </w:rPr>
              <w:t>km，管径DN</w:t>
            </w:r>
            <w:r>
              <w:rPr>
                <w:rFonts w:hint="eastAsia"/>
                <w:color w:val="auto"/>
                <w:sz w:val="24"/>
                <w:szCs w:val="24"/>
                <w:lang w:val="en-US" w:eastAsia="zh-CN"/>
              </w:rPr>
              <w:t>10</w:t>
            </w:r>
            <w:r>
              <w:rPr>
                <w:color w:val="auto"/>
                <w:sz w:val="24"/>
                <w:szCs w:val="24"/>
              </w:rPr>
              <w:t>00，用水量预计约</w:t>
            </w:r>
            <w:r>
              <w:rPr>
                <w:rFonts w:hint="eastAsia"/>
                <w:color w:val="auto"/>
                <w:sz w:val="24"/>
                <w:szCs w:val="24"/>
                <w:lang w:val="en-US" w:eastAsia="zh-CN"/>
              </w:rPr>
              <w:t>6782.4</w:t>
            </w:r>
            <w:r>
              <w:rPr>
                <w:color w:val="auto"/>
                <w:sz w:val="24"/>
                <w:szCs w:val="24"/>
              </w:rPr>
              <w:t>m</w:t>
            </w:r>
            <w:r>
              <w:rPr>
                <w:color w:val="auto"/>
                <w:sz w:val="24"/>
                <w:szCs w:val="24"/>
                <w:vertAlign w:val="superscript"/>
              </w:rPr>
              <w:t>3</w:t>
            </w:r>
            <w:r>
              <w:rPr>
                <w:color w:val="auto"/>
                <w:sz w:val="24"/>
                <w:szCs w:val="24"/>
              </w:rPr>
              <w:t>。冲洗消毒废水采用漂白液（次氯酸钙和氯化钙），呈酸性。输水管道周边存在</w:t>
            </w:r>
            <w:r>
              <w:rPr>
                <w:rFonts w:hint="eastAsia"/>
                <w:color w:val="auto"/>
                <w:sz w:val="24"/>
                <w:szCs w:val="24"/>
                <w:lang w:eastAsia="zh-CN"/>
              </w:rPr>
              <w:t>农田</w:t>
            </w:r>
            <w:r>
              <w:rPr>
                <w:color w:val="auto"/>
                <w:sz w:val="24"/>
                <w:szCs w:val="24"/>
              </w:rPr>
              <w:t>，如消毒废水不经处理直接排至外环境，将对植物、农作物产生不良影响</w:t>
            </w:r>
            <w:r>
              <w:rPr>
                <w:rFonts w:hint="eastAsia"/>
                <w:color w:val="auto"/>
                <w:sz w:val="24"/>
                <w:szCs w:val="24"/>
                <w:lang w:eastAsia="zh-CN"/>
              </w:rPr>
              <w:t>，</w:t>
            </w:r>
            <w:r>
              <w:rPr>
                <w:color w:val="auto"/>
                <w:sz w:val="24"/>
                <w:szCs w:val="24"/>
              </w:rPr>
              <w:t>故冲洗消毒废水经收集后用罐车运至污水处理厂处理。</w:t>
            </w:r>
          </w:p>
          <w:p w14:paraId="717B91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因此，工程施工期间，施工单位应严格执行《建设工程施工地文明施工及环境管理暂行规定》，对废水的排放进行组织设计，严禁乱排乱流污染地表水体及道路</w:t>
            </w:r>
            <w:r>
              <w:rPr>
                <w:rFonts w:hint="eastAsia"/>
                <w:color w:val="auto"/>
                <w:sz w:val="24"/>
                <w:szCs w:val="24"/>
                <w:lang w:eastAsia="zh-CN"/>
              </w:rPr>
              <w:t>，</w:t>
            </w:r>
            <w:r>
              <w:rPr>
                <w:color w:val="auto"/>
                <w:sz w:val="24"/>
                <w:szCs w:val="24"/>
              </w:rPr>
              <w:t>其中管道试压冲洗消毒废水经收集后用罐车运至污水处理厂处理；其他施工生产废水设</w:t>
            </w:r>
            <w:r>
              <w:rPr>
                <w:rFonts w:hint="eastAsia"/>
                <w:color w:val="auto"/>
                <w:sz w:val="24"/>
                <w:szCs w:val="24"/>
                <w:lang w:eastAsia="zh-CN"/>
              </w:rPr>
              <w:t>临时</w:t>
            </w:r>
            <w:r>
              <w:rPr>
                <w:color w:val="auto"/>
                <w:sz w:val="24"/>
                <w:szCs w:val="24"/>
              </w:rPr>
              <w:t>沉淀池收集后，回用于施工；人员生活污水</w:t>
            </w:r>
            <w:r>
              <w:rPr>
                <w:rFonts w:hint="eastAsia"/>
                <w:color w:val="auto"/>
                <w:sz w:val="24"/>
                <w:szCs w:val="24"/>
                <w:lang w:eastAsia="zh-CN"/>
              </w:rPr>
              <w:t>依托水厂厂区</w:t>
            </w:r>
            <w:r>
              <w:rPr>
                <w:color w:val="auto"/>
                <w:sz w:val="24"/>
                <w:szCs w:val="24"/>
              </w:rPr>
              <w:t>化粪池预处理后</w:t>
            </w:r>
            <w:r>
              <w:rPr>
                <w:rFonts w:hint="eastAsia"/>
                <w:color w:val="auto"/>
                <w:sz w:val="24"/>
                <w:szCs w:val="24"/>
                <w:lang w:eastAsia="zh-CN"/>
              </w:rPr>
              <w:t>排入</w:t>
            </w:r>
            <w:r>
              <w:rPr>
                <w:rFonts w:hint="eastAsia" w:cs="Times New Roman"/>
                <w:color w:val="auto"/>
                <w:sz w:val="24"/>
                <w:szCs w:val="24"/>
                <w:lang w:eastAsia="zh-CN"/>
              </w:rPr>
              <w:t>潘集镇</w:t>
            </w:r>
            <w:r>
              <w:rPr>
                <w:rFonts w:hint="default" w:ascii="Times New Roman" w:hAnsi="Times New Roman" w:eastAsia="宋体" w:cs="Times New Roman"/>
                <w:color w:val="auto"/>
                <w:sz w:val="24"/>
                <w:szCs w:val="24"/>
              </w:rPr>
              <w:t>污水处理厂</w:t>
            </w:r>
            <w:r>
              <w:rPr>
                <w:rFonts w:hint="eastAsia" w:ascii="Times New Roman" w:hAnsi="Times New Roman" w:eastAsia="宋体" w:cs="Times New Roman"/>
                <w:color w:val="auto"/>
                <w:sz w:val="24"/>
                <w:szCs w:val="24"/>
                <w:lang w:eastAsia="zh-CN"/>
              </w:rPr>
              <w:t>处理</w:t>
            </w:r>
            <w:r>
              <w:rPr>
                <w:color w:val="auto"/>
                <w:sz w:val="24"/>
                <w:szCs w:val="24"/>
              </w:rPr>
              <w:t>。</w:t>
            </w:r>
          </w:p>
          <w:p w14:paraId="63451B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color w:val="auto"/>
                <w:sz w:val="24"/>
                <w:szCs w:val="24"/>
              </w:rPr>
            </w:pPr>
            <w:r>
              <w:rPr>
                <w:color w:val="auto"/>
                <w:sz w:val="24"/>
                <w:szCs w:val="24"/>
              </w:rPr>
              <w:t>经过这些措施，本项目施工期对地表水环境的影响将大大减小。</w:t>
            </w:r>
          </w:p>
          <w:p w14:paraId="71E82B28">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firstLine="442" w:firstLineChars="200"/>
              <w:jc w:val="both"/>
              <w:textAlignment w:val="auto"/>
              <w:rPr>
                <w:rFonts w:hint="eastAsia" w:ascii="宋体" w:hAnsi="宋体" w:cs="宋体"/>
                <w:b/>
                <w:bCs w:val="0"/>
                <w:color w:val="auto"/>
                <w:spacing w:val="-10"/>
                <w:sz w:val="24"/>
                <w:szCs w:val="24"/>
                <w:lang w:val="en-US" w:eastAsia="zh-CN"/>
              </w:rPr>
            </w:pPr>
            <w:r>
              <w:rPr>
                <w:rFonts w:hint="eastAsia" w:ascii="宋体" w:hAnsi="宋体" w:cs="宋体"/>
                <w:b/>
                <w:bCs w:val="0"/>
                <w:color w:val="auto"/>
                <w:spacing w:val="-10"/>
                <w:kern w:val="2"/>
                <w:sz w:val="24"/>
                <w:szCs w:val="24"/>
                <w:lang w:val="en-US" w:eastAsia="zh-CN" w:bidi="ar-SA"/>
              </w:rPr>
              <w:t>三</w:t>
            </w:r>
            <w:r>
              <w:rPr>
                <w:rFonts w:hint="eastAsia" w:ascii="宋体" w:hAnsi="宋体" w:eastAsia="宋体" w:cs="宋体"/>
                <w:b/>
                <w:bCs w:val="0"/>
                <w:color w:val="auto"/>
                <w:spacing w:val="-10"/>
                <w:kern w:val="2"/>
                <w:sz w:val="24"/>
                <w:szCs w:val="24"/>
                <w:lang w:val="en-US" w:eastAsia="zh-CN" w:bidi="ar-SA"/>
              </w:rPr>
              <w:t>、</w:t>
            </w:r>
            <w:r>
              <w:rPr>
                <w:rFonts w:hint="eastAsia" w:ascii="宋体" w:hAnsi="宋体" w:cs="宋体"/>
                <w:b/>
                <w:bCs w:val="0"/>
                <w:color w:val="auto"/>
                <w:spacing w:val="-10"/>
                <w:sz w:val="24"/>
                <w:szCs w:val="24"/>
                <w:lang w:val="en-US" w:eastAsia="zh-CN"/>
              </w:rPr>
              <w:t>噪声</w:t>
            </w:r>
          </w:p>
          <w:p w14:paraId="5CD690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施工期的噪声主要来源于施工现场的各类机械设备和物料运输的车辆。施工噪声影响较大，特别是夜间施工对周围居民的影响尤为突出，必须采用相应的措施以减小施工噪声对周围环境影响。具体措施如下：</w:t>
            </w:r>
          </w:p>
          <w:p w14:paraId="20DF36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（1）从声源上控制：建设单位在与施工单位签订合同时，应要求其使用的主要机械设备为低噪声机械设备，例如</w:t>
            </w:r>
            <w:r>
              <w:rPr>
                <w:rFonts w:hint="eastAsia"/>
                <w:color w:val="auto"/>
                <w:sz w:val="24"/>
                <w:szCs w:val="24"/>
                <w:lang w:val="en-US" w:eastAsia="zh-CN"/>
              </w:rPr>
              <w:t>选择</w:t>
            </w:r>
            <w:r>
              <w:rPr>
                <w:rFonts w:hint="default"/>
                <w:color w:val="auto"/>
                <w:sz w:val="24"/>
                <w:szCs w:val="24"/>
                <w:lang w:val="en-US" w:eastAsia="zh-CN"/>
              </w:rPr>
              <w:t>液压机械取代燃油机械。同时在施工过程中施工单位应设专人对设备进行定期保养和维护，并负责对现场工作人员进行培训，严格按操作规范使用各类机械。</w:t>
            </w:r>
          </w:p>
          <w:p w14:paraId="44CD77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加强施工管理，合理安排施工作业时间，将施工机械的作业时间严格限制在6:00至12:00，14:00至22:00时。原则上禁止夜间施工，严禁高噪声设备在作息时间（中午或夜间）作业。如有些施工阶段确实需要夜间作业连续作业的，需提前向生态环境部门提出申请，并在附近受影响区域张贴安民告示，否则，不得违反“施工机械的作业时间严格限制在六时至十二时，十四时至二十二时”的规定。</w:t>
            </w:r>
          </w:p>
          <w:p w14:paraId="03C6EA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（3）施工单位须将高噪声作业点根据实际情况合理的布置于施工场区中部，以有效利用施工场区的距离衰减减少噪声对周边居民的影响，同时对施工期固定的机械设备尽量入棚操作。</w:t>
            </w:r>
          </w:p>
          <w:p w14:paraId="259770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（4）使用商品混凝土，避免混凝土搅拌机等噪声的影响。</w:t>
            </w:r>
          </w:p>
          <w:p w14:paraId="411956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（5）施工单位应在项目施工区域四周厂界设置围挡，</w:t>
            </w:r>
            <w:r>
              <w:rPr>
                <w:rFonts w:hint="eastAsia"/>
                <w:color w:val="auto"/>
                <w:sz w:val="24"/>
                <w:szCs w:val="24"/>
                <w:lang w:val="en-US" w:eastAsia="zh-CN"/>
              </w:rPr>
              <w:t>必要时根据周边居民情况</w:t>
            </w:r>
            <w:r>
              <w:rPr>
                <w:rFonts w:hint="default"/>
                <w:color w:val="auto"/>
                <w:sz w:val="24"/>
                <w:szCs w:val="24"/>
                <w:lang w:val="en-US" w:eastAsia="zh-CN"/>
              </w:rPr>
              <w:t>设置隔声</w:t>
            </w:r>
            <w:r>
              <w:rPr>
                <w:rFonts w:hint="eastAsia"/>
                <w:color w:val="auto"/>
                <w:sz w:val="24"/>
                <w:szCs w:val="24"/>
                <w:lang w:val="en-US" w:eastAsia="zh-CN"/>
              </w:rPr>
              <w:t>屏障</w:t>
            </w:r>
            <w:r>
              <w:rPr>
                <w:rFonts w:hint="default"/>
                <w:color w:val="auto"/>
                <w:sz w:val="24"/>
                <w:szCs w:val="24"/>
                <w:lang w:val="en-US" w:eastAsia="zh-CN"/>
              </w:rPr>
              <w:t>，高噪声施工集中在白天正常上班工作时间</w:t>
            </w:r>
            <w:r>
              <w:rPr>
                <w:rFonts w:hint="eastAsia"/>
                <w:color w:val="auto"/>
                <w:sz w:val="24"/>
                <w:szCs w:val="24"/>
                <w:lang w:val="en-US" w:eastAsia="zh-CN"/>
              </w:rPr>
              <w:t>，</w:t>
            </w:r>
            <w:r>
              <w:rPr>
                <w:rFonts w:hint="default"/>
                <w:color w:val="auto"/>
                <w:sz w:val="24"/>
                <w:szCs w:val="24"/>
                <w:lang w:val="en-US" w:eastAsia="zh-CN"/>
              </w:rPr>
              <w:t>夜间及午休时间，禁止进行高噪声施工。此外，在结构阶段和装修阶段，建设单位应对建筑物外部采用围挡。</w:t>
            </w:r>
          </w:p>
          <w:p w14:paraId="1DC1DF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6）建设管理部门应加强对施工场地的噪声管理，施工企业也应进行自律，文明施工，禁止工人恶意制造噪声，避免因施工噪声产生纠纷；建设单位和施工单位还应与施工场地周边及施工车辆运输路线途经的企事业单位、居民等建立良好的关系，及时让他们了解施工进度及采取的降噪措施，并取得大家的共同理解。</w:t>
            </w:r>
          </w:p>
          <w:p w14:paraId="081A82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在采取上述噪声防治措施后，施工期噪声将得到有效控制，施工噪声能有效降低约15-20dB(A)左右，施工噪声对周围环境的影响基本可在接受范围之内。此外，施工期相对运营期而言，其噪声影响是暂时的，一旦施工活动结束，施工噪声影响也就随之结束。</w:t>
            </w:r>
          </w:p>
          <w:p w14:paraId="2C1D6F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四、固体废物</w:t>
            </w:r>
          </w:p>
          <w:p w14:paraId="2CAFB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项目施工期固废主要有建筑施工和装修过程中产生的建筑垃圾、施工人员的生活垃圾以及开挖土石方。</w:t>
            </w:r>
          </w:p>
          <w:p w14:paraId="12A513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施工期建筑垃圾的主要成分是混凝土、石块、砂石、渣土、废弃管道等，一般不存在“二次污染” 的问题，部分可回收利用，也可以</w:t>
            </w:r>
            <w:r>
              <w:rPr>
                <w:rFonts w:hint="eastAsia"/>
                <w:color w:val="auto"/>
                <w:sz w:val="24"/>
                <w:szCs w:val="24"/>
                <w:lang w:val="en-US" w:eastAsia="zh-CN"/>
              </w:rPr>
              <w:t>用作</w:t>
            </w:r>
            <w:r>
              <w:rPr>
                <w:rFonts w:hint="default"/>
                <w:color w:val="auto"/>
                <w:sz w:val="24"/>
                <w:szCs w:val="24"/>
                <w:lang w:val="en-US" w:eastAsia="zh-CN"/>
              </w:rPr>
              <w:t>其他工程回填，如铺设道路，剩余少量建筑垃圾可清运至建筑垃圾填埋场作无害化处置；施工期生活垃圾集中收集后由环卫部门</w:t>
            </w:r>
            <w:r>
              <w:rPr>
                <w:rFonts w:hint="eastAsia"/>
                <w:color w:val="auto"/>
                <w:sz w:val="24"/>
                <w:szCs w:val="24"/>
                <w:lang w:val="en-US" w:eastAsia="zh-CN"/>
              </w:rPr>
              <w:t>处置</w:t>
            </w:r>
            <w:r>
              <w:rPr>
                <w:rFonts w:hint="default"/>
                <w:color w:val="auto"/>
                <w:sz w:val="24"/>
                <w:szCs w:val="24"/>
                <w:lang w:val="en-US" w:eastAsia="zh-CN"/>
              </w:rPr>
              <w:t>。</w:t>
            </w:r>
          </w:p>
          <w:p w14:paraId="2C182A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施工期开挖土石方主要是地基及管沟开挖施工阶段，用于管沟回填、周边综合利用及绿化，专车运至指定位置，项目区内整体平衡，无弃土产生。针对施工阶段产生的其他建筑垃圾，环评要求建设单位采取以下措施：</w:t>
            </w:r>
          </w:p>
          <w:p w14:paraId="750245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①施工单位在开工前，应当与市容环境卫生行政主管部门签订市容环境卫生责任书，对施工过程中产生的和各类建筑垃圾应当及时清理，保持施工现场整洁；</w:t>
            </w:r>
          </w:p>
          <w:p w14:paraId="7BC6D6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②按照市容环境卫生行政主管部门核定的时间、路线、地点运输和倾倒建筑垃圾，禁止偷倒、乱倒；</w:t>
            </w:r>
          </w:p>
          <w:p w14:paraId="231416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③建筑垃圾运输车辆应当采取密闭覆盖措施，不得沿途撒漏；不得超载运输，不得车轮带泥，不得遗撒、泄漏；</w:t>
            </w:r>
          </w:p>
          <w:p w14:paraId="66E13D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④建筑垃圾运输作业时，建设单位应当督促运输单位在清运时间内组织人力、物力或 委托专业市容环境卫生服务单位做好沿途的污染清理工作；清运过程中造成交通安全设施损坏的，应予以赔偿。</w:t>
            </w:r>
          </w:p>
          <w:p w14:paraId="2635CE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五、</w:t>
            </w:r>
            <w:r>
              <w:rPr>
                <w:rFonts w:hint="default"/>
                <w:b/>
                <w:bCs/>
                <w:color w:val="auto"/>
                <w:sz w:val="24"/>
                <w:szCs w:val="24"/>
                <w:lang w:val="en-US" w:eastAsia="zh-CN"/>
              </w:rPr>
              <w:t>生态环境保护措施</w:t>
            </w:r>
          </w:p>
          <w:p w14:paraId="2A9F85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净水工程主要利用现有厂区进行改扩建建设，</w:t>
            </w:r>
            <w:r>
              <w:rPr>
                <w:rFonts w:hint="default"/>
                <w:color w:val="auto"/>
                <w:sz w:val="24"/>
                <w:szCs w:val="24"/>
                <w:lang w:val="en-US" w:eastAsia="zh-CN"/>
              </w:rPr>
              <w:t>对于</w:t>
            </w:r>
            <w:r>
              <w:rPr>
                <w:rFonts w:hint="eastAsia"/>
                <w:color w:val="auto"/>
                <w:sz w:val="24"/>
                <w:szCs w:val="24"/>
                <w:lang w:val="en-US" w:eastAsia="zh-CN"/>
              </w:rPr>
              <w:t>输水</w:t>
            </w:r>
            <w:r>
              <w:rPr>
                <w:rFonts w:hint="default"/>
                <w:color w:val="auto"/>
                <w:sz w:val="24"/>
                <w:szCs w:val="24"/>
                <w:lang w:val="en-US" w:eastAsia="zh-CN"/>
              </w:rPr>
              <w:t>管线工程来说，由于管线占地属临时性占地，只是在施工期间对现有道路和自然植被的破坏，因此施工完毕后只需将破坏的</w:t>
            </w:r>
            <w:r>
              <w:rPr>
                <w:rFonts w:hint="eastAsia"/>
                <w:color w:val="auto"/>
                <w:sz w:val="24"/>
                <w:szCs w:val="24"/>
                <w:lang w:val="en-US" w:eastAsia="zh-CN"/>
              </w:rPr>
              <w:t>区域及时</w:t>
            </w:r>
            <w:r>
              <w:rPr>
                <w:rFonts w:hint="default"/>
                <w:color w:val="auto"/>
                <w:sz w:val="24"/>
                <w:szCs w:val="24"/>
                <w:lang w:val="en-US" w:eastAsia="zh-CN"/>
              </w:rPr>
              <w:t>恢复原貌可使工程对占地的影响控制在很小的范围。</w:t>
            </w:r>
          </w:p>
          <w:p w14:paraId="572D23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评价区域内未发现国家及省市级重点保护的濒危、稀有动植物及野生动植物种群，无自然保护区和风景名胜区，属于生态环境非敏感区，同时工程沿线生态环境较为稳定，人类活动在该系统中起了主导作用，该区域承受干扰能力较强。管道工程作为生态类建设项目，其对环境的影响主要来自施工期，施工期的环境影响主要是生态环境影响。工程施工期对生态环境的影响主要为管线线路施工对区域半自然生态系统的影响。</w:t>
            </w:r>
          </w:p>
          <w:p w14:paraId="1BE3BC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总而言之，施工期对环境的影响是短期的，不会对环境造成大的影响。伴随施工结束，对环境的干扰和破坏也随之消失。</w:t>
            </w:r>
          </w:p>
          <w:p w14:paraId="00FEBC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1、水土流失影响</w:t>
            </w:r>
          </w:p>
          <w:p w14:paraId="3FEEE0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本项目位于平原地区，因此土壤流失强度不大。工程可能造成的水土流失主要是基础设施地基的开挖、管道铺设时开挖造成的。本工程不造成大量的裸露的土壤开挖面，因此基本没有土壤裸露造成的水土流失。由于土石方堆放量本身就不大，因此由于冲刷造成的流失量是很小的。本项目水土流失影响主要体现在以下几个方面：</w:t>
            </w:r>
          </w:p>
          <w:p w14:paraId="7D3C9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（1）造成河水混浊，影响水质</w:t>
            </w:r>
          </w:p>
          <w:p w14:paraId="04C863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铺设管道建设时地面或道路开挖或其它项目中的弃土，如不及时运走或堆放时被覆不当，遇雨时(尤其是强风暴雨时)，泥砂流失，通过地面径流或下水管道，</w:t>
            </w:r>
            <w:r>
              <w:rPr>
                <w:rFonts w:hint="eastAsia"/>
                <w:color w:val="auto"/>
                <w:sz w:val="24"/>
                <w:szCs w:val="24"/>
                <w:lang w:val="en-US" w:eastAsia="zh-CN"/>
              </w:rPr>
              <w:t>进入淮河</w:t>
            </w:r>
            <w:r>
              <w:rPr>
                <w:rFonts w:hint="default"/>
                <w:color w:val="auto"/>
                <w:sz w:val="24"/>
                <w:szCs w:val="24"/>
                <w:lang w:val="en-US" w:eastAsia="zh-CN"/>
              </w:rPr>
              <w:t>，造成河水混浊，影响水质。</w:t>
            </w:r>
          </w:p>
          <w:p w14:paraId="26ADC8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（2）堵塞下水道</w:t>
            </w:r>
          </w:p>
          <w:p w14:paraId="05EC9C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管道铺设等作业进行时，弃土沿线堆放，如不及时运走或回填，遇雨时，就会随水冲入下水管道</w:t>
            </w:r>
            <w:r>
              <w:rPr>
                <w:rFonts w:hint="eastAsia"/>
                <w:color w:val="auto"/>
                <w:sz w:val="24"/>
                <w:szCs w:val="24"/>
                <w:lang w:val="en-US" w:eastAsia="zh-CN"/>
              </w:rPr>
              <w:t>，</w:t>
            </w:r>
            <w:r>
              <w:rPr>
                <w:rFonts w:hint="default"/>
                <w:color w:val="auto"/>
                <w:sz w:val="24"/>
                <w:szCs w:val="24"/>
                <w:lang w:val="en-US" w:eastAsia="zh-CN"/>
              </w:rPr>
              <w:t>泥沙在管道内沉积，使下水道过水面积减少，就会影响下水管道的输水能力，严重时会堵塞下水管道。</w:t>
            </w:r>
          </w:p>
          <w:p w14:paraId="289EA3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（3）产生扬尘，影响大气质量</w:t>
            </w:r>
          </w:p>
          <w:p w14:paraId="5185DC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回填土如不及时回填或被覆不当，遇雨会随地流淌，有一部分沉积地面，遇晴天或大风时就会产生扬尘，影响城市大气质量。</w:t>
            </w:r>
          </w:p>
          <w:p w14:paraId="18536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（4）破坏景观</w:t>
            </w:r>
          </w:p>
          <w:p w14:paraId="78ABE2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回填土如不及时回填，被雨冲散，零乱分布有风时，造成满天风沙，影响市容，破坏陆域景观；泥砂进入河道后，使河水能见度降低，也影响水域景观。</w:t>
            </w:r>
          </w:p>
          <w:p w14:paraId="6370C5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为了防止本工程在建设过程中产生水土流失的现象，本项目采取以下措施：</w:t>
            </w:r>
          </w:p>
          <w:p w14:paraId="47876C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①工程施工中开挖的土方应尽量作为施工场地平整回填之用，如果有弃土，应妥善处理；如有缺土，应采购宕渣砾料代替。</w:t>
            </w:r>
          </w:p>
          <w:p w14:paraId="217E48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②工程施工应分期分区进行，以缩短单项工期。开挖裸露面要有防治措施，尽量缩短暴露时间，减少水土流失。</w:t>
            </w:r>
          </w:p>
          <w:p w14:paraId="18F172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③借土的临时堆放场地中，若有相对比较集中的地方，其周边应挖好排水沟，避免雨季时的水土流失。堆土的边坡要小，尽量压实，使其少占地且不易被雨水冲刷造成流失。</w:t>
            </w:r>
          </w:p>
          <w:p w14:paraId="7F1082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（5）</w:t>
            </w:r>
            <w:r>
              <w:rPr>
                <w:rFonts w:hint="default"/>
                <w:color w:val="auto"/>
                <w:sz w:val="24"/>
                <w:szCs w:val="24"/>
                <w:lang w:val="en-US" w:eastAsia="zh-CN"/>
              </w:rPr>
              <w:t>管网施工影响</w:t>
            </w:r>
          </w:p>
          <w:p w14:paraId="73D446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本项目</w:t>
            </w:r>
            <w:r>
              <w:rPr>
                <w:rFonts w:hint="eastAsia"/>
                <w:color w:val="auto"/>
                <w:sz w:val="24"/>
                <w:szCs w:val="24"/>
                <w:lang w:val="en-US" w:eastAsia="zh-CN"/>
              </w:rPr>
              <w:t>输水工程</w:t>
            </w:r>
            <w:r>
              <w:rPr>
                <w:rFonts w:hint="default"/>
                <w:color w:val="auto"/>
                <w:sz w:val="24"/>
                <w:szCs w:val="24"/>
                <w:lang w:val="en-US" w:eastAsia="zh-CN"/>
              </w:rPr>
              <w:t>施工范围较广，为减轻管网施工对交通的影响，施工中采用分段推进的施工方式。施工工地应做到工地封闭作业，减少裸露地面，防止运输撒落物料、及时清理工地、维护四周环境卫生等。本项目不在施工沿线进行管材切割，管材的切割在施工场地的材料堆场内进行，管道的防渗、防腐均由原材料供应商在工厂内完成，减少了施工过程中扬尘、噪声影响。同时，在施工过程中应安排工作人员维持施工现场的交通秩序，在离施工现场50m处，分别放置警示牌告之。同时，施工单位应合理安排运输车辆使用时间，尽可能将运输时间安排在交通低峰时，避免由于建材的运输造成周边道路的交通阻塞。在交通低峰时运输车辆可以节约大量的运输时间、油耗及减少车辆慢行时排放的CO、HC等对环境空气质量的影响。施工单位要保持周围道路路面的平整和整洁，保证过往车辆和行人出行的安全和通畅。主体工程完成后，尽快完成清场、绿化等配套工程。</w:t>
            </w:r>
          </w:p>
          <w:p w14:paraId="02B0C6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综上分析，评价认为在施工期严格落实环境保护措施后，可有效减轻施工作业对社会环境带来的不利影响，工程建设对沿线环境保护目标的干扰影响可降低至最低限度，对沿线人群的正常生产、生活影响较小。</w:t>
            </w:r>
          </w:p>
          <w:p w14:paraId="5C425C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3、施工期突发污染事故污染饮用水源水环境影响分析</w:t>
            </w:r>
          </w:p>
          <w:p w14:paraId="7F06BF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本项目施工期间正常情况下产生的施工废水经</w:t>
            </w:r>
            <w:r>
              <w:rPr>
                <w:rFonts w:hint="eastAsia"/>
                <w:color w:val="auto"/>
                <w:sz w:val="24"/>
                <w:szCs w:val="24"/>
                <w:lang w:val="en-US" w:eastAsia="zh-CN"/>
              </w:rPr>
              <w:t>临时沉淀池</w:t>
            </w:r>
            <w:r>
              <w:rPr>
                <w:rFonts w:hint="default"/>
                <w:color w:val="auto"/>
                <w:sz w:val="24"/>
                <w:szCs w:val="24"/>
                <w:lang w:val="en-US" w:eastAsia="zh-CN"/>
              </w:rPr>
              <w:t>沉淀后用于施工场地洒水，施工期产生的生活污水</w:t>
            </w:r>
            <w:r>
              <w:rPr>
                <w:rFonts w:hint="eastAsia"/>
                <w:color w:val="auto"/>
                <w:sz w:val="24"/>
                <w:szCs w:val="24"/>
                <w:lang w:eastAsia="zh-CN"/>
              </w:rPr>
              <w:t>依托水厂厂区</w:t>
            </w:r>
            <w:r>
              <w:rPr>
                <w:color w:val="auto"/>
                <w:sz w:val="24"/>
                <w:szCs w:val="24"/>
              </w:rPr>
              <w:t>化粪池预处理后</w:t>
            </w:r>
            <w:r>
              <w:rPr>
                <w:rFonts w:hint="eastAsia"/>
                <w:color w:val="auto"/>
                <w:sz w:val="24"/>
                <w:szCs w:val="24"/>
                <w:lang w:eastAsia="zh-CN"/>
              </w:rPr>
              <w:t>排入</w:t>
            </w:r>
            <w:r>
              <w:rPr>
                <w:rFonts w:hint="eastAsia" w:cs="Times New Roman"/>
                <w:color w:val="auto"/>
                <w:sz w:val="24"/>
                <w:szCs w:val="24"/>
                <w:lang w:eastAsia="zh-CN"/>
              </w:rPr>
              <w:t>潘集镇</w:t>
            </w:r>
            <w:r>
              <w:rPr>
                <w:rFonts w:hint="default" w:ascii="Times New Roman" w:hAnsi="Times New Roman" w:eastAsia="宋体" w:cs="Times New Roman"/>
                <w:color w:val="auto"/>
                <w:sz w:val="24"/>
                <w:szCs w:val="24"/>
              </w:rPr>
              <w:t>污水处理厂</w:t>
            </w:r>
            <w:r>
              <w:rPr>
                <w:rFonts w:hint="eastAsia" w:ascii="Times New Roman" w:hAnsi="Times New Roman" w:eastAsia="宋体" w:cs="Times New Roman"/>
                <w:color w:val="auto"/>
                <w:sz w:val="24"/>
                <w:szCs w:val="24"/>
                <w:lang w:eastAsia="zh-CN"/>
              </w:rPr>
              <w:t>处理</w:t>
            </w:r>
            <w:r>
              <w:rPr>
                <w:rFonts w:hint="default"/>
                <w:color w:val="auto"/>
                <w:sz w:val="24"/>
                <w:szCs w:val="24"/>
                <w:lang w:val="en-US" w:eastAsia="zh-CN"/>
              </w:rPr>
              <w:t>。</w:t>
            </w:r>
          </w:p>
          <w:p w14:paraId="0BABC2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由于项目</w:t>
            </w:r>
            <w:r>
              <w:rPr>
                <w:rFonts w:hint="eastAsia"/>
                <w:color w:val="auto"/>
                <w:sz w:val="24"/>
                <w:szCs w:val="24"/>
                <w:lang w:val="en-US" w:eastAsia="zh-CN"/>
              </w:rPr>
              <w:t>输水工程</w:t>
            </w:r>
            <w:r>
              <w:rPr>
                <w:rFonts w:hint="default"/>
                <w:color w:val="auto"/>
                <w:sz w:val="24"/>
                <w:szCs w:val="24"/>
                <w:lang w:val="en-US" w:eastAsia="zh-CN"/>
              </w:rPr>
              <w:t>施工临近</w:t>
            </w:r>
            <w:r>
              <w:rPr>
                <w:rFonts w:hint="eastAsia"/>
                <w:color w:val="auto"/>
                <w:sz w:val="24"/>
                <w:szCs w:val="24"/>
                <w:lang w:val="en-US" w:eastAsia="zh-CN"/>
              </w:rPr>
              <w:t>淮河</w:t>
            </w:r>
            <w:r>
              <w:rPr>
                <w:rFonts w:hint="default"/>
                <w:color w:val="auto"/>
                <w:sz w:val="24"/>
                <w:szCs w:val="24"/>
                <w:lang w:val="en-US" w:eastAsia="zh-CN"/>
              </w:rPr>
              <w:t>，施工期若</w:t>
            </w:r>
            <w:r>
              <w:rPr>
                <w:rFonts w:hint="eastAsia"/>
                <w:color w:val="auto"/>
                <w:sz w:val="24"/>
                <w:szCs w:val="24"/>
                <w:lang w:val="en-US" w:eastAsia="zh-CN"/>
              </w:rPr>
              <w:t>发生</w:t>
            </w:r>
            <w:r>
              <w:rPr>
                <w:rFonts w:hint="default"/>
                <w:color w:val="auto"/>
                <w:sz w:val="24"/>
                <w:szCs w:val="24"/>
                <w:lang w:val="en-US" w:eastAsia="zh-CN"/>
              </w:rPr>
              <w:t>废水事故排放将对</w:t>
            </w:r>
            <w:r>
              <w:rPr>
                <w:rFonts w:hint="eastAsia"/>
                <w:color w:val="auto"/>
                <w:sz w:val="24"/>
                <w:szCs w:val="24"/>
                <w:lang w:val="en-US" w:eastAsia="zh-CN"/>
              </w:rPr>
              <w:t>淮河</w:t>
            </w:r>
            <w:r>
              <w:rPr>
                <w:rFonts w:hint="default"/>
                <w:color w:val="auto"/>
                <w:sz w:val="24"/>
                <w:szCs w:val="24"/>
                <w:lang w:val="en-US" w:eastAsia="zh-CN"/>
              </w:rPr>
              <w:t>的水质造成一定的影响，要求施工单位采取有效措施对污染事故及时控制，杜绝污染事故排放，不会对</w:t>
            </w:r>
            <w:r>
              <w:rPr>
                <w:rFonts w:hint="eastAsia"/>
                <w:color w:val="auto"/>
                <w:sz w:val="24"/>
                <w:szCs w:val="24"/>
                <w:lang w:val="en-US" w:eastAsia="zh-CN"/>
              </w:rPr>
              <w:t>淮河</w:t>
            </w:r>
            <w:r>
              <w:rPr>
                <w:rFonts w:hint="default"/>
                <w:color w:val="auto"/>
                <w:sz w:val="24"/>
                <w:szCs w:val="24"/>
                <w:lang w:val="en-US" w:eastAsia="zh-CN"/>
              </w:rPr>
              <w:t>水体功能造成不可逆转的环境影响。</w:t>
            </w:r>
          </w:p>
          <w:p w14:paraId="69B16D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此外，由于项目施工期施工机械较多，一定程度上增加了事故发生的概率。因此要加强附近道路的运输管理。加强危险路段、车辆较多路段的交通管制，增设交通标志牌、并注意路面维护，确保施工运输车辆安全同行，杜绝施工人员由于疲劳驾驶、速度较快或者车况不好，导致翻车漏油事故的出现，以降低风险发生的概率。</w:t>
            </w:r>
          </w:p>
          <w:p w14:paraId="6EA497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因此，施工期间只要确保各类环保措施正常进行，严格杜绝污水事故排放造成附近水域污染物超标，施工期间发生河道水质污染的风险概率可以降低到最低。</w:t>
            </w:r>
          </w:p>
          <w:p w14:paraId="52FE92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施工期环境风险防范措施</w:t>
            </w:r>
            <w:r>
              <w:rPr>
                <w:rFonts w:hint="eastAsia"/>
                <w:color w:val="auto"/>
                <w:sz w:val="24"/>
                <w:szCs w:val="24"/>
                <w:lang w:val="en-US" w:eastAsia="zh-CN"/>
              </w:rPr>
              <w:t>：</w:t>
            </w:r>
          </w:p>
          <w:p w14:paraId="6BFD9B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（1）运输过程中须严格遵守货物运输的有关规定，尽可能避免事故的发生。</w:t>
            </w:r>
          </w:p>
          <w:p w14:paraId="0ECBF7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（2）加强施工区交通管理，并在弯、急路段设立警示标志，以提高司机在该路段的警惕性和注意力，提醒司机小心驾驶</w:t>
            </w:r>
            <w:r>
              <w:rPr>
                <w:rFonts w:hint="eastAsia"/>
                <w:color w:val="auto"/>
                <w:sz w:val="24"/>
                <w:szCs w:val="24"/>
                <w:lang w:val="en-US" w:eastAsia="zh-CN"/>
              </w:rPr>
              <w:t>，</w:t>
            </w:r>
            <w:r>
              <w:rPr>
                <w:rFonts w:hint="default"/>
                <w:color w:val="auto"/>
                <w:sz w:val="24"/>
                <w:szCs w:val="24"/>
                <w:lang w:val="en-US" w:eastAsia="zh-CN"/>
              </w:rPr>
              <w:t>而对施工使用油类的设备、机械，应强化管理，减小发生泄漏事故的机率。</w:t>
            </w:r>
          </w:p>
          <w:p w14:paraId="3B568A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（3）开展工程设计与施工监理，制订科学、严格的施工操作规程，以确保工程设计与施工质量符合要求。</w:t>
            </w:r>
          </w:p>
          <w:p w14:paraId="696E19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（4）加强对施工期废水处理处置的日常管理，杜绝废水事故排放；严禁向水体中以任何形式排放污染物；</w:t>
            </w:r>
          </w:p>
          <w:p w14:paraId="5372E5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（5）施工过程中发生水质污染事故时，应立即停止施工，启动应急预案，施工单位和建设单位应快速组织有关专家、技术人员成立专门事故处理小组针对水污染事故提出治理措施。</w:t>
            </w:r>
          </w:p>
          <w:p w14:paraId="41BE73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六、</w:t>
            </w:r>
            <w:r>
              <w:rPr>
                <w:rFonts w:hint="default"/>
                <w:b/>
                <w:bCs/>
                <w:color w:val="auto"/>
                <w:sz w:val="24"/>
                <w:szCs w:val="24"/>
                <w:lang w:val="en-US" w:eastAsia="zh-CN"/>
              </w:rPr>
              <w:t>水土流失防治措施</w:t>
            </w:r>
          </w:p>
          <w:p w14:paraId="6BFCADA5">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 xml:space="preserve">1、管道敷设 </w:t>
            </w:r>
          </w:p>
          <w:p w14:paraId="53486A83">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输水管线在敷设过程中，在一般线路中主要有以下几种工程措施：</w:t>
            </w:r>
          </w:p>
          <w:p w14:paraId="7D32F3E9">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耕地的恢复</w:t>
            </w:r>
          </w:p>
          <w:p w14:paraId="5DD490D0">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耕地恢复尽量按恢复原貌，对不能恢复原貌的必须采取工程措施，为开发利用创造条件。一般情况下管线施工扫线所破坏的高度大于0.8m的田地采用浆砌石堡坎进行恢复，小于0.8m的田地坎自行恢复，不计入工程量。</w:t>
            </w:r>
          </w:p>
          <w:p w14:paraId="5EF5975E">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2、土地复垦</w:t>
            </w:r>
          </w:p>
          <w:p w14:paraId="1ADE81B0">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A、表土剥离</w:t>
            </w:r>
          </w:p>
          <w:p w14:paraId="3EE42E89">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表土层的剥离在本工程土地复垦中极为重要，耕作层土壤和表层土壤是经过多年耕作和植物作用而形成的熟化土壤，对于植物种子的萌发和幼苗的生长有着重要作用。工程设计在临时用地占用前，对管沟开挖区和机械作业区内占用耕地部分，进行表土剥离，剥离后直接堆至堆土区内部。</w:t>
            </w:r>
          </w:p>
          <w:p w14:paraId="458CADA6">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B、土地平整</w:t>
            </w:r>
          </w:p>
          <w:p w14:paraId="185A70A5">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（1）表土剥离</w:t>
            </w:r>
          </w:p>
          <w:p w14:paraId="56F94DFD">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主体工程施工前，为保证后期复耕用土，施工前需对项目区内进行表土清理并集中堆存，以保证覆土来源和数量。需进行表土剥离的地段为管沟开挖区、机械作业区的耕地部分，表土剥离厚度以30cm计。</w:t>
            </w:r>
          </w:p>
          <w:p w14:paraId="308993CD">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（2）表土回填</w:t>
            </w:r>
          </w:p>
          <w:p w14:paraId="50E761E1">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在主体工程施工结束后，先对地表进行清理，清理结束后，进行前期剥离表土的回填。</w:t>
            </w:r>
          </w:p>
          <w:p w14:paraId="02050227">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C、农田水利设施恢复</w:t>
            </w:r>
          </w:p>
          <w:p w14:paraId="26D64388">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本工程占用部分耕地，在工程施工时可能破坏其周边的灌溉设施，因此，在土地复垦的同时，应结合周边原有的灌溉系统，修护破坏的灌溉设施，并根据需要进行修建沟渠，恢复耕地的灌溉功能。</w:t>
            </w:r>
          </w:p>
          <w:p w14:paraId="724F2530">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3、施工便道等临时占地的生态保护措施</w:t>
            </w:r>
          </w:p>
          <w:p w14:paraId="48294991">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1）拟建的工程在确定用地范围后，划定工程作业区的边界，施工作业应严格限制在作业带范围内，减少对周围土壤的扰动，将施工行为对植被的破坏控制在最低的水平。严禁超界占用和破坏沿线的耕地。施工单位要加强管理，生活垃圾集中处理，不得随意丢弃，定期运送垃圾填埋场；生活污水及粪便等严禁随意排放，至少应经厌氧处后农用，不能实现农用则应设置专门的污水处理设施，处理达标后方可排放。</w:t>
            </w:r>
          </w:p>
          <w:p w14:paraId="33D816FD">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（2）施工便道应尽量利用村庄自然道路进行施工运输；新修临时施工便道应在施工结束后马上清理整治，恢复植被。</w:t>
            </w:r>
          </w:p>
          <w:p w14:paraId="61E075FD">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3）施工开始前，施工单位必须先与当地林业管理部门取得联系，协调有关施工场地以及临时便道等问题，尽量减少对作业区周围的土壤和植被的破坏；若在施工过程中涉及古树名木，则在施工前采取围栏、标识牌等保护措施。</w:t>
            </w:r>
          </w:p>
          <w:p w14:paraId="57C3204E">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color w:val="auto"/>
                <w:sz w:val="24"/>
                <w:szCs w:val="24"/>
              </w:rPr>
            </w:pPr>
            <w:r>
              <w:rPr>
                <w:rFonts w:hint="default"/>
                <w:color w:val="auto"/>
                <w:sz w:val="24"/>
                <w:szCs w:val="24"/>
                <w:lang w:val="en-US" w:eastAsia="zh-CN"/>
              </w:rPr>
              <w:t>（4）施工时错开农作物成长期，在农作物收割后进行施工，以减轻对农作物的影响</w:t>
            </w:r>
            <w:r>
              <w:rPr>
                <w:color w:val="auto"/>
                <w:sz w:val="24"/>
                <w:szCs w:val="24"/>
              </w:rPr>
              <w:t>。</w:t>
            </w:r>
          </w:p>
          <w:p w14:paraId="7F39BFBD">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textAlignment w:val="auto"/>
              <w:rPr>
                <w:rFonts w:hint="eastAsia" w:ascii="宋体" w:hAnsi="宋体" w:eastAsia="宋体" w:cs="宋体"/>
                <w:bCs/>
                <w:color w:val="auto"/>
                <w:spacing w:val="-10"/>
                <w:szCs w:val="21"/>
                <w:lang w:val="en-US" w:eastAsia="zh-CN"/>
              </w:rPr>
            </w:pPr>
            <w:r>
              <w:rPr>
                <w:rFonts w:hint="eastAsia"/>
                <w:color w:val="auto"/>
                <w:sz w:val="24"/>
                <w:szCs w:val="24"/>
              </w:rPr>
              <w:t>综上所述，拟建工程施工期的影响是暂时的。在施工结束以后，影响区域的各环境要素基本都可以得以恢复。因此，只要认真制定和落实项目施工期应采取的环保对策措施，工程施工期的环境影响问题可以得到减缓或消除</w:t>
            </w:r>
          </w:p>
        </w:tc>
      </w:tr>
      <w:tr w14:paraId="3533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1" w:type="dxa"/>
            <w:noWrap w:val="0"/>
            <w:tcMar>
              <w:left w:w="28" w:type="dxa"/>
              <w:right w:w="28" w:type="dxa"/>
            </w:tcMar>
            <w:vAlign w:val="center"/>
          </w:tcPr>
          <w:p w14:paraId="6ED1269D">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运营</w:t>
            </w:r>
          </w:p>
          <w:p w14:paraId="7E66DD04">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期环</w:t>
            </w:r>
          </w:p>
          <w:p w14:paraId="65A5DDE7">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境影</w:t>
            </w:r>
          </w:p>
          <w:p w14:paraId="732139BC">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响和</w:t>
            </w:r>
          </w:p>
          <w:p w14:paraId="1302F17B">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保护</w:t>
            </w:r>
          </w:p>
          <w:p w14:paraId="4DD368FB">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ascii="宋体" w:hAnsi="宋体" w:cs="宋体"/>
                <w:bCs/>
                <w:color w:val="auto"/>
                <w:szCs w:val="21"/>
              </w:rPr>
            </w:pPr>
            <w:r>
              <w:rPr>
                <w:rFonts w:hint="eastAsia" w:ascii="宋体" w:hAnsi="宋体" w:eastAsia="宋体" w:cs="宋体"/>
                <w:b/>
                <w:bCs/>
                <w:color w:val="auto"/>
                <w:kern w:val="2"/>
                <w:sz w:val="24"/>
                <w:szCs w:val="24"/>
              </w:rPr>
              <w:t>措施</w:t>
            </w:r>
          </w:p>
        </w:tc>
        <w:tc>
          <w:tcPr>
            <w:tcW w:w="8928" w:type="dxa"/>
            <w:noWrap w:val="0"/>
            <w:vAlign w:val="center"/>
          </w:tcPr>
          <w:p w14:paraId="71B74B56">
            <w:pPr>
              <w:keepNext w:val="0"/>
              <w:keepLines w:val="0"/>
              <w:pageBreakBefore w:val="0"/>
              <w:widowControl w:val="0"/>
              <w:kinsoku/>
              <w:overflowPunct/>
              <w:bidi w:val="0"/>
              <w:spacing w:beforeAutospacing="0" w:afterAutospacing="0" w:line="360" w:lineRule="auto"/>
              <w:ind w:left="0" w:leftChars="0" w:firstLine="482" w:firstLineChars="200"/>
              <w:rPr>
                <w:b/>
                <w:color w:val="auto"/>
                <w:sz w:val="24"/>
              </w:rPr>
            </w:pPr>
            <w:r>
              <w:rPr>
                <w:rFonts w:hint="eastAsia"/>
                <w:b/>
                <w:color w:val="auto"/>
                <w:sz w:val="24"/>
                <w:lang w:eastAsia="zh-CN"/>
              </w:rPr>
              <w:t>一、</w:t>
            </w:r>
            <w:r>
              <w:rPr>
                <w:rFonts w:hint="eastAsia"/>
                <w:b/>
                <w:color w:val="auto"/>
                <w:sz w:val="24"/>
              </w:rPr>
              <w:t>运营期</w:t>
            </w:r>
            <w:r>
              <w:rPr>
                <w:b/>
                <w:color w:val="auto"/>
                <w:sz w:val="24"/>
              </w:rPr>
              <w:t>水</w:t>
            </w:r>
            <w:r>
              <w:rPr>
                <w:rFonts w:hint="eastAsia"/>
                <w:b/>
                <w:color w:val="auto"/>
                <w:sz w:val="24"/>
              </w:rPr>
              <w:t>环境影响和保护措施</w:t>
            </w:r>
          </w:p>
          <w:p w14:paraId="73F191EC">
            <w:pPr>
              <w:pStyle w:val="87"/>
              <w:keepNext w:val="0"/>
              <w:keepLines w:val="0"/>
              <w:pageBreakBefore w:val="0"/>
              <w:widowControl w:val="0"/>
              <w:kinsoku/>
              <w:overflowPunct/>
              <w:bidi w:val="0"/>
              <w:spacing w:beforeAutospacing="0" w:afterAutospacing="0"/>
              <w:ind w:left="0" w:leftChars="0" w:firstLine="480"/>
              <w:jc w:val="both"/>
              <w:rPr>
                <w:color w:val="auto"/>
                <w:sz w:val="24"/>
              </w:rPr>
            </w:pPr>
            <w:r>
              <w:rPr>
                <w:color w:val="auto"/>
                <w:sz w:val="24"/>
              </w:rPr>
              <w:t>本项目</w:t>
            </w:r>
            <w:r>
              <w:rPr>
                <w:rFonts w:hint="eastAsia"/>
                <w:color w:val="auto"/>
                <w:sz w:val="24"/>
                <w:lang w:eastAsia="zh-CN"/>
              </w:rPr>
              <w:t>不新增员工，不新增生活污水，项目</w:t>
            </w:r>
            <w:r>
              <w:rPr>
                <w:color w:val="auto"/>
                <w:sz w:val="24"/>
              </w:rPr>
              <w:t>废水</w:t>
            </w:r>
            <w:r>
              <w:rPr>
                <w:rFonts w:hint="eastAsia"/>
                <w:color w:val="auto"/>
                <w:sz w:val="24"/>
                <w:lang w:eastAsia="zh-CN"/>
              </w:rPr>
              <w:t>主要为反冲洗废水、排泥水</w:t>
            </w:r>
            <w:r>
              <w:rPr>
                <w:color w:val="auto"/>
                <w:sz w:val="24"/>
              </w:rPr>
              <w:t>。</w:t>
            </w:r>
          </w:p>
          <w:p w14:paraId="62E366AC">
            <w:pPr>
              <w:pStyle w:val="87"/>
              <w:keepNext w:val="0"/>
              <w:keepLines w:val="0"/>
              <w:pageBreakBefore w:val="0"/>
              <w:widowControl w:val="0"/>
              <w:kinsoku/>
              <w:overflowPunct/>
              <w:bidi w:val="0"/>
              <w:spacing w:beforeAutospacing="0" w:afterAutospacing="0"/>
              <w:ind w:left="0" w:leftChars="0" w:firstLine="480"/>
              <w:jc w:val="both"/>
              <w:rPr>
                <w:rFonts w:hint="default"/>
                <w:b/>
                <w:bCs w:val="0"/>
                <w:color w:val="auto"/>
                <w:sz w:val="24"/>
                <w:lang w:val="en-US" w:eastAsia="zh-CN"/>
              </w:rPr>
            </w:pPr>
            <w:r>
              <w:rPr>
                <w:rFonts w:hint="eastAsia"/>
                <w:b/>
                <w:bCs w:val="0"/>
                <w:color w:val="auto"/>
                <w:sz w:val="24"/>
                <w:lang w:val="en-US" w:eastAsia="zh-CN"/>
              </w:rPr>
              <w:t>1、废水源强</w:t>
            </w:r>
          </w:p>
          <w:p w14:paraId="4CE45FAD">
            <w:pPr>
              <w:pStyle w:val="87"/>
              <w:keepNext w:val="0"/>
              <w:keepLines w:val="0"/>
              <w:pageBreakBefore w:val="0"/>
              <w:widowControl w:val="0"/>
              <w:kinsoku/>
              <w:overflowPunct/>
              <w:bidi w:val="0"/>
              <w:spacing w:beforeAutospacing="0" w:afterAutospacing="0"/>
              <w:ind w:left="0" w:leftChars="0" w:firstLine="480"/>
              <w:jc w:val="both"/>
              <w:rPr>
                <w:rFonts w:hint="eastAsia"/>
                <w:b w:val="0"/>
                <w:bCs w:val="0"/>
                <w:color w:val="auto"/>
                <w:lang w:eastAsia="zh-CN"/>
              </w:rPr>
            </w:pPr>
            <w:r>
              <w:rPr>
                <w:rFonts w:hint="eastAsia"/>
                <w:b/>
                <w:bCs/>
                <w:color w:val="auto"/>
                <w:lang w:eastAsia="zh-CN"/>
              </w:rPr>
              <w:t>反冲洗用水：</w:t>
            </w:r>
            <w:r>
              <w:rPr>
                <w:rFonts w:hint="eastAsia"/>
                <w:b w:val="0"/>
                <w:bCs w:val="0"/>
                <w:color w:val="auto"/>
                <w:lang w:eastAsia="zh-CN"/>
              </w:rPr>
              <w:t>根据业主提供资料，需对普通快滤池进行反冲洗，反冲洗每次用水量为快滤池的处理能力的0.5%计，用水量</w:t>
            </w:r>
            <w:r>
              <w:rPr>
                <w:rFonts w:hint="eastAsia"/>
                <w:b w:val="0"/>
                <w:bCs w:val="0"/>
                <w:color w:val="auto"/>
                <w:lang w:val="en-US" w:eastAsia="zh-CN"/>
              </w:rPr>
              <w:t>300t/次，</w:t>
            </w:r>
            <w:r>
              <w:rPr>
                <w:rFonts w:hint="eastAsia"/>
                <w:b w:val="0"/>
                <w:bCs w:val="0"/>
                <w:color w:val="auto"/>
                <w:lang w:eastAsia="zh-CN"/>
              </w:rPr>
              <w:t>一月4次，一年48次，损耗量以5%计，一年产生的废水回用于生产，不外排。</w:t>
            </w:r>
          </w:p>
          <w:p w14:paraId="66C6C97F">
            <w:pPr>
              <w:pStyle w:val="87"/>
              <w:keepNext w:val="0"/>
              <w:keepLines w:val="0"/>
              <w:pageBreakBefore w:val="0"/>
              <w:widowControl w:val="0"/>
              <w:kinsoku/>
              <w:overflowPunct/>
              <w:bidi w:val="0"/>
              <w:spacing w:beforeAutospacing="0" w:afterAutospacing="0"/>
              <w:ind w:left="0" w:leftChars="0" w:firstLine="480"/>
              <w:jc w:val="both"/>
              <w:rPr>
                <w:rFonts w:hint="eastAsia"/>
                <w:b w:val="0"/>
                <w:bCs w:val="0"/>
                <w:color w:val="auto"/>
                <w:lang w:eastAsia="zh-CN"/>
              </w:rPr>
            </w:pPr>
            <w:r>
              <w:rPr>
                <w:rFonts w:hint="eastAsia"/>
                <w:b/>
                <w:bCs/>
                <w:color w:val="auto"/>
                <w:lang w:eastAsia="zh-CN"/>
              </w:rPr>
              <w:t>实验用水：</w:t>
            </w:r>
            <w:r>
              <w:rPr>
                <w:rFonts w:hint="eastAsia"/>
                <w:b w:val="0"/>
                <w:bCs w:val="0"/>
                <w:color w:val="auto"/>
                <w:lang w:eastAsia="zh-CN"/>
              </w:rPr>
              <w:t>厂区设置化验室，主要检测生活饮用水卫生标准常规项（pH、溶解氧、BOD和COD等）。根据建设单位提供资料，本项目实验室清洗用水量约0.05m</w:t>
            </w:r>
            <w:r>
              <w:rPr>
                <w:rFonts w:hint="eastAsia"/>
                <w:b w:val="0"/>
                <w:bCs w:val="0"/>
                <w:color w:val="auto"/>
                <w:vertAlign w:val="superscript"/>
                <w:lang w:eastAsia="zh-CN"/>
              </w:rPr>
              <w:t>3</w:t>
            </w:r>
            <w:r>
              <w:rPr>
                <w:rFonts w:hint="eastAsia"/>
                <w:b w:val="0"/>
                <w:bCs w:val="0"/>
                <w:color w:val="auto"/>
                <w:lang w:eastAsia="zh-CN"/>
              </w:rPr>
              <w:t>/a，实验清洗废液水质较为简单，主要特征污染物主要为pH、COD、SS等，清洗废液收集后作为危废。</w:t>
            </w:r>
          </w:p>
          <w:p w14:paraId="1A7FCC95">
            <w:pPr>
              <w:pStyle w:val="87"/>
              <w:keepNext w:val="0"/>
              <w:keepLines w:val="0"/>
              <w:pageBreakBefore w:val="0"/>
              <w:widowControl w:val="0"/>
              <w:kinsoku/>
              <w:overflowPunct/>
              <w:bidi w:val="0"/>
              <w:spacing w:beforeAutospacing="0" w:afterAutospacing="0"/>
              <w:ind w:left="0" w:leftChars="0" w:firstLine="480"/>
              <w:jc w:val="both"/>
              <w:rPr>
                <w:rFonts w:hint="eastAsia"/>
                <w:b w:val="0"/>
                <w:bCs w:val="0"/>
                <w:color w:val="auto"/>
                <w:lang w:eastAsia="zh-CN"/>
              </w:rPr>
            </w:pPr>
            <w:r>
              <w:rPr>
                <w:rFonts w:hint="eastAsia"/>
                <w:b/>
                <w:bCs/>
                <w:color w:val="auto"/>
                <w:lang w:eastAsia="zh-CN"/>
              </w:rPr>
              <w:t>排泥水：</w:t>
            </w:r>
            <w:r>
              <w:rPr>
                <w:rFonts w:hint="eastAsia"/>
                <w:b w:val="0"/>
                <w:bCs w:val="0"/>
                <w:color w:val="auto"/>
                <w:lang w:eastAsia="zh-CN"/>
              </w:rPr>
              <w:t>自来水厂运行过程中，絮凝沉淀池需要定期排放沉淀池下面的泥水。洪水期，水体较浑浊。水浑浊度高时，絮凝沉淀池一般每2~3小时排放污水一次，水清时，一个班排放一次，每次排放时间2～4分钟。根据《排放源统计调查产排污核算方法和系数手册》中工业行业产排污系数手册-4610自来水生产和供应行业系数手册，并结合项目实际情况，自来水厂排泥污水产污系数为0.04t/t-产品，本次扩建后总供水规模为</w:t>
            </w:r>
            <w:r>
              <w:rPr>
                <w:rFonts w:hint="eastAsia"/>
                <w:b w:val="0"/>
                <w:bCs w:val="0"/>
                <w:color w:val="auto"/>
                <w:lang w:val="en-US" w:eastAsia="zh-CN"/>
              </w:rPr>
              <w:t>6</w:t>
            </w:r>
            <w:r>
              <w:rPr>
                <w:rFonts w:hint="eastAsia"/>
                <w:b w:val="0"/>
                <w:bCs w:val="0"/>
                <w:color w:val="auto"/>
                <w:lang w:eastAsia="zh-CN"/>
              </w:rPr>
              <w:t>万m</w:t>
            </w:r>
            <w:r>
              <w:rPr>
                <w:rFonts w:hint="eastAsia"/>
                <w:b w:val="0"/>
                <w:bCs w:val="0"/>
                <w:color w:val="auto"/>
                <w:vertAlign w:val="superscript"/>
                <w:lang w:eastAsia="zh-CN"/>
              </w:rPr>
              <w:t>3</w:t>
            </w:r>
            <w:r>
              <w:rPr>
                <w:rFonts w:hint="eastAsia"/>
                <w:b w:val="0"/>
                <w:bCs w:val="0"/>
                <w:color w:val="auto"/>
                <w:lang w:eastAsia="zh-CN"/>
              </w:rPr>
              <w:t>/d，则沉淀池排泥水产生量为</w:t>
            </w:r>
            <w:r>
              <w:rPr>
                <w:rFonts w:hint="eastAsia"/>
                <w:b w:val="0"/>
                <w:bCs w:val="0"/>
                <w:color w:val="auto"/>
                <w:lang w:val="en-US" w:eastAsia="zh-CN"/>
              </w:rPr>
              <w:t>24</w:t>
            </w:r>
            <w:r>
              <w:rPr>
                <w:rFonts w:hint="eastAsia"/>
                <w:b w:val="0"/>
                <w:bCs w:val="0"/>
                <w:color w:val="auto"/>
                <w:lang w:eastAsia="zh-CN"/>
              </w:rPr>
              <w:t>00m</w:t>
            </w:r>
            <w:r>
              <w:rPr>
                <w:rFonts w:hint="eastAsia"/>
                <w:b w:val="0"/>
                <w:bCs w:val="0"/>
                <w:color w:val="auto"/>
                <w:vertAlign w:val="superscript"/>
                <w:lang w:eastAsia="zh-CN"/>
              </w:rPr>
              <w:t>3</w:t>
            </w:r>
            <w:r>
              <w:rPr>
                <w:rFonts w:hint="eastAsia"/>
                <w:b w:val="0"/>
                <w:bCs w:val="0"/>
                <w:color w:val="auto"/>
                <w:lang w:eastAsia="zh-CN"/>
              </w:rPr>
              <w:t>/d，沉淀排泥水进入回用水池进行浓缩处理，上清液回用于生产不外排。</w:t>
            </w:r>
          </w:p>
          <w:p w14:paraId="184B68E2">
            <w:pPr>
              <w:pStyle w:val="87"/>
              <w:keepNext w:val="0"/>
              <w:keepLines w:val="0"/>
              <w:pageBreakBefore w:val="0"/>
              <w:widowControl w:val="0"/>
              <w:kinsoku/>
              <w:overflowPunct/>
              <w:bidi w:val="0"/>
              <w:spacing w:beforeAutospacing="0" w:afterAutospacing="0"/>
              <w:ind w:left="0" w:leftChars="0" w:firstLine="480"/>
              <w:jc w:val="both"/>
              <w:rPr>
                <w:rFonts w:hint="eastAsia"/>
                <w:b/>
                <w:bCs w:val="0"/>
                <w:color w:val="auto"/>
                <w:sz w:val="24"/>
                <w:lang w:eastAsia="zh-CN"/>
              </w:rPr>
            </w:pPr>
            <w:r>
              <w:rPr>
                <w:rFonts w:hint="eastAsia"/>
                <w:b w:val="0"/>
                <w:bCs w:val="0"/>
                <w:color w:val="auto"/>
                <w:lang w:eastAsia="zh-CN"/>
              </w:rPr>
              <w:t>净水厂供水量按日总设计能力</w:t>
            </w:r>
            <w:r>
              <w:rPr>
                <w:rFonts w:hint="eastAsia"/>
                <w:b w:val="0"/>
                <w:bCs w:val="0"/>
                <w:color w:val="auto"/>
                <w:lang w:val="en-US" w:eastAsia="zh-CN"/>
              </w:rPr>
              <w:t>6</w:t>
            </w:r>
            <w:r>
              <w:rPr>
                <w:rFonts w:hint="eastAsia"/>
                <w:b w:val="0"/>
                <w:bCs w:val="0"/>
                <w:color w:val="auto"/>
                <w:lang w:eastAsia="zh-CN"/>
              </w:rPr>
              <w:t>0000m</w:t>
            </w:r>
            <w:r>
              <w:rPr>
                <w:rFonts w:hint="eastAsia"/>
                <w:b w:val="0"/>
                <w:bCs w:val="0"/>
                <w:color w:val="auto"/>
                <w:vertAlign w:val="superscript"/>
                <w:lang w:eastAsia="zh-CN"/>
              </w:rPr>
              <w:t>3</w:t>
            </w:r>
            <w:r>
              <w:rPr>
                <w:rFonts w:hint="eastAsia"/>
                <w:b w:val="0"/>
                <w:bCs w:val="0"/>
                <w:color w:val="auto"/>
                <w:lang w:eastAsia="zh-CN"/>
              </w:rPr>
              <w:t>/d计算。其中：原水进入絮凝沉淀池，絮凝沉淀池总排泥水量为</w:t>
            </w:r>
            <w:r>
              <w:rPr>
                <w:rFonts w:hint="eastAsia"/>
                <w:b w:val="0"/>
                <w:bCs w:val="0"/>
                <w:color w:val="auto"/>
                <w:lang w:val="en-US" w:eastAsia="zh-CN"/>
              </w:rPr>
              <w:t>2</w:t>
            </w:r>
            <w:r>
              <w:rPr>
                <w:rFonts w:hint="eastAsia"/>
                <w:b w:val="0"/>
                <w:bCs w:val="0"/>
                <w:color w:val="auto"/>
                <w:lang w:eastAsia="zh-CN"/>
              </w:rPr>
              <w:t>400m</w:t>
            </w:r>
            <w:r>
              <w:rPr>
                <w:rFonts w:hint="eastAsia"/>
                <w:b w:val="0"/>
                <w:bCs w:val="0"/>
                <w:color w:val="auto"/>
                <w:vertAlign w:val="superscript"/>
                <w:lang w:eastAsia="zh-CN"/>
              </w:rPr>
              <w:t>3</w:t>
            </w:r>
            <w:r>
              <w:rPr>
                <w:rFonts w:hint="eastAsia"/>
                <w:b w:val="0"/>
                <w:bCs w:val="0"/>
                <w:color w:val="auto"/>
                <w:lang w:eastAsia="zh-CN"/>
              </w:rPr>
              <w:t>/d，排泥水进入回用水池，滤池反冲洗用水</w:t>
            </w:r>
            <w:r>
              <w:rPr>
                <w:rFonts w:hint="eastAsia"/>
                <w:b w:val="0"/>
                <w:bCs w:val="0"/>
                <w:color w:val="auto"/>
                <w:lang w:val="en-US" w:eastAsia="zh-CN"/>
              </w:rPr>
              <w:t>39.452</w:t>
            </w:r>
            <w:r>
              <w:rPr>
                <w:rFonts w:hint="eastAsia"/>
                <w:b w:val="0"/>
                <w:bCs w:val="0"/>
                <w:color w:val="auto"/>
                <w:lang w:eastAsia="zh-CN"/>
              </w:rPr>
              <w:t>m</w:t>
            </w:r>
            <w:r>
              <w:rPr>
                <w:rFonts w:hint="eastAsia"/>
                <w:b w:val="0"/>
                <w:bCs w:val="0"/>
                <w:color w:val="auto"/>
                <w:vertAlign w:val="superscript"/>
                <w:lang w:eastAsia="zh-CN"/>
              </w:rPr>
              <w:t>3</w:t>
            </w:r>
            <w:r>
              <w:rPr>
                <w:rFonts w:hint="eastAsia"/>
                <w:b w:val="0"/>
                <w:bCs w:val="0"/>
                <w:color w:val="auto"/>
                <w:lang w:eastAsia="zh-CN"/>
              </w:rPr>
              <w:t>/d，产生废水量</w:t>
            </w:r>
            <w:r>
              <w:rPr>
                <w:rFonts w:hint="eastAsia"/>
                <w:b w:val="0"/>
                <w:bCs w:val="0"/>
                <w:color w:val="auto"/>
                <w:lang w:val="en-US" w:eastAsia="zh-CN"/>
              </w:rPr>
              <w:t>37.479</w:t>
            </w:r>
            <w:r>
              <w:rPr>
                <w:rFonts w:hint="eastAsia"/>
                <w:b w:val="0"/>
                <w:bCs w:val="0"/>
                <w:color w:val="auto"/>
                <w:lang w:eastAsia="zh-CN"/>
              </w:rPr>
              <w:t>m</w:t>
            </w:r>
            <w:r>
              <w:rPr>
                <w:rFonts w:hint="eastAsia"/>
                <w:b w:val="0"/>
                <w:bCs w:val="0"/>
                <w:color w:val="auto"/>
                <w:vertAlign w:val="superscript"/>
                <w:lang w:eastAsia="zh-CN"/>
              </w:rPr>
              <w:t>3</w:t>
            </w:r>
            <w:r>
              <w:rPr>
                <w:rFonts w:hint="eastAsia"/>
                <w:b w:val="0"/>
                <w:bCs w:val="0"/>
                <w:color w:val="auto"/>
                <w:lang w:eastAsia="zh-CN"/>
              </w:rPr>
              <w:t>/d，进入回用水池，回用水池处理排量</w:t>
            </w:r>
            <w:r>
              <w:rPr>
                <w:rFonts w:hint="eastAsia"/>
                <w:b w:val="0"/>
                <w:bCs w:val="0"/>
                <w:color w:val="auto"/>
                <w:lang w:val="en-US" w:eastAsia="zh-CN"/>
              </w:rPr>
              <w:t>2437.479</w:t>
            </w:r>
            <w:r>
              <w:rPr>
                <w:rFonts w:hint="eastAsia"/>
                <w:b w:val="0"/>
                <w:bCs w:val="0"/>
                <w:color w:val="auto"/>
                <w:lang w:eastAsia="zh-CN"/>
              </w:rPr>
              <w:t>m</w:t>
            </w:r>
            <w:r>
              <w:rPr>
                <w:rFonts w:hint="eastAsia"/>
                <w:b w:val="0"/>
                <w:bCs w:val="0"/>
                <w:color w:val="auto"/>
                <w:vertAlign w:val="superscript"/>
                <w:lang w:eastAsia="zh-CN"/>
              </w:rPr>
              <w:t>3</w:t>
            </w:r>
            <w:r>
              <w:rPr>
                <w:rFonts w:hint="eastAsia"/>
                <w:b w:val="0"/>
                <w:bCs w:val="0"/>
                <w:color w:val="auto"/>
                <w:lang w:eastAsia="zh-CN"/>
              </w:rPr>
              <w:t>/d，上清液全部回用，污泥经压缩成泥饼后外运，其中泥饼带走水量为</w:t>
            </w:r>
            <w:r>
              <w:rPr>
                <w:rFonts w:hint="eastAsia"/>
                <w:b w:val="0"/>
                <w:bCs w:val="0"/>
                <w:color w:val="auto"/>
                <w:lang w:val="en-US" w:eastAsia="zh-CN"/>
              </w:rPr>
              <w:t>14.25</w:t>
            </w:r>
            <w:r>
              <w:rPr>
                <w:rFonts w:hint="eastAsia"/>
                <w:b w:val="0"/>
                <w:bCs w:val="0"/>
                <w:color w:val="auto"/>
                <w:lang w:eastAsia="zh-CN"/>
              </w:rPr>
              <w:t>m</w:t>
            </w:r>
            <w:r>
              <w:rPr>
                <w:rFonts w:hint="eastAsia"/>
                <w:b w:val="0"/>
                <w:bCs w:val="0"/>
                <w:color w:val="auto"/>
                <w:vertAlign w:val="superscript"/>
                <w:lang w:eastAsia="zh-CN"/>
              </w:rPr>
              <w:t>3</w:t>
            </w:r>
            <w:r>
              <w:rPr>
                <w:rFonts w:hint="eastAsia"/>
                <w:b w:val="0"/>
                <w:bCs w:val="0"/>
                <w:color w:val="auto"/>
                <w:lang w:eastAsia="zh-CN"/>
              </w:rPr>
              <w:t>/d</w:t>
            </w:r>
            <w:r>
              <w:rPr>
                <w:rFonts w:hint="eastAsia"/>
                <w:color w:val="auto"/>
                <w:lang w:eastAsia="zh-CN"/>
              </w:rPr>
              <w:t>。</w:t>
            </w:r>
          </w:p>
          <w:p w14:paraId="4E9D897C">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ascii="Times New Roman" w:hAnsi="Times New Roman" w:eastAsia="宋体" w:cs="Times New Roman"/>
                <w:bCs/>
                <w:color w:val="auto"/>
                <w:sz w:val="24"/>
                <w:highlight w:val="none"/>
                <w:lang w:val="en-US" w:eastAsia="zh-CN"/>
              </w:rPr>
            </w:pPr>
            <w:commentRangeStart w:id="8"/>
            <w:commentRangeStart w:id="9"/>
            <w:r>
              <w:rPr>
                <w:rFonts w:hint="eastAsia" w:ascii="Times New Roman" w:hAnsi="Times New Roman" w:eastAsia="宋体" w:cs="Times New Roman"/>
                <w:bCs/>
                <w:color w:val="auto"/>
                <w:sz w:val="24"/>
                <w:highlight w:val="none"/>
                <w:lang w:val="en-US" w:eastAsia="zh-CN"/>
              </w:rPr>
              <w:t>凤台兴东建设投资有限公司凤台县城河东片区给水工程</w:t>
            </w:r>
            <w:r>
              <w:rPr>
                <w:rFonts w:hint="eastAsia" w:cs="Times New Roman"/>
                <w:bCs/>
                <w:color w:val="auto"/>
                <w:sz w:val="24"/>
                <w:highlight w:val="none"/>
                <w:lang w:val="en-US" w:eastAsia="zh-CN"/>
              </w:rPr>
              <w:t>采用的工艺</w:t>
            </w:r>
            <w:r>
              <w:rPr>
                <w:rFonts w:hint="eastAsia" w:ascii="Times New Roman" w:hAnsi="Times New Roman" w:eastAsia="宋体" w:cs="Times New Roman"/>
                <w:bCs/>
                <w:color w:val="auto"/>
                <w:sz w:val="24"/>
                <w:highlight w:val="none"/>
                <w:lang w:val="en-US" w:eastAsia="zh-CN"/>
              </w:rPr>
              <w:t>与本项目类似，故本项目类比可行</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根据企业提供资料和《凤台兴东建设投资有限公司凤台县城河东片区给水工程项目验收监测报告》</w:t>
            </w:r>
            <w:r>
              <w:rPr>
                <w:rFonts w:hint="eastAsia" w:cs="Times New Roman"/>
                <w:bCs/>
                <w:color w:val="auto"/>
                <w:sz w:val="24"/>
                <w:highlight w:val="none"/>
                <w:lang w:val="en-US" w:eastAsia="zh-CN"/>
              </w:rPr>
              <w:t>：化学需氧量185mg/L、氨氮8.69mg/L、悬浮物794mg/L、五日生化需氧量58.2mg/L。</w:t>
            </w:r>
            <w:commentRangeEnd w:id="8"/>
            <w:r>
              <w:commentReference w:id="8"/>
            </w:r>
            <w:commentRangeEnd w:id="9"/>
            <w:r>
              <w:commentReference w:id="9"/>
            </w:r>
          </w:p>
          <w:p w14:paraId="2AFFA8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b/>
                <w:color w:val="auto"/>
                <w:kern w:val="0"/>
                <w:sz w:val="24"/>
                <w:szCs w:val="24"/>
              </w:rPr>
            </w:pPr>
            <w:r>
              <w:rPr>
                <w:rFonts w:hint="eastAsia"/>
                <w:b/>
                <w:color w:val="auto"/>
                <w:kern w:val="0"/>
                <w:sz w:val="24"/>
                <w:szCs w:val="24"/>
              </w:rPr>
              <w:t>表4-</w:t>
            </w:r>
            <w:r>
              <w:rPr>
                <w:rFonts w:hint="eastAsia"/>
                <w:b/>
                <w:color w:val="auto"/>
                <w:kern w:val="0"/>
                <w:sz w:val="24"/>
                <w:szCs w:val="24"/>
                <w:lang w:val="en-US" w:eastAsia="zh-CN"/>
              </w:rPr>
              <w:t>1</w:t>
            </w:r>
            <w:r>
              <w:rPr>
                <w:rFonts w:hint="eastAsia"/>
                <w:b/>
                <w:color w:val="auto"/>
                <w:kern w:val="0"/>
                <w:sz w:val="24"/>
                <w:szCs w:val="24"/>
              </w:rPr>
              <w:t xml:space="preserve">  </w:t>
            </w:r>
            <w:r>
              <w:rPr>
                <w:b/>
                <w:color w:val="auto"/>
                <w:kern w:val="0"/>
                <w:sz w:val="24"/>
                <w:szCs w:val="24"/>
              </w:rPr>
              <w:t>项目</w:t>
            </w:r>
            <w:r>
              <w:rPr>
                <w:rFonts w:hint="eastAsia"/>
                <w:b/>
                <w:color w:val="auto"/>
                <w:kern w:val="0"/>
                <w:sz w:val="24"/>
                <w:szCs w:val="24"/>
              </w:rPr>
              <w:t>废水</w:t>
            </w:r>
            <w:r>
              <w:rPr>
                <w:b/>
                <w:color w:val="auto"/>
                <w:kern w:val="0"/>
                <w:sz w:val="24"/>
                <w:szCs w:val="24"/>
              </w:rPr>
              <w:t>污染物排放情况一览表</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496"/>
              <w:gridCol w:w="958"/>
              <w:gridCol w:w="819"/>
              <w:gridCol w:w="681"/>
              <w:gridCol w:w="635"/>
              <w:gridCol w:w="600"/>
              <w:gridCol w:w="576"/>
              <w:gridCol w:w="774"/>
              <w:gridCol w:w="784"/>
              <w:gridCol w:w="704"/>
              <w:gridCol w:w="1018"/>
            </w:tblGrid>
            <w:tr w14:paraId="5D6C7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vMerge w:val="restart"/>
                  <w:noWrap/>
                  <w:tcMar>
                    <w:top w:w="12" w:type="dxa"/>
                    <w:left w:w="12" w:type="dxa"/>
                    <w:right w:w="12" w:type="dxa"/>
                  </w:tcMar>
                  <w:vAlign w:val="center"/>
                </w:tcPr>
                <w:p w14:paraId="57F14818">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产污环节</w:t>
                  </w:r>
                </w:p>
              </w:tc>
              <w:tc>
                <w:tcPr>
                  <w:tcW w:w="496" w:type="dxa"/>
                  <w:vMerge w:val="restart"/>
                  <w:noWrap/>
                  <w:tcMar>
                    <w:top w:w="12" w:type="dxa"/>
                    <w:left w:w="12" w:type="dxa"/>
                    <w:right w:w="12" w:type="dxa"/>
                  </w:tcMar>
                  <w:vAlign w:val="center"/>
                </w:tcPr>
                <w:p w14:paraId="62542E8F">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类别</w:t>
                  </w:r>
                </w:p>
              </w:tc>
              <w:tc>
                <w:tcPr>
                  <w:tcW w:w="958" w:type="dxa"/>
                  <w:vMerge w:val="restart"/>
                  <w:noWrap/>
                  <w:tcMar>
                    <w:top w:w="12" w:type="dxa"/>
                    <w:left w:w="12" w:type="dxa"/>
                    <w:right w:w="12" w:type="dxa"/>
                  </w:tcMar>
                  <w:vAlign w:val="center"/>
                </w:tcPr>
                <w:p w14:paraId="43D2D667">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污染物种类</w:t>
                  </w:r>
                </w:p>
              </w:tc>
              <w:tc>
                <w:tcPr>
                  <w:tcW w:w="1500" w:type="dxa"/>
                  <w:gridSpan w:val="2"/>
                  <w:noWrap/>
                  <w:tcMar>
                    <w:top w:w="12" w:type="dxa"/>
                    <w:left w:w="12" w:type="dxa"/>
                    <w:right w:w="12" w:type="dxa"/>
                  </w:tcMar>
                  <w:vAlign w:val="center"/>
                </w:tcPr>
                <w:p w14:paraId="489AC079">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产生情况</w:t>
                  </w:r>
                </w:p>
              </w:tc>
              <w:tc>
                <w:tcPr>
                  <w:tcW w:w="2585" w:type="dxa"/>
                  <w:gridSpan w:val="4"/>
                  <w:noWrap/>
                  <w:tcMar>
                    <w:top w:w="12" w:type="dxa"/>
                    <w:left w:w="12" w:type="dxa"/>
                    <w:right w:w="12" w:type="dxa"/>
                  </w:tcMar>
                  <w:vAlign w:val="center"/>
                </w:tcPr>
                <w:p w14:paraId="1460795E">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治理设施</w:t>
                  </w:r>
                </w:p>
              </w:tc>
              <w:tc>
                <w:tcPr>
                  <w:tcW w:w="2506" w:type="dxa"/>
                  <w:gridSpan w:val="3"/>
                  <w:noWrap/>
                  <w:tcMar>
                    <w:top w:w="12" w:type="dxa"/>
                    <w:left w:w="12" w:type="dxa"/>
                    <w:right w:w="12" w:type="dxa"/>
                  </w:tcMar>
                  <w:vAlign w:val="center"/>
                </w:tcPr>
                <w:p w14:paraId="494A7C15">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排放情况</w:t>
                  </w:r>
                </w:p>
              </w:tc>
            </w:tr>
            <w:tr w14:paraId="165FC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vMerge w:val="continue"/>
                  <w:noWrap/>
                  <w:tcMar>
                    <w:top w:w="12" w:type="dxa"/>
                    <w:left w:w="12" w:type="dxa"/>
                    <w:right w:w="12" w:type="dxa"/>
                  </w:tcMar>
                  <w:vAlign w:val="center"/>
                </w:tcPr>
                <w:p w14:paraId="03706D45">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496" w:type="dxa"/>
                  <w:vMerge w:val="continue"/>
                  <w:noWrap/>
                  <w:tcMar>
                    <w:top w:w="12" w:type="dxa"/>
                    <w:left w:w="12" w:type="dxa"/>
                    <w:right w:w="12" w:type="dxa"/>
                  </w:tcMar>
                  <w:vAlign w:val="center"/>
                </w:tcPr>
                <w:p w14:paraId="2DCE1ADB">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958" w:type="dxa"/>
                  <w:vMerge w:val="continue"/>
                  <w:noWrap/>
                  <w:tcMar>
                    <w:top w:w="12" w:type="dxa"/>
                    <w:left w:w="12" w:type="dxa"/>
                    <w:right w:w="12" w:type="dxa"/>
                  </w:tcMar>
                  <w:vAlign w:val="center"/>
                </w:tcPr>
                <w:p w14:paraId="28DA196B">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819" w:type="dxa"/>
                  <w:noWrap/>
                  <w:tcMar>
                    <w:top w:w="12" w:type="dxa"/>
                    <w:left w:w="12" w:type="dxa"/>
                    <w:right w:w="12" w:type="dxa"/>
                  </w:tcMar>
                  <w:vAlign w:val="center"/>
                </w:tcPr>
                <w:p w14:paraId="3E375005">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产生量</w:t>
                  </w:r>
                </w:p>
                <w:p w14:paraId="380B65E8">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t/a</w:t>
                  </w:r>
                </w:p>
              </w:tc>
              <w:tc>
                <w:tcPr>
                  <w:tcW w:w="681" w:type="dxa"/>
                  <w:noWrap/>
                  <w:tcMar>
                    <w:top w:w="12" w:type="dxa"/>
                    <w:left w:w="12" w:type="dxa"/>
                    <w:right w:w="12" w:type="dxa"/>
                  </w:tcMar>
                  <w:vAlign w:val="center"/>
                </w:tcPr>
                <w:p w14:paraId="2E925E92">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浓度</w:t>
                  </w:r>
                </w:p>
                <w:p w14:paraId="4F16CAC3">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mg/L</w:t>
                  </w:r>
                </w:p>
              </w:tc>
              <w:tc>
                <w:tcPr>
                  <w:tcW w:w="635" w:type="dxa"/>
                  <w:noWrap/>
                  <w:tcMar>
                    <w:top w:w="12" w:type="dxa"/>
                    <w:left w:w="12" w:type="dxa"/>
                    <w:right w:w="12" w:type="dxa"/>
                  </w:tcMar>
                  <w:vAlign w:val="center"/>
                </w:tcPr>
                <w:p w14:paraId="768B144C">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处理措施</w:t>
                  </w:r>
                </w:p>
              </w:tc>
              <w:tc>
                <w:tcPr>
                  <w:tcW w:w="600" w:type="dxa"/>
                  <w:noWrap/>
                  <w:tcMar>
                    <w:top w:w="12" w:type="dxa"/>
                    <w:left w:w="12" w:type="dxa"/>
                    <w:right w:w="12" w:type="dxa"/>
                  </w:tcMar>
                  <w:vAlign w:val="center"/>
                </w:tcPr>
                <w:p w14:paraId="2FB0CA48">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处理</w:t>
                  </w:r>
                </w:p>
                <w:p w14:paraId="6FEB161D">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效率</w:t>
                  </w:r>
                </w:p>
              </w:tc>
              <w:tc>
                <w:tcPr>
                  <w:tcW w:w="576" w:type="dxa"/>
                  <w:noWrap/>
                  <w:tcMar>
                    <w:top w:w="12" w:type="dxa"/>
                    <w:left w:w="12" w:type="dxa"/>
                    <w:right w:w="12" w:type="dxa"/>
                  </w:tcMar>
                  <w:vAlign w:val="center"/>
                </w:tcPr>
                <w:p w14:paraId="76ABCFCF">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处理能力</w:t>
                  </w:r>
                </w:p>
              </w:tc>
              <w:tc>
                <w:tcPr>
                  <w:tcW w:w="774" w:type="dxa"/>
                  <w:noWrap/>
                  <w:tcMar>
                    <w:top w:w="12" w:type="dxa"/>
                    <w:left w:w="12" w:type="dxa"/>
                    <w:right w:w="12" w:type="dxa"/>
                  </w:tcMar>
                  <w:vAlign w:val="center"/>
                </w:tcPr>
                <w:p w14:paraId="28DA163B">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是否可行技术</w:t>
                  </w:r>
                </w:p>
              </w:tc>
              <w:tc>
                <w:tcPr>
                  <w:tcW w:w="784" w:type="dxa"/>
                  <w:noWrap/>
                  <w:tcMar>
                    <w:top w:w="12" w:type="dxa"/>
                    <w:left w:w="12" w:type="dxa"/>
                    <w:right w:w="12" w:type="dxa"/>
                  </w:tcMar>
                  <w:vAlign w:val="center"/>
                </w:tcPr>
                <w:p w14:paraId="3AB04FD9">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排放量</w:t>
                  </w:r>
                </w:p>
                <w:p w14:paraId="6A268D7E">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t/a</w:t>
                  </w:r>
                </w:p>
              </w:tc>
              <w:tc>
                <w:tcPr>
                  <w:tcW w:w="704" w:type="dxa"/>
                  <w:noWrap/>
                  <w:tcMar>
                    <w:top w:w="12" w:type="dxa"/>
                    <w:left w:w="12" w:type="dxa"/>
                    <w:right w:w="12" w:type="dxa"/>
                  </w:tcMar>
                  <w:vAlign w:val="center"/>
                </w:tcPr>
                <w:p w14:paraId="1460DE1B">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浓度</w:t>
                  </w:r>
                </w:p>
                <w:p w14:paraId="42FE17B2">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mg/L</w:t>
                  </w:r>
                </w:p>
              </w:tc>
              <w:tc>
                <w:tcPr>
                  <w:tcW w:w="1018" w:type="dxa"/>
                  <w:noWrap/>
                  <w:tcMar>
                    <w:top w:w="12" w:type="dxa"/>
                    <w:left w:w="12" w:type="dxa"/>
                    <w:right w:w="12" w:type="dxa"/>
                  </w:tcMar>
                  <w:vAlign w:val="center"/>
                </w:tcPr>
                <w:p w14:paraId="3736888C">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排放</w:t>
                  </w:r>
                </w:p>
                <w:p w14:paraId="728FC22C">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方式</w:t>
                  </w:r>
                </w:p>
              </w:tc>
            </w:tr>
            <w:tr w14:paraId="4888D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vMerge w:val="restart"/>
                  <w:noWrap/>
                  <w:tcMar>
                    <w:top w:w="12" w:type="dxa"/>
                    <w:left w:w="12" w:type="dxa"/>
                    <w:right w:w="12" w:type="dxa"/>
                  </w:tcMar>
                  <w:vAlign w:val="center"/>
                </w:tcPr>
                <w:p w14:paraId="78D63337">
                  <w:pPr>
                    <w:keepNext w:val="0"/>
                    <w:keepLines w:val="0"/>
                    <w:pageBreakBefore w:val="0"/>
                    <w:widowControl w:val="0"/>
                    <w:kinsoku/>
                    <w:overflowPunct/>
                    <w:bidi w:val="0"/>
                    <w:spacing w:beforeAutospacing="0" w:afterAutospacing="0"/>
                    <w:ind w:left="0" w:leftChars="0"/>
                    <w:jc w:val="center"/>
                    <w:textAlignment w:val="center"/>
                    <w:rPr>
                      <w:rFonts w:hint="eastAsia" w:ascii="Times New Roman" w:hAnsi="Times New Roman" w:eastAsia="宋体" w:cs="Times New Roman"/>
                      <w:i w:val="0"/>
                      <w:iCs w:val="0"/>
                      <w:color w:val="auto"/>
                      <w:kern w:val="2"/>
                      <w:sz w:val="21"/>
                      <w:szCs w:val="21"/>
                      <w:lang w:val="en-US" w:eastAsia="zh-CN" w:bidi="ar-SA"/>
                    </w:rPr>
                  </w:pPr>
                  <w:r>
                    <w:rPr>
                      <w:rFonts w:hint="eastAsia" w:cs="Times New Roman"/>
                      <w:i w:val="0"/>
                      <w:iCs w:val="0"/>
                      <w:color w:val="auto"/>
                      <w:sz w:val="21"/>
                      <w:szCs w:val="21"/>
                      <w:lang w:eastAsia="zh-CN"/>
                    </w:rPr>
                    <w:t>滤池</w:t>
                  </w:r>
                  <w:r>
                    <w:rPr>
                      <w:rFonts w:hint="default" w:ascii="Times New Roman" w:hAnsi="Times New Roman" w:eastAsia="宋体" w:cs="Times New Roman"/>
                      <w:i w:val="0"/>
                      <w:iCs w:val="0"/>
                      <w:color w:val="auto"/>
                      <w:sz w:val="21"/>
                      <w:szCs w:val="21"/>
                    </w:rPr>
                    <w:t>反冲洗废水</w:t>
                  </w:r>
                  <w:r>
                    <w:rPr>
                      <w:rFonts w:hint="eastAsia" w:cs="Times New Roman"/>
                      <w:i w:val="0"/>
                      <w:iCs w:val="0"/>
                      <w:color w:val="auto"/>
                      <w:sz w:val="21"/>
                      <w:szCs w:val="21"/>
                      <w:lang w:eastAsia="zh-CN"/>
                    </w:rPr>
                    <w:t>、沉淀池排泥水</w:t>
                  </w:r>
                </w:p>
              </w:tc>
              <w:tc>
                <w:tcPr>
                  <w:tcW w:w="496" w:type="dxa"/>
                  <w:vMerge w:val="restart"/>
                  <w:noWrap/>
                  <w:tcMar>
                    <w:top w:w="12" w:type="dxa"/>
                    <w:left w:w="12" w:type="dxa"/>
                    <w:right w:w="12" w:type="dxa"/>
                  </w:tcMar>
                  <w:vAlign w:val="center"/>
                </w:tcPr>
                <w:p w14:paraId="41872ABA">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sz w:val="21"/>
                      <w:szCs w:val="21"/>
                    </w:rPr>
                    <w:t>生产废水</w:t>
                  </w:r>
                </w:p>
              </w:tc>
              <w:tc>
                <w:tcPr>
                  <w:tcW w:w="958" w:type="dxa"/>
                  <w:noWrap/>
                  <w:tcMar>
                    <w:top w:w="12" w:type="dxa"/>
                    <w:left w:w="12" w:type="dxa"/>
                    <w:right w:w="12" w:type="dxa"/>
                  </w:tcMar>
                  <w:vAlign w:val="center"/>
                </w:tcPr>
                <w:p w14:paraId="0D33D0A2">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sz w:val="21"/>
                      <w:szCs w:val="21"/>
                    </w:rPr>
                    <w:t>废水量</w:t>
                  </w:r>
                </w:p>
              </w:tc>
              <w:tc>
                <w:tcPr>
                  <w:tcW w:w="819" w:type="dxa"/>
                  <w:noWrap/>
                  <w:tcMar>
                    <w:top w:w="12" w:type="dxa"/>
                    <w:left w:w="12" w:type="dxa"/>
                    <w:right w:w="12" w:type="dxa"/>
                  </w:tcMar>
                  <w:vAlign w:val="center"/>
                </w:tcPr>
                <w:p w14:paraId="67AFE26D">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eastAsia="宋体" w:cs="Times New Roman"/>
                      <w:i w:val="0"/>
                      <w:iCs w:val="0"/>
                      <w:color w:val="auto"/>
                      <w:sz w:val="21"/>
                      <w:szCs w:val="21"/>
                      <w:lang w:val="en-US" w:eastAsia="zh-CN"/>
                    </w:rPr>
                    <w:t>889679.835</w:t>
                  </w:r>
                </w:p>
              </w:tc>
              <w:tc>
                <w:tcPr>
                  <w:tcW w:w="681" w:type="dxa"/>
                  <w:noWrap/>
                  <w:tcMar>
                    <w:top w:w="12" w:type="dxa"/>
                    <w:left w:w="12" w:type="dxa"/>
                    <w:right w:w="12" w:type="dxa"/>
                  </w:tcMar>
                  <w:vAlign w:val="center"/>
                </w:tcPr>
                <w:p w14:paraId="38AB100B">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eastAsia="宋体" w:cs="Times New Roman"/>
                      <w:i w:val="0"/>
                      <w:iCs w:val="0"/>
                      <w:color w:val="auto"/>
                      <w:sz w:val="21"/>
                      <w:szCs w:val="21"/>
                      <w:lang w:val="en-US" w:eastAsia="zh-CN"/>
                    </w:rPr>
                    <w:t>/</w:t>
                  </w:r>
                </w:p>
              </w:tc>
              <w:tc>
                <w:tcPr>
                  <w:tcW w:w="635" w:type="dxa"/>
                  <w:vMerge w:val="restart"/>
                  <w:noWrap/>
                  <w:tcMar>
                    <w:top w:w="12" w:type="dxa"/>
                    <w:left w:w="12" w:type="dxa"/>
                    <w:right w:w="12" w:type="dxa"/>
                  </w:tcMar>
                  <w:vAlign w:val="center"/>
                </w:tcPr>
                <w:p w14:paraId="3679E23A">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lang w:eastAsia="zh-CN"/>
                    </w:rPr>
                  </w:pPr>
                  <w:r>
                    <w:rPr>
                      <w:rFonts w:hint="eastAsia" w:cs="Times New Roman"/>
                      <w:i w:val="0"/>
                      <w:iCs w:val="0"/>
                      <w:color w:val="auto"/>
                      <w:sz w:val="21"/>
                      <w:szCs w:val="21"/>
                      <w:lang w:eastAsia="zh-CN"/>
                    </w:rPr>
                    <w:t>污泥浓缩池</w:t>
                  </w:r>
                </w:p>
              </w:tc>
              <w:tc>
                <w:tcPr>
                  <w:tcW w:w="600" w:type="dxa"/>
                  <w:noWrap/>
                  <w:tcMar>
                    <w:top w:w="12" w:type="dxa"/>
                    <w:left w:w="12" w:type="dxa"/>
                    <w:right w:w="12" w:type="dxa"/>
                  </w:tcMar>
                  <w:vAlign w:val="center"/>
                </w:tcPr>
                <w:p w14:paraId="16BE9A50">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0"/>
                      <w:sz w:val="21"/>
                      <w:szCs w:val="21"/>
                    </w:rPr>
                  </w:pPr>
                  <w:r>
                    <w:rPr>
                      <w:rFonts w:hint="default" w:ascii="Times New Roman" w:hAnsi="Times New Roman" w:eastAsia="宋体" w:cs="Times New Roman"/>
                      <w:i w:val="0"/>
                      <w:iCs w:val="0"/>
                      <w:color w:val="auto"/>
                      <w:kern w:val="0"/>
                      <w:sz w:val="21"/>
                      <w:szCs w:val="21"/>
                    </w:rPr>
                    <w:t>/</w:t>
                  </w:r>
                </w:p>
              </w:tc>
              <w:tc>
                <w:tcPr>
                  <w:tcW w:w="576" w:type="dxa"/>
                  <w:vMerge w:val="restart"/>
                  <w:noWrap/>
                  <w:tcMar>
                    <w:top w:w="12" w:type="dxa"/>
                    <w:left w:w="12" w:type="dxa"/>
                    <w:right w:w="12" w:type="dxa"/>
                  </w:tcMar>
                  <w:vAlign w:val="center"/>
                </w:tcPr>
                <w:p w14:paraId="155390D6">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eastAsia="宋体" w:cs="Times New Roman"/>
                      <w:i w:val="0"/>
                      <w:iCs w:val="0"/>
                      <w:color w:val="auto"/>
                      <w:sz w:val="21"/>
                      <w:szCs w:val="21"/>
                      <w:lang w:val="en-US" w:eastAsia="zh-CN"/>
                    </w:rPr>
                    <w:t>560</w:t>
                  </w:r>
                  <w:r>
                    <w:rPr>
                      <w:rFonts w:hint="default" w:ascii="Times New Roman" w:hAnsi="Times New Roman" w:eastAsia="宋体" w:cs="Times New Roman"/>
                      <w:i w:val="0"/>
                      <w:iCs w:val="0"/>
                      <w:color w:val="auto"/>
                      <w:sz w:val="21"/>
                      <w:szCs w:val="21"/>
                    </w:rPr>
                    <w:t>m</w:t>
                  </w:r>
                  <w:r>
                    <w:rPr>
                      <w:rFonts w:hint="default" w:ascii="Times New Roman" w:hAnsi="Times New Roman" w:eastAsia="宋体" w:cs="Times New Roman"/>
                      <w:i w:val="0"/>
                      <w:iCs w:val="0"/>
                      <w:color w:val="auto"/>
                      <w:sz w:val="21"/>
                      <w:szCs w:val="21"/>
                      <w:vertAlign w:val="superscript"/>
                    </w:rPr>
                    <w:t>3</w:t>
                  </w:r>
                </w:p>
              </w:tc>
              <w:tc>
                <w:tcPr>
                  <w:tcW w:w="774" w:type="dxa"/>
                  <w:vMerge w:val="restart"/>
                  <w:noWrap/>
                  <w:tcMar>
                    <w:top w:w="12" w:type="dxa"/>
                    <w:left w:w="12" w:type="dxa"/>
                    <w:right w:w="12" w:type="dxa"/>
                  </w:tcMar>
                  <w:vAlign w:val="center"/>
                </w:tcPr>
                <w:p w14:paraId="3CD6FE03">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是</w:t>
                  </w:r>
                </w:p>
              </w:tc>
              <w:tc>
                <w:tcPr>
                  <w:tcW w:w="784" w:type="dxa"/>
                  <w:noWrap/>
                  <w:tcMar>
                    <w:top w:w="12" w:type="dxa"/>
                    <w:left w:w="12" w:type="dxa"/>
                    <w:right w:w="12" w:type="dxa"/>
                  </w:tcMar>
                  <w:vAlign w:val="center"/>
                </w:tcPr>
                <w:p w14:paraId="75400E77">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0"/>
                      <w:sz w:val="21"/>
                      <w:szCs w:val="21"/>
                      <w:lang w:val="en-US"/>
                    </w:rPr>
                  </w:pPr>
                  <w:r>
                    <w:rPr>
                      <w:rFonts w:hint="eastAsia" w:cs="Times New Roman"/>
                      <w:i w:val="0"/>
                      <w:iCs w:val="0"/>
                      <w:color w:val="auto"/>
                      <w:sz w:val="21"/>
                      <w:szCs w:val="21"/>
                      <w:lang w:val="en-US" w:eastAsia="zh-CN"/>
                    </w:rPr>
                    <w:t>1300.495</w:t>
                  </w:r>
                </w:p>
              </w:tc>
              <w:tc>
                <w:tcPr>
                  <w:tcW w:w="704" w:type="dxa"/>
                  <w:noWrap/>
                  <w:tcMar>
                    <w:top w:w="12" w:type="dxa"/>
                    <w:left w:w="12" w:type="dxa"/>
                    <w:right w:w="12" w:type="dxa"/>
                  </w:tcMar>
                  <w:vAlign w:val="center"/>
                </w:tcPr>
                <w:p w14:paraId="6F7CCCB9">
                  <w:pPr>
                    <w:keepNext w:val="0"/>
                    <w:keepLines w:val="0"/>
                    <w:pageBreakBefore w:val="0"/>
                    <w:widowControl w:val="0"/>
                    <w:kinsoku/>
                    <w:overflowPunct/>
                    <w:bidi w:val="0"/>
                    <w:spacing w:beforeAutospacing="0" w:afterAutospacing="0"/>
                    <w:ind w:left="0" w:leftChars="0"/>
                    <w:jc w:val="center"/>
                    <w:textAlignment w:val="center"/>
                    <w:rPr>
                      <w:rFonts w:hint="eastAsia" w:ascii="Times New Roman" w:hAnsi="Times New Roman" w:eastAsia="宋体" w:cs="Times New Roman"/>
                      <w:i w:val="0"/>
                      <w:iCs w:val="0"/>
                      <w:color w:val="auto"/>
                      <w:kern w:val="0"/>
                      <w:sz w:val="21"/>
                      <w:szCs w:val="21"/>
                      <w:lang w:val="en-US" w:eastAsia="zh-CN"/>
                    </w:rPr>
                  </w:pPr>
                  <w:r>
                    <w:rPr>
                      <w:rFonts w:hint="eastAsia" w:ascii="Times New Roman" w:hAnsi="Times New Roman" w:eastAsia="宋体" w:cs="Times New Roman"/>
                      <w:i w:val="0"/>
                      <w:iCs w:val="0"/>
                      <w:color w:val="auto"/>
                      <w:kern w:val="0"/>
                      <w:sz w:val="21"/>
                      <w:szCs w:val="21"/>
                      <w:lang w:val="en-US" w:eastAsia="zh-CN"/>
                    </w:rPr>
                    <w:t>/</w:t>
                  </w:r>
                </w:p>
              </w:tc>
              <w:tc>
                <w:tcPr>
                  <w:tcW w:w="1018" w:type="dxa"/>
                  <w:vMerge w:val="restart"/>
                  <w:noWrap/>
                  <w:tcMar>
                    <w:top w:w="12" w:type="dxa"/>
                    <w:left w:w="12" w:type="dxa"/>
                    <w:right w:w="12" w:type="dxa"/>
                  </w:tcMar>
                  <w:vAlign w:val="center"/>
                </w:tcPr>
                <w:p w14:paraId="74D0E9FF">
                  <w:pPr>
                    <w:keepNext w:val="0"/>
                    <w:keepLines w:val="0"/>
                    <w:pageBreakBefore w:val="0"/>
                    <w:widowControl w:val="0"/>
                    <w:kinsoku/>
                    <w:overflowPunct/>
                    <w:bidi w:val="0"/>
                    <w:spacing w:beforeAutospacing="0" w:afterAutospacing="0"/>
                    <w:ind w:left="0" w:leftChars="0"/>
                    <w:jc w:val="center"/>
                    <w:textAlignment w:val="center"/>
                    <w:rPr>
                      <w:rFonts w:hint="eastAsia" w:ascii="Times New Roman" w:hAnsi="Times New Roman" w:eastAsia="宋体" w:cs="Times New Roman"/>
                      <w:i w:val="0"/>
                      <w:iCs w:val="0"/>
                      <w:color w:val="auto"/>
                      <w:sz w:val="21"/>
                      <w:szCs w:val="21"/>
                      <w:lang w:eastAsia="zh-CN"/>
                    </w:rPr>
                  </w:pPr>
                  <w:r>
                    <w:rPr>
                      <w:rFonts w:hint="eastAsia" w:cs="Times New Roman"/>
                      <w:i w:val="0"/>
                      <w:iCs w:val="0"/>
                      <w:color w:val="auto"/>
                      <w:sz w:val="21"/>
                      <w:szCs w:val="21"/>
                      <w:lang w:val="en-US" w:eastAsia="zh-CN"/>
                    </w:rPr>
                    <w:t>上清液</w:t>
                  </w:r>
                  <w:r>
                    <w:rPr>
                      <w:rFonts w:hint="eastAsia" w:ascii="Times New Roman" w:hAnsi="Times New Roman" w:eastAsia="宋体" w:cs="Times New Roman"/>
                      <w:i w:val="0"/>
                      <w:iCs w:val="0"/>
                      <w:color w:val="auto"/>
                      <w:sz w:val="21"/>
                      <w:szCs w:val="21"/>
                      <w:lang w:val="en-US" w:eastAsia="zh-CN"/>
                    </w:rPr>
                    <w:t>回用于生产，不外排</w:t>
                  </w:r>
                  <w:r>
                    <w:rPr>
                      <w:rFonts w:hint="eastAsia" w:cs="Times New Roman"/>
                      <w:i w:val="0"/>
                      <w:iCs w:val="0"/>
                      <w:color w:val="auto"/>
                      <w:sz w:val="21"/>
                      <w:szCs w:val="21"/>
                      <w:lang w:val="en-US" w:eastAsia="zh-CN"/>
                    </w:rPr>
                    <w:t>，污泥压滤液通过市政管网排入污水处理厂</w:t>
                  </w:r>
                </w:p>
              </w:tc>
            </w:tr>
            <w:tr w14:paraId="199EC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vMerge w:val="continue"/>
                  <w:noWrap/>
                  <w:tcMar>
                    <w:top w:w="12" w:type="dxa"/>
                    <w:left w:w="12" w:type="dxa"/>
                    <w:right w:w="12" w:type="dxa"/>
                  </w:tcMar>
                  <w:vAlign w:val="center"/>
                </w:tcPr>
                <w:p w14:paraId="3677A656">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p>
              </w:tc>
              <w:tc>
                <w:tcPr>
                  <w:tcW w:w="496" w:type="dxa"/>
                  <w:vMerge w:val="continue"/>
                  <w:noWrap/>
                  <w:tcMar>
                    <w:top w:w="12" w:type="dxa"/>
                    <w:left w:w="12" w:type="dxa"/>
                    <w:right w:w="12" w:type="dxa"/>
                  </w:tcMar>
                  <w:vAlign w:val="center"/>
                </w:tcPr>
                <w:p w14:paraId="0473B75C">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p>
              </w:tc>
              <w:tc>
                <w:tcPr>
                  <w:tcW w:w="958" w:type="dxa"/>
                  <w:noWrap/>
                  <w:tcMar>
                    <w:top w:w="12" w:type="dxa"/>
                    <w:left w:w="12" w:type="dxa"/>
                    <w:right w:w="12" w:type="dxa"/>
                  </w:tcMar>
                  <w:vAlign w:val="center"/>
                </w:tcPr>
                <w:p w14:paraId="1F829CD7">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sz w:val="21"/>
                      <w:szCs w:val="21"/>
                    </w:rPr>
                    <w:t>化学需氧量</w:t>
                  </w:r>
                </w:p>
              </w:tc>
              <w:tc>
                <w:tcPr>
                  <w:tcW w:w="819" w:type="dxa"/>
                  <w:noWrap/>
                  <w:tcMar>
                    <w:top w:w="12" w:type="dxa"/>
                    <w:left w:w="12" w:type="dxa"/>
                    <w:right w:w="12" w:type="dxa"/>
                  </w:tcMar>
                  <w:vAlign w:val="center"/>
                </w:tcPr>
                <w:p w14:paraId="1863AB19">
                  <w:pPr>
                    <w:keepNext w:val="0"/>
                    <w:keepLines w:val="0"/>
                    <w:pageBreakBefore w:val="0"/>
                    <w:widowControl w:val="0"/>
                    <w:suppressLineNumbers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164.591</w:t>
                  </w:r>
                </w:p>
              </w:tc>
              <w:tc>
                <w:tcPr>
                  <w:tcW w:w="681" w:type="dxa"/>
                  <w:noWrap/>
                  <w:tcMar>
                    <w:top w:w="12" w:type="dxa"/>
                    <w:left w:w="12" w:type="dxa"/>
                    <w:right w:w="12" w:type="dxa"/>
                  </w:tcMar>
                  <w:vAlign w:val="center"/>
                </w:tcPr>
                <w:p w14:paraId="58997BC3">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rPr>
                    <w:t>185</w:t>
                  </w:r>
                </w:p>
              </w:tc>
              <w:tc>
                <w:tcPr>
                  <w:tcW w:w="635" w:type="dxa"/>
                  <w:vMerge w:val="continue"/>
                  <w:noWrap/>
                  <w:tcMar>
                    <w:top w:w="12" w:type="dxa"/>
                    <w:left w:w="12" w:type="dxa"/>
                    <w:right w:w="12" w:type="dxa"/>
                  </w:tcMar>
                  <w:vAlign w:val="center"/>
                </w:tcPr>
                <w:p w14:paraId="3EFBA33A">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p>
              </w:tc>
              <w:tc>
                <w:tcPr>
                  <w:tcW w:w="600" w:type="dxa"/>
                  <w:noWrap/>
                  <w:tcMar>
                    <w:top w:w="12" w:type="dxa"/>
                    <w:left w:w="12" w:type="dxa"/>
                    <w:right w:w="12" w:type="dxa"/>
                  </w:tcMar>
                  <w:vAlign w:val="center"/>
                </w:tcPr>
                <w:p w14:paraId="723B86A1">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rPr>
                    <w:t>/</w:t>
                  </w:r>
                </w:p>
              </w:tc>
              <w:tc>
                <w:tcPr>
                  <w:tcW w:w="576" w:type="dxa"/>
                  <w:vMerge w:val="continue"/>
                  <w:noWrap/>
                  <w:tcMar>
                    <w:top w:w="12" w:type="dxa"/>
                    <w:left w:w="12" w:type="dxa"/>
                    <w:right w:w="12" w:type="dxa"/>
                  </w:tcMar>
                  <w:vAlign w:val="center"/>
                </w:tcPr>
                <w:p w14:paraId="006098AB">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p>
              </w:tc>
              <w:tc>
                <w:tcPr>
                  <w:tcW w:w="774" w:type="dxa"/>
                  <w:vMerge w:val="continue"/>
                  <w:noWrap/>
                  <w:tcMar>
                    <w:top w:w="12" w:type="dxa"/>
                    <w:left w:w="12" w:type="dxa"/>
                    <w:right w:w="12" w:type="dxa"/>
                  </w:tcMar>
                  <w:vAlign w:val="center"/>
                </w:tcPr>
                <w:p w14:paraId="2D43E84A">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p>
              </w:tc>
              <w:tc>
                <w:tcPr>
                  <w:tcW w:w="784" w:type="dxa"/>
                  <w:noWrap/>
                  <w:tcMar>
                    <w:top w:w="12" w:type="dxa"/>
                    <w:left w:w="12" w:type="dxa"/>
                    <w:right w:w="12" w:type="dxa"/>
                  </w:tcMar>
                  <w:vAlign w:val="center"/>
                </w:tcPr>
                <w:p w14:paraId="3C43BE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0.241</w:t>
                  </w:r>
                </w:p>
              </w:tc>
              <w:tc>
                <w:tcPr>
                  <w:tcW w:w="704" w:type="dxa"/>
                  <w:noWrap/>
                  <w:tcMar>
                    <w:top w:w="12" w:type="dxa"/>
                    <w:left w:w="12" w:type="dxa"/>
                    <w:right w:w="12" w:type="dxa"/>
                  </w:tcMar>
                  <w:vAlign w:val="center"/>
                </w:tcPr>
                <w:p w14:paraId="5D4AC5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1018" w:type="dxa"/>
                  <w:vMerge w:val="continue"/>
                  <w:noWrap/>
                  <w:tcMar>
                    <w:top w:w="12" w:type="dxa"/>
                    <w:left w:w="12" w:type="dxa"/>
                    <w:right w:w="12" w:type="dxa"/>
                  </w:tcMar>
                  <w:vAlign w:val="center"/>
                </w:tcPr>
                <w:p w14:paraId="3D999FA6">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p>
              </w:tc>
            </w:tr>
            <w:tr w14:paraId="4C811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vMerge w:val="continue"/>
                  <w:noWrap/>
                  <w:tcMar>
                    <w:top w:w="12" w:type="dxa"/>
                    <w:left w:w="12" w:type="dxa"/>
                    <w:right w:w="12" w:type="dxa"/>
                  </w:tcMar>
                  <w:vAlign w:val="center"/>
                </w:tcPr>
                <w:p w14:paraId="2E42F668">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496" w:type="dxa"/>
                  <w:vMerge w:val="continue"/>
                  <w:noWrap/>
                  <w:tcMar>
                    <w:top w:w="12" w:type="dxa"/>
                    <w:left w:w="12" w:type="dxa"/>
                    <w:right w:w="12" w:type="dxa"/>
                  </w:tcMar>
                  <w:vAlign w:val="center"/>
                </w:tcPr>
                <w:p w14:paraId="5AC838F1">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958" w:type="dxa"/>
                  <w:noWrap/>
                  <w:tcMar>
                    <w:top w:w="12" w:type="dxa"/>
                    <w:left w:w="12" w:type="dxa"/>
                    <w:right w:w="12" w:type="dxa"/>
                  </w:tcMar>
                  <w:vAlign w:val="center"/>
                </w:tcPr>
                <w:p w14:paraId="3CC769DC">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sz w:val="21"/>
                      <w:szCs w:val="21"/>
                    </w:rPr>
                    <w:t>氨氮</w:t>
                  </w:r>
                  <w:r>
                    <w:rPr>
                      <w:rStyle w:val="50"/>
                      <w:rFonts w:hint="default" w:ascii="Times New Roman" w:hAnsi="Times New Roman" w:eastAsia="宋体" w:cs="Times New Roman"/>
                      <w:i w:val="0"/>
                      <w:iCs w:val="0"/>
                      <w:color w:val="auto"/>
                    </w:rPr>
                    <w:t>（</w:t>
                  </w:r>
                  <w:r>
                    <w:rPr>
                      <w:rFonts w:hint="default" w:ascii="Times New Roman" w:hAnsi="Times New Roman" w:eastAsia="宋体" w:cs="Times New Roman"/>
                      <w:i w:val="0"/>
                      <w:iCs w:val="0"/>
                      <w:color w:val="auto"/>
                      <w:kern w:val="0"/>
                      <w:sz w:val="21"/>
                      <w:szCs w:val="21"/>
                    </w:rPr>
                    <w:t>NH</w:t>
                  </w:r>
                  <w:r>
                    <w:rPr>
                      <w:rFonts w:hint="default" w:ascii="Times New Roman" w:hAnsi="Times New Roman" w:eastAsia="宋体" w:cs="Times New Roman"/>
                      <w:i w:val="0"/>
                      <w:iCs w:val="0"/>
                      <w:color w:val="auto"/>
                      <w:kern w:val="0"/>
                      <w:sz w:val="21"/>
                      <w:szCs w:val="21"/>
                      <w:vertAlign w:val="subscript"/>
                    </w:rPr>
                    <w:t>3</w:t>
                  </w:r>
                  <w:r>
                    <w:rPr>
                      <w:rFonts w:hint="default" w:ascii="Times New Roman" w:hAnsi="Times New Roman" w:eastAsia="宋体" w:cs="Times New Roman"/>
                      <w:i w:val="0"/>
                      <w:iCs w:val="0"/>
                      <w:color w:val="auto"/>
                      <w:kern w:val="0"/>
                      <w:sz w:val="21"/>
                      <w:szCs w:val="21"/>
                    </w:rPr>
                    <w:t>-N</w:t>
                  </w:r>
                  <w:r>
                    <w:rPr>
                      <w:rStyle w:val="50"/>
                      <w:rFonts w:hint="default" w:ascii="Times New Roman" w:hAnsi="Times New Roman" w:eastAsia="宋体" w:cs="Times New Roman"/>
                      <w:i w:val="0"/>
                      <w:iCs w:val="0"/>
                      <w:color w:val="auto"/>
                    </w:rPr>
                    <w:t>）</w:t>
                  </w:r>
                </w:p>
              </w:tc>
              <w:tc>
                <w:tcPr>
                  <w:tcW w:w="819" w:type="dxa"/>
                  <w:noWrap/>
                  <w:tcMar>
                    <w:top w:w="12" w:type="dxa"/>
                    <w:left w:w="12" w:type="dxa"/>
                    <w:right w:w="12" w:type="dxa"/>
                  </w:tcMar>
                  <w:vAlign w:val="center"/>
                </w:tcPr>
                <w:p w14:paraId="5A7C5513">
                  <w:pPr>
                    <w:keepNext w:val="0"/>
                    <w:keepLines w:val="0"/>
                    <w:pageBreakBefore w:val="0"/>
                    <w:widowControl w:val="0"/>
                    <w:suppressLineNumbers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7.731</w:t>
                  </w:r>
                </w:p>
              </w:tc>
              <w:tc>
                <w:tcPr>
                  <w:tcW w:w="681" w:type="dxa"/>
                  <w:noWrap/>
                  <w:tcMar>
                    <w:top w:w="12" w:type="dxa"/>
                    <w:left w:w="12" w:type="dxa"/>
                    <w:right w:w="12" w:type="dxa"/>
                  </w:tcMar>
                  <w:vAlign w:val="center"/>
                </w:tcPr>
                <w:p w14:paraId="68265C58">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rPr>
                    <w:t>8.69</w:t>
                  </w:r>
                </w:p>
              </w:tc>
              <w:tc>
                <w:tcPr>
                  <w:tcW w:w="635" w:type="dxa"/>
                  <w:vMerge w:val="continue"/>
                  <w:noWrap/>
                  <w:tcMar>
                    <w:top w:w="12" w:type="dxa"/>
                    <w:left w:w="12" w:type="dxa"/>
                    <w:right w:w="12" w:type="dxa"/>
                  </w:tcMar>
                  <w:vAlign w:val="center"/>
                </w:tcPr>
                <w:p w14:paraId="749AEA11">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600" w:type="dxa"/>
                  <w:noWrap/>
                  <w:tcMar>
                    <w:top w:w="12" w:type="dxa"/>
                    <w:left w:w="12" w:type="dxa"/>
                    <w:right w:w="12" w:type="dxa"/>
                  </w:tcMar>
                  <w:vAlign w:val="center"/>
                </w:tcPr>
                <w:p w14:paraId="52B58C05">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rPr>
                    <w:t>/</w:t>
                  </w:r>
                </w:p>
              </w:tc>
              <w:tc>
                <w:tcPr>
                  <w:tcW w:w="576" w:type="dxa"/>
                  <w:vMerge w:val="continue"/>
                  <w:noWrap/>
                  <w:tcMar>
                    <w:top w:w="12" w:type="dxa"/>
                    <w:left w:w="12" w:type="dxa"/>
                    <w:right w:w="12" w:type="dxa"/>
                  </w:tcMar>
                  <w:vAlign w:val="center"/>
                </w:tcPr>
                <w:p w14:paraId="620D5027">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774" w:type="dxa"/>
                  <w:vMerge w:val="continue"/>
                  <w:noWrap/>
                  <w:tcMar>
                    <w:top w:w="12" w:type="dxa"/>
                    <w:left w:w="12" w:type="dxa"/>
                    <w:right w:w="12" w:type="dxa"/>
                  </w:tcMar>
                  <w:vAlign w:val="center"/>
                </w:tcPr>
                <w:p w14:paraId="3F180D86">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784" w:type="dxa"/>
                  <w:noWrap/>
                  <w:tcMar>
                    <w:top w:w="12" w:type="dxa"/>
                    <w:left w:w="12" w:type="dxa"/>
                    <w:right w:w="12" w:type="dxa"/>
                  </w:tcMar>
                  <w:vAlign w:val="center"/>
                </w:tcPr>
                <w:p w14:paraId="5E9DC0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0.011</w:t>
                  </w:r>
                </w:p>
              </w:tc>
              <w:tc>
                <w:tcPr>
                  <w:tcW w:w="704" w:type="dxa"/>
                  <w:noWrap/>
                  <w:tcMar>
                    <w:top w:w="12" w:type="dxa"/>
                    <w:left w:w="12" w:type="dxa"/>
                    <w:right w:w="12" w:type="dxa"/>
                  </w:tcMar>
                  <w:vAlign w:val="center"/>
                </w:tcPr>
                <w:p w14:paraId="38B695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8.69</w:t>
                  </w:r>
                </w:p>
              </w:tc>
              <w:tc>
                <w:tcPr>
                  <w:tcW w:w="1018" w:type="dxa"/>
                  <w:vMerge w:val="continue"/>
                  <w:noWrap/>
                  <w:tcMar>
                    <w:top w:w="12" w:type="dxa"/>
                    <w:left w:w="12" w:type="dxa"/>
                    <w:right w:w="12" w:type="dxa"/>
                  </w:tcMar>
                  <w:vAlign w:val="center"/>
                </w:tcPr>
                <w:p w14:paraId="40EFA30D">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r>
            <w:tr w14:paraId="46AFC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vMerge w:val="continue"/>
                  <w:noWrap/>
                  <w:tcMar>
                    <w:top w:w="12" w:type="dxa"/>
                    <w:left w:w="12" w:type="dxa"/>
                    <w:right w:w="12" w:type="dxa"/>
                  </w:tcMar>
                  <w:vAlign w:val="center"/>
                </w:tcPr>
                <w:p w14:paraId="0CDB2959">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496" w:type="dxa"/>
                  <w:vMerge w:val="continue"/>
                  <w:noWrap/>
                  <w:tcMar>
                    <w:top w:w="12" w:type="dxa"/>
                    <w:left w:w="12" w:type="dxa"/>
                    <w:right w:w="12" w:type="dxa"/>
                  </w:tcMar>
                  <w:vAlign w:val="center"/>
                </w:tcPr>
                <w:p w14:paraId="35FA4BC0">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958" w:type="dxa"/>
                  <w:noWrap/>
                  <w:tcMar>
                    <w:top w:w="12" w:type="dxa"/>
                    <w:left w:w="12" w:type="dxa"/>
                    <w:right w:w="12" w:type="dxa"/>
                  </w:tcMar>
                  <w:vAlign w:val="center"/>
                </w:tcPr>
                <w:p w14:paraId="08898A9A">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sz w:val="21"/>
                      <w:szCs w:val="21"/>
                    </w:rPr>
                    <w:t>悬浮物</w:t>
                  </w:r>
                </w:p>
              </w:tc>
              <w:tc>
                <w:tcPr>
                  <w:tcW w:w="819" w:type="dxa"/>
                  <w:noWrap/>
                  <w:tcMar>
                    <w:top w:w="12" w:type="dxa"/>
                    <w:left w:w="12" w:type="dxa"/>
                    <w:right w:w="12" w:type="dxa"/>
                  </w:tcMar>
                  <w:vAlign w:val="center"/>
                </w:tcPr>
                <w:p w14:paraId="2658DF15">
                  <w:pPr>
                    <w:keepNext w:val="0"/>
                    <w:keepLines w:val="0"/>
                    <w:pageBreakBefore w:val="0"/>
                    <w:widowControl w:val="0"/>
                    <w:suppressLineNumbers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706.406</w:t>
                  </w:r>
                </w:p>
              </w:tc>
              <w:tc>
                <w:tcPr>
                  <w:tcW w:w="681" w:type="dxa"/>
                  <w:noWrap/>
                  <w:tcMar>
                    <w:top w:w="12" w:type="dxa"/>
                    <w:left w:w="12" w:type="dxa"/>
                    <w:right w:w="12" w:type="dxa"/>
                  </w:tcMar>
                  <w:vAlign w:val="center"/>
                </w:tcPr>
                <w:p w14:paraId="04E8F6BC">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rPr>
                    <w:t>794</w:t>
                  </w:r>
                </w:p>
              </w:tc>
              <w:tc>
                <w:tcPr>
                  <w:tcW w:w="635" w:type="dxa"/>
                  <w:vMerge w:val="continue"/>
                  <w:noWrap/>
                  <w:tcMar>
                    <w:top w:w="12" w:type="dxa"/>
                    <w:left w:w="12" w:type="dxa"/>
                    <w:right w:w="12" w:type="dxa"/>
                  </w:tcMar>
                  <w:vAlign w:val="center"/>
                </w:tcPr>
                <w:p w14:paraId="5D3E4F97">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600" w:type="dxa"/>
                  <w:noWrap/>
                  <w:tcMar>
                    <w:top w:w="12" w:type="dxa"/>
                    <w:left w:w="12" w:type="dxa"/>
                    <w:right w:w="12" w:type="dxa"/>
                  </w:tcMar>
                  <w:vAlign w:val="center"/>
                </w:tcPr>
                <w:p w14:paraId="21AB0B1E">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lang w:val="en-US" w:eastAsia="zh-CN"/>
                    </w:rPr>
                  </w:pPr>
                  <w:r>
                    <w:rPr>
                      <w:rFonts w:hint="default" w:ascii="Times New Roman" w:hAnsi="Times New Roman" w:eastAsia="宋体" w:cs="Times New Roman"/>
                      <w:i w:val="0"/>
                      <w:iCs w:val="0"/>
                      <w:color w:val="auto"/>
                      <w:kern w:val="0"/>
                      <w:sz w:val="21"/>
                      <w:szCs w:val="21"/>
                      <w:lang w:val="en-US" w:eastAsia="zh-CN"/>
                    </w:rPr>
                    <w:t>80%</w:t>
                  </w:r>
                </w:p>
              </w:tc>
              <w:tc>
                <w:tcPr>
                  <w:tcW w:w="576" w:type="dxa"/>
                  <w:vMerge w:val="continue"/>
                  <w:noWrap/>
                  <w:tcMar>
                    <w:top w:w="12" w:type="dxa"/>
                    <w:left w:w="12" w:type="dxa"/>
                    <w:right w:w="12" w:type="dxa"/>
                  </w:tcMar>
                  <w:vAlign w:val="center"/>
                </w:tcPr>
                <w:p w14:paraId="10B2D4A3">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774" w:type="dxa"/>
                  <w:vMerge w:val="continue"/>
                  <w:noWrap/>
                  <w:tcMar>
                    <w:top w:w="12" w:type="dxa"/>
                    <w:left w:w="12" w:type="dxa"/>
                    <w:right w:w="12" w:type="dxa"/>
                  </w:tcMar>
                  <w:vAlign w:val="center"/>
                </w:tcPr>
                <w:p w14:paraId="72019144">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784" w:type="dxa"/>
                  <w:noWrap/>
                  <w:tcMar>
                    <w:top w:w="12" w:type="dxa"/>
                    <w:left w:w="12" w:type="dxa"/>
                    <w:right w:w="12" w:type="dxa"/>
                  </w:tcMar>
                  <w:vAlign w:val="center"/>
                </w:tcPr>
                <w:p w14:paraId="381373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0.207</w:t>
                  </w:r>
                </w:p>
              </w:tc>
              <w:tc>
                <w:tcPr>
                  <w:tcW w:w="704" w:type="dxa"/>
                  <w:noWrap/>
                  <w:tcMar>
                    <w:top w:w="12" w:type="dxa"/>
                    <w:left w:w="12" w:type="dxa"/>
                    <w:right w:w="12" w:type="dxa"/>
                  </w:tcMar>
                  <w:vAlign w:val="center"/>
                </w:tcPr>
                <w:p w14:paraId="74BAAA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158.8</w:t>
                  </w:r>
                </w:p>
              </w:tc>
              <w:tc>
                <w:tcPr>
                  <w:tcW w:w="1018" w:type="dxa"/>
                  <w:vMerge w:val="continue"/>
                  <w:noWrap/>
                  <w:tcMar>
                    <w:top w:w="12" w:type="dxa"/>
                    <w:left w:w="12" w:type="dxa"/>
                    <w:right w:w="12" w:type="dxa"/>
                  </w:tcMar>
                  <w:vAlign w:val="center"/>
                </w:tcPr>
                <w:p w14:paraId="3D171E35">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r>
            <w:tr w14:paraId="44C96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34" w:type="dxa"/>
                  <w:vMerge w:val="continue"/>
                  <w:noWrap/>
                  <w:tcMar>
                    <w:top w:w="12" w:type="dxa"/>
                    <w:left w:w="12" w:type="dxa"/>
                    <w:right w:w="12" w:type="dxa"/>
                  </w:tcMar>
                  <w:vAlign w:val="center"/>
                </w:tcPr>
                <w:p w14:paraId="627330F3">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p>
              </w:tc>
              <w:tc>
                <w:tcPr>
                  <w:tcW w:w="496" w:type="dxa"/>
                  <w:vMerge w:val="continue"/>
                  <w:noWrap/>
                  <w:tcMar>
                    <w:top w:w="12" w:type="dxa"/>
                    <w:left w:w="12" w:type="dxa"/>
                    <w:right w:w="12" w:type="dxa"/>
                  </w:tcMar>
                  <w:vAlign w:val="center"/>
                </w:tcPr>
                <w:p w14:paraId="3BF36E86">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p>
              </w:tc>
              <w:tc>
                <w:tcPr>
                  <w:tcW w:w="958" w:type="dxa"/>
                  <w:noWrap/>
                  <w:tcMar>
                    <w:top w:w="12" w:type="dxa"/>
                    <w:left w:w="12" w:type="dxa"/>
                    <w:right w:w="12" w:type="dxa"/>
                  </w:tcMar>
                  <w:vAlign w:val="center"/>
                </w:tcPr>
                <w:p w14:paraId="63A8BE5C">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Style w:val="50"/>
                      <w:rFonts w:hint="default" w:ascii="Times New Roman" w:hAnsi="Times New Roman" w:eastAsia="宋体" w:cs="Times New Roman"/>
                      <w:i w:val="0"/>
                      <w:iCs w:val="0"/>
                      <w:color w:val="auto"/>
                    </w:rPr>
                    <w:t>五日生化需氧量</w:t>
                  </w:r>
                </w:p>
              </w:tc>
              <w:tc>
                <w:tcPr>
                  <w:tcW w:w="819" w:type="dxa"/>
                  <w:noWrap/>
                  <w:tcMar>
                    <w:top w:w="12" w:type="dxa"/>
                    <w:left w:w="12" w:type="dxa"/>
                    <w:right w:w="12" w:type="dxa"/>
                  </w:tcMar>
                  <w:vAlign w:val="center"/>
                </w:tcPr>
                <w:p w14:paraId="09DD03AE">
                  <w:pPr>
                    <w:keepNext w:val="0"/>
                    <w:keepLines w:val="0"/>
                    <w:pageBreakBefore w:val="0"/>
                    <w:widowControl w:val="0"/>
                    <w:suppressLineNumbers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51.779</w:t>
                  </w:r>
                </w:p>
              </w:tc>
              <w:tc>
                <w:tcPr>
                  <w:tcW w:w="681" w:type="dxa"/>
                  <w:noWrap/>
                  <w:tcMar>
                    <w:top w:w="12" w:type="dxa"/>
                    <w:left w:w="12" w:type="dxa"/>
                    <w:right w:w="12" w:type="dxa"/>
                  </w:tcMar>
                  <w:vAlign w:val="center"/>
                </w:tcPr>
                <w:p w14:paraId="4532951F">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rPr>
                    <w:t>58.2</w:t>
                  </w:r>
                </w:p>
              </w:tc>
              <w:tc>
                <w:tcPr>
                  <w:tcW w:w="635" w:type="dxa"/>
                  <w:vMerge w:val="continue"/>
                  <w:noWrap/>
                  <w:tcMar>
                    <w:top w:w="12" w:type="dxa"/>
                    <w:left w:w="12" w:type="dxa"/>
                    <w:right w:w="12" w:type="dxa"/>
                  </w:tcMar>
                  <w:vAlign w:val="center"/>
                </w:tcPr>
                <w:p w14:paraId="33D75C16">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600" w:type="dxa"/>
                  <w:noWrap/>
                  <w:tcMar>
                    <w:top w:w="12" w:type="dxa"/>
                    <w:left w:w="12" w:type="dxa"/>
                    <w:right w:w="12" w:type="dxa"/>
                  </w:tcMar>
                  <w:vAlign w:val="center"/>
                </w:tcPr>
                <w:p w14:paraId="56E91E5F">
                  <w:pPr>
                    <w:keepNext w:val="0"/>
                    <w:keepLines w:val="0"/>
                    <w:pageBreakBefore w:val="0"/>
                    <w:widowControl w:val="0"/>
                    <w:kinsoku/>
                    <w:overflowPunct/>
                    <w:bidi w:val="0"/>
                    <w:spacing w:beforeAutospacing="0" w:afterAutospacing="0"/>
                    <w:ind w:left="0" w:leftChars="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kern w:val="0"/>
                      <w:sz w:val="21"/>
                      <w:szCs w:val="21"/>
                    </w:rPr>
                    <w:t>/</w:t>
                  </w:r>
                </w:p>
              </w:tc>
              <w:tc>
                <w:tcPr>
                  <w:tcW w:w="576" w:type="dxa"/>
                  <w:vMerge w:val="continue"/>
                  <w:noWrap/>
                  <w:tcMar>
                    <w:top w:w="12" w:type="dxa"/>
                    <w:left w:w="12" w:type="dxa"/>
                    <w:right w:w="12" w:type="dxa"/>
                  </w:tcMar>
                  <w:vAlign w:val="center"/>
                </w:tcPr>
                <w:p w14:paraId="2C8CE4F1">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774" w:type="dxa"/>
                  <w:vMerge w:val="continue"/>
                  <w:noWrap/>
                  <w:tcMar>
                    <w:top w:w="12" w:type="dxa"/>
                    <w:left w:w="12" w:type="dxa"/>
                    <w:right w:w="12" w:type="dxa"/>
                  </w:tcMar>
                  <w:vAlign w:val="center"/>
                </w:tcPr>
                <w:p w14:paraId="4E224D93">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c>
                <w:tcPr>
                  <w:tcW w:w="784" w:type="dxa"/>
                  <w:noWrap/>
                  <w:tcMar>
                    <w:top w:w="12" w:type="dxa"/>
                    <w:left w:w="12" w:type="dxa"/>
                    <w:right w:w="12" w:type="dxa"/>
                  </w:tcMar>
                  <w:vAlign w:val="center"/>
                </w:tcPr>
                <w:p w14:paraId="415807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0.076</w:t>
                  </w:r>
                </w:p>
              </w:tc>
              <w:tc>
                <w:tcPr>
                  <w:tcW w:w="704" w:type="dxa"/>
                  <w:noWrap/>
                  <w:tcMar>
                    <w:top w:w="12" w:type="dxa"/>
                    <w:left w:w="12" w:type="dxa"/>
                    <w:right w:w="12" w:type="dxa"/>
                  </w:tcMar>
                  <w:vAlign w:val="center"/>
                </w:tcPr>
                <w:p w14:paraId="1E7D66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58.2</w:t>
                  </w:r>
                </w:p>
              </w:tc>
              <w:tc>
                <w:tcPr>
                  <w:tcW w:w="1018" w:type="dxa"/>
                  <w:vMerge w:val="continue"/>
                  <w:noWrap/>
                  <w:tcMar>
                    <w:top w:w="12" w:type="dxa"/>
                    <w:left w:w="12" w:type="dxa"/>
                    <w:right w:w="12" w:type="dxa"/>
                  </w:tcMar>
                  <w:vAlign w:val="center"/>
                </w:tcPr>
                <w:p w14:paraId="0D0F7104">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i w:val="0"/>
                      <w:iCs w:val="0"/>
                      <w:color w:val="auto"/>
                      <w:sz w:val="21"/>
                      <w:szCs w:val="21"/>
                    </w:rPr>
                  </w:pPr>
                </w:p>
              </w:tc>
            </w:tr>
          </w:tbl>
          <w:p w14:paraId="7B822690">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color w:val="auto"/>
                <w:sz w:val="24"/>
                <w:lang w:eastAsia="zh-CN"/>
              </w:rPr>
            </w:pPr>
            <w:r>
              <w:rPr>
                <w:rFonts w:hint="eastAsia"/>
                <w:color w:val="auto"/>
                <w:sz w:val="24"/>
                <w:lang w:eastAsia="zh-CN"/>
              </w:rPr>
              <w:t>2、接管可行性分析</w:t>
            </w:r>
          </w:p>
          <w:p w14:paraId="607A8C21">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color w:val="auto"/>
                <w:sz w:val="24"/>
                <w:lang w:eastAsia="zh-CN"/>
              </w:rPr>
            </w:pPr>
            <w:r>
              <w:rPr>
                <w:rFonts w:hint="eastAsia"/>
                <w:color w:val="auto"/>
                <w:sz w:val="24"/>
                <w:lang w:eastAsia="zh-CN"/>
              </w:rPr>
              <w:t>（1）潘集区污水处理厂简介</w:t>
            </w:r>
          </w:p>
          <w:p w14:paraId="1F130023">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color w:val="auto"/>
                <w:sz w:val="24"/>
                <w:lang w:eastAsia="zh-CN"/>
              </w:rPr>
            </w:pPr>
            <w:r>
              <w:rPr>
                <w:rFonts w:hint="eastAsia"/>
                <w:color w:val="auto"/>
                <w:sz w:val="24"/>
                <w:lang w:eastAsia="zh-CN"/>
              </w:rPr>
              <w:t>淮南市顺通污水处理有限责任公司潘集污水处理厂于2013年建设，淮南市顺通污水处理有限责任公司潘集污水处理厂采用较为先进的污水处理工艺carrousel氧化沟+深度处理，其设计规模为4万立方米/日，先期日处理规模达到2万立方米/日，项目投资近7800万元，淮南市潘集区污水处理厂建设地点：潘集区古沟乡蔡庙村境内，占地约80亩。建设规模：设计日处理污水4万吨，分两期进行建设，一期为日处理污水2万吨，二期为2020年增建处理污水2万吨。污水处理工艺：carrousel氧化沟工艺，深度处理工艺采用絮你凝沉淀+活性砂滤、二氧氯消毒。</w:t>
            </w:r>
          </w:p>
          <w:p w14:paraId="79A5B9E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color w:val="auto"/>
                <w:sz w:val="24"/>
                <w:lang w:eastAsia="zh-CN"/>
              </w:rPr>
            </w:pPr>
            <w:r>
              <w:drawing>
                <wp:inline distT="0" distB="0" distL="114300" distR="114300">
                  <wp:extent cx="4063365" cy="245173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6"/>
                          <a:srcRect l="13096" t="20000" r="13973" b="17776"/>
                          <a:stretch>
                            <a:fillRect/>
                          </a:stretch>
                        </pic:blipFill>
                        <pic:spPr>
                          <a:xfrm>
                            <a:off x="0" y="0"/>
                            <a:ext cx="4063365" cy="2451735"/>
                          </a:xfrm>
                          <a:prstGeom prst="rect">
                            <a:avLst/>
                          </a:prstGeom>
                          <a:noFill/>
                          <a:ln>
                            <a:noFill/>
                          </a:ln>
                        </pic:spPr>
                      </pic:pic>
                    </a:graphicData>
                  </a:graphic>
                </wp:inline>
              </w:drawing>
            </w:r>
          </w:p>
          <w:p w14:paraId="56A43233">
            <w:pPr>
              <w:keepNext w:val="0"/>
              <w:keepLines w:val="0"/>
              <w:pageBreakBefore w:val="0"/>
              <w:widowControl w:val="0"/>
              <w:suppressLineNumbers w:val="0"/>
              <w:kinsoku/>
              <w:overflowPunct/>
              <w:bidi w:val="0"/>
              <w:spacing w:beforeAutospacing="0" w:afterAutospacing="0" w:line="360" w:lineRule="auto"/>
              <w:ind w:right="0" w:rightChars="0"/>
              <w:jc w:val="center"/>
              <w:rPr>
                <w:rFonts w:hint="default"/>
                <w:b/>
                <w:bCs/>
                <w:color w:val="auto"/>
                <w:sz w:val="24"/>
                <w:lang w:val="en-US" w:eastAsia="zh-CN"/>
              </w:rPr>
            </w:pPr>
            <w:r>
              <w:rPr>
                <w:rFonts w:hint="eastAsia"/>
                <w:b/>
                <w:bCs/>
                <w:color w:val="auto"/>
                <w:sz w:val="24"/>
                <w:lang w:eastAsia="zh-CN"/>
              </w:rPr>
              <w:t>图</w:t>
            </w:r>
            <w:r>
              <w:rPr>
                <w:rFonts w:hint="eastAsia"/>
                <w:b/>
                <w:bCs/>
                <w:color w:val="auto"/>
                <w:sz w:val="24"/>
                <w:lang w:val="en-US" w:eastAsia="zh-CN"/>
              </w:rPr>
              <w:t>2-1  污水处理厂处理工艺</w:t>
            </w:r>
          </w:p>
          <w:p w14:paraId="61BE0A00">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color w:val="auto"/>
                <w:sz w:val="24"/>
                <w:lang w:eastAsia="zh-CN"/>
              </w:rPr>
            </w:pPr>
            <w:r>
              <w:rPr>
                <w:rFonts w:hint="eastAsia"/>
                <w:color w:val="auto"/>
                <w:sz w:val="24"/>
                <w:lang w:eastAsia="zh-CN"/>
              </w:rPr>
              <w:t>（2）处理能力</w:t>
            </w:r>
          </w:p>
          <w:p w14:paraId="7E7E1E97">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color w:val="auto"/>
                <w:sz w:val="24"/>
                <w:lang w:eastAsia="zh-CN"/>
              </w:rPr>
            </w:pPr>
            <w:r>
              <w:rPr>
                <w:rFonts w:hint="eastAsia"/>
                <w:color w:val="auto"/>
                <w:sz w:val="24"/>
                <w:lang w:eastAsia="zh-CN"/>
              </w:rPr>
              <w:t>①处理规模的可行性</w:t>
            </w:r>
          </w:p>
          <w:p w14:paraId="56A42911">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color w:val="auto"/>
                <w:sz w:val="24"/>
                <w:lang w:eastAsia="zh-CN"/>
              </w:rPr>
            </w:pPr>
            <w:r>
              <w:rPr>
                <w:rFonts w:hint="eastAsia"/>
                <w:color w:val="auto"/>
                <w:sz w:val="24"/>
                <w:lang w:eastAsia="zh-CN"/>
              </w:rPr>
              <w:t>目前，淮南市顺通污水处理有限责任公司潘集污水处理厂运转正常，目前该污水处理厂处理能力尚未饱和，本项目所在区域在凤潘集污水处理厂服务范围内，本项目废水项目运营期新增污水量为</w:t>
            </w:r>
            <w:r>
              <w:rPr>
                <w:rFonts w:hint="eastAsia"/>
                <w:color w:val="auto"/>
                <w:sz w:val="24"/>
                <w:lang w:val="en-US" w:eastAsia="zh-CN"/>
              </w:rPr>
              <w:t>3.563</w:t>
            </w:r>
            <w:r>
              <w:rPr>
                <w:rFonts w:hint="eastAsia"/>
                <w:color w:val="auto"/>
                <w:sz w:val="24"/>
                <w:lang w:eastAsia="zh-CN"/>
              </w:rPr>
              <w:t>m</w:t>
            </w:r>
            <w:r>
              <w:rPr>
                <w:rFonts w:hint="eastAsia"/>
                <w:color w:val="auto"/>
                <w:sz w:val="24"/>
                <w:vertAlign w:val="superscript"/>
                <w:lang w:eastAsia="zh-CN"/>
              </w:rPr>
              <w:t>3</w:t>
            </w:r>
            <w:r>
              <w:rPr>
                <w:rFonts w:hint="eastAsia"/>
                <w:color w:val="auto"/>
                <w:sz w:val="24"/>
                <w:lang w:eastAsia="zh-CN"/>
              </w:rPr>
              <w:t>/d，项目废水接管进入潘集污水处理厂可行。</w:t>
            </w:r>
          </w:p>
          <w:p w14:paraId="68ED8CB9">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color w:val="auto"/>
                <w:sz w:val="24"/>
                <w:lang w:eastAsia="zh-CN"/>
              </w:rPr>
            </w:pPr>
            <w:r>
              <w:rPr>
                <w:rFonts w:hint="eastAsia"/>
                <w:color w:val="auto"/>
                <w:sz w:val="24"/>
                <w:lang w:eastAsia="zh-CN"/>
              </w:rPr>
              <w:t>②工艺及接管标准上的可行性分析</w:t>
            </w:r>
          </w:p>
          <w:p w14:paraId="5E17B655">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color w:val="auto"/>
                <w:sz w:val="24"/>
                <w:lang w:eastAsia="zh-CN"/>
              </w:rPr>
            </w:pPr>
            <w:r>
              <w:rPr>
                <w:rFonts w:hint="eastAsia"/>
                <w:color w:val="auto"/>
                <w:sz w:val="24"/>
                <w:lang w:eastAsia="zh-CN"/>
              </w:rPr>
              <w:t>建设项目水质简单，污水中不含有对污水处理工艺造成不良影响的污染物，不会对凤台县污水处理厂的处理造成冲击，因此项目废水接管排入潘集污水处理厂集中处理可行。</w:t>
            </w:r>
          </w:p>
          <w:p w14:paraId="763B510B">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ascii="Times New Roman" w:hAnsi="Times New Roman" w:eastAsia="宋体" w:cs="Times New Roman"/>
                <w:bCs/>
                <w:color w:val="auto"/>
                <w:sz w:val="24"/>
                <w:highlight w:val="none"/>
                <w:lang w:val="en-US" w:eastAsia="zh-CN"/>
              </w:rPr>
            </w:pPr>
            <w:r>
              <w:rPr>
                <w:rFonts w:hint="eastAsia"/>
                <w:color w:val="auto"/>
                <w:sz w:val="24"/>
                <w:lang w:eastAsia="zh-CN"/>
              </w:rPr>
              <w:t>综上，反冲洗废水、排泥水经沉淀池处理后回用于生产，污泥压滤液排入潘集污水处理厂处理，因此，项目对地表水环境的影响可以接受。</w:t>
            </w:r>
          </w:p>
          <w:p w14:paraId="364A56E5">
            <w:pPr>
              <w:keepNext w:val="0"/>
              <w:keepLines w:val="0"/>
              <w:pageBreakBefore w:val="0"/>
              <w:widowControl w:val="0"/>
              <w:kinsoku/>
              <w:overflowPunct/>
              <w:bidi w:val="0"/>
              <w:spacing w:beforeAutospacing="0" w:afterAutospacing="0" w:line="360" w:lineRule="auto"/>
              <w:ind w:left="0" w:leftChars="0" w:firstLine="482" w:firstLineChars="200"/>
              <w:rPr>
                <w:rFonts w:hint="eastAsia" w:eastAsia="宋体"/>
                <w:b/>
                <w:color w:val="auto"/>
                <w:sz w:val="24"/>
                <w:lang w:eastAsia="zh-CN"/>
              </w:rPr>
            </w:pPr>
            <w:r>
              <w:rPr>
                <w:rFonts w:hint="eastAsia"/>
                <w:b/>
                <w:color w:val="auto"/>
                <w:sz w:val="24"/>
                <w:lang w:eastAsia="zh-CN"/>
              </w:rPr>
              <w:t>二、</w:t>
            </w:r>
            <w:r>
              <w:rPr>
                <w:rFonts w:hint="eastAsia"/>
                <w:b/>
                <w:color w:val="auto"/>
                <w:sz w:val="24"/>
              </w:rPr>
              <w:t>运营期</w:t>
            </w:r>
            <w:r>
              <w:rPr>
                <w:rFonts w:hint="eastAsia"/>
                <w:b/>
                <w:color w:val="auto"/>
                <w:sz w:val="24"/>
                <w:lang w:eastAsia="zh-CN"/>
              </w:rPr>
              <w:t>大气</w:t>
            </w:r>
            <w:r>
              <w:rPr>
                <w:rFonts w:hint="eastAsia"/>
                <w:b/>
                <w:color w:val="auto"/>
                <w:sz w:val="24"/>
              </w:rPr>
              <w:t>环境影响和保护措施</w:t>
            </w:r>
          </w:p>
          <w:p w14:paraId="6868792D">
            <w:pPr>
              <w:keepNext w:val="0"/>
              <w:keepLines w:val="0"/>
              <w:pageBreakBefore w:val="0"/>
              <w:widowControl w:val="0"/>
              <w:kinsoku/>
              <w:overflowPunct/>
              <w:bidi w:val="0"/>
              <w:spacing w:beforeAutospacing="0" w:afterAutospacing="0" w:line="360" w:lineRule="auto"/>
              <w:ind w:left="0" w:leftChars="0" w:firstLine="480" w:firstLineChars="200"/>
              <w:rPr>
                <w:rFonts w:hint="eastAsia"/>
                <w:b w:val="0"/>
                <w:bCs/>
                <w:color w:val="auto"/>
                <w:sz w:val="24"/>
                <w:lang w:eastAsia="zh-CN"/>
              </w:rPr>
            </w:pPr>
            <w:r>
              <w:rPr>
                <w:rFonts w:hint="eastAsia"/>
                <w:b w:val="0"/>
                <w:bCs/>
                <w:color w:val="auto"/>
                <w:sz w:val="24"/>
                <w:lang w:eastAsia="zh-CN"/>
              </w:rPr>
              <w:t>项目污泥浓缩过程中会产生轻微的臭气，主要为臭气浓度、硫化氢、氨等。由于污泥中有机物浓度较低，污泥不易腐败变质，臭味较轻微，厂区设有绿化，不会对周围环境造成危害，对周边大气影响较小。</w:t>
            </w:r>
          </w:p>
          <w:p w14:paraId="5CB27BDE">
            <w:pPr>
              <w:keepNext w:val="0"/>
              <w:keepLines w:val="0"/>
              <w:pageBreakBefore w:val="0"/>
              <w:widowControl w:val="0"/>
              <w:kinsoku/>
              <w:overflowPunct/>
              <w:bidi w:val="0"/>
              <w:spacing w:beforeAutospacing="0" w:afterAutospacing="0" w:line="360" w:lineRule="auto"/>
              <w:ind w:left="0" w:leftChars="0" w:firstLine="480" w:firstLineChars="200"/>
              <w:rPr>
                <w:rFonts w:hint="eastAsia" w:eastAsia="宋体"/>
                <w:b w:val="0"/>
                <w:bCs/>
                <w:color w:val="auto"/>
                <w:sz w:val="24"/>
                <w:lang w:eastAsia="zh-CN"/>
              </w:rPr>
            </w:pPr>
            <w:r>
              <w:rPr>
                <w:rFonts w:hint="eastAsia"/>
                <w:b w:val="0"/>
                <w:bCs/>
                <w:color w:val="auto"/>
                <w:sz w:val="24"/>
                <w:lang w:eastAsia="zh-CN"/>
              </w:rPr>
              <w:t>项目设置的污泥平衡池中有搅拌器，污泥均质调节，不会有污泥堆积，可减少恶臭气体产生；污泥经脱水后储存在污泥间内密闭储存；同时定期检查排泥水处理工程的运行情况，以免出现停止运行，导致污泥堆积，恶臭气体增多的现象。</w:t>
            </w:r>
          </w:p>
          <w:p w14:paraId="10971933">
            <w:pPr>
              <w:keepNext w:val="0"/>
              <w:keepLines w:val="0"/>
              <w:pageBreakBefore w:val="0"/>
              <w:widowControl w:val="0"/>
              <w:kinsoku/>
              <w:overflowPunct/>
              <w:bidi w:val="0"/>
              <w:spacing w:beforeAutospacing="0" w:afterAutospacing="0" w:line="360" w:lineRule="auto"/>
              <w:ind w:left="0" w:leftChars="0" w:right="0" w:rightChars="0"/>
              <w:jc w:val="center"/>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表4-2  厂区废气监测计划</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1755"/>
              <w:gridCol w:w="1756"/>
              <w:gridCol w:w="2121"/>
              <w:gridCol w:w="1392"/>
            </w:tblGrid>
            <w:tr w14:paraId="7023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Align w:val="center"/>
                </w:tcPr>
                <w:p w14:paraId="1A5621D1">
                  <w:pPr>
                    <w:pStyle w:val="99"/>
                    <w:bidi w:val="0"/>
                    <w:jc w:val="center"/>
                    <w:rPr>
                      <w:rFonts w:hint="default" w:eastAsia="宋体"/>
                      <w:b/>
                      <w:bCs/>
                      <w:color w:val="auto"/>
                      <w:lang w:val="en-US" w:eastAsia="zh-CN"/>
                    </w:rPr>
                  </w:pPr>
                  <w:r>
                    <w:rPr>
                      <w:rFonts w:hint="eastAsia"/>
                      <w:b/>
                      <w:bCs/>
                      <w:color w:val="auto"/>
                      <w:lang w:val="en-US" w:eastAsia="zh-CN"/>
                    </w:rPr>
                    <w:t>监测点</w:t>
                  </w:r>
                </w:p>
              </w:tc>
              <w:tc>
                <w:tcPr>
                  <w:tcW w:w="1755" w:type="dxa"/>
                  <w:vAlign w:val="center"/>
                </w:tcPr>
                <w:p w14:paraId="404B6392">
                  <w:pPr>
                    <w:pStyle w:val="99"/>
                    <w:bidi w:val="0"/>
                    <w:jc w:val="center"/>
                    <w:rPr>
                      <w:rFonts w:hint="default" w:eastAsia="宋体"/>
                      <w:b/>
                      <w:bCs/>
                      <w:color w:val="auto"/>
                      <w:lang w:val="en-US" w:eastAsia="zh-CN"/>
                    </w:rPr>
                  </w:pPr>
                  <w:r>
                    <w:rPr>
                      <w:rFonts w:hint="eastAsia"/>
                      <w:b/>
                      <w:bCs/>
                      <w:color w:val="auto"/>
                      <w:lang w:val="en-US" w:eastAsia="zh-CN"/>
                    </w:rPr>
                    <w:t>监测项目</w:t>
                  </w:r>
                </w:p>
              </w:tc>
              <w:tc>
                <w:tcPr>
                  <w:tcW w:w="1756" w:type="dxa"/>
                  <w:vAlign w:val="center"/>
                </w:tcPr>
                <w:p w14:paraId="0B6B2CA2">
                  <w:pPr>
                    <w:pStyle w:val="99"/>
                    <w:bidi w:val="0"/>
                    <w:jc w:val="center"/>
                    <w:rPr>
                      <w:rFonts w:hint="default" w:eastAsia="宋体"/>
                      <w:b/>
                      <w:bCs/>
                      <w:color w:val="auto"/>
                      <w:lang w:val="en-US" w:eastAsia="zh-CN"/>
                    </w:rPr>
                  </w:pPr>
                  <w:r>
                    <w:rPr>
                      <w:rFonts w:hint="eastAsia"/>
                      <w:b/>
                      <w:bCs/>
                      <w:color w:val="auto"/>
                      <w:lang w:val="en-US" w:eastAsia="zh-CN"/>
                    </w:rPr>
                    <w:t>监测频次</w:t>
                  </w:r>
                </w:p>
              </w:tc>
              <w:tc>
                <w:tcPr>
                  <w:tcW w:w="2121" w:type="dxa"/>
                  <w:vAlign w:val="center"/>
                </w:tcPr>
                <w:p w14:paraId="077B6BE7">
                  <w:pPr>
                    <w:pStyle w:val="99"/>
                    <w:bidi w:val="0"/>
                    <w:jc w:val="center"/>
                    <w:rPr>
                      <w:rFonts w:hint="default" w:eastAsia="宋体"/>
                      <w:b/>
                      <w:bCs/>
                      <w:color w:val="auto"/>
                      <w:lang w:val="en-US" w:eastAsia="zh-CN"/>
                    </w:rPr>
                  </w:pPr>
                  <w:r>
                    <w:rPr>
                      <w:rFonts w:hint="eastAsia"/>
                      <w:b/>
                      <w:bCs/>
                      <w:color w:val="auto"/>
                      <w:lang w:val="en-US" w:eastAsia="zh-CN"/>
                    </w:rPr>
                    <w:t>执行标准</w:t>
                  </w:r>
                </w:p>
              </w:tc>
              <w:tc>
                <w:tcPr>
                  <w:tcW w:w="1392" w:type="dxa"/>
                  <w:vAlign w:val="center"/>
                </w:tcPr>
                <w:p w14:paraId="106D7C6D">
                  <w:pPr>
                    <w:pStyle w:val="99"/>
                    <w:bidi w:val="0"/>
                    <w:jc w:val="center"/>
                    <w:rPr>
                      <w:rFonts w:hint="default" w:eastAsia="宋体"/>
                      <w:b/>
                      <w:bCs/>
                      <w:color w:val="auto"/>
                      <w:lang w:val="en-US" w:eastAsia="zh-CN"/>
                    </w:rPr>
                  </w:pPr>
                  <w:r>
                    <w:rPr>
                      <w:rFonts w:hint="eastAsia"/>
                      <w:b/>
                      <w:bCs/>
                      <w:color w:val="auto"/>
                      <w:lang w:val="en-US" w:eastAsia="zh-CN"/>
                    </w:rPr>
                    <w:t>监测单位</w:t>
                  </w:r>
                </w:p>
              </w:tc>
            </w:tr>
            <w:tr w14:paraId="103E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28AD80A7">
                  <w:pPr>
                    <w:pStyle w:val="99"/>
                    <w:bidi w:val="0"/>
                    <w:jc w:val="center"/>
                    <w:rPr>
                      <w:rFonts w:hint="eastAsia"/>
                      <w:color w:val="auto"/>
                    </w:rPr>
                  </w:pPr>
                  <w:r>
                    <w:rPr>
                      <w:rFonts w:hint="eastAsia"/>
                      <w:b w:val="0"/>
                      <w:bCs w:val="0"/>
                      <w:color w:val="auto"/>
                      <w:highlight w:val="none"/>
                      <w:lang w:val="en-US" w:eastAsia="zh-CN"/>
                    </w:rPr>
                    <w:t>厂界四周</w:t>
                  </w:r>
                </w:p>
              </w:tc>
              <w:tc>
                <w:tcPr>
                  <w:tcW w:w="1755" w:type="dxa"/>
                  <w:vAlign w:val="center"/>
                </w:tcPr>
                <w:p w14:paraId="1855F35E">
                  <w:pPr>
                    <w:pStyle w:val="99"/>
                    <w:bidi w:val="0"/>
                    <w:jc w:val="center"/>
                    <w:rPr>
                      <w:rFonts w:hint="default" w:eastAsia="宋体"/>
                      <w:color w:val="auto"/>
                      <w:lang w:val="en-US" w:eastAsia="zh-CN"/>
                    </w:rPr>
                  </w:pPr>
                  <w:r>
                    <w:rPr>
                      <w:rFonts w:hint="eastAsia"/>
                      <w:color w:val="auto"/>
                      <w:lang w:val="en-US" w:eastAsia="zh-CN"/>
                    </w:rPr>
                    <w:t>NH</w:t>
                  </w:r>
                  <w:r>
                    <w:rPr>
                      <w:rFonts w:hint="eastAsia"/>
                      <w:color w:val="auto"/>
                      <w:vertAlign w:val="subscript"/>
                      <w:lang w:val="en-US" w:eastAsia="zh-CN"/>
                    </w:rPr>
                    <w:t>3</w:t>
                  </w:r>
                </w:p>
              </w:tc>
              <w:tc>
                <w:tcPr>
                  <w:tcW w:w="1756" w:type="dxa"/>
                  <w:vAlign w:val="center"/>
                </w:tcPr>
                <w:p w14:paraId="21517C74">
                  <w:pPr>
                    <w:pStyle w:val="99"/>
                    <w:bidi w:val="0"/>
                    <w:jc w:val="center"/>
                    <w:rPr>
                      <w:rFonts w:hint="default" w:eastAsia="宋体"/>
                      <w:color w:val="auto"/>
                      <w:lang w:val="en-US" w:eastAsia="zh-CN"/>
                    </w:rPr>
                  </w:pPr>
                  <w:r>
                    <w:rPr>
                      <w:rFonts w:hint="eastAsia"/>
                      <w:color w:val="auto"/>
                      <w:lang w:val="en-US" w:eastAsia="zh-CN"/>
                    </w:rPr>
                    <w:t>1次/年</w:t>
                  </w:r>
                </w:p>
              </w:tc>
              <w:tc>
                <w:tcPr>
                  <w:tcW w:w="2121" w:type="dxa"/>
                  <w:vMerge w:val="restart"/>
                  <w:vAlign w:val="center"/>
                </w:tcPr>
                <w:p w14:paraId="7FC6403B">
                  <w:pPr>
                    <w:pStyle w:val="99"/>
                    <w:bidi w:val="0"/>
                    <w:jc w:val="center"/>
                    <w:rPr>
                      <w:rFonts w:hint="default" w:eastAsia="宋体"/>
                      <w:color w:val="auto"/>
                      <w:lang w:val="en-US" w:eastAsia="zh-CN"/>
                    </w:rPr>
                  </w:pPr>
                  <w:r>
                    <w:rPr>
                      <w:rFonts w:hint="eastAsia"/>
                      <w:color w:val="auto"/>
                      <w:highlight w:val="none"/>
                      <w:lang w:val="en-US" w:eastAsia="zh-CN"/>
                    </w:rPr>
                    <w:t>《恶臭污染物排放标准》（GB14554-93）</w:t>
                  </w:r>
                </w:p>
              </w:tc>
              <w:tc>
                <w:tcPr>
                  <w:tcW w:w="1392" w:type="dxa"/>
                  <w:vMerge w:val="restart"/>
                  <w:vAlign w:val="center"/>
                </w:tcPr>
                <w:p w14:paraId="235DB5FC">
                  <w:pPr>
                    <w:pStyle w:val="99"/>
                    <w:bidi w:val="0"/>
                    <w:jc w:val="center"/>
                    <w:rPr>
                      <w:rFonts w:hint="default" w:eastAsia="宋体"/>
                      <w:color w:val="auto"/>
                      <w:lang w:val="en-US" w:eastAsia="zh-CN"/>
                    </w:rPr>
                  </w:pPr>
                  <w:r>
                    <w:rPr>
                      <w:rFonts w:hint="eastAsia"/>
                      <w:color w:val="auto"/>
                      <w:lang w:val="en-US" w:eastAsia="zh-CN"/>
                    </w:rPr>
                    <w:t>有资质的监测单位</w:t>
                  </w:r>
                </w:p>
              </w:tc>
            </w:tr>
            <w:tr w14:paraId="30BE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vAlign w:val="center"/>
                </w:tcPr>
                <w:p w14:paraId="694BC17D">
                  <w:pPr>
                    <w:pStyle w:val="99"/>
                    <w:bidi w:val="0"/>
                    <w:jc w:val="center"/>
                    <w:rPr>
                      <w:rFonts w:hint="eastAsia"/>
                      <w:color w:val="auto"/>
                    </w:rPr>
                  </w:pPr>
                </w:p>
              </w:tc>
              <w:tc>
                <w:tcPr>
                  <w:tcW w:w="1755" w:type="dxa"/>
                  <w:vAlign w:val="center"/>
                </w:tcPr>
                <w:p w14:paraId="6BBB0BB4">
                  <w:pPr>
                    <w:pStyle w:val="99"/>
                    <w:bidi w:val="0"/>
                    <w:jc w:val="center"/>
                    <w:rPr>
                      <w:rFonts w:hint="default" w:eastAsia="宋体"/>
                      <w:color w:val="auto"/>
                      <w:lang w:val="en-US" w:eastAsia="zh-CN"/>
                    </w:rPr>
                  </w:pP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p>
              </w:tc>
              <w:tc>
                <w:tcPr>
                  <w:tcW w:w="1756" w:type="dxa"/>
                  <w:vAlign w:val="center"/>
                </w:tcPr>
                <w:p w14:paraId="0D552267">
                  <w:pPr>
                    <w:pStyle w:val="99"/>
                    <w:bidi w:val="0"/>
                    <w:jc w:val="center"/>
                    <w:rPr>
                      <w:rFonts w:hint="eastAsia"/>
                      <w:color w:val="auto"/>
                    </w:rPr>
                  </w:pPr>
                  <w:r>
                    <w:rPr>
                      <w:rFonts w:hint="eastAsia"/>
                      <w:color w:val="auto"/>
                      <w:lang w:val="en-US" w:eastAsia="zh-CN"/>
                    </w:rPr>
                    <w:t>1次/年</w:t>
                  </w:r>
                </w:p>
              </w:tc>
              <w:tc>
                <w:tcPr>
                  <w:tcW w:w="2121" w:type="dxa"/>
                  <w:vMerge w:val="continue"/>
                  <w:vAlign w:val="center"/>
                </w:tcPr>
                <w:p w14:paraId="76ABCAE0">
                  <w:pPr>
                    <w:pStyle w:val="99"/>
                    <w:bidi w:val="0"/>
                    <w:jc w:val="center"/>
                    <w:rPr>
                      <w:rFonts w:hint="eastAsia"/>
                      <w:color w:val="auto"/>
                    </w:rPr>
                  </w:pPr>
                </w:p>
              </w:tc>
              <w:tc>
                <w:tcPr>
                  <w:tcW w:w="1392" w:type="dxa"/>
                  <w:vMerge w:val="continue"/>
                  <w:vAlign w:val="center"/>
                </w:tcPr>
                <w:p w14:paraId="2F9C08E3">
                  <w:pPr>
                    <w:pStyle w:val="99"/>
                    <w:bidi w:val="0"/>
                    <w:jc w:val="center"/>
                    <w:rPr>
                      <w:rFonts w:hint="eastAsia"/>
                      <w:color w:val="auto"/>
                    </w:rPr>
                  </w:pPr>
                </w:p>
              </w:tc>
            </w:tr>
            <w:tr w14:paraId="38A0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vAlign w:val="center"/>
                </w:tcPr>
                <w:p w14:paraId="0EA654C0">
                  <w:pPr>
                    <w:pStyle w:val="99"/>
                    <w:bidi w:val="0"/>
                    <w:jc w:val="center"/>
                    <w:rPr>
                      <w:rFonts w:hint="eastAsia"/>
                      <w:color w:val="auto"/>
                    </w:rPr>
                  </w:pPr>
                </w:p>
              </w:tc>
              <w:tc>
                <w:tcPr>
                  <w:tcW w:w="1755" w:type="dxa"/>
                  <w:vAlign w:val="center"/>
                </w:tcPr>
                <w:p w14:paraId="1DDA8A74">
                  <w:pPr>
                    <w:pStyle w:val="99"/>
                    <w:bidi w:val="0"/>
                    <w:jc w:val="center"/>
                    <w:rPr>
                      <w:rFonts w:hint="default"/>
                      <w:color w:val="auto"/>
                      <w:lang w:val="en-US" w:eastAsia="zh-CN"/>
                    </w:rPr>
                  </w:pPr>
                  <w:r>
                    <w:rPr>
                      <w:rFonts w:hint="eastAsia"/>
                      <w:color w:val="auto"/>
                      <w:lang w:val="en-US" w:eastAsia="zh-CN"/>
                    </w:rPr>
                    <w:t>臭气浓度</w:t>
                  </w:r>
                </w:p>
              </w:tc>
              <w:tc>
                <w:tcPr>
                  <w:tcW w:w="1756" w:type="dxa"/>
                  <w:vAlign w:val="center"/>
                </w:tcPr>
                <w:p w14:paraId="0AD056F3">
                  <w:pPr>
                    <w:pStyle w:val="99"/>
                    <w:bidi w:val="0"/>
                    <w:jc w:val="center"/>
                    <w:rPr>
                      <w:rFonts w:hint="eastAsia"/>
                      <w:color w:val="auto"/>
                    </w:rPr>
                  </w:pPr>
                  <w:r>
                    <w:rPr>
                      <w:rFonts w:hint="eastAsia"/>
                      <w:color w:val="auto"/>
                      <w:lang w:val="en-US" w:eastAsia="zh-CN"/>
                    </w:rPr>
                    <w:t>1次/年</w:t>
                  </w:r>
                </w:p>
              </w:tc>
              <w:tc>
                <w:tcPr>
                  <w:tcW w:w="2121" w:type="dxa"/>
                  <w:vMerge w:val="continue"/>
                  <w:vAlign w:val="center"/>
                </w:tcPr>
                <w:p w14:paraId="6A9CE047">
                  <w:pPr>
                    <w:pStyle w:val="99"/>
                    <w:bidi w:val="0"/>
                    <w:jc w:val="center"/>
                    <w:rPr>
                      <w:rFonts w:hint="eastAsia"/>
                      <w:color w:val="auto"/>
                    </w:rPr>
                  </w:pPr>
                </w:p>
              </w:tc>
              <w:tc>
                <w:tcPr>
                  <w:tcW w:w="1392" w:type="dxa"/>
                  <w:vMerge w:val="continue"/>
                  <w:vAlign w:val="center"/>
                </w:tcPr>
                <w:p w14:paraId="00D040F4">
                  <w:pPr>
                    <w:pStyle w:val="99"/>
                    <w:bidi w:val="0"/>
                    <w:jc w:val="center"/>
                    <w:rPr>
                      <w:rFonts w:hint="eastAsia"/>
                      <w:color w:val="auto"/>
                    </w:rPr>
                  </w:pPr>
                </w:p>
              </w:tc>
            </w:tr>
          </w:tbl>
          <w:p w14:paraId="05534D9E">
            <w:pPr>
              <w:keepNext w:val="0"/>
              <w:keepLines w:val="0"/>
              <w:pageBreakBefore w:val="0"/>
              <w:widowControl w:val="0"/>
              <w:kinsoku/>
              <w:overflowPunct/>
              <w:bidi w:val="0"/>
              <w:spacing w:beforeAutospacing="0" w:afterAutospacing="0" w:line="360" w:lineRule="auto"/>
              <w:ind w:left="0" w:leftChars="0" w:firstLine="482" w:firstLineChars="200"/>
              <w:rPr>
                <w:b/>
                <w:color w:val="auto"/>
                <w:sz w:val="24"/>
              </w:rPr>
            </w:pPr>
            <w:r>
              <w:rPr>
                <w:rFonts w:hint="eastAsia"/>
                <w:b/>
                <w:color w:val="auto"/>
                <w:sz w:val="24"/>
              </w:rPr>
              <w:t>三、运营期声环境影响和保护措施</w:t>
            </w:r>
          </w:p>
          <w:p w14:paraId="179B1C00">
            <w:pPr>
              <w:pStyle w:val="87"/>
              <w:keepNext w:val="0"/>
              <w:keepLines w:val="0"/>
              <w:pageBreakBefore w:val="0"/>
              <w:widowControl w:val="0"/>
              <w:kinsoku/>
              <w:overflowPunct/>
              <w:bidi w:val="0"/>
              <w:spacing w:beforeAutospacing="0" w:afterAutospacing="0"/>
              <w:ind w:left="0" w:leftChars="0" w:firstLine="480"/>
              <w:rPr>
                <w:b/>
                <w:bCs/>
                <w:color w:val="auto"/>
              </w:rPr>
            </w:pPr>
            <w:r>
              <w:rPr>
                <w:rFonts w:hint="eastAsia"/>
                <w:b/>
                <w:bCs/>
                <w:color w:val="auto"/>
              </w:rPr>
              <w:t>1</w:t>
            </w:r>
            <w:r>
              <w:rPr>
                <w:b/>
                <w:bCs/>
                <w:color w:val="auto"/>
              </w:rPr>
              <w:t>、噪声污染源强分析</w:t>
            </w:r>
          </w:p>
          <w:p w14:paraId="5EFED251">
            <w:pPr>
              <w:keepNext w:val="0"/>
              <w:keepLines w:val="0"/>
              <w:pageBreakBefore w:val="0"/>
              <w:widowControl w:val="0"/>
              <w:kinsoku/>
              <w:overflowPunct/>
              <w:bidi w:val="0"/>
              <w:spacing w:beforeAutospacing="0" w:afterAutospacing="0" w:line="360" w:lineRule="auto"/>
              <w:ind w:left="0" w:leftChars="0" w:firstLine="480" w:firstLineChars="200"/>
              <w:rPr>
                <w:color w:val="auto"/>
              </w:rPr>
            </w:pPr>
            <w:r>
              <w:rPr>
                <w:color w:val="auto"/>
                <w:sz w:val="24"/>
              </w:rPr>
              <w:t>项目</w:t>
            </w:r>
            <w:r>
              <w:rPr>
                <w:rFonts w:hint="eastAsia"/>
                <w:color w:val="auto"/>
                <w:sz w:val="24"/>
              </w:rPr>
              <w:t>运营期</w:t>
            </w:r>
            <w:r>
              <w:rPr>
                <w:color w:val="auto"/>
                <w:sz w:val="24"/>
              </w:rPr>
              <w:t>噪声主要来自</w:t>
            </w:r>
            <w:r>
              <w:rPr>
                <w:rFonts w:hint="eastAsia"/>
                <w:color w:val="auto"/>
                <w:sz w:val="24"/>
                <w:lang w:val="en-US" w:eastAsia="zh-CN"/>
              </w:rPr>
              <w:t>生产设备</w:t>
            </w:r>
            <w:r>
              <w:rPr>
                <w:rFonts w:hint="eastAsia"/>
                <w:color w:val="auto"/>
                <w:sz w:val="24"/>
              </w:rPr>
              <w:t>产生的噪声</w:t>
            </w:r>
            <w:r>
              <w:rPr>
                <w:rFonts w:hint="eastAsia"/>
                <w:color w:val="auto"/>
                <w:sz w:val="24"/>
                <w:lang w:eastAsia="zh-CN"/>
              </w:rPr>
              <w:t>，</w:t>
            </w:r>
            <w:r>
              <w:rPr>
                <w:rFonts w:hint="eastAsia"/>
                <w:color w:val="auto"/>
                <w:sz w:val="24"/>
              </w:rPr>
              <w:t>各声源噪声级如下表所示</w:t>
            </w:r>
            <w:r>
              <w:rPr>
                <w:color w:val="auto"/>
                <w:sz w:val="24"/>
              </w:rPr>
              <w:t>。</w:t>
            </w:r>
          </w:p>
          <w:p w14:paraId="085A2E4D">
            <w:pPr>
              <w:keepNext w:val="0"/>
              <w:keepLines w:val="0"/>
              <w:pageBreakBefore w:val="0"/>
              <w:widowControl w:val="0"/>
              <w:kinsoku/>
              <w:overflowPunct/>
              <w:bidi w:val="0"/>
              <w:spacing w:beforeAutospacing="0" w:afterAutospacing="0" w:line="360" w:lineRule="auto"/>
              <w:ind w:left="0" w:leftChars="0" w:right="0" w:rightChars="0"/>
              <w:jc w:val="center"/>
              <w:rPr>
                <w:b/>
                <w:bCs/>
                <w:color w:val="auto"/>
                <w:sz w:val="24"/>
                <w:highlight w:val="none"/>
              </w:rPr>
            </w:pPr>
            <w:r>
              <w:rPr>
                <w:b/>
                <w:bCs/>
                <w:color w:val="auto"/>
                <w:sz w:val="24"/>
                <w:highlight w:val="none"/>
              </w:rPr>
              <w:t>表4-</w:t>
            </w:r>
            <w:r>
              <w:rPr>
                <w:rFonts w:hint="eastAsia"/>
                <w:b/>
                <w:bCs/>
                <w:color w:val="auto"/>
                <w:sz w:val="24"/>
                <w:highlight w:val="none"/>
                <w:lang w:val="en-US" w:eastAsia="zh-CN"/>
              </w:rPr>
              <w:t>3</w:t>
            </w:r>
            <w:r>
              <w:rPr>
                <w:b/>
                <w:bCs/>
                <w:color w:val="auto"/>
                <w:sz w:val="24"/>
                <w:highlight w:val="none"/>
              </w:rPr>
              <w:t xml:space="preserve">  噪声污染源强核算表</w:t>
            </w:r>
            <w:r>
              <w:rPr>
                <w:rFonts w:hint="eastAsia"/>
                <w:b/>
                <w:bCs/>
                <w:color w:val="auto"/>
                <w:sz w:val="24"/>
                <w:highlight w:val="none"/>
              </w:rPr>
              <w:t>（室外）</w:t>
            </w:r>
          </w:p>
          <w:tbl>
            <w:tblPr>
              <w:tblStyle w:val="31"/>
              <w:tblW w:w="497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368"/>
              <w:gridCol w:w="1202"/>
              <w:gridCol w:w="579"/>
              <w:gridCol w:w="867"/>
              <w:gridCol w:w="920"/>
              <w:gridCol w:w="660"/>
              <w:gridCol w:w="1492"/>
              <w:gridCol w:w="1787"/>
              <w:gridCol w:w="869"/>
            </w:tblGrid>
            <w:tr w14:paraId="0C252EB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68" w:type="dxa"/>
                  <w:vMerge w:val="restart"/>
                  <w:noWrap w:val="0"/>
                  <w:vAlign w:val="center"/>
                </w:tcPr>
                <w:p w14:paraId="21C7B8D7">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color w:val="auto"/>
                      <w:szCs w:val="21"/>
                      <w:highlight w:val="none"/>
                    </w:rPr>
                    <w:t>序号</w:t>
                  </w:r>
                </w:p>
              </w:tc>
              <w:tc>
                <w:tcPr>
                  <w:tcW w:w="1202" w:type="dxa"/>
                  <w:vMerge w:val="restart"/>
                  <w:noWrap w:val="0"/>
                  <w:vAlign w:val="center"/>
                </w:tcPr>
                <w:p w14:paraId="5234EE18">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声源</w:t>
                  </w:r>
                  <w:r>
                    <w:rPr>
                      <w:color w:val="auto"/>
                      <w:szCs w:val="21"/>
                      <w:highlight w:val="none"/>
                    </w:rPr>
                    <w:t>名称</w:t>
                  </w:r>
                </w:p>
              </w:tc>
              <w:tc>
                <w:tcPr>
                  <w:tcW w:w="579" w:type="dxa"/>
                  <w:vMerge w:val="restart"/>
                  <w:noWrap w:val="0"/>
                  <w:vAlign w:val="center"/>
                </w:tcPr>
                <w:p w14:paraId="43ACFE8C">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型号</w:t>
                  </w:r>
                </w:p>
              </w:tc>
              <w:tc>
                <w:tcPr>
                  <w:tcW w:w="2447" w:type="dxa"/>
                  <w:gridSpan w:val="3"/>
                  <w:noWrap w:val="0"/>
                  <w:vAlign w:val="center"/>
                </w:tcPr>
                <w:p w14:paraId="74C996A8">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空间相对位置/m</w:t>
                  </w:r>
                </w:p>
              </w:tc>
              <w:tc>
                <w:tcPr>
                  <w:tcW w:w="1492" w:type="dxa"/>
                  <w:noWrap w:val="0"/>
                  <w:vAlign w:val="center"/>
                </w:tcPr>
                <w:p w14:paraId="6F34294D">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声源源强</w:t>
                  </w:r>
                </w:p>
              </w:tc>
              <w:tc>
                <w:tcPr>
                  <w:tcW w:w="1788" w:type="dxa"/>
                  <w:vMerge w:val="restart"/>
                  <w:noWrap w:val="0"/>
                  <w:vAlign w:val="center"/>
                </w:tcPr>
                <w:p w14:paraId="3B341067">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声源控制措施</w:t>
                  </w:r>
                </w:p>
              </w:tc>
              <w:tc>
                <w:tcPr>
                  <w:tcW w:w="869" w:type="dxa"/>
                  <w:vMerge w:val="restart"/>
                  <w:noWrap w:val="0"/>
                  <w:vAlign w:val="center"/>
                </w:tcPr>
                <w:p w14:paraId="5847D85F">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运行时段</w:t>
                  </w:r>
                </w:p>
              </w:tc>
            </w:tr>
            <w:tr w14:paraId="44892E4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68" w:type="dxa"/>
                  <w:vMerge w:val="continue"/>
                  <w:noWrap w:val="0"/>
                  <w:vAlign w:val="center"/>
                </w:tcPr>
                <w:p w14:paraId="3AD0D65E">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p>
              </w:tc>
              <w:tc>
                <w:tcPr>
                  <w:tcW w:w="1202" w:type="dxa"/>
                  <w:vMerge w:val="continue"/>
                  <w:noWrap w:val="0"/>
                  <w:vAlign w:val="center"/>
                </w:tcPr>
                <w:p w14:paraId="331C8C7F">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p>
              </w:tc>
              <w:tc>
                <w:tcPr>
                  <w:tcW w:w="579" w:type="dxa"/>
                  <w:vMerge w:val="continue"/>
                  <w:noWrap w:val="0"/>
                  <w:vAlign w:val="center"/>
                </w:tcPr>
                <w:p w14:paraId="7335362A">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p>
              </w:tc>
              <w:tc>
                <w:tcPr>
                  <w:tcW w:w="867" w:type="dxa"/>
                  <w:noWrap w:val="0"/>
                  <w:vAlign w:val="center"/>
                </w:tcPr>
                <w:p w14:paraId="1D78C0AE">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X</w:t>
                  </w:r>
                </w:p>
              </w:tc>
              <w:tc>
                <w:tcPr>
                  <w:tcW w:w="920" w:type="dxa"/>
                  <w:noWrap w:val="0"/>
                  <w:vAlign w:val="center"/>
                </w:tcPr>
                <w:p w14:paraId="13DFB85C">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Y</w:t>
                  </w:r>
                </w:p>
              </w:tc>
              <w:tc>
                <w:tcPr>
                  <w:tcW w:w="660" w:type="dxa"/>
                  <w:noWrap w:val="0"/>
                  <w:vAlign w:val="center"/>
                </w:tcPr>
                <w:p w14:paraId="26DCA73B">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Z</w:t>
                  </w:r>
                </w:p>
              </w:tc>
              <w:tc>
                <w:tcPr>
                  <w:tcW w:w="1492" w:type="dxa"/>
                  <w:noWrap w:val="0"/>
                  <w:vAlign w:val="center"/>
                </w:tcPr>
                <w:p w14:paraId="308E28E8">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r>
                    <w:rPr>
                      <w:rFonts w:hint="eastAsia"/>
                      <w:color w:val="auto"/>
                      <w:szCs w:val="21"/>
                      <w:highlight w:val="none"/>
                    </w:rPr>
                    <w:t>声功率</w:t>
                  </w:r>
                  <w:r>
                    <w:rPr>
                      <w:color w:val="auto"/>
                      <w:szCs w:val="21"/>
                      <w:highlight w:val="none"/>
                    </w:rPr>
                    <w:t>/dB(A)</w:t>
                  </w:r>
                </w:p>
              </w:tc>
              <w:tc>
                <w:tcPr>
                  <w:tcW w:w="1788" w:type="dxa"/>
                  <w:vMerge w:val="continue"/>
                  <w:noWrap w:val="0"/>
                  <w:vAlign w:val="center"/>
                </w:tcPr>
                <w:p w14:paraId="4D810778">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p>
              </w:tc>
              <w:tc>
                <w:tcPr>
                  <w:tcW w:w="869" w:type="dxa"/>
                  <w:vMerge w:val="continue"/>
                  <w:noWrap w:val="0"/>
                  <w:vAlign w:val="center"/>
                </w:tcPr>
                <w:p w14:paraId="663405EF">
                  <w:pPr>
                    <w:keepNext w:val="0"/>
                    <w:keepLines w:val="0"/>
                    <w:pageBreakBefore w:val="0"/>
                    <w:widowControl w:val="0"/>
                    <w:kinsoku/>
                    <w:overflowPunct/>
                    <w:bidi w:val="0"/>
                    <w:spacing w:beforeAutospacing="0" w:afterAutospacing="0"/>
                    <w:ind w:left="0" w:leftChars="0" w:right="0" w:rightChars="0"/>
                    <w:jc w:val="center"/>
                    <w:rPr>
                      <w:color w:val="auto"/>
                      <w:szCs w:val="21"/>
                      <w:highlight w:val="none"/>
                    </w:rPr>
                  </w:pPr>
                </w:p>
              </w:tc>
            </w:tr>
            <w:tr w14:paraId="1A1A976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68" w:type="dxa"/>
                  <w:noWrap w:val="0"/>
                  <w:vAlign w:val="center"/>
                </w:tcPr>
                <w:p w14:paraId="79D4EEDD">
                  <w:pPr>
                    <w:keepNext w:val="0"/>
                    <w:keepLines w:val="0"/>
                    <w:pageBreakBefore w:val="0"/>
                    <w:widowControl w:val="0"/>
                    <w:kinsoku/>
                    <w:overflowPunct/>
                    <w:bidi w:val="0"/>
                    <w:spacing w:beforeAutospacing="0" w:afterAutospacing="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1</w:t>
                  </w:r>
                </w:p>
              </w:tc>
              <w:tc>
                <w:tcPr>
                  <w:tcW w:w="1202" w:type="dxa"/>
                  <w:noWrap w:val="0"/>
                  <w:vAlign w:val="center"/>
                </w:tcPr>
                <w:p w14:paraId="12B654AD">
                  <w:pPr>
                    <w:keepNext w:val="0"/>
                    <w:keepLines w:val="0"/>
                    <w:pageBreakBefore w:val="0"/>
                    <w:widowControl w:val="0"/>
                    <w:kinsoku/>
                    <w:overflowPunct/>
                    <w:bidi w:val="0"/>
                    <w:snapToGrid w:val="0"/>
                    <w:spacing w:beforeAutospacing="0" w:afterAutospacing="0"/>
                    <w:ind w:left="0" w:leftChars="0" w:right="0" w:rightChars="0"/>
                    <w:jc w:val="center"/>
                    <w:rPr>
                      <w:color w:val="auto"/>
                      <w:szCs w:val="21"/>
                      <w:highlight w:val="none"/>
                    </w:rPr>
                  </w:pPr>
                  <w:r>
                    <w:rPr>
                      <w:rFonts w:hint="default" w:ascii="Times New Roman" w:hAnsi="Times New Roman" w:eastAsia="宋体" w:cs="Times New Roman"/>
                      <w:color w:val="auto"/>
                      <w:sz w:val="21"/>
                      <w:szCs w:val="21"/>
                      <w:highlight w:val="none"/>
                    </w:rPr>
                    <w:t>水泵</w:t>
                  </w:r>
                </w:p>
              </w:tc>
              <w:tc>
                <w:tcPr>
                  <w:tcW w:w="579" w:type="dxa"/>
                  <w:noWrap w:val="0"/>
                  <w:vAlign w:val="center"/>
                </w:tcPr>
                <w:p w14:paraId="2403ECC3">
                  <w:pPr>
                    <w:keepNext w:val="0"/>
                    <w:keepLines w:val="0"/>
                    <w:pageBreakBefore w:val="0"/>
                    <w:widowControl w:val="0"/>
                    <w:kinsoku/>
                    <w:overflowPunct/>
                    <w:bidi w:val="0"/>
                    <w:spacing w:beforeAutospacing="0" w:afterAutospacing="0"/>
                    <w:ind w:left="0" w:leftChars="0" w:right="0" w:rightChars="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867" w:type="dxa"/>
                  <w:noWrap w:val="0"/>
                  <w:vAlign w:val="center"/>
                </w:tcPr>
                <w:p w14:paraId="3B3CBB4C">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lang w:val="en-US" w:eastAsia="zh-CN"/>
                    </w:rPr>
                    <w:t>-</w:t>
                  </w:r>
                  <w:r>
                    <w:rPr>
                      <w:rFonts w:hint="eastAsia"/>
                      <w:color w:val="auto"/>
                      <w:szCs w:val="21"/>
                      <w:lang w:val="en-US" w:eastAsia="zh-CN"/>
                    </w:rPr>
                    <w:t>8</w:t>
                  </w:r>
                  <w:r>
                    <w:rPr>
                      <w:rFonts w:hint="eastAsia" w:eastAsia="宋体"/>
                      <w:color w:val="auto"/>
                      <w:szCs w:val="21"/>
                      <w:lang w:val="en-US" w:eastAsia="zh-CN"/>
                    </w:rPr>
                    <w:t>0~</w:t>
                  </w:r>
                  <w:r>
                    <w:rPr>
                      <w:rFonts w:hint="eastAsia"/>
                      <w:color w:val="auto"/>
                      <w:szCs w:val="21"/>
                      <w:lang w:val="en-US" w:eastAsia="zh-CN"/>
                    </w:rPr>
                    <w:t>40</w:t>
                  </w:r>
                </w:p>
              </w:tc>
              <w:tc>
                <w:tcPr>
                  <w:tcW w:w="920" w:type="dxa"/>
                  <w:noWrap w:val="0"/>
                  <w:vAlign w:val="center"/>
                </w:tcPr>
                <w:p w14:paraId="681B3A54">
                  <w:pPr>
                    <w:keepNext w:val="0"/>
                    <w:keepLines w:val="0"/>
                    <w:pageBreakBefore w:val="0"/>
                    <w:widowControl w:val="0"/>
                    <w:kinsoku/>
                    <w:overflowPunct/>
                    <w:bidi w:val="0"/>
                    <w:spacing w:beforeAutospacing="0" w:afterAutospacing="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lang w:val="en-US" w:eastAsia="zh-CN"/>
                    </w:rPr>
                    <w:t>-</w:t>
                  </w:r>
                  <w:r>
                    <w:rPr>
                      <w:rFonts w:hint="eastAsia"/>
                      <w:color w:val="auto"/>
                      <w:szCs w:val="21"/>
                      <w:lang w:val="en-US" w:eastAsia="zh-CN"/>
                    </w:rPr>
                    <w:t>8</w:t>
                  </w:r>
                  <w:r>
                    <w:rPr>
                      <w:rFonts w:hint="eastAsia" w:eastAsia="宋体"/>
                      <w:color w:val="auto"/>
                      <w:szCs w:val="21"/>
                      <w:lang w:val="en-US" w:eastAsia="zh-CN"/>
                    </w:rPr>
                    <w:t>0~</w:t>
                  </w:r>
                  <w:r>
                    <w:rPr>
                      <w:rFonts w:hint="eastAsia"/>
                      <w:color w:val="auto"/>
                      <w:szCs w:val="21"/>
                      <w:lang w:val="en-US" w:eastAsia="zh-CN"/>
                    </w:rPr>
                    <w:t>95</w:t>
                  </w:r>
                </w:p>
              </w:tc>
              <w:tc>
                <w:tcPr>
                  <w:tcW w:w="660" w:type="dxa"/>
                  <w:noWrap w:val="0"/>
                  <w:vAlign w:val="center"/>
                </w:tcPr>
                <w:p w14:paraId="631D58A1">
                  <w:pPr>
                    <w:keepNext w:val="0"/>
                    <w:keepLines w:val="0"/>
                    <w:pageBreakBefore w:val="0"/>
                    <w:widowControl w:val="0"/>
                    <w:kinsoku/>
                    <w:overflowPunct/>
                    <w:bidi w:val="0"/>
                    <w:spacing w:beforeAutospacing="0" w:afterAutospacing="0"/>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lang w:val="en-US" w:eastAsia="zh-CN"/>
                    </w:rPr>
                    <w:t>0~2</w:t>
                  </w:r>
                </w:p>
              </w:tc>
              <w:tc>
                <w:tcPr>
                  <w:tcW w:w="1492" w:type="dxa"/>
                  <w:noWrap w:val="0"/>
                  <w:vAlign w:val="center"/>
                </w:tcPr>
                <w:p w14:paraId="6024AEE5">
                  <w:pPr>
                    <w:keepNext w:val="0"/>
                    <w:keepLines w:val="0"/>
                    <w:pageBreakBefore w:val="0"/>
                    <w:widowControl w:val="0"/>
                    <w:kinsoku/>
                    <w:overflowPunct/>
                    <w:bidi w:val="0"/>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lang w:val="en-US" w:eastAsia="zh-CN"/>
                    </w:rPr>
                    <w:t>95-105</w:t>
                  </w:r>
                </w:p>
              </w:tc>
              <w:tc>
                <w:tcPr>
                  <w:tcW w:w="1788" w:type="dxa"/>
                  <w:noWrap w:val="0"/>
                  <w:vAlign w:val="center"/>
                </w:tcPr>
                <w:p w14:paraId="0EBB36C9">
                  <w:pPr>
                    <w:keepNext w:val="0"/>
                    <w:keepLines w:val="0"/>
                    <w:pageBreakBefore w:val="0"/>
                    <w:widowControl w:val="0"/>
                    <w:kinsoku/>
                    <w:overflowPunct/>
                    <w:bidi w:val="0"/>
                    <w:spacing w:beforeAutospacing="0" w:afterAutospacing="0"/>
                    <w:ind w:left="0" w:leftChars="0" w:right="0" w:rightChars="0"/>
                    <w:jc w:val="center"/>
                    <w:rPr>
                      <w:rFonts w:hint="eastAsia" w:eastAsia="宋体"/>
                      <w:color w:val="auto"/>
                      <w:szCs w:val="21"/>
                      <w:highlight w:val="none"/>
                      <w:lang w:eastAsia="zh-CN"/>
                    </w:rPr>
                  </w:pPr>
                  <w:r>
                    <w:rPr>
                      <w:rFonts w:hint="eastAsia"/>
                      <w:color w:val="auto"/>
                      <w:szCs w:val="21"/>
                      <w:highlight w:val="none"/>
                      <w:lang w:eastAsia="zh-CN"/>
                    </w:rPr>
                    <w:t>加装减振垫等</w:t>
                  </w:r>
                  <w:r>
                    <w:rPr>
                      <w:rFonts w:hint="eastAsia"/>
                      <w:color w:val="auto"/>
                      <w:szCs w:val="21"/>
                      <w:highlight w:val="none"/>
                    </w:rPr>
                    <w:t>，</w:t>
                  </w:r>
                  <w:r>
                    <w:rPr>
                      <w:color w:val="auto"/>
                      <w:szCs w:val="21"/>
                      <w:highlight w:val="none"/>
                    </w:rPr>
                    <w:t>设备基础减振</w:t>
                  </w:r>
                </w:p>
              </w:tc>
              <w:tc>
                <w:tcPr>
                  <w:tcW w:w="869" w:type="dxa"/>
                  <w:noWrap w:val="0"/>
                  <w:vAlign w:val="center"/>
                </w:tcPr>
                <w:p w14:paraId="29465987">
                  <w:pPr>
                    <w:keepNext w:val="0"/>
                    <w:keepLines w:val="0"/>
                    <w:pageBreakBefore w:val="0"/>
                    <w:widowControl w:val="0"/>
                    <w:kinsoku/>
                    <w:overflowPunct/>
                    <w:bidi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24h/d</w:t>
                  </w:r>
                </w:p>
              </w:tc>
            </w:tr>
          </w:tbl>
          <w:p w14:paraId="34BAE9A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textAlignment w:val="auto"/>
              <w:rPr>
                <w:rFonts w:hint="default" w:ascii="Times New Roman" w:hAnsi="Times New Roman" w:cs="Times New Roman"/>
                <w:b/>
                <w:bCs/>
                <w:color w:val="auto"/>
                <w:kern w:val="0"/>
                <w:sz w:val="18"/>
                <w:szCs w:val="18"/>
                <w:lang w:val="en-US" w:eastAsia="zh-CN"/>
              </w:rPr>
            </w:pPr>
            <w:r>
              <w:rPr>
                <w:rFonts w:hint="eastAsia" w:cs="Times New Roman"/>
                <w:b/>
                <w:bCs/>
                <w:color w:val="auto"/>
                <w:kern w:val="0"/>
                <w:sz w:val="18"/>
                <w:szCs w:val="18"/>
                <w:lang w:val="en-US" w:eastAsia="zh-CN"/>
              </w:rPr>
              <w:t>注：以水厂中心为坐标原点。</w:t>
            </w:r>
          </w:p>
          <w:p w14:paraId="4D57ED0F">
            <w:pPr>
              <w:keepNext w:val="0"/>
              <w:keepLines w:val="0"/>
              <w:pageBreakBefore w:val="0"/>
              <w:widowControl w:val="0"/>
              <w:kinsoku/>
              <w:overflowPunct/>
              <w:bidi w:val="0"/>
              <w:adjustRightInd w:val="0"/>
              <w:snapToGrid w:val="0"/>
              <w:spacing w:beforeAutospacing="0" w:afterAutospacing="0" w:line="360" w:lineRule="auto"/>
              <w:ind w:left="0" w:leftChars="0" w:firstLine="482" w:firstLineChars="200"/>
              <w:jc w:val="left"/>
              <w:rPr>
                <w:rFonts w:hint="default" w:ascii="Times New Roman" w:hAnsi="Times New Roman" w:cs="Times New Roman"/>
                <w:b/>
                <w:color w:val="auto"/>
                <w:kern w:val="0"/>
                <w:sz w:val="24"/>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color w:val="auto"/>
                <w:kern w:val="0"/>
                <w:sz w:val="24"/>
              </w:rPr>
              <w:t>预测模式和结果</w:t>
            </w:r>
          </w:p>
          <w:p w14:paraId="4DC22A2D">
            <w:pPr>
              <w:keepNext w:val="0"/>
              <w:keepLines w:val="0"/>
              <w:pageBreakBefore w:val="0"/>
              <w:widowControl w:val="0"/>
              <w:suppressLineNumbers w:val="0"/>
              <w:kinsoku/>
              <w:overflowPunct/>
              <w:bidi w:val="0"/>
              <w:spacing w:beforeAutospacing="0" w:afterAutospacing="0" w:line="360" w:lineRule="auto"/>
              <w:ind w:left="0" w:leftChars="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选择《环境影响评价技术导则－声环境》</w:t>
            </w:r>
            <w:r>
              <w:rPr>
                <w:rFonts w:hint="eastAsia" w:cs="Times New Roman"/>
                <w:i w:val="0"/>
                <w:iCs w:val="0"/>
                <w:color w:val="auto"/>
                <w:sz w:val="24"/>
                <w:lang w:eastAsia="zh-CN"/>
              </w:rPr>
              <w:t>（</w:t>
            </w:r>
            <w:r>
              <w:rPr>
                <w:rFonts w:hint="default" w:ascii="Times New Roman" w:hAnsi="Times New Roman" w:cs="Times New Roman"/>
                <w:i w:val="0"/>
                <w:iCs w:val="0"/>
                <w:color w:val="auto"/>
                <w:sz w:val="24"/>
              </w:rPr>
              <w:t>HJ2.4－20</w:t>
            </w:r>
            <w:r>
              <w:rPr>
                <w:rFonts w:hint="eastAsia" w:cs="Times New Roman"/>
                <w:i w:val="0"/>
                <w:iCs w:val="0"/>
                <w:color w:val="auto"/>
                <w:sz w:val="24"/>
                <w:lang w:val="en-US" w:eastAsia="zh-CN"/>
              </w:rPr>
              <w:t>21</w:t>
            </w:r>
            <w:r>
              <w:rPr>
                <w:rFonts w:hint="eastAsia" w:cs="Times New Roman"/>
                <w:i w:val="0"/>
                <w:iCs w:val="0"/>
                <w:color w:val="auto"/>
                <w:sz w:val="24"/>
                <w:lang w:eastAsia="zh-CN"/>
              </w:rPr>
              <w:t>）</w:t>
            </w:r>
            <w:r>
              <w:rPr>
                <w:rFonts w:hint="default" w:ascii="Times New Roman" w:hAnsi="Times New Roman" w:cs="Times New Roman"/>
                <w:i w:val="0"/>
                <w:iCs w:val="0"/>
                <w:color w:val="auto"/>
                <w:sz w:val="24"/>
              </w:rPr>
              <w:t>中推荐的工业噪声预测模式，具体模式如下：</w:t>
            </w:r>
          </w:p>
          <w:p w14:paraId="5F9E29A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①单个室外的点声源在预测点产生的声级计算公式</w:t>
            </w:r>
          </w:p>
          <w:p w14:paraId="77278A7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本项目已知各声源1m处的A声级，单个声源在预测点处产生的声级值计算模式如下：</w:t>
            </w:r>
          </w:p>
          <w:p w14:paraId="161FF32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2038350" cy="553085"/>
                  <wp:effectExtent l="0" t="0" r="0"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7"/>
                          <a:stretch>
                            <a:fillRect/>
                          </a:stretch>
                        </pic:blipFill>
                        <pic:spPr>
                          <a:xfrm>
                            <a:off x="0" y="0"/>
                            <a:ext cx="2038350" cy="553085"/>
                          </a:xfrm>
                          <a:prstGeom prst="rect">
                            <a:avLst/>
                          </a:prstGeom>
                          <a:noFill/>
                          <a:ln>
                            <a:noFill/>
                          </a:ln>
                        </pic:spPr>
                      </pic:pic>
                    </a:graphicData>
                  </a:graphic>
                </wp:inline>
              </w:drawing>
            </w:r>
          </w:p>
          <w:p w14:paraId="3466B50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式中：LA（r）—各声源单独作用在预测点时产生的A声级，dB（A）；</w:t>
            </w:r>
          </w:p>
          <w:p w14:paraId="1D0475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LA（r0）—参考位置r0处的A声级，dB（A）；</w:t>
            </w:r>
          </w:p>
          <w:p w14:paraId="138519B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A—A声级衰减，本次评价中选用对A声级影响最大的倍频带（中心频率为500HZ的倍频带）进行计算，dB（A）；</w:t>
            </w:r>
          </w:p>
          <w:p w14:paraId="1EA5362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Adiv—几何发散引起的倍频带衰减，dB；</w:t>
            </w:r>
          </w:p>
          <w:p w14:paraId="351844B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Aatm—大气吸收引起的倍频带衰减，dB；</w:t>
            </w:r>
          </w:p>
          <w:p w14:paraId="320C907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Abar—声屏障引起的倍频带衰减，dB；</w:t>
            </w:r>
          </w:p>
          <w:p w14:paraId="3D4425A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Agr—地面效应引起的倍频带衰减，dB；</w:t>
            </w:r>
          </w:p>
          <w:p w14:paraId="0A98B4D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Amisc—其他多方面效应引起的倍频带衰减，dB。</w:t>
            </w:r>
          </w:p>
          <w:p w14:paraId="6511A51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A、几何发散衰减量Adi</w:t>
            </w:r>
          </w:p>
          <w:p w14:paraId="0468A9D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对于无指向性点声源，几何发散衰减量公式为：</w:t>
            </w:r>
          </w:p>
          <w:p w14:paraId="72D08F6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Adiv=20lg（r/r0）</w:t>
            </w:r>
          </w:p>
          <w:p w14:paraId="7E1C9A7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B、声屏障引起的衰减量Abar</w:t>
            </w:r>
          </w:p>
          <w:p w14:paraId="592603D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本次预测未考虑声屏障的衰减，Abar取值为 0</w:t>
            </w:r>
          </w:p>
          <w:p w14:paraId="1EEEE5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C、大气吸收衰减量Aatm</w:t>
            </w:r>
          </w:p>
          <w:p w14:paraId="590A01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Aatm=a（r-r0）/1000</w:t>
            </w:r>
          </w:p>
          <w:p w14:paraId="1DBEA60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本次预测未考虑空气吸收衰减量，取值为0。</w:t>
            </w:r>
          </w:p>
          <w:p w14:paraId="6542ADE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D、其他多方面效应引起的衰减量Amisc</w:t>
            </w:r>
          </w:p>
          <w:p w14:paraId="1BF2601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评价过程中取值为0。</w:t>
            </w:r>
          </w:p>
          <w:p w14:paraId="5C959F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②计算某个室内声源在靠近围护结构处产生的倍频带声压级：</w:t>
            </w:r>
          </w:p>
          <w:p w14:paraId="490D276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1957070" cy="452120"/>
                  <wp:effectExtent l="0" t="0" r="508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a:stretch>
                            <a:fillRect/>
                          </a:stretch>
                        </pic:blipFill>
                        <pic:spPr>
                          <a:xfrm>
                            <a:off x="0" y="0"/>
                            <a:ext cx="1957070" cy="452120"/>
                          </a:xfrm>
                          <a:prstGeom prst="rect">
                            <a:avLst/>
                          </a:prstGeom>
                          <a:noFill/>
                          <a:ln>
                            <a:noFill/>
                          </a:ln>
                        </pic:spPr>
                      </pic:pic>
                    </a:graphicData>
                  </a:graphic>
                </wp:inline>
              </w:drawing>
            </w:r>
          </w:p>
          <w:p w14:paraId="5CF5EA3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式中：Loct,1—某个室内声源在靠近围护结构处产生的倍频带声压级，dB；</w:t>
            </w:r>
          </w:p>
          <w:p w14:paraId="56002FA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Lwoct —某个声源的倍频带声功率级，dB；</w:t>
            </w:r>
          </w:p>
          <w:p w14:paraId="3A004B5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r1—室内某个声源与靠近围护结构处的距离，m；</w:t>
            </w:r>
          </w:p>
          <w:p w14:paraId="7B99AA0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R—房间常数，m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7D89B29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Q—方向性因子。</w:t>
            </w:r>
          </w:p>
          <w:p w14:paraId="6F768B6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③计算所有室内声源在靠近围护结构处产生的总倍频带声压级：</w:t>
            </w:r>
          </w:p>
          <w:p w14:paraId="1ECD466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1696085" cy="413385"/>
                  <wp:effectExtent l="0" t="0" r="18415"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9"/>
                          <a:stretch>
                            <a:fillRect/>
                          </a:stretch>
                        </pic:blipFill>
                        <pic:spPr>
                          <a:xfrm>
                            <a:off x="0" y="0"/>
                            <a:ext cx="1696085" cy="413385"/>
                          </a:xfrm>
                          <a:prstGeom prst="rect">
                            <a:avLst/>
                          </a:prstGeom>
                          <a:noFill/>
                          <a:ln>
                            <a:noFill/>
                          </a:ln>
                        </pic:spPr>
                      </pic:pic>
                    </a:graphicData>
                  </a:graphic>
                </wp:inline>
              </w:drawing>
            </w:r>
          </w:p>
          <w:p w14:paraId="775AE05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④计算室外靠近围护结构处的声压级：</w:t>
            </w:r>
          </w:p>
          <w:p w14:paraId="13979EB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1918335" cy="321945"/>
                  <wp:effectExtent l="0" t="0" r="5715" b="19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0"/>
                          <a:stretch>
                            <a:fillRect/>
                          </a:stretch>
                        </pic:blipFill>
                        <pic:spPr>
                          <a:xfrm>
                            <a:off x="0" y="0"/>
                            <a:ext cx="1918335" cy="321945"/>
                          </a:xfrm>
                          <a:prstGeom prst="rect">
                            <a:avLst/>
                          </a:prstGeom>
                          <a:noFill/>
                          <a:ln>
                            <a:noFill/>
                          </a:ln>
                        </pic:spPr>
                      </pic:pic>
                    </a:graphicData>
                  </a:graphic>
                </wp:inline>
              </w:drawing>
            </w:r>
          </w:p>
          <w:p w14:paraId="3E12326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⑤将室外声级 Loct,1(T)和透声面积换算成等效的室外声源，计算等效声源第i个倍频带的声功率级Lwoct：</w:t>
            </w:r>
          </w:p>
          <w:p w14:paraId="158ED28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1684020" cy="308610"/>
                  <wp:effectExtent l="0" t="0" r="11430" b="152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1"/>
                          <a:stretch>
                            <a:fillRect/>
                          </a:stretch>
                        </pic:blipFill>
                        <pic:spPr>
                          <a:xfrm>
                            <a:off x="0" y="0"/>
                            <a:ext cx="1684020" cy="308610"/>
                          </a:xfrm>
                          <a:prstGeom prst="rect">
                            <a:avLst/>
                          </a:prstGeom>
                          <a:noFill/>
                          <a:ln>
                            <a:noFill/>
                          </a:ln>
                        </pic:spPr>
                      </pic:pic>
                    </a:graphicData>
                  </a:graphic>
                </wp:inline>
              </w:drawing>
            </w:r>
          </w:p>
          <w:p w14:paraId="4B3BA9E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式中：S—透声面积，m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48F2847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⑥等效室外声源的位置为围护结构的位置，其倍频带声功率级为Lwoct，由此按室外声源方法计算等效室外声源在预测点产生的A声级。</w:t>
            </w:r>
          </w:p>
          <w:p w14:paraId="54D821A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⑦噪声贡献值计算：设第i个室外声源在预测点产生的A声级为LAin,i，在T时间内该声源工作时间为 tin,i，第j个等效室外声源在预测点产生的A声级为LAout,j，在T时间内该声源工作时间为tout,j，则预测点的总等效声级为：</w:t>
            </w:r>
          </w:p>
          <w:p w14:paraId="3333164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2851150" cy="415290"/>
                  <wp:effectExtent l="0" t="0" r="6350" b="38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2"/>
                          <a:stretch>
                            <a:fillRect/>
                          </a:stretch>
                        </pic:blipFill>
                        <pic:spPr>
                          <a:xfrm>
                            <a:off x="0" y="0"/>
                            <a:ext cx="2851150" cy="415290"/>
                          </a:xfrm>
                          <a:prstGeom prst="rect">
                            <a:avLst/>
                          </a:prstGeom>
                          <a:noFill/>
                          <a:ln>
                            <a:noFill/>
                          </a:ln>
                        </pic:spPr>
                      </pic:pic>
                    </a:graphicData>
                  </a:graphic>
                </wp:inline>
              </w:drawing>
            </w:r>
          </w:p>
          <w:p w14:paraId="7EF875B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式中：T—计算等效声级的时间，h；</w:t>
            </w:r>
          </w:p>
          <w:p w14:paraId="5329F08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N—室外声源个数；</w:t>
            </w:r>
          </w:p>
          <w:p w14:paraId="4E929A9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M—等效室外声源个数</w:t>
            </w:r>
          </w:p>
          <w:p w14:paraId="19BFD1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（3）预测范围及预测点的确定</w:t>
            </w:r>
          </w:p>
          <w:p w14:paraId="77CBD5B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环境影响预测评价的目的就是评价项目建成后对周围环境及厂界噪声影响的程度。</w:t>
            </w:r>
            <w:r>
              <w:rPr>
                <w:rFonts w:hint="eastAsia" w:ascii="Times New Roman" w:hAnsi="Times New Roman" w:eastAsia="宋体" w:cs="Times New Roman"/>
                <w:color w:val="auto"/>
                <w:sz w:val="24"/>
                <w:szCs w:val="24"/>
                <w:lang w:val="en-US" w:eastAsia="zh-CN"/>
              </w:rPr>
              <w:t>本次</w:t>
            </w:r>
            <w:r>
              <w:rPr>
                <w:rFonts w:hint="default" w:ascii="Times New Roman" w:hAnsi="Times New Roman" w:eastAsia="宋体" w:cs="Times New Roman"/>
                <w:color w:val="auto"/>
                <w:sz w:val="24"/>
                <w:szCs w:val="24"/>
                <w:lang w:val="en-US" w:eastAsia="zh-CN"/>
              </w:rPr>
              <w:t>仅预测厂界噪声</w:t>
            </w:r>
            <w:r>
              <w:rPr>
                <w:rFonts w:hint="eastAsia" w:ascii="Times New Roman" w:hAnsi="Times New Roman" w:eastAsia="宋体" w:cs="Times New Roman"/>
                <w:color w:val="auto"/>
                <w:sz w:val="24"/>
                <w:szCs w:val="24"/>
                <w:lang w:val="en-US" w:eastAsia="zh-CN"/>
              </w:rPr>
              <w:t>。</w:t>
            </w:r>
          </w:p>
          <w:p w14:paraId="1BF9A422">
            <w:pPr>
              <w:keepNext w:val="0"/>
              <w:keepLines w:val="0"/>
              <w:pageBreakBefore w:val="0"/>
              <w:widowControl w:val="0"/>
              <w:suppressLineNumbers w:val="0"/>
              <w:tabs>
                <w:tab w:val="left" w:pos="0"/>
              </w:tabs>
              <w:kinsoku/>
              <w:overflowPunct/>
              <w:bidi w:val="0"/>
              <w:spacing w:beforeAutospacing="0" w:afterAutospacing="0" w:line="360" w:lineRule="auto"/>
              <w:ind w:left="0" w:leftChars="0" w:right="0" w:firstLine="480" w:firstLineChars="200"/>
              <w:rPr>
                <w:rFonts w:hint="default" w:ascii="Times New Roman" w:hAnsi="Times New Roman" w:cs="Times New Roman"/>
                <w:b/>
                <w:color w:val="auto"/>
                <w:kern w:val="0"/>
                <w:sz w:val="24"/>
                <w:szCs w:val="24"/>
              </w:rPr>
            </w:pPr>
            <w:r>
              <w:rPr>
                <w:rFonts w:hint="default" w:ascii="Times New Roman" w:hAnsi="Times New Roman" w:cs="Times New Roman"/>
                <w:i w:val="0"/>
                <w:iCs w:val="0"/>
                <w:color w:val="auto"/>
                <w:sz w:val="24"/>
              </w:rPr>
              <w:t>经计算，项目昼</w:t>
            </w:r>
            <w:r>
              <w:rPr>
                <w:rFonts w:hint="eastAsia" w:cs="Times New Roman"/>
                <w:i w:val="0"/>
                <w:iCs w:val="0"/>
                <w:color w:val="auto"/>
                <w:sz w:val="24"/>
                <w:lang w:eastAsia="zh-CN"/>
              </w:rPr>
              <w:t>、夜</w:t>
            </w:r>
            <w:r>
              <w:rPr>
                <w:rFonts w:hint="default" w:ascii="Times New Roman" w:hAnsi="Times New Roman" w:cs="Times New Roman"/>
                <w:i w:val="0"/>
                <w:iCs w:val="0"/>
                <w:color w:val="auto"/>
                <w:sz w:val="24"/>
              </w:rPr>
              <w:t>间噪声影响预测结果见下表</w:t>
            </w:r>
            <w:r>
              <w:rPr>
                <w:rFonts w:hint="eastAsia" w:cs="Times New Roman"/>
                <w:i w:val="0"/>
                <w:iCs w:val="0"/>
                <w:color w:val="auto"/>
                <w:sz w:val="24"/>
                <w:lang w:eastAsia="zh-CN"/>
              </w:rPr>
              <w:t>：</w:t>
            </w:r>
          </w:p>
          <w:p w14:paraId="6425DB53">
            <w:pPr>
              <w:pStyle w:val="7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水厂厂界</w:t>
            </w:r>
            <w:r>
              <w:rPr>
                <w:rFonts w:hint="default" w:ascii="Times New Roman" w:hAnsi="Times New Roman" w:eastAsia="宋体" w:cs="Times New Roman"/>
                <w:color w:val="auto"/>
                <w:sz w:val="24"/>
                <w:szCs w:val="24"/>
              </w:rPr>
              <w:t>噪声值预测一览表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2158"/>
              <w:gridCol w:w="2575"/>
              <w:gridCol w:w="1936"/>
            </w:tblGrid>
            <w:tr w14:paraId="2F85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0" w:type="pct"/>
                  <w:vMerge w:val="restart"/>
                  <w:noWrap w:val="0"/>
                  <w:vAlign w:val="center"/>
                </w:tcPr>
                <w:p w14:paraId="1E66EC04">
                  <w:pPr>
                    <w:keepNext w:val="0"/>
                    <w:keepLines w:val="0"/>
                    <w:pageBreakBefore w:val="0"/>
                    <w:widowControl w:val="0"/>
                    <w:suppressLineNumbers w:val="0"/>
                    <w:kinsoku/>
                    <w:overflowPunct/>
                    <w:autoSpaceDE w:val="0"/>
                    <w:autoSpaceDN w:val="0"/>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b/>
                      <w:bCs/>
                      <w:i w:val="0"/>
                      <w:iCs w:val="0"/>
                      <w:color w:val="auto"/>
                    </w:rPr>
                  </w:pPr>
                  <w:r>
                    <w:rPr>
                      <w:rFonts w:hint="default" w:ascii="Times New Roman" w:hAnsi="Times New Roman" w:cs="Times New Roman"/>
                      <w:b/>
                      <w:bCs/>
                      <w:i w:val="0"/>
                      <w:iCs w:val="0"/>
                      <w:color w:val="auto"/>
                    </w:rPr>
                    <w:t>预测点</w:t>
                  </w:r>
                </w:p>
              </w:tc>
              <w:tc>
                <w:tcPr>
                  <w:tcW w:w="2696" w:type="pct"/>
                  <w:gridSpan w:val="2"/>
                  <w:noWrap w:val="0"/>
                  <w:vAlign w:val="center"/>
                </w:tcPr>
                <w:p w14:paraId="4AE40687">
                  <w:pPr>
                    <w:keepNext w:val="0"/>
                    <w:keepLines w:val="0"/>
                    <w:pageBreakBefore w:val="0"/>
                    <w:widowControl w:val="0"/>
                    <w:suppressLineNumbers w:val="0"/>
                    <w:kinsoku/>
                    <w:overflowPunct/>
                    <w:autoSpaceDE w:val="0"/>
                    <w:autoSpaceDN w:val="0"/>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b/>
                      <w:bCs/>
                      <w:i w:val="0"/>
                      <w:iCs w:val="0"/>
                      <w:color w:val="auto"/>
                    </w:rPr>
                  </w:pPr>
                  <w:r>
                    <w:rPr>
                      <w:rFonts w:hint="default" w:ascii="Times New Roman" w:hAnsi="Times New Roman" w:cs="Times New Roman"/>
                      <w:b/>
                      <w:bCs/>
                      <w:i w:val="0"/>
                      <w:iCs w:val="0"/>
                      <w:color w:val="auto"/>
                    </w:rPr>
                    <w:t>贡献值</w:t>
                  </w:r>
                </w:p>
              </w:tc>
              <w:tc>
                <w:tcPr>
                  <w:tcW w:w="1102" w:type="pct"/>
                  <w:vMerge w:val="restart"/>
                  <w:noWrap w:val="0"/>
                  <w:vAlign w:val="center"/>
                </w:tcPr>
                <w:p w14:paraId="20FB306C">
                  <w:pPr>
                    <w:keepNext w:val="0"/>
                    <w:keepLines w:val="0"/>
                    <w:pageBreakBefore w:val="0"/>
                    <w:widowControl w:val="0"/>
                    <w:suppressLineNumbers w:val="0"/>
                    <w:kinsoku/>
                    <w:overflowPunct/>
                    <w:autoSpaceDE w:val="0"/>
                    <w:autoSpaceDN w:val="0"/>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i w:val="0"/>
                      <w:iCs w:val="0"/>
                      <w:color w:val="auto"/>
                    </w:rPr>
                  </w:pPr>
                  <w:r>
                    <w:rPr>
                      <w:rFonts w:hint="default" w:ascii="Times New Roman" w:hAnsi="Times New Roman" w:cs="Times New Roman"/>
                      <w:b/>
                      <w:bCs/>
                      <w:i w:val="0"/>
                      <w:iCs w:val="0"/>
                      <w:color w:val="auto"/>
                    </w:rPr>
                    <w:t>达标情况</w:t>
                  </w:r>
                </w:p>
              </w:tc>
            </w:tr>
            <w:tr w14:paraId="6250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0" w:type="pct"/>
                  <w:vMerge w:val="continue"/>
                  <w:noWrap w:val="0"/>
                  <w:vAlign w:val="center"/>
                </w:tcPr>
                <w:p w14:paraId="59A7CDF5">
                  <w:pPr>
                    <w:keepNext w:val="0"/>
                    <w:keepLines w:val="0"/>
                    <w:pageBreakBefore w:val="0"/>
                    <w:widowControl w:val="0"/>
                    <w:suppressLineNumbers w:val="0"/>
                    <w:kinsoku/>
                    <w:overflowPunct/>
                    <w:autoSpaceDE w:val="0"/>
                    <w:autoSpaceDN w:val="0"/>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b/>
                      <w:bCs/>
                      <w:i w:val="0"/>
                      <w:iCs w:val="0"/>
                      <w:color w:val="auto"/>
                    </w:rPr>
                  </w:pPr>
                </w:p>
              </w:tc>
              <w:tc>
                <w:tcPr>
                  <w:tcW w:w="1229" w:type="pct"/>
                  <w:noWrap w:val="0"/>
                  <w:vAlign w:val="center"/>
                </w:tcPr>
                <w:p w14:paraId="6007B5E8">
                  <w:pPr>
                    <w:keepNext w:val="0"/>
                    <w:keepLines w:val="0"/>
                    <w:pageBreakBefore w:val="0"/>
                    <w:widowControl w:val="0"/>
                    <w:suppressLineNumbers w:val="0"/>
                    <w:kinsoku/>
                    <w:overflowPunct/>
                    <w:autoSpaceDE w:val="0"/>
                    <w:autoSpaceDN w:val="0"/>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b/>
                      <w:bCs/>
                      <w:i w:val="0"/>
                      <w:iCs w:val="0"/>
                      <w:color w:val="auto"/>
                      <w:lang w:val="en-US" w:eastAsia="zh-CN"/>
                    </w:rPr>
                  </w:pPr>
                  <w:r>
                    <w:rPr>
                      <w:rFonts w:hint="default" w:ascii="Times New Roman" w:hAnsi="Times New Roman" w:cs="Times New Roman"/>
                      <w:b/>
                      <w:bCs/>
                      <w:i w:val="0"/>
                      <w:iCs w:val="0"/>
                      <w:color w:val="auto"/>
                    </w:rPr>
                    <w:t>昼间dB(A)</w:t>
                  </w:r>
                </w:p>
              </w:tc>
              <w:tc>
                <w:tcPr>
                  <w:tcW w:w="1467" w:type="pct"/>
                  <w:noWrap w:val="0"/>
                  <w:vAlign w:val="center"/>
                </w:tcPr>
                <w:p w14:paraId="65EEA819">
                  <w:pPr>
                    <w:keepNext w:val="0"/>
                    <w:keepLines w:val="0"/>
                    <w:pageBreakBefore w:val="0"/>
                    <w:widowControl w:val="0"/>
                    <w:suppressLineNumbers w:val="0"/>
                    <w:kinsoku/>
                    <w:overflowPunct/>
                    <w:autoSpaceDE w:val="0"/>
                    <w:autoSpaceDN w:val="0"/>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b/>
                      <w:bCs/>
                      <w:i w:val="0"/>
                      <w:iCs w:val="0"/>
                      <w:color w:val="auto"/>
                      <w:lang w:val="en-US" w:eastAsia="zh-CN"/>
                    </w:rPr>
                  </w:pPr>
                  <w:r>
                    <w:rPr>
                      <w:rFonts w:hint="default" w:ascii="Times New Roman" w:hAnsi="Times New Roman" w:cs="Times New Roman"/>
                      <w:b/>
                      <w:bCs/>
                      <w:i w:val="0"/>
                      <w:iCs w:val="0"/>
                      <w:color w:val="auto"/>
                      <w:lang w:val="en-US" w:eastAsia="zh-CN"/>
                    </w:rPr>
                    <w:t>夜间</w:t>
                  </w:r>
                  <w:r>
                    <w:rPr>
                      <w:rFonts w:hint="default" w:ascii="Times New Roman" w:hAnsi="Times New Roman" w:cs="Times New Roman"/>
                      <w:b/>
                      <w:bCs/>
                      <w:i w:val="0"/>
                      <w:iCs w:val="0"/>
                      <w:color w:val="auto"/>
                    </w:rPr>
                    <w:t>dB(A)</w:t>
                  </w:r>
                </w:p>
              </w:tc>
              <w:tc>
                <w:tcPr>
                  <w:tcW w:w="1102" w:type="pct"/>
                  <w:vMerge w:val="continue"/>
                  <w:noWrap w:val="0"/>
                  <w:vAlign w:val="center"/>
                </w:tcPr>
                <w:p w14:paraId="7FC2F503">
                  <w:pPr>
                    <w:keepNext w:val="0"/>
                    <w:keepLines w:val="0"/>
                    <w:pageBreakBefore w:val="0"/>
                    <w:widowControl w:val="0"/>
                    <w:suppressLineNumbers w:val="0"/>
                    <w:kinsoku/>
                    <w:overflowPunct/>
                    <w:autoSpaceDE w:val="0"/>
                    <w:autoSpaceDN w:val="0"/>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i w:val="0"/>
                      <w:iCs w:val="0"/>
                      <w:color w:val="auto"/>
                    </w:rPr>
                  </w:pPr>
                </w:p>
              </w:tc>
            </w:tr>
            <w:tr w14:paraId="2EAF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0" w:type="pct"/>
                  <w:noWrap w:val="0"/>
                  <w:vAlign w:val="center"/>
                </w:tcPr>
                <w:p w14:paraId="6CBCB06A">
                  <w:pPr>
                    <w:keepNext w:val="0"/>
                    <w:keepLines w:val="0"/>
                    <w:pageBreakBefore w:val="0"/>
                    <w:widowControl w:val="0"/>
                    <w:suppressLineNumbers w:val="0"/>
                    <w:kinsoku/>
                    <w:overflowPunct/>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i w:val="0"/>
                      <w:iCs w:val="0"/>
                      <w:color w:val="auto"/>
                    </w:rPr>
                  </w:pPr>
                  <w:r>
                    <w:rPr>
                      <w:rFonts w:hint="eastAsia" w:cs="Times New Roman"/>
                      <w:i w:val="0"/>
                      <w:iCs w:val="0"/>
                      <w:color w:val="auto"/>
                      <w:lang w:eastAsia="zh-CN"/>
                    </w:rPr>
                    <w:t>东</w:t>
                  </w:r>
                  <w:r>
                    <w:rPr>
                      <w:rFonts w:hint="default" w:ascii="Times New Roman" w:hAnsi="Times New Roman" w:cs="Times New Roman"/>
                      <w:i w:val="0"/>
                      <w:iCs w:val="0"/>
                      <w:color w:val="auto"/>
                    </w:rPr>
                    <w:t>厂界</w:t>
                  </w:r>
                </w:p>
              </w:tc>
              <w:tc>
                <w:tcPr>
                  <w:tcW w:w="2158" w:type="dxa"/>
                  <w:noWrap w:val="0"/>
                  <w:vAlign w:val="center"/>
                </w:tcPr>
                <w:p w14:paraId="3FE3F6DF">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lang w:val="en-US" w:eastAsia="zh-CN"/>
                    </w:rPr>
                    <w:t>45.2</w:t>
                  </w:r>
                </w:p>
              </w:tc>
              <w:tc>
                <w:tcPr>
                  <w:tcW w:w="2530" w:type="dxa"/>
                  <w:noWrap w:val="0"/>
                  <w:vAlign w:val="center"/>
                </w:tcPr>
                <w:p w14:paraId="3643436C">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lang w:val="en-US" w:eastAsia="zh-CN"/>
                    </w:rPr>
                    <w:t>45.2</w:t>
                  </w:r>
                </w:p>
              </w:tc>
              <w:tc>
                <w:tcPr>
                  <w:tcW w:w="1102" w:type="pct"/>
                  <w:noWrap w:val="0"/>
                  <w:vAlign w:val="center"/>
                </w:tcPr>
                <w:p w14:paraId="32EE775C">
                  <w:pPr>
                    <w:keepNext w:val="0"/>
                    <w:keepLines w:val="0"/>
                    <w:pageBreakBefore w:val="0"/>
                    <w:widowControl w:val="0"/>
                    <w:suppressLineNumbers w:val="0"/>
                    <w:kinsoku/>
                    <w:overflowPunct/>
                    <w:bidi w:val="0"/>
                    <w:spacing w:beforeAutospacing="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cs="Times New Roman"/>
                      <w:i w:val="0"/>
                      <w:iCs w:val="0"/>
                      <w:color w:val="auto"/>
                    </w:rPr>
                    <w:t>达标</w:t>
                  </w:r>
                </w:p>
              </w:tc>
            </w:tr>
            <w:tr w14:paraId="743A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0" w:type="pct"/>
                  <w:noWrap w:val="0"/>
                  <w:vAlign w:val="center"/>
                </w:tcPr>
                <w:p w14:paraId="7713CA4A">
                  <w:pPr>
                    <w:keepNext w:val="0"/>
                    <w:keepLines w:val="0"/>
                    <w:pageBreakBefore w:val="0"/>
                    <w:widowControl w:val="0"/>
                    <w:suppressLineNumbers w:val="0"/>
                    <w:kinsoku/>
                    <w:overflowPunct/>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i w:val="0"/>
                      <w:iCs w:val="0"/>
                      <w:color w:val="auto"/>
                    </w:rPr>
                  </w:pPr>
                  <w:r>
                    <w:rPr>
                      <w:rFonts w:hint="eastAsia" w:cs="Times New Roman"/>
                      <w:i w:val="0"/>
                      <w:iCs w:val="0"/>
                      <w:color w:val="auto"/>
                      <w:lang w:eastAsia="zh-CN"/>
                    </w:rPr>
                    <w:t>南</w:t>
                  </w:r>
                  <w:r>
                    <w:rPr>
                      <w:rFonts w:hint="default" w:ascii="Times New Roman" w:hAnsi="Times New Roman" w:cs="Times New Roman"/>
                      <w:i w:val="0"/>
                      <w:iCs w:val="0"/>
                      <w:color w:val="auto"/>
                    </w:rPr>
                    <w:t>厂界</w:t>
                  </w:r>
                </w:p>
              </w:tc>
              <w:tc>
                <w:tcPr>
                  <w:tcW w:w="2158" w:type="dxa"/>
                  <w:noWrap w:val="0"/>
                  <w:vAlign w:val="center"/>
                </w:tcPr>
                <w:p w14:paraId="1C3DD27D">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lang w:val="en-US" w:eastAsia="zh-CN"/>
                    </w:rPr>
                    <w:t>48.9</w:t>
                  </w:r>
                </w:p>
              </w:tc>
              <w:tc>
                <w:tcPr>
                  <w:tcW w:w="2530" w:type="dxa"/>
                  <w:noWrap w:val="0"/>
                  <w:vAlign w:val="center"/>
                </w:tcPr>
                <w:p w14:paraId="562A7076">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lang w:val="en-US" w:eastAsia="zh-CN"/>
                    </w:rPr>
                    <w:t>48.9</w:t>
                  </w:r>
                </w:p>
              </w:tc>
              <w:tc>
                <w:tcPr>
                  <w:tcW w:w="1102" w:type="pct"/>
                  <w:noWrap w:val="0"/>
                  <w:vAlign w:val="center"/>
                </w:tcPr>
                <w:p w14:paraId="0096723A">
                  <w:pPr>
                    <w:keepNext w:val="0"/>
                    <w:keepLines w:val="0"/>
                    <w:pageBreakBefore w:val="0"/>
                    <w:widowControl w:val="0"/>
                    <w:suppressLineNumbers w:val="0"/>
                    <w:kinsoku/>
                    <w:overflowPunct/>
                    <w:bidi w:val="0"/>
                    <w:spacing w:beforeAutospacing="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cs="Times New Roman"/>
                      <w:i w:val="0"/>
                      <w:iCs w:val="0"/>
                      <w:color w:val="auto"/>
                    </w:rPr>
                    <w:t>达标</w:t>
                  </w:r>
                </w:p>
              </w:tc>
            </w:tr>
            <w:tr w14:paraId="7564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0" w:type="pct"/>
                  <w:noWrap w:val="0"/>
                  <w:vAlign w:val="center"/>
                </w:tcPr>
                <w:p w14:paraId="5A96CF6F">
                  <w:pPr>
                    <w:keepNext w:val="0"/>
                    <w:keepLines w:val="0"/>
                    <w:pageBreakBefore w:val="0"/>
                    <w:widowControl w:val="0"/>
                    <w:suppressLineNumbers w:val="0"/>
                    <w:kinsoku/>
                    <w:overflowPunct/>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i w:val="0"/>
                      <w:iCs w:val="0"/>
                      <w:color w:val="auto"/>
                    </w:rPr>
                  </w:pPr>
                  <w:r>
                    <w:rPr>
                      <w:rFonts w:hint="eastAsia" w:cs="Times New Roman"/>
                      <w:i w:val="0"/>
                      <w:iCs w:val="0"/>
                      <w:color w:val="auto"/>
                      <w:lang w:eastAsia="zh-CN"/>
                    </w:rPr>
                    <w:t>西</w:t>
                  </w:r>
                  <w:r>
                    <w:rPr>
                      <w:rFonts w:hint="default" w:ascii="Times New Roman" w:hAnsi="Times New Roman" w:cs="Times New Roman"/>
                      <w:i w:val="0"/>
                      <w:iCs w:val="0"/>
                      <w:color w:val="auto"/>
                    </w:rPr>
                    <w:t>厂界</w:t>
                  </w:r>
                </w:p>
              </w:tc>
              <w:tc>
                <w:tcPr>
                  <w:tcW w:w="2158" w:type="dxa"/>
                  <w:noWrap w:val="0"/>
                  <w:vAlign w:val="center"/>
                </w:tcPr>
                <w:p w14:paraId="74BA1E16">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48.6</w:t>
                  </w:r>
                </w:p>
              </w:tc>
              <w:tc>
                <w:tcPr>
                  <w:tcW w:w="2530" w:type="dxa"/>
                  <w:noWrap w:val="0"/>
                  <w:vAlign w:val="center"/>
                </w:tcPr>
                <w:p w14:paraId="232D3E34">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48.6</w:t>
                  </w:r>
                </w:p>
              </w:tc>
              <w:tc>
                <w:tcPr>
                  <w:tcW w:w="1102" w:type="pct"/>
                  <w:noWrap w:val="0"/>
                  <w:vAlign w:val="center"/>
                </w:tcPr>
                <w:p w14:paraId="3D262187">
                  <w:pPr>
                    <w:keepNext w:val="0"/>
                    <w:keepLines w:val="0"/>
                    <w:pageBreakBefore w:val="0"/>
                    <w:widowControl w:val="0"/>
                    <w:suppressLineNumbers w:val="0"/>
                    <w:kinsoku/>
                    <w:overflowPunct/>
                    <w:bidi w:val="0"/>
                    <w:spacing w:beforeAutospacing="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cs="Times New Roman"/>
                      <w:i w:val="0"/>
                      <w:iCs w:val="0"/>
                      <w:color w:val="auto"/>
                    </w:rPr>
                    <w:t>达标</w:t>
                  </w:r>
                </w:p>
              </w:tc>
            </w:tr>
            <w:tr w14:paraId="5DE4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0" w:type="pct"/>
                  <w:noWrap w:val="0"/>
                  <w:vAlign w:val="center"/>
                </w:tcPr>
                <w:p w14:paraId="5F868B96">
                  <w:pPr>
                    <w:keepNext w:val="0"/>
                    <w:keepLines w:val="0"/>
                    <w:pageBreakBefore w:val="0"/>
                    <w:widowControl w:val="0"/>
                    <w:suppressLineNumbers w:val="0"/>
                    <w:kinsoku/>
                    <w:overflowPunct/>
                    <w:bidi w:val="0"/>
                    <w:spacing w:beforeAutospacing="0" w:afterAutospacing="0" w:line="240" w:lineRule="auto"/>
                    <w:ind w:left="0" w:leftChars="0" w:right="0" w:rightChars="0" w:firstLine="0" w:firstLineChars="0"/>
                    <w:contextualSpacing/>
                    <w:jc w:val="center"/>
                    <w:rPr>
                      <w:rFonts w:hint="default" w:ascii="Times New Roman" w:hAnsi="Times New Roman" w:cs="Times New Roman"/>
                      <w:i w:val="0"/>
                      <w:iCs w:val="0"/>
                      <w:color w:val="auto"/>
                    </w:rPr>
                  </w:pPr>
                  <w:r>
                    <w:rPr>
                      <w:rFonts w:hint="eastAsia" w:cs="Times New Roman"/>
                      <w:i w:val="0"/>
                      <w:iCs w:val="0"/>
                      <w:color w:val="auto"/>
                      <w:lang w:eastAsia="zh-CN"/>
                    </w:rPr>
                    <w:t>北</w:t>
                  </w:r>
                  <w:r>
                    <w:rPr>
                      <w:rFonts w:hint="default" w:ascii="Times New Roman" w:hAnsi="Times New Roman" w:cs="Times New Roman"/>
                      <w:i w:val="0"/>
                      <w:iCs w:val="0"/>
                      <w:color w:val="auto"/>
                    </w:rPr>
                    <w:t>厂界</w:t>
                  </w:r>
                </w:p>
              </w:tc>
              <w:tc>
                <w:tcPr>
                  <w:tcW w:w="2158" w:type="dxa"/>
                  <w:noWrap w:val="0"/>
                  <w:vAlign w:val="center"/>
                </w:tcPr>
                <w:p w14:paraId="0D2DE871">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lang w:val="en-US" w:eastAsia="zh-CN"/>
                    </w:rPr>
                    <w:t>43.8</w:t>
                  </w:r>
                </w:p>
              </w:tc>
              <w:tc>
                <w:tcPr>
                  <w:tcW w:w="2530" w:type="dxa"/>
                  <w:noWrap w:val="0"/>
                  <w:vAlign w:val="center"/>
                </w:tcPr>
                <w:p w14:paraId="487F9744">
                  <w:pPr>
                    <w:pStyle w:val="7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lang w:val="en-US" w:eastAsia="zh-CN"/>
                    </w:rPr>
                    <w:t>43.8</w:t>
                  </w:r>
                </w:p>
              </w:tc>
              <w:tc>
                <w:tcPr>
                  <w:tcW w:w="1102" w:type="pct"/>
                  <w:noWrap w:val="0"/>
                  <w:vAlign w:val="center"/>
                </w:tcPr>
                <w:p w14:paraId="1EB5272C">
                  <w:pPr>
                    <w:keepNext w:val="0"/>
                    <w:keepLines w:val="0"/>
                    <w:pageBreakBefore w:val="0"/>
                    <w:widowControl w:val="0"/>
                    <w:suppressLineNumbers w:val="0"/>
                    <w:kinsoku/>
                    <w:overflowPunct/>
                    <w:bidi w:val="0"/>
                    <w:spacing w:beforeAutospacing="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cs="Times New Roman"/>
                      <w:i w:val="0"/>
                      <w:iCs w:val="0"/>
                      <w:color w:val="auto"/>
                    </w:rPr>
                    <w:t>达标</w:t>
                  </w:r>
                </w:p>
              </w:tc>
            </w:tr>
          </w:tbl>
          <w:p w14:paraId="261B26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color w:val="auto"/>
                <w:kern w:val="0"/>
                <w:sz w:val="24"/>
                <w:szCs w:val="24"/>
                <w:lang w:val="en-US" w:eastAsia="zh-CN" w:bidi="ar-SA"/>
              </w:rPr>
              <w:t>表4-</w:t>
            </w:r>
            <w:r>
              <w:rPr>
                <w:rFonts w:hint="eastAsia" w:cs="Times New Roman"/>
                <w:b/>
                <w:color w:val="auto"/>
                <w:kern w:val="0"/>
                <w:sz w:val="24"/>
                <w:szCs w:val="24"/>
                <w:lang w:val="en-US" w:eastAsia="zh-CN" w:bidi="ar-SA"/>
              </w:rPr>
              <w:t>5</w:t>
            </w:r>
            <w:r>
              <w:rPr>
                <w:rFonts w:hint="eastAsia" w:ascii="Times New Roman" w:hAnsi="Times New Roman" w:eastAsia="宋体" w:cs="Times New Roman"/>
                <w:b/>
                <w:color w:val="auto"/>
                <w:kern w:val="0"/>
                <w:sz w:val="24"/>
                <w:szCs w:val="24"/>
                <w:lang w:val="en-US" w:eastAsia="zh-CN" w:bidi="ar-SA"/>
              </w:rPr>
              <w:t xml:space="preserve">  敏感点</w:t>
            </w:r>
            <w:r>
              <w:rPr>
                <w:rFonts w:hint="default" w:ascii="Times New Roman" w:hAnsi="Times New Roman" w:eastAsia="宋体" w:cs="Times New Roman"/>
                <w:b/>
                <w:color w:val="auto"/>
                <w:kern w:val="0"/>
                <w:sz w:val="24"/>
                <w:szCs w:val="24"/>
                <w:lang w:val="en-US" w:eastAsia="zh-CN" w:bidi="ar-SA"/>
              </w:rPr>
              <w:t>噪声值预测一览表</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1168"/>
              <w:gridCol w:w="1168"/>
              <w:gridCol w:w="1168"/>
              <w:gridCol w:w="1168"/>
              <w:gridCol w:w="1168"/>
              <w:gridCol w:w="1170"/>
              <w:gridCol w:w="696"/>
            </w:tblGrid>
            <w:tr w14:paraId="594CC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73" w:type="dxa"/>
                  <w:vMerge w:val="restart"/>
                  <w:noWrap w:val="0"/>
                  <w:vAlign w:val="center"/>
                </w:tcPr>
                <w:p w14:paraId="683FB858">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val="en-US" w:eastAsia="zh-CN"/>
                    </w:rPr>
                  </w:pPr>
                  <w:r>
                    <w:rPr>
                      <w:rFonts w:hint="default"/>
                      <w:b/>
                      <w:bCs/>
                      <w:color w:val="auto"/>
                      <w:highlight w:val="none"/>
                    </w:rPr>
                    <w:t>预测点</w:t>
                  </w:r>
                </w:p>
              </w:tc>
              <w:tc>
                <w:tcPr>
                  <w:tcW w:w="2336" w:type="dxa"/>
                  <w:gridSpan w:val="2"/>
                  <w:noWrap w:val="0"/>
                  <w:vAlign w:val="center"/>
                </w:tcPr>
                <w:p w14:paraId="377A6ADF">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eastAsia="zh-CN"/>
                    </w:rPr>
                  </w:pPr>
                  <w:r>
                    <w:rPr>
                      <w:rFonts w:hint="eastAsia"/>
                      <w:b/>
                      <w:bCs/>
                      <w:color w:val="auto"/>
                      <w:highlight w:val="none"/>
                      <w:lang w:val="en-US" w:eastAsia="zh-CN"/>
                    </w:rPr>
                    <w:t>背景值</w:t>
                  </w:r>
                </w:p>
              </w:tc>
              <w:tc>
                <w:tcPr>
                  <w:tcW w:w="2336" w:type="dxa"/>
                  <w:gridSpan w:val="2"/>
                  <w:noWrap w:val="0"/>
                  <w:vAlign w:val="center"/>
                </w:tcPr>
                <w:p w14:paraId="1AD1F597">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val="en-US" w:eastAsia="zh-CN"/>
                    </w:rPr>
                  </w:pPr>
                  <w:r>
                    <w:rPr>
                      <w:rFonts w:hint="eastAsia"/>
                      <w:b/>
                      <w:bCs/>
                      <w:color w:val="auto"/>
                      <w:highlight w:val="none"/>
                      <w:lang w:val="en-US" w:eastAsia="zh-CN"/>
                    </w:rPr>
                    <w:t>贡献值</w:t>
                  </w:r>
                </w:p>
              </w:tc>
              <w:tc>
                <w:tcPr>
                  <w:tcW w:w="2338" w:type="dxa"/>
                  <w:gridSpan w:val="2"/>
                  <w:noWrap w:val="0"/>
                  <w:vAlign w:val="center"/>
                </w:tcPr>
                <w:p w14:paraId="5DE32488">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eastAsia"/>
                      <w:b/>
                      <w:bCs/>
                      <w:color w:val="auto"/>
                      <w:highlight w:val="none"/>
                      <w:lang w:val="en-US" w:eastAsia="zh-CN"/>
                    </w:rPr>
                  </w:pPr>
                  <w:r>
                    <w:rPr>
                      <w:rFonts w:hint="eastAsia"/>
                      <w:b/>
                      <w:bCs/>
                      <w:color w:val="auto"/>
                      <w:highlight w:val="none"/>
                      <w:lang w:val="en-US" w:eastAsia="zh-CN"/>
                    </w:rPr>
                    <w:t>预测值</w:t>
                  </w:r>
                </w:p>
              </w:tc>
              <w:tc>
                <w:tcPr>
                  <w:tcW w:w="696" w:type="dxa"/>
                  <w:vMerge w:val="restart"/>
                  <w:noWrap w:val="0"/>
                  <w:vAlign w:val="center"/>
                </w:tcPr>
                <w:p w14:paraId="321DB6C2">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val="en-US" w:eastAsia="zh-CN"/>
                    </w:rPr>
                  </w:pPr>
                  <w:r>
                    <w:rPr>
                      <w:rFonts w:hint="eastAsia"/>
                      <w:b/>
                      <w:bCs/>
                      <w:color w:val="auto"/>
                      <w:highlight w:val="none"/>
                      <w:lang w:val="en-US" w:eastAsia="zh-CN"/>
                    </w:rPr>
                    <w:t>达标情况</w:t>
                  </w:r>
                </w:p>
              </w:tc>
            </w:tr>
            <w:tr w14:paraId="2B342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73" w:type="dxa"/>
                  <w:vMerge w:val="continue"/>
                  <w:noWrap w:val="0"/>
                  <w:vAlign w:val="center"/>
                </w:tcPr>
                <w:p w14:paraId="42011B3C">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val="en-US" w:eastAsia="zh-CN"/>
                    </w:rPr>
                  </w:pPr>
                </w:p>
              </w:tc>
              <w:tc>
                <w:tcPr>
                  <w:tcW w:w="1168" w:type="dxa"/>
                  <w:noWrap w:val="0"/>
                  <w:vAlign w:val="center"/>
                </w:tcPr>
                <w:p w14:paraId="1832F058">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eastAsia="zh-CN"/>
                    </w:rPr>
                  </w:pPr>
                  <w:r>
                    <w:rPr>
                      <w:rFonts w:hint="default"/>
                      <w:b/>
                      <w:bCs/>
                      <w:color w:val="auto"/>
                      <w:highlight w:val="none"/>
                      <w:lang w:eastAsia="zh-CN"/>
                    </w:rPr>
                    <w:t>昼间Leq dB（A）</w:t>
                  </w:r>
                </w:p>
              </w:tc>
              <w:tc>
                <w:tcPr>
                  <w:tcW w:w="1168" w:type="dxa"/>
                  <w:noWrap w:val="0"/>
                  <w:vAlign w:val="center"/>
                </w:tcPr>
                <w:p w14:paraId="00FF1999">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eastAsia="zh-CN"/>
                    </w:rPr>
                  </w:pPr>
                  <w:r>
                    <w:rPr>
                      <w:rFonts w:hint="default" w:ascii="Times New Roman" w:hAnsi="Times New Roman" w:cs="Times New Roman"/>
                      <w:b/>
                      <w:bCs/>
                      <w:i w:val="0"/>
                      <w:iCs w:val="0"/>
                      <w:color w:val="auto"/>
                      <w:lang w:val="en-US" w:eastAsia="zh-CN"/>
                    </w:rPr>
                    <w:t>夜间</w:t>
                  </w:r>
                  <w:r>
                    <w:rPr>
                      <w:rFonts w:hint="default" w:ascii="Times New Roman" w:hAnsi="Times New Roman" w:cs="Times New Roman"/>
                      <w:b/>
                      <w:bCs/>
                      <w:i w:val="0"/>
                      <w:iCs w:val="0"/>
                      <w:color w:val="auto"/>
                    </w:rPr>
                    <w:t>dB(A)</w:t>
                  </w:r>
                </w:p>
              </w:tc>
              <w:tc>
                <w:tcPr>
                  <w:tcW w:w="1168" w:type="dxa"/>
                  <w:noWrap w:val="0"/>
                  <w:vAlign w:val="center"/>
                </w:tcPr>
                <w:p w14:paraId="3FA43A3D">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val="en-US" w:eastAsia="zh-CN"/>
                    </w:rPr>
                  </w:pPr>
                  <w:r>
                    <w:rPr>
                      <w:rFonts w:hint="default"/>
                      <w:b/>
                      <w:bCs/>
                      <w:color w:val="auto"/>
                      <w:highlight w:val="none"/>
                      <w:lang w:eastAsia="zh-CN"/>
                    </w:rPr>
                    <w:t>昼间Leq dB（A）</w:t>
                  </w:r>
                </w:p>
              </w:tc>
              <w:tc>
                <w:tcPr>
                  <w:tcW w:w="1168" w:type="dxa"/>
                  <w:noWrap w:val="0"/>
                  <w:vAlign w:val="center"/>
                </w:tcPr>
                <w:p w14:paraId="71BA0FC0">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eastAsia="zh-CN"/>
                    </w:rPr>
                  </w:pPr>
                  <w:r>
                    <w:rPr>
                      <w:rFonts w:hint="default" w:ascii="Times New Roman" w:hAnsi="Times New Roman" w:cs="Times New Roman"/>
                      <w:b/>
                      <w:bCs/>
                      <w:i w:val="0"/>
                      <w:iCs w:val="0"/>
                      <w:color w:val="auto"/>
                      <w:lang w:val="en-US" w:eastAsia="zh-CN"/>
                    </w:rPr>
                    <w:t>夜间</w:t>
                  </w:r>
                  <w:r>
                    <w:rPr>
                      <w:rFonts w:hint="default" w:ascii="Times New Roman" w:hAnsi="Times New Roman" w:cs="Times New Roman"/>
                      <w:b/>
                      <w:bCs/>
                      <w:i w:val="0"/>
                      <w:iCs w:val="0"/>
                      <w:color w:val="auto"/>
                    </w:rPr>
                    <w:t>dB(A)</w:t>
                  </w:r>
                </w:p>
              </w:tc>
              <w:tc>
                <w:tcPr>
                  <w:tcW w:w="1168" w:type="dxa"/>
                  <w:noWrap w:val="0"/>
                  <w:vAlign w:val="center"/>
                </w:tcPr>
                <w:p w14:paraId="673112FA">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val="en-US" w:eastAsia="zh-CN"/>
                    </w:rPr>
                  </w:pPr>
                  <w:r>
                    <w:rPr>
                      <w:rFonts w:hint="default"/>
                      <w:b/>
                      <w:bCs/>
                      <w:color w:val="auto"/>
                      <w:highlight w:val="none"/>
                      <w:lang w:eastAsia="zh-CN"/>
                    </w:rPr>
                    <w:t>昼间Leq dB（A）</w:t>
                  </w:r>
                </w:p>
              </w:tc>
              <w:tc>
                <w:tcPr>
                  <w:tcW w:w="1170" w:type="dxa"/>
                  <w:noWrap w:val="0"/>
                  <w:vAlign w:val="center"/>
                </w:tcPr>
                <w:p w14:paraId="4292CF0A">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eastAsia="zh-CN"/>
                    </w:rPr>
                  </w:pPr>
                  <w:r>
                    <w:rPr>
                      <w:rFonts w:hint="default" w:ascii="Times New Roman" w:hAnsi="Times New Roman" w:cs="Times New Roman"/>
                      <w:b/>
                      <w:bCs/>
                      <w:i w:val="0"/>
                      <w:iCs w:val="0"/>
                      <w:color w:val="auto"/>
                      <w:lang w:val="en-US" w:eastAsia="zh-CN"/>
                    </w:rPr>
                    <w:t>夜间</w:t>
                  </w:r>
                  <w:r>
                    <w:rPr>
                      <w:rFonts w:hint="default" w:ascii="Times New Roman" w:hAnsi="Times New Roman" w:cs="Times New Roman"/>
                      <w:b/>
                      <w:bCs/>
                      <w:i w:val="0"/>
                      <w:iCs w:val="0"/>
                      <w:color w:val="auto"/>
                    </w:rPr>
                    <w:t>dB(A)</w:t>
                  </w:r>
                </w:p>
              </w:tc>
              <w:tc>
                <w:tcPr>
                  <w:tcW w:w="696" w:type="dxa"/>
                  <w:vMerge w:val="continue"/>
                  <w:noWrap w:val="0"/>
                  <w:vAlign w:val="center"/>
                </w:tcPr>
                <w:p w14:paraId="2A6C2846">
                  <w:pPr>
                    <w:pStyle w:val="99"/>
                    <w:keepNext w:val="0"/>
                    <w:keepLines w:val="0"/>
                    <w:pageBreakBefore w:val="0"/>
                    <w:widowControl w:val="0"/>
                    <w:kinsoku/>
                    <w:wordWrap/>
                    <w:overflowPunct/>
                    <w:topLinePunct w:val="0"/>
                    <w:bidi w:val="0"/>
                    <w:spacing w:beforeAutospacing="0" w:afterAutospacing="0"/>
                    <w:ind w:left="0" w:leftChars="0" w:right="0" w:rightChars="0"/>
                    <w:textAlignment w:val="auto"/>
                    <w:rPr>
                      <w:rFonts w:hint="default"/>
                      <w:b/>
                      <w:bCs/>
                      <w:color w:val="auto"/>
                      <w:highlight w:val="none"/>
                      <w:lang w:eastAsia="zh-CN"/>
                    </w:rPr>
                  </w:pPr>
                </w:p>
              </w:tc>
            </w:tr>
            <w:tr w14:paraId="292F0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73" w:type="dxa"/>
                  <w:tcBorders>
                    <w:right w:val="single" w:color="auto" w:sz="4" w:space="0"/>
                  </w:tcBorders>
                  <w:noWrap w:val="0"/>
                  <w:vAlign w:val="center"/>
                </w:tcPr>
                <w:p w14:paraId="6EF2E6B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val="0"/>
                      <w:bCs w:val="0"/>
                      <w:color w:val="auto"/>
                      <w:sz w:val="21"/>
                      <w:szCs w:val="21"/>
                      <w:lang w:val="en-US" w:eastAsia="zh-CN"/>
                    </w:rPr>
                    <w:t>沿街</w:t>
                  </w:r>
                  <w:r>
                    <w:rPr>
                      <w:rFonts w:hint="eastAsia" w:ascii="Times New Roman" w:hAnsi="Times New Roman" w:eastAsia="宋体" w:cs="Times New Roman"/>
                      <w:b w:val="0"/>
                      <w:bCs w:val="0"/>
                      <w:color w:val="auto"/>
                      <w:sz w:val="21"/>
                      <w:szCs w:val="21"/>
                      <w:lang w:val="en-US" w:eastAsia="zh-CN"/>
                    </w:rPr>
                    <w:t>居民</w:t>
                  </w:r>
                </w:p>
              </w:tc>
              <w:tc>
                <w:tcPr>
                  <w:tcW w:w="1168" w:type="dxa"/>
                  <w:noWrap w:val="0"/>
                  <w:vAlign w:val="center"/>
                </w:tcPr>
                <w:p w14:paraId="49D8D92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kern w:val="2"/>
                      <w:sz w:val="21"/>
                      <w:szCs w:val="21"/>
                      <w:lang w:val="en-US" w:eastAsia="zh-CN" w:bidi="ar-SA"/>
                    </w:rPr>
                    <w:t>45.2</w:t>
                  </w:r>
                </w:p>
              </w:tc>
              <w:tc>
                <w:tcPr>
                  <w:tcW w:w="1168" w:type="dxa"/>
                  <w:noWrap w:val="0"/>
                  <w:vAlign w:val="center"/>
                </w:tcPr>
                <w:p w14:paraId="66C2E7E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kern w:val="2"/>
                      <w:sz w:val="21"/>
                      <w:szCs w:val="21"/>
                      <w:lang w:val="en-US" w:eastAsia="zh-CN" w:bidi="ar-SA"/>
                    </w:rPr>
                    <w:t>40.4</w:t>
                  </w:r>
                </w:p>
              </w:tc>
              <w:tc>
                <w:tcPr>
                  <w:tcW w:w="1168" w:type="dxa"/>
                  <w:noWrap w:val="0"/>
                  <w:vAlign w:val="center"/>
                </w:tcPr>
                <w:p w14:paraId="6F4BCF41">
                  <w:pPr>
                    <w:pStyle w:val="99"/>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43.6</w:t>
                  </w:r>
                </w:p>
              </w:tc>
              <w:tc>
                <w:tcPr>
                  <w:tcW w:w="1168" w:type="dxa"/>
                  <w:noWrap w:val="0"/>
                  <w:vAlign w:val="center"/>
                </w:tcPr>
                <w:p w14:paraId="106FCFF4">
                  <w:pPr>
                    <w:pStyle w:val="99"/>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43.6</w:t>
                  </w:r>
                </w:p>
              </w:tc>
              <w:tc>
                <w:tcPr>
                  <w:tcW w:w="1168" w:type="dxa"/>
                  <w:noWrap w:val="0"/>
                  <w:vAlign w:val="center"/>
                </w:tcPr>
                <w:p w14:paraId="20F3A40A">
                  <w:pPr>
                    <w:pStyle w:val="99"/>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47.4</w:t>
                  </w:r>
                </w:p>
              </w:tc>
              <w:tc>
                <w:tcPr>
                  <w:tcW w:w="1170" w:type="dxa"/>
                  <w:noWrap w:val="0"/>
                  <w:vAlign w:val="center"/>
                </w:tcPr>
                <w:p w14:paraId="1A9C5721">
                  <w:pPr>
                    <w:pStyle w:val="99"/>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textAlignment w:val="auto"/>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45.3</w:t>
                  </w:r>
                </w:p>
              </w:tc>
              <w:tc>
                <w:tcPr>
                  <w:tcW w:w="696" w:type="dxa"/>
                  <w:noWrap w:val="0"/>
                  <w:vAlign w:val="center"/>
                </w:tcPr>
                <w:p w14:paraId="25011EFD">
                  <w:pPr>
                    <w:pStyle w:val="99"/>
                    <w:keepNext w:val="0"/>
                    <w:keepLines w:val="0"/>
                    <w:pageBreakBefore w:val="0"/>
                    <w:widowControl w:val="0"/>
                    <w:kinsoku/>
                    <w:wordWrap/>
                    <w:overflowPunct/>
                    <w:topLinePunct w:val="0"/>
                    <w:bidi w:val="0"/>
                    <w:spacing w:beforeAutospacing="0" w:afterAutospacing="0"/>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达标</w:t>
                  </w:r>
                </w:p>
              </w:tc>
            </w:tr>
          </w:tbl>
          <w:p w14:paraId="3E110A5B">
            <w:pPr>
              <w:keepNext w:val="0"/>
              <w:keepLines w:val="0"/>
              <w:pageBreakBefore w:val="0"/>
              <w:widowControl w:val="0"/>
              <w:suppressLineNumbers w:val="0"/>
              <w:tabs>
                <w:tab w:val="left" w:pos="0"/>
              </w:tabs>
              <w:kinsoku/>
              <w:overflowPunct/>
              <w:bidi w:val="0"/>
              <w:spacing w:beforeAutospacing="0" w:afterAutospacing="0" w:line="360" w:lineRule="auto"/>
              <w:ind w:left="0" w:leftChars="0" w:right="0" w:firstLine="480" w:firstLineChars="200"/>
              <w:rPr>
                <w:rFonts w:hint="default" w:ascii="Times New Roman" w:hAnsi="Times New Roman" w:eastAsia="宋体" w:cs="Times New Roman"/>
                <w:i w:val="0"/>
                <w:iCs w:val="0"/>
                <w:color w:val="auto"/>
                <w:sz w:val="24"/>
                <w:lang w:eastAsia="zh-CN"/>
              </w:rPr>
            </w:pPr>
            <w:r>
              <w:rPr>
                <w:rFonts w:hint="default" w:ascii="Times New Roman" w:hAnsi="Times New Roman" w:eastAsia="宋体" w:cs="Times New Roman"/>
                <w:i w:val="0"/>
                <w:iCs w:val="0"/>
                <w:color w:val="auto"/>
                <w:sz w:val="24"/>
                <w:lang w:eastAsia="zh-CN"/>
              </w:rPr>
              <w:t>根据上述预测结果，</w:t>
            </w:r>
            <w:r>
              <w:rPr>
                <w:rFonts w:hint="eastAsia" w:ascii="Times New Roman" w:hAnsi="Times New Roman" w:eastAsia="宋体" w:cs="Times New Roman"/>
                <w:i w:val="0"/>
                <w:iCs w:val="0"/>
                <w:color w:val="auto"/>
                <w:sz w:val="24"/>
                <w:lang w:eastAsia="zh-CN"/>
              </w:rPr>
              <w:t>厂界四周昼、夜间噪声预测值满足《工业企业厂界环境噪声排放标准》（GB12348-2008）</w:t>
            </w:r>
            <w:r>
              <w:rPr>
                <w:rFonts w:hint="eastAsia" w:ascii="Times New Roman" w:hAnsi="Times New Roman" w:eastAsia="宋体" w:cs="Times New Roman"/>
                <w:i w:val="0"/>
                <w:iCs w:val="0"/>
                <w:color w:val="auto"/>
                <w:sz w:val="24"/>
                <w:lang w:val="en-US" w:eastAsia="zh-CN"/>
              </w:rPr>
              <w:t>2</w:t>
            </w:r>
            <w:r>
              <w:rPr>
                <w:rFonts w:hint="eastAsia" w:ascii="Times New Roman" w:hAnsi="Times New Roman" w:eastAsia="宋体" w:cs="Times New Roman"/>
                <w:i w:val="0"/>
                <w:iCs w:val="0"/>
                <w:color w:val="auto"/>
                <w:sz w:val="24"/>
                <w:lang w:eastAsia="zh-CN"/>
              </w:rPr>
              <w:t>类标准限值要求，敏感点噪声预测值满足《声环境质量标准》（GB3096-2008）中2类标准限值的要求</w:t>
            </w:r>
            <w:r>
              <w:rPr>
                <w:rFonts w:hint="default" w:ascii="Times New Roman" w:hAnsi="Times New Roman" w:eastAsia="宋体" w:cs="Times New Roman"/>
                <w:i w:val="0"/>
                <w:iCs w:val="0"/>
                <w:color w:val="auto"/>
                <w:sz w:val="24"/>
                <w:lang w:eastAsia="zh-CN"/>
              </w:rPr>
              <w:t>。</w:t>
            </w:r>
          </w:p>
          <w:p w14:paraId="1835879C">
            <w:pPr>
              <w:keepNext w:val="0"/>
              <w:keepLines w:val="0"/>
              <w:pageBreakBefore w:val="0"/>
              <w:widowControl w:val="0"/>
              <w:suppressLineNumbers w:val="0"/>
              <w:tabs>
                <w:tab w:val="left" w:pos="0"/>
              </w:tabs>
              <w:kinsoku/>
              <w:overflowPunct/>
              <w:bidi w:val="0"/>
              <w:spacing w:beforeAutospacing="0" w:afterAutospacing="0" w:line="360" w:lineRule="auto"/>
              <w:ind w:left="0" w:leftChars="0" w:right="0" w:firstLine="480" w:firstLineChars="200"/>
              <w:rPr>
                <w:rFonts w:hint="eastAsia" w:ascii="Times New Roman" w:hAnsi="Times New Roman" w:eastAsia="宋体" w:cs="Times New Roman"/>
                <w:i w:val="0"/>
                <w:iCs w:val="0"/>
                <w:color w:val="auto"/>
                <w:sz w:val="24"/>
                <w:lang w:val="en-US" w:eastAsia="zh-CN"/>
              </w:rPr>
            </w:pPr>
            <w:r>
              <w:rPr>
                <w:rFonts w:hint="default" w:ascii="Times New Roman" w:hAnsi="Times New Roman" w:eastAsia="宋体" w:cs="Times New Roman"/>
                <w:i w:val="0"/>
                <w:iCs w:val="0"/>
                <w:color w:val="auto"/>
                <w:sz w:val="24"/>
                <w:lang w:eastAsia="zh-CN"/>
              </w:rPr>
              <w:t>建议建设单位拟通过以下方式控制项目噪声：</w:t>
            </w:r>
          </w:p>
          <w:p w14:paraId="4ABD64AA">
            <w:pPr>
              <w:keepNext w:val="0"/>
              <w:keepLines w:val="0"/>
              <w:pageBreakBefore w:val="0"/>
              <w:widowControl w:val="0"/>
              <w:suppressLineNumbers w:val="0"/>
              <w:tabs>
                <w:tab w:val="left" w:pos="0"/>
              </w:tabs>
              <w:kinsoku/>
              <w:overflowPunct/>
              <w:bidi w:val="0"/>
              <w:spacing w:beforeAutospacing="0" w:afterAutospacing="0" w:line="360" w:lineRule="auto"/>
              <w:ind w:left="0" w:leftChars="0" w:right="0" w:firstLine="480" w:firstLineChars="200"/>
              <w:rPr>
                <w:rFonts w:hint="default" w:ascii="Times New Roman" w:hAnsi="Times New Roman" w:eastAsia="宋体" w:cs="Times New Roman"/>
                <w:i w:val="0"/>
                <w:iCs w:val="0"/>
                <w:color w:val="auto"/>
                <w:sz w:val="24"/>
                <w:lang w:eastAsia="zh-CN"/>
              </w:rPr>
            </w:pPr>
            <w:r>
              <w:rPr>
                <w:rFonts w:hint="default" w:ascii="Times New Roman" w:hAnsi="Times New Roman" w:eastAsia="宋体" w:cs="Times New Roman"/>
                <w:i w:val="0"/>
                <w:iCs w:val="0"/>
                <w:color w:val="auto"/>
                <w:sz w:val="24"/>
                <w:lang w:eastAsia="zh-CN"/>
              </w:rPr>
              <w:t>①选择低噪声和符合国家噪声标准的生产设备，对高噪声设备安装减振垫</w:t>
            </w:r>
            <w:r>
              <w:rPr>
                <w:rFonts w:hint="eastAsia" w:ascii="Times New Roman" w:hAnsi="Times New Roman" w:eastAsia="宋体" w:cs="Times New Roman"/>
                <w:i w:val="0"/>
                <w:iCs w:val="0"/>
                <w:color w:val="auto"/>
                <w:sz w:val="24"/>
                <w:lang w:val="en-US" w:eastAsia="zh-CN"/>
              </w:rPr>
              <w:t>等</w:t>
            </w:r>
            <w:r>
              <w:rPr>
                <w:rFonts w:hint="default" w:ascii="Times New Roman" w:hAnsi="Times New Roman" w:eastAsia="宋体" w:cs="Times New Roman"/>
                <w:i w:val="0"/>
                <w:iCs w:val="0"/>
                <w:color w:val="auto"/>
                <w:sz w:val="24"/>
                <w:lang w:eastAsia="zh-CN"/>
              </w:rPr>
              <w:t>减振设备</w:t>
            </w:r>
            <w:r>
              <w:rPr>
                <w:rFonts w:hint="eastAsia" w:ascii="Times New Roman" w:hAnsi="Times New Roman" w:eastAsia="宋体" w:cs="Times New Roman"/>
                <w:i w:val="0"/>
                <w:iCs w:val="0"/>
                <w:color w:val="auto"/>
                <w:sz w:val="24"/>
                <w:lang w:eastAsia="zh-CN"/>
              </w:rPr>
              <w:t>。</w:t>
            </w:r>
          </w:p>
          <w:p w14:paraId="2AF521D1">
            <w:pPr>
              <w:keepNext w:val="0"/>
              <w:keepLines w:val="0"/>
              <w:pageBreakBefore w:val="0"/>
              <w:widowControl w:val="0"/>
              <w:suppressLineNumbers w:val="0"/>
              <w:tabs>
                <w:tab w:val="left" w:pos="0"/>
              </w:tabs>
              <w:kinsoku/>
              <w:overflowPunct/>
              <w:bidi w:val="0"/>
              <w:spacing w:beforeAutospacing="0" w:afterAutospacing="0" w:line="360" w:lineRule="auto"/>
              <w:ind w:left="0" w:leftChars="0" w:right="0" w:firstLine="480" w:firstLineChars="200"/>
              <w:rPr>
                <w:rFonts w:hint="default" w:ascii="Times New Roman" w:hAnsi="Times New Roman" w:eastAsia="宋体" w:cs="Times New Roman"/>
                <w:i w:val="0"/>
                <w:iCs w:val="0"/>
                <w:color w:val="auto"/>
                <w:sz w:val="24"/>
                <w:lang w:eastAsia="zh-CN"/>
              </w:rPr>
            </w:pPr>
            <w:r>
              <w:rPr>
                <w:rFonts w:hint="default" w:ascii="Times New Roman" w:hAnsi="Times New Roman" w:eastAsia="宋体" w:cs="Times New Roman"/>
                <w:i w:val="0"/>
                <w:iCs w:val="0"/>
                <w:color w:val="auto"/>
                <w:sz w:val="24"/>
                <w:lang w:eastAsia="zh-CN"/>
              </w:rPr>
              <w:t>②建立设备定期维护，保养的管理制度，加强机械设备维修保养，适时添加</w:t>
            </w:r>
            <w:r>
              <w:rPr>
                <w:rFonts w:hint="default" w:ascii="Times New Roman" w:hAnsi="Times New Roman" w:eastAsia="宋体" w:cs="Times New Roman"/>
                <w:i w:val="0"/>
                <w:iCs w:val="0"/>
                <w:color w:val="auto"/>
                <w:sz w:val="24"/>
                <w:lang w:val="en-US" w:eastAsia="zh-CN"/>
              </w:rPr>
              <w:t>齿轮油、黄油</w:t>
            </w:r>
            <w:r>
              <w:rPr>
                <w:rFonts w:hint="default" w:ascii="Times New Roman" w:hAnsi="Times New Roman" w:eastAsia="宋体" w:cs="Times New Roman"/>
                <w:i w:val="0"/>
                <w:iCs w:val="0"/>
                <w:color w:val="auto"/>
                <w:sz w:val="24"/>
                <w:lang w:eastAsia="zh-CN"/>
              </w:rPr>
              <w:t>防止机械磨损，以防止设备故障形成的非正常生产噪声，杜绝因设备不正常运转时产生的高噪声现象，同时确保环保措施发挥最佳有效的功能。加强职工环保意识教育，提倡文明生产，减少人为噪声</w:t>
            </w:r>
            <w:r>
              <w:rPr>
                <w:rFonts w:hint="eastAsia" w:ascii="Times New Roman" w:hAnsi="Times New Roman" w:eastAsia="宋体" w:cs="Times New Roman"/>
                <w:i w:val="0"/>
                <w:iCs w:val="0"/>
                <w:color w:val="auto"/>
                <w:sz w:val="24"/>
                <w:lang w:eastAsia="zh-CN"/>
              </w:rPr>
              <w:t>。</w:t>
            </w:r>
          </w:p>
          <w:p w14:paraId="12ECE91F">
            <w:pPr>
              <w:keepNext w:val="0"/>
              <w:keepLines w:val="0"/>
              <w:pageBreakBefore w:val="0"/>
              <w:widowControl w:val="0"/>
              <w:kinsoku/>
              <w:overflowPunct/>
              <w:bidi w:val="0"/>
              <w:adjustRightInd w:val="0"/>
              <w:snapToGrid w:val="0"/>
              <w:spacing w:beforeAutospacing="0" w:afterAutospacing="0" w:line="360" w:lineRule="auto"/>
              <w:ind w:left="0" w:leftChars="0" w:firstLine="442" w:firstLineChars="200"/>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lang w:val="en-US" w:eastAsia="zh-CN"/>
              </w:rPr>
              <w:t>4、</w:t>
            </w:r>
            <w:r>
              <w:rPr>
                <w:rFonts w:hint="default" w:ascii="Times New Roman" w:hAnsi="Times New Roman" w:cs="Times New Roman"/>
                <w:b/>
                <w:bCs/>
                <w:color w:val="auto"/>
                <w:spacing w:val="-10"/>
                <w:sz w:val="24"/>
              </w:rPr>
              <w:t>监测计划</w:t>
            </w:r>
          </w:p>
          <w:p w14:paraId="2D0C84C8">
            <w:pPr>
              <w:keepNext w:val="0"/>
              <w:keepLines w:val="0"/>
              <w:pageBreakBefore w:val="0"/>
              <w:widowControl w:val="0"/>
              <w:kinsoku/>
              <w:overflowPunct/>
              <w:bidi w:val="0"/>
              <w:adjustRightInd w:val="0"/>
              <w:snapToGrid w:val="0"/>
              <w:spacing w:beforeAutospacing="0" w:afterAutospacing="0" w:line="360" w:lineRule="auto"/>
              <w:ind w:left="0" w:leftChars="0" w:firstLine="480" w:firstLineChars="200"/>
              <w:rPr>
                <w:rFonts w:hint="default" w:ascii="Times New Roman" w:hAnsi="Times New Roman" w:cs="Times New Roman"/>
                <w:bCs/>
                <w:color w:val="auto"/>
                <w:spacing w:val="-10"/>
                <w:sz w:val="24"/>
              </w:rPr>
            </w:pPr>
            <w:r>
              <w:rPr>
                <w:rFonts w:hint="default" w:ascii="Times New Roman" w:hAnsi="Times New Roman" w:cs="Times New Roman"/>
                <w:bCs/>
                <w:color w:val="auto"/>
                <w:sz w:val="24"/>
              </w:rPr>
              <w:t>根据《排污单位自行监测技术指南 总则》（HJ819-2017），制定本项目噪声监测计划如下：</w:t>
            </w:r>
          </w:p>
          <w:p w14:paraId="1C8CC805">
            <w:pPr>
              <w:pStyle w:val="7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 项目噪声监测计划表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1396"/>
              <w:gridCol w:w="2477"/>
              <w:gridCol w:w="2862"/>
            </w:tblGrid>
            <w:tr w14:paraId="33ED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noWrap w:val="0"/>
                  <w:vAlign w:val="center"/>
                </w:tcPr>
                <w:p w14:paraId="344069DF">
                  <w:pPr>
                    <w:keepNext w:val="0"/>
                    <w:keepLines w:val="0"/>
                    <w:pageBreakBefore w:val="0"/>
                    <w:widowControl w:val="0"/>
                    <w:tabs>
                      <w:tab w:val="left" w:pos="2457"/>
                    </w:tabs>
                    <w:kinsoku/>
                    <w:overflowPunct/>
                    <w:bidi w:val="0"/>
                    <w:spacing w:beforeAutospacing="0" w:afterAutospacing="0"/>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795" w:type="pct"/>
                  <w:noWrap w:val="0"/>
                  <w:vAlign w:val="center"/>
                </w:tcPr>
                <w:p w14:paraId="675C8096">
                  <w:pPr>
                    <w:keepNext w:val="0"/>
                    <w:keepLines w:val="0"/>
                    <w:pageBreakBefore w:val="0"/>
                    <w:widowControl w:val="0"/>
                    <w:tabs>
                      <w:tab w:val="left" w:pos="2457"/>
                    </w:tabs>
                    <w:kinsoku/>
                    <w:overflowPunct/>
                    <w:bidi w:val="0"/>
                    <w:spacing w:beforeAutospacing="0" w:afterAutospacing="0"/>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410" w:type="pct"/>
                  <w:noWrap w:val="0"/>
                  <w:vAlign w:val="center"/>
                </w:tcPr>
                <w:p w14:paraId="3497E7AD">
                  <w:pPr>
                    <w:keepNext w:val="0"/>
                    <w:keepLines w:val="0"/>
                    <w:pageBreakBefore w:val="0"/>
                    <w:widowControl w:val="0"/>
                    <w:tabs>
                      <w:tab w:val="left" w:pos="2457"/>
                    </w:tabs>
                    <w:kinsoku/>
                    <w:overflowPunct/>
                    <w:bidi w:val="0"/>
                    <w:spacing w:beforeAutospacing="0" w:afterAutospacing="0"/>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1630" w:type="pct"/>
                  <w:noWrap w:val="0"/>
                  <w:vAlign w:val="center"/>
                </w:tcPr>
                <w:p w14:paraId="2D051663">
                  <w:pPr>
                    <w:keepNext w:val="0"/>
                    <w:keepLines w:val="0"/>
                    <w:pageBreakBefore w:val="0"/>
                    <w:widowControl w:val="0"/>
                    <w:tabs>
                      <w:tab w:val="left" w:pos="2457"/>
                    </w:tabs>
                    <w:kinsoku/>
                    <w:overflowPunct/>
                    <w:bidi w:val="0"/>
                    <w:spacing w:beforeAutospacing="0" w:afterAutospacing="0"/>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r>
            <w:tr w14:paraId="40D3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noWrap w:val="0"/>
                  <w:vAlign w:val="center"/>
                </w:tcPr>
                <w:p w14:paraId="61DCED22">
                  <w:pPr>
                    <w:keepNext w:val="0"/>
                    <w:keepLines w:val="0"/>
                    <w:pageBreakBefore w:val="0"/>
                    <w:widowControl w:val="0"/>
                    <w:tabs>
                      <w:tab w:val="left" w:pos="2457"/>
                    </w:tabs>
                    <w:kinsoku/>
                    <w:overflowPunct/>
                    <w:bidi w:val="0"/>
                    <w:spacing w:beforeAutospacing="0" w:afterAutospacing="0"/>
                    <w:ind w:left="0" w:leftChars="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水厂</w:t>
                  </w:r>
                  <w:r>
                    <w:rPr>
                      <w:rFonts w:hint="default" w:ascii="Times New Roman" w:hAnsi="Times New Roman" w:cs="Times New Roman"/>
                      <w:color w:val="auto"/>
                      <w:szCs w:val="21"/>
                    </w:rPr>
                    <w:t>厂界噪声</w:t>
                  </w:r>
                </w:p>
              </w:tc>
              <w:tc>
                <w:tcPr>
                  <w:tcW w:w="795" w:type="pct"/>
                  <w:noWrap w:val="0"/>
                  <w:vAlign w:val="center"/>
                </w:tcPr>
                <w:p w14:paraId="00FF570B">
                  <w:pPr>
                    <w:keepNext w:val="0"/>
                    <w:keepLines w:val="0"/>
                    <w:pageBreakBefore w:val="0"/>
                    <w:widowControl w:val="0"/>
                    <w:tabs>
                      <w:tab w:val="left" w:pos="2457"/>
                    </w:tabs>
                    <w:kinsoku/>
                    <w:overflowPunct/>
                    <w:bidi w:val="0"/>
                    <w:spacing w:beforeAutospacing="0" w:afterAutospacing="0"/>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厂界</w:t>
                  </w:r>
                </w:p>
              </w:tc>
              <w:tc>
                <w:tcPr>
                  <w:tcW w:w="1410" w:type="pct"/>
                  <w:noWrap w:val="0"/>
                  <w:vAlign w:val="center"/>
                </w:tcPr>
                <w:p w14:paraId="319A06ED">
                  <w:pPr>
                    <w:keepNext w:val="0"/>
                    <w:keepLines w:val="0"/>
                    <w:pageBreakBefore w:val="0"/>
                    <w:widowControl w:val="0"/>
                    <w:tabs>
                      <w:tab w:val="left" w:pos="2457"/>
                    </w:tabs>
                    <w:kinsoku/>
                    <w:overflowPunct/>
                    <w:bidi w:val="0"/>
                    <w:spacing w:beforeAutospacing="0" w:afterAutospacing="0"/>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等效连续A声级</w:t>
                  </w:r>
                </w:p>
              </w:tc>
              <w:tc>
                <w:tcPr>
                  <w:tcW w:w="1630" w:type="pct"/>
                  <w:noWrap w:val="0"/>
                  <w:vAlign w:val="center"/>
                </w:tcPr>
                <w:p w14:paraId="146B4EFB">
                  <w:pPr>
                    <w:keepNext w:val="0"/>
                    <w:keepLines w:val="0"/>
                    <w:pageBreakBefore w:val="0"/>
                    <w:widowControl w:val="0"/>
                    <w:tabs>
                      <w:tab w:val="left" w:pos="2457"/>
                    </w:tabs>
                    <w:kinsoku/>
                    <w:overflowPunct/>
                    <w:bidi w:val="0"/>
                    <w:spacing w:beforeAutospacing="0" w:afterAutospacing="0"/>
                    <w:ind w:left="0" w:leftChars="0"/>
                    <w:jc w:val="center"/>
                    <w:rPr>
                      <w:rFonts w:hint="default" w:ascii="Times New Roman" w:hAnsi="Times New Roman" w:cs="Times New Roman"/>
                      <w:color w:val="auto"/>
                      <w:szCs w:val="21"/>
                    </w:rPr>
                  </w:pPr>
                  <w:r>
                    <w:rPr>
                      <w:rFonts w:hint="eastAsia" w:cs="Times New Roman"/>
                      <w:color w:val="auto"/>
                      <w:szCs w:val="21"/>
                      <w:lang w:val="en-US" w:eastAsia="zh-CN"/>
                    </w:rPr>
                    <w:t>1</w:t>
                  </w:r>
                  <w:r>
                    <w:rPr>
                      <w:rFonts w:hint="default" w:ascii="Times New Roman" w:hAnsi="Times New Roman" w:cs="Times New Roman"/>
                      <w:color w:val="auto"/>
                      <w:szCs w:val="21"/>
                    </w:rPr>
                    <w:t>次/</w:t>
                  </w:r>
                  <w:r>
                    <w:rPr>
                      <w:rFonts w:hint="eastAsia" w:cs="Times New Roman"/>
                      <w:color w:val="auto"/>
                      <w:szCs w:val="21"/>
                      <w:lang w:val="en-US" w:eastAsia="zh-CN"/>
                    </w:rPr>
                    <w:t>季度</w:t>
                  </w:r>
                  <w:r>
                    <w:rPr>
                      <w:rFonts w:hint="default" w:ascii="Times New Roman" w:hAnsi="Times New Roman" w:cs="Times New Roman"/>
                      <w:color w:val="auto"/>
                      <w:szCs w:val="21"/>
                    </w:rPr>
                    <w:t>，昼</w:t>
                  </w:r>
                  <w:r>
                    <w:rPr>
                      <w:rFonts w:hint="eastAsia" w:cs="Times New Roman"/>
                      <w:color w:val="auto"/>
                      <w:szCs w:val="21"/>
                      <w:lang w:val="en-US" w:eastAsia="zh-CN"/>
                    </w:rPr>
                    <w:t>夜</w:t>
                  </w:r>
                  <w:r>
                    <w:rPr>
                      <w:rFonts w:hint="default" w:ascii="Times New Roman" w:hAnsi="Times New Roman" w:cs="Times New Roman"/>
                      <w:color w:val="auto"/>
                      <w:szCs w:val="21"/>
                    </w:rPr>
                    <w:t>间</w:t>
                  </w:r>
                </w:p>
              </w:tc>
            </w:tr>
          </w:tbl>
          <w:p w14:paraId="31E74C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四、运营期固体废弃物环境影响和保护措施</w:t>
            </w:r>
          </w:p>
          <w:p w14:paraId="6CA7D1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本项目不新增员工，故不新增</w:t>
            </w:r>
            <w:r>
              <w:rPr>
                <w:rFonts w:hint="default" w:ascii="Times New Roman" w:hAnsi="Times New Roman" w:cs="Times New Roman"/>
                <w:color w:val="auto"/>
                <w:sz w:val="24"/>
                <w:szCs w:val="24"/>
              </w:rPr>
              <w:t>生活垃圾。</w:t>
            </w:r>
            <w:r>
              <w:rPr>
                <w:rFonts w:hint="eastAsia" w:ascii="Times New Roman" w:hAnsi="Times New Roman" w:cs="Times New Roman"/>
                <w:color w:val="auto"/>
                <w:sz w:val="24"/>
                <w:szCs w:val="24"/>
                <w:lang w:eastAsia="zh-CN"/>
              </w:rPr>
              <w:t>项目产生的固废主要有</w:t>
            </w:r>
            <w:r>
              <w:rPr>
                <w:rFonts w:hint="default" w:ascii="Times New Roman" w:hAnsi="Times New Roman" w:cs="Times New Roman"/>
                <w:color w:val="auto"/>
                <w:sz w:val="24"/>
                <w:szCs w:val="24"/>
                <w:lang w:eastAsia="zh-CN"/>
              </w:rPr>
              <w:t>废包装材料、污泥、废培养基</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实验废液、废包装瓶/桶、废润滑油等</w:t>
            </w:r>
            <w:r>
              <w:rPr>
                <w:rFonts w:hint="eastAsia" w:ascii="Times New Roman" w:hAnsi="Times New Roman" w:cs="Times New Roman"/>
                <w:color w:val="auto"/>
                <w:sz w:val="24"/>
                <w:szCs w:val="24"/>
                <w:lang w:eastAsia="zh-CN"/>
              </w:rPr>
              <w:t>。</w:t>
            </w:r>
          </w:p>
          <w:p w14:paraId="23AB88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eastAsia="zh-CN"/>
              </w:rPr>
              <w:t>污泥</w:t>
            </w:r>
            <w:r>
              <w:rPr>
                <w:rFonts w:hint="eastAsia" w:ascii="Times New Roman" w:hAnsi="Times New Roman" w:cs="Times New Roman"/>
                <w:b/>
                <w:bCs/>
                <w:color w:val="auto"/>
                <w:sz w:val="24"/>
                <w:szCs w:val="24"/>
                <w:lang w:eastAsia="zh-CN"/>
              </w:rPr>
              <w:t>：</w:t>
            </w:r>
            <w:r>
              <w:rPr>
                <w:rFonts w:hint="eastAsia" w:ascii="Times New Roman" w:hAnsi="Times New Roman" w:cs="Times New Roman"/>
                <w:color w:val="auto"/>
                <w:sz w:val="24"/>
                <w:szCs w:val="24"/>
                <w:lang w:eastAsia="zh-CN"/>
              </w:rPr>
              <w:t>根据业主提供的材料，本次扩建后</w:t>
            </w:r>
            <w:r>
              <w:rPr>
                <w:rFonts w:hint="default" w:ascii="Times New Roman" w:hAnsi="Times New Roman" w:cs="Times New Roman"/>
                <w:color w:val="auto"/>
                <w:sz w:val="24"/>
                <w:szCs w:val="24"/>
                <w:lang w:eastAsia="zh-CN"/>
              </w:rPr>
              <w:t>总干泥量2.85t/d</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1040.25t/a</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，泥饼含水率为80%，则污泥产生量为</w:t>
            </w:r>
            <w:r>
              <w:rPr>
                <w:rFonts w:hint="eastAsia" w:ascii="Times New Roman" w:hAnsi="Times New Roman" w:cs="Times New Roman"/>
                <w:color w:val="auto"/>
                <w:sz w:val="24"/>
                <w:szCs w:val="24"/>
                <w:lang w:val="en-US" w:eastAsia="zh-CN"/>
              </w:rPr>
              <w:t>5201.25</w:t>
            </w:r>
            <w:r>
              <w:rPr>
                <w:rFonts w:hint="default" w:ascii="Times New Roman" w:hAnsi="Times New Roman" w:cs="Times New Roman"/>
                <w:color w:val="auto"/>
                <w:sz w:val="24"/>
                <w:szCs w:val="24"/>
                <w:lang w:eastAsia="zh-CN"/>
              </w:rPr>
              <w:t>t/a。污泥主要为泥沙性质的物质，对照《国家危险废物名录》，本项目产生的污泥不属于危险废物，为一般固体废物，暂存于项目污泥暂存间内，</w:t>
            </w:r>
            <w:r>
              <w:rPr>
                <w:rFonts w:hint="eastAsia" w:ascii="Times New Roman" w:hAnsi="Times New Roman" w:cs="Times New Roman"/>
                <w:color w:val="auto"/>
                <w:sz w:val="24"/>
                <w:szCs w:val="24"/>
                <w:lang w:eastAsia="zh-CN"/>
              </w:rPr>
              <w:t>交由</w:t>
            </w:r>
            <w:r>
              <w:rPr>
                <w:rFonts w:hint="default" w:ascii="Times New Roman" w:hAnsi="Times New Roman" w:cs="Times New Roman"/>
                <w:color w:val="auto"/>
                <w:sz w:val="24"/>
                <w:szCs w:val="24"/>
                <w:lang w:eastAsia="zh-CN"/>
              </w:rPr>
              <w:t>八公山陶粒厂</w:t>
            </w:r>
            <w:r>
              <w:rPr>
                <w:rFonts w:hint="eastAsia" w:ascii="Times New Roman" w:hAnsi="Times New Roman" w:cs="Times New Roman"/>
                <w:color w:val="auto"/>
                <w:sz w:val="24"/>
                <w:szCs w:val="24"/>
                <w:lang w:eastAsia="zh-CN"/>
              </w:rPr>
              <w:t>综合利用</w:t>
            </w:r>
            <w:r>
              <w:rPr>
                <w:rFonts w:hint="default" w:ascii="Times New Roman" w:hAnsi="Times New Roman" w:cs="Times New Roman"/>
                <w:color w:val="auto"/>
                <w:sz w:val="24"/>
                <w:szCs w:val="24"/>
                <w:lang w:eastAsia="zh-CN"/>
              </w:rPr>
              <w:t>。</w:t>
            </w:r>
          </w:p>
          <w:p w14:paraId="39B63E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eastAsia="zh-CN"/>
              </w:rPr>
              <w:t>废包装材料</w:t>
            </w:r>
            <w:r>
              <w:rPr>
                <w:rFonts w:hint="eastAsia"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eastAsia="zh-CN"/>
              </w:rPr>
              <w:t>项目加药后会有废包装材料产生，产生量约为0.</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t/a，产生的废包装材料集中收集后外售</w:t>
            </w:r>
            <w:r>
              <w:rPr>
                <w:rFonts w:hint="eastAsia" w:ascii="Times New Roman" w:hAnsi="Times New Roman" w:cs="Times New Roman"/>
                <w:color w:val="auto"/>
                <w:sz w:val="24"/>
                <w:szCs w:val="24"/>
                <w:lang w:eastAsia="zh-CN"/>
              </w:rPr>
              <w:t>综合利用</w:t>
            </w:r>
            <w:r>
              <w:rPr>
                <w:rFonts w:hint="default" w:ascii="Times New Roman" w:hAnsi="Times New Roman" w:cs="Times New Roman"/>
                <w:color w:val="auto"/>
                <w:sz w:val="24"/>
                <w:szCs w:val="24"/>
                <w:lang w:eastAsia="zh-CN"/>
              </w:rPr>
              <w:t>。</w:t>
            </w:r>
          </w:p>
          <w:p w14:paraId="1F08FD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eastAsia="zh-CN"/>
              </w:rPr>
              <w:t>废培养基</w:t>
            </w:r>
            <w:r>
              <w:rPr>
                <w:rFonts w:hint="eastAsia"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eastAsia="zh-CN"/>
              </w:rPr>
              <w:t>根据业主提供资料，每瓶培养基约0.5kg，年使用培养基的量为10kg，则产生的废培养基的量为0.01t/a。灭菌后的废培养基，定期交由物质单位回收。</w:t>
            </w:r>
          </w:p>
          <w:p w14:paraId="5BF946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eastAsia="zh-CN"/>
              </w:rPr>
              <w:t>实验废液</w:t>
            </w:r>
            <w:r>
              <w:rPr>
                <w:rFonts w:hint="eastAsia"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eastAsia="zh-CN"/>
              </w:rPr>
              <w:t>本项目化验室主要对项目出厂水质的常规理化指标进行监测，其产生的实验室废液主要以酸碱废液和有机废液为主，其产生量约为0.05t/a，本项目对化验过程中的各类废液进行分类收集，首先在厂内根据各类实验废液性质进行预处理，如对酸碱废液进行酸碱中和处理，经过减量化预处理后，采用专用容器收集至危废暂存间暂存，根据《国家危险废物名录》，该废物属于HW49其他废物（危废代码为900-047-49），定期委托具有相应处置资质的危废处置单位处理处置。</w:t>
            </w:r>
          </w:p>
          <w:p w14:paraId="1909C6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eastAsia="zh-CN"/>
              </w:rPr>
              <w:t>废润滑油</w:t>
            </w:r>
            <w:r>
              <w:rPr>
                <w:rFonts w:hint="eastAsia"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eastAsia="zh-CN"/>
              </w:rPr>
              <w:t>项目泵类设备较多，需定期用润滑油进行维护，废润滑油产生量约0.2t/a，根据《国家危险废物名录》，该废物属于HW08 废矿物油与含矿物油废物（危废代码为900-249-08），收集后委托有危废处置资质单位处理处置</w:t>
            </w:r>
            <w:r>
              <w:rPr>
                <w:rFonts w:hint="eastAsia" w:ascii="Times New Roman" w:hAnsi="Times New Roman" w:cs="Times New Roman"/>
                <w:color w:val="auto"/>
                <w:sz w:val="24"/>
                <w:szCs w:val="24"/>
                <w:lang w:eastAsia="zh-CN"/>
              </w:rPr>
              <w:t>。</w:t>
            </w:r>
          </w:p>
          <w:p w14:paraId="464890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eastAsia="zh-CN"/>
              </w:rPr>
              <w:t>废包装瓶/桶</w:t>
            </w:r>
            <w:r>
              <w:rPr>
                <w:rFonts w:hint="eastAsia"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eastAsia="zh-CN"/>
              </w:rPr>
              <w:t>化验时使用的实验药液使用后会产生废包装瓶，润滑油使用后会产生废包装桶，产生总量约为0.02t/a，根据《国家危险废物名录》，该废物属于HW49其他废物（危废代码为900-041-49），收集后委托有危废处置资质单位处理处置。</w:t>
            </w:r>
          </w:p>
          <w:p w14:paraId="7FC563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表4-</w:t>
            </w:r>
            <w:r>
              <w:rPr>
                <w:rFonts w:hint="eastAsia" w:cs="Times New Roman"/>
                <w:b/>
                <w:bCs/>
                <w:color w:val="auto"/>
                <w:spacing w:val="0"/>
                <w:sz w:val="24"/>
                <w:szCs w:val="24"/>
                <w:highlight w:val="none"/>
                <w:lang w:val="en-US" w:eastAsia="zh-CN"/>
              </w:rPr>
              <w:t>7</w:t>
            </w:r>
            <w:r>
              <w:rPr>
                <w:rFonts w:hint="eastAsia" w:ascii="Times New Roman" w:hAnsi="Times New Roman" w:eastAsia="宋体" w:cs="Times New Roman"/>
                <w:b/>
                <w:bCs/>
                <w:color w:val="auto"/>
                <w:spacing w:val="0"/>
                <w:sz w:val="24"/>
                <w:szCs w:val="24"/>
                <w:highlight w:val="none"/>
                <w:lang w:val="en-US" w:eastAsia="zh-CN"/>
              </w:rPr>
              <w:t xml:space="preserve"> </w:t>
            </w:r>
            <w:r>
              <w:rPr>
                <w:rFonts w:hint="default" w:ascii="Times New Roman" w:hAnsi="Times New Roman" w:eastAsia="宋体" w:cs="Times New Roman"/>
                <w:b/>
                <w:bCs/>
                <w:color w:val="auto"/>
                <w:spacing w:val="0"/>
                <w:sz w:val="24"/>
                <w:szCs w:val="24"/>
                <w:highlight w:val="none"/>
                <w:lang w:val="en-US" w:eastAsia="zh-CN"/>
              </w:rPr>
              <w:t xml:space="preserve"> 项目</w:t>
            </w:r>
            <w:r>
              <w:rPr>
                <w:rFonts w:hint="eastAsia" w:ascii="Times New Roman" w:hAnsi="Times New Roman" w:eastAsia="宋体" w:cs="Times New Roman"/>
                <w:b/>
                <w:bCs/>
                <w:color w:val="auto"/>
                <w:spacing w:val="0"/>
                <w:sz w:val="24"/>
                <w:szCs w:val="24"/>
                <w:highlight w:val="none"/>
                <w:lang w:val="en-US" w:eastAsia="zh-CN"/>
              </w:rPr>
              <w:t>全厂</w:t>
            </w:r>
            <w:r>
              <w:rPr>
                <w:rFonts w:hint="default" w:ascii="Times New Roman" w:hAnsi="Times New Roman" w:eastAsia="宋体" w:cs="Times New Roman"/>
                <w:b/>
                <w:bCs/>
                <w:color w:val="auto"/>
                <w:spacing w:val="0"/>
                <w:sz w:val="24"/>
                <w:szCs w:val="24"/>
                <w:highlight w:val="none"/>
                <w:lang w:val="en-US" w:eastAsia="zh-CN"/>
              </w:rPr>
              <w:t>固体废物污染源源强核算结果及相关参数一览表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28"/>
              <w:gridCol w:w="545"/>
              <w:gridCol w:w="1112"/>
              <w:gridCol w:w="626"/>
              <w:gridCol w:w="1117"/>
              <w:gridCol w:w="885"/>
              <w:gridCol w:w="1645"/>
              <w:gridCol w:w="869"/>
              <w:gridCol w:w="1052"/>
            </w:tblGrid>
            <w:tr w14:paraId="08EA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28" w:type="dxa"/>
                  <w:vMerge w:val="restart"/>
                  <w:noWrap w:val="0"/>
                  <w:vAlign w:val="center"/>
                </w:tcPr>
                <w:p w14:paraId="0001E8DA">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工序/生产线</w:t>
                  </w:r>
                </w:p>
              </w:tc>
              <w:tc>
                <w:tcPr>
                  <w:tcW w:w="545" w:type="dxa"/>
                  <w:vMerge w:val="restart"/>
                  <w:noWrap w:val="0"/>
                  <w:vAlign w:val="center"/>
                </w:tcPr>
                <w:p w14:paraId="7A52467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装置</w:t>
                  </w:r>
                </w:p>
              </w:tc>
              <w:tc>
                <w:tcPr>
                  <w:tcW w:w="1112" w:type="dxa"/>
                  <w:vMerge w:val="restart"/>
                  <w:noWrap w:val="0"/>
                  <w:vAlign w:val="center"/>
                </w:tcPr>
                <w:p w14:paraId="2CC1F14B">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固体废物名称</w:t>
                  </w:r>
                </w:p>
              </w:tc>
              <w:tc>
                <w:tcPr>
                  <w:tcW w:w="626" w:type="dxa"/>
                  <w:vMerge w:val="restart"/>
                  <w:noWrap w:val="0"/>
                  <w:vAlign w:val="center"/>
                </w:tcPr>
                <w:p w14:paraId="5A39766B">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固废属性</w:t>
                  </w:r>
                </w:p>
              </w:tc>
              <w:tc>
                <w:tcPr>
                  <w:tcW w:w="2002" w:type="dxa"/>
                  <w:gridSpan w:val="2"/>
                  <w:noWrap w:val="0"/>
                  <w:vAlign w:val="center"/>
                </w:tcPr>
                <w:p w14:paraId="685D2E3E">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产生情况</w:t>
                  </w:r>
                </w:p>
              </w:tc>
              <w:tc>
                <w:tcPr>
                  <w:tcW w:w="2514" w:type="dxa"/>
                  <w:gridSpan w:val="2"/>
                  <w:noWrap w:val="0"/>
                  <w:vAlign w:val="center"/>
                </w:tcPr>
                <w:p w14:paraId="108A0434">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处置措施</w:t>
                  </w:r>
                </w:p>
              </w:tc>
              <w:tc>
                <w:tcPr>
                  <w:tcW w:w="1052" w:type="dxa"/>
                  <w:vMerge w:val="restart"/>
                  <w:noWrap w:val="0"/>
                  <w:vAlign w:val="center"/>
                </w:tcPr>
                <w:p w14:paraId="18A0B32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最终去向</w:t>
                  </w:r>
                </w:p>
              </w:tc>
            </w:tr>
            <w:tr w14:paraId="6FF3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28" w:type="dxa"/>
                  <w:vMerge w:val="continue"/>
                  <w:noWrap w:val="0"/>
                  <w:vAlign w:val="center"/>
                </w:tcPr>
                <w:p w14:paraId="5DEDEE50">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c>
                <w:tcPr>
                  <w:tcW w:w="545" w:type="dxa"/>
                  <w:vMerge w:val="continue"/>
                  <w:noWrap w:val="0"/>
                  <w:vAlign w:val="center"/>
                </w:tcPr>
                <w:p w14:paraId="434FF4C3">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c>
                <w:tcPr>
                  <w:tcW w:w="1112" w:type="dxa"/>
                  <w:vMerge w:val="continue"/>
                  <w:noWrap w:val="0"/>
                  <w:vAlign w:val="center"/>
                </w:tcPr>
                <w:p w14:paraId="1F27662B">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c>
                <w:tcPr>
                  <w:tcW w:w="626" w:type="dxa"/>
                  <w:vMerge w:val="continue"/>
                  <w:noWrap w:val="0"/>
                  <w:vAlign w:val="center"/>
                </w:tcPr>
                <w:p w14:paraId="5820FA8B">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c>
                <w:tcPr>
                  <w:tcW w:w="1117" w:type="dxa"/>
                  <w:noWrap w:val="0"/>
                  <w:vAlign w:val="center"/>
                </w:tcPr>
                <w:p w14:paraId="0443C79E">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核算方法</w:t>
                  </w:r>
                </w:p>
              </w:tc>
              <w:tc>
                <w:tcPr>
                  <w:tcW w:w="885" w:type="dxa"/>
                  <w:noWrap w:val="0"/>
                  <w:vAlign w:val="center"/>
                </w:tcPr>
                <w:p w14:paraId="6F19327A">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1645" w:type="dxa"/>
                  <w:noWrap w:val="0"/>
                  <w:vAlign w:val="center"/>
                </w:tcPr>
                <w:p w14:paraId="0B144AA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869" w:type="dxa"/>
                  <w:noWrap w:val="0"/>
                  <w:vAlign w:val="center"/>
                </w:tcPr>
                <w:p w14:paraId="57FEC02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处置量</w:t>
                  </w:r>
                </w:p>
              </w:tc>
              <w:tc>
                <w:tcPr>
                  <w:tcW w:w="1052" w:type="dxa"/>
                  <w:vMerge w:val="continue"/>
                  <w:noWrap w:val="0"/>
                  <w:vAlign w:val="center"/>
                </w:tcPr>
                <w:p w14:paraId="393F8993">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p>
              </w:tc>
            </w:tr>
            <w:tr w14:paraId="6AAB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28" w:type="dxa"/>
                  <w:vMerge w:val="restart"/>
                  <w:noWrap w:val="0"/>
                  <w:vAlign w:val="center"/>
                </w:tcPr>
                <w:p w14:paraId="12D88BFE">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w:t>
                  </w:r>
                </w:p>
              </w:tc>
              <w:tc>
                <w:tcPr>
                  <w:tcW w:w="545" w:type="dxa"/>
                  <w:noWrap w:val="0"/>
                  <w:vAlign w:val="center"/>
                </w:tcPr>
                <w:p w14:paraId="0CFA65D3">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12" w:type="dxa"/>
                  <w:noWrap w:val="0"/>
                  <w:vAlign w:val="center"/>
                </w:tcPr>
                <w:p w14:paraId="14FB386A">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w:t>
                  </w:r>
                  <w:r>
                    <w:rPr>
                      <w:rFonts w:hint="eastAsia" w:ascii="Times New Roman" w:hAnsi="Times New Roman" w:cs="Times New Roman"/>
                      <w:color w:val="auto"/>
                      <w:kern w:val="2"/>
                      <w:sz w:val="21"/>
                      <w:szCs w:val="21"/>
                      <w:highlight w:val="none"/>
                      <w:lang w:val="en-US" w:eastAsia="zh-CN" w:bidi="ar-SA"/>
                    </w:rPr>
                    <w:t>材料</w:t>
                  </w:r>
                </w:p>
              </w:tc>
              <w:tc>
                <w:tcPr>
                  <w:tcW w:w="626" w:type="dxa"/>
                  <w:vMerge w:val="restart"/>
                  <w:noWrap w:val="0"/>
                  <w:vAlign w:val="center"/>
                </w:tcPr>
                <w:p w14:paraId="5847E641">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一般固废</w:t>
                  </w:r>
                </w:p>
              </w:tc>
              <w:tc>
                <w:tcPr>
                  <w:tcW w:w="1117" w:type="dxa"/>
                  <w:noWrap w:val="0"/>
                  <w:vAlign w:val="center"/>
                </w:tcPr>
                <w:p w14:paraId="49506236">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885" w:type="dxa"/>
                  <w:noWrap w:val="0"/>
                  <w:vAlign w:val="center"/>
                </w:tcPr>
                <w:p w14:paraId="18B29DA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lang w:val="en-US" w:eastAsia="zh-CN"/>
                    </w:rPr>
                    <w:t>t/a</w:t>
                  </w:r>
                </w:p>
              </w:tc>
              <w:tc>
                <w:tcPr>
                  <w:tcW w:w="1645" w:type="dxa"/>
                  <w:noWrap w:val="0"/>
                  <w:vAlign w:val="center"/>
                </w:tcPr>
                <w:p w14:paraId="4E27C63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外售综合利用</w:t>
                  </w:r>
                </w:p>
              </w:tc>
              <w:tc>
                <w:tcPr>
                  <w:tcW w:w="869" w:type="dxa"/>
                  <w:noWrap w:val="0"/>
                  <w:vAlign w:val="center"/>
                </w:tcPr>
                <w:p w14:paraId="3280BFD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lang w:val="en-US" w:eastAsia="zh-CN"/>
                    </w:rPr>
                    <w:t>t/a</w:t>
                  </w:r>
                </w:p>
              </w:tc>
              <w:tc>
                <w:tcPr>
                  <w:tcW w:w="1052" w:type="dxa"/>
                  <w:vMerge w:val="restart"/>
                  <w:noWrap w:val="0"/>
                  <w:vAlign w:val="center"/>
                </w:tcPr>
                <w:p w14:paraId="0F7A4B67">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无害化处理</w:t>
                  </w:r>
                </w:p>
              </w:tc>
            </w:tr>
            <w:tr w14:paraId="7BC5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28" w:type="dxa"/>
                  <w:vMerge w:val="continue"/>
                  <w:noWrap w:val="0"/>
                  <w:vAlign w:val="center"/>
                </w:tcPr>
                <w:p w14:paraId="723E638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p>
              </w:tc>
              <w:tc>
                <w:tcPr>
                  <w:tcW w:w="545" w:type="dxa"/>
                  <w:noWrap w:val="0"/>
                  <w:vAlign w:val="center"/>
                </w:tcPr>
                <w:p w14:paraId="5C8458BD">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12" w:type="dxa"/>
                  <w:noWrap w:val="0"/>
                  <w:vAlign w:val="center"/>
                </w:tcPr>
                <w:p w14:paraId="18482E57">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污泥</w:t>
                  </w:r>
                </w:p>
              </w:tc>
              <w:tc>
                <w:tcPr>
                  <w:tcW w:w="626" w:type="dxa"/>
                  <w:vMerge w:val="continue"/>
                  <w:noWrap w:val="0"/>
                  <w:vAlign w:val="center"/>
                </w:tcPr>
                <w:p w14:paraId="6545EBDA">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p>
              </w:tc>
              <w:tc>
                <w:tcPr>
                  <w:tcW w:w="1117" w:type="dxa"/>
                  <w:noWrap w:val="0"/>
                  <w:vAlign w:val="center"/>
                </w:tcPr>
                <w:p w14:paraId="737E678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885" w:type="dxa"/>
                  <w:noWrap w:val="0"/>
                  <w:vAlign w:val="center"/>
                </w:tcPr>
                <w:p w14:paraId="6CDBF8D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5201.25t/a</w:t>
                  </w:r>
                </w:p>
              </w:tc>
              <w:tc>
                <w:tcPr>
                  <w:tcW w:w="1645" w:type="dxa"/>
                  <w:noWrap w:val="0"/>
                  <w:vAlign w:val="center"/>
                </w:tcPr>
                <w:p w14:paraId="4DEF854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sz w:val="21"/>
                      <w:szCs w:val="21"/>
                      <w:lang w:eastAsia="zh-CN"/>
                    </w:rPr>
                    <w:t>交由</w:t>
                  </w:r>
                  <w:r>
                    <w:rPr>
                      <w:rFonts w:hint="default" w:ascii="Times New Roman" w:hAnsi="Times New Roman" w:cs="Times New Roman"/>
                      <w:color w:val="auto"/>
                      <w:sz w:val="21"/>
                      <w:szCs w:val="21"/>
                      <w:lang w:eastAsia="zh-CN"/>
                    </w:rPr>
                    <w:t>八公山陶粒厂</w:t>
                  </w:r>
                  <w:r>
                    <w:rPr>
                      <w:rFonts w:hint="eastAsia" w:ascii="Times New Roman" w:hAnsi="Times New Roman" w:cs="Times New Roman"/>
                      <w:color w:val="auto"/>
                      <w:sz w:val="21"/>
                      <w:szCs w:val="21"/>
                      <w:lang w:eastAsia="zh-CN"/>
                    </w:rPr>
                    <w:t>综合利用</w:t>
                  </w:r>
                </w:p>
              </w:tc>
              <w:tc>
                <w:tcPr>
                  <w:tcW w:w="869" w:type="dxa"/>
                  <w:noWrap w:val="0"/>
                  <w:vAlign w:val="center"/>
                </w:tcPr>
                <w:p w14:paraId="5E1D098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5201.25t/a</w:t>
                  </w:r>
                </w:p>
              </w:tc>
              <w:tc>
                <w:tcPr>
                  <w:tcW w:w="1052" w:type="dxa"/>
                  <w:vMerge w:val="continue"/>
                  <w:noWrap w:val="0"/>
                  <w:vAlign w:val="center"/>
                </w:tcPr>
                <w:p w14:paraId="59388954">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r w14:paraId="3095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28" w:type="dxa"/>
                  <w:vMerge w:val="continue"/>
                  <w:noWrap w:val="0"/>
                  <w:vAlign w:val="center"/>
                </w:tcPr>
                <w:p w14:paraId="00E1CC07">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p>
              </w:tc>
              <w:tc>
                <w:tcPr>
                  <w:tcW w:w="545" w:type="dxa"/>
                  <w:noWrap w:val="0"/>
                  <w:vAlign w:val="center"/>
                </w:tcPr>
                <w:p w14:paraId="5AE1811F">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12" w:type="dxa"/>
                  <w:noWrap w:val="0"/>
                  <w:vAlign w:val="center"/>
                </w:tcPr>
                <w:p w14:paraId="51AE2A23">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废培养基</w:t>
                  </w:r>
                </w:p>
              </w:tc>
              <w:tc>
                <w:tcPr>
                  <w:tcW w:w="626" w:type="dxa"/>
                  <w:vMerge w:val="continue"/>
                  <w:noWrap w:val="0"/>
                  <w:vAlign w:val="center"/>
                </w:tcPr>
                <w:p w14:paraId="068ADCC8">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p>
              </w:tc>
              <w:tc>
                <w:tcPr>
                  <w:tcW w:w="1117" w:type="dxa"/>
                  <w:noWrap w:val="0"/>
                  <w:vAlign w:val="center"/>
                </w:tcPr>
                <w:p w14:paraId="1224ABA3">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885" w:type="dxa"/>
                  <w:noWrap w:val="0"/>
                  <w:vAlign w:val="center"/>
                </w:tcPr>
                <w:p w14:paraId="460F662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0.01t/a</w:t>
                  </w:r>
                </w:p>
              </w:tc>
              <w:tc>
                <w:tcPr>
                  <w:tcW w:w="1645" w:type="dxa"/>
                  <w:noWrap w:val="0"/>
                  <w:vAlign w:val="center"/>
                </w:tcPr>
                <w:p w14:paraId="626569C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外售综合利用</w:t>
                  </w:r>
                </w:p>
              </w:tc>
              <w:tc>
                <w:tcPr>
                  <w:tcW w:w="869" w:type="dxa"/>
                  <w:noWrap w:val="0"/>
                  <w:vAlign w:val="center"/>
                </w:tcPr>
                <w:p w14:paraId="57A2E6D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0.01t/a</w:t>
                  </w:r>
                </w:p>
              </w:tc>
              <w:tc>
                <w:tcPr>
                  <w:tcW w:w="1052" w:type="dxa"/>
                  <w:vMerge w:val="continue"/>
                  <w:noWrap w:val="0"/>
                  <w:vAlign w:val="center"/>
                </w:tcPr>
                <w:p w14:paraId="5B6EB2AF">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r w14:paraId="5B4F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28" w:type="dxa"/>
                  <w:vMerge w:val="continue"/>
                  <w:noWrap w:val="0"/>
                  <w:vAlign w:val="center"/>
                </w:tcPr>
                <w:p w14:paraId="789E2AFD">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p>
              </w:tc>
              <w:tc>
                <w:tcPr>
                  <w:tcW w:w="545" w:type="dxa"/>
                  <w:noWrap w:val="0"/>
                  <w:vAlign w:val="center"/>
                </w:tcPr>
                <w:p w14:paraId="7136CC28">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12" w:type="dxa"/>
                  <w:noWrap w:val="0"/>
                  <w:vAlign w:val="center"/>
                </w:tcPr>
                <w:p w14:paraId="5AFB26E7">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实验废液</w:t>
                  </w:r>
                </w:p>
              </w:tc>
              <w:tc>
                <w:tcPr>
                  <w:tcW w:w="626" w:type="dxa"/>
                  <w:vMerge w:val="restart"/>
                  <w:noWrap w:val="0"/>
                  <w:vAlign w:val="center"/>
                </w:tcPr>
                <w:p w14:paraId="59431398">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危险废物</w:t>
                  </w:r>
                </w:p>
              </w:tc>
              <w:tc>
                <w:tcPr>
                  <w:tcW w:w="1117" w:type="dxa"/>
                  <w:noWrap w:val="0"/>
                  <w:vAlign w:val="center"/>
                </w:tcPr>
                <w:p w14:paraId="5BFA3FB4">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885" w:type="dxa"/>
                  <w:noWrap w:val="0"/>
                  <w:vAlign w:val="center"/>
                </w:tcPr>
                <w:p w14:paraId="4ECB000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0.05t/a</w:t>
                  </w:r>
                </w:p>
              </w:tc>
              <w:tc>
                <w:tcPr>
                  <w:tcW w:w="1645" w:type="dxa"/>
                  <w:vMerge w:val="restart"/>
                  <w:noWrap w:val="0"/>
                  <w:vAlign w:val="center"/>
                </w:tcPr>
                <w:p w14:paraId="69DF697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暂存于危废暂存间，定期委托资质单位处理</w:t>
                  </w:r>
                </w:p>
              </w:tc>
              <w:tc>
                <w:tcPr>
                  <w:tcW w:w="869" w:type="dxa"/>
                  <w:noWrap w:val="0"/>
                  <w:vAlign w:val="center"/>
                </w:tcPr>
                <w:p w14:paraId="236CA5F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0.05t/a</w:t>
                  </w:r>
                </w:p>
              </w:tc>
              <w:tc>
                <w:tcPr>
                  <w:tcW w:w="1052" w:type="dxa"/>
                  <w:vMerge w:val="continue"/>
                  <w:noWrap w:val="0"/>
                  <w:vAlign w:val="center"/>
                </w:tcPr>
                <w:p w14:paraId="73D936A5">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r w14:paraId="6DF1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28" w:type="dxa"/>
                  <w:vMerge w:val="continue"/>
                  <w:noWrap w:val="0"/>
                  <w:vAlign w:val="center"/>
                </w:tcPr>
                <w:p w14:paraId="3F0670AF">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545" w:type="dxa"/>
                  <w:vMerge w:val="restart"/>
                  <w:noWrap w:val="0"/>
                  <w:vAlign w:val="center"/>
                </w:tcPr>
                <w:p w14:paraId="550B1F96">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12" w:type="dxa"/>
                  <w:noWrap w:val="0"/>
                  <w:vAlign w:val="center"/>
                </w:tcPr>
                <w:p w14:paraId="7D6A3777">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废润滑油</w:t>
                  </w:r>
                </w:p>
              </w:tc>
              <w:tc>
                <w:tcPr>
                  <w:tcW w:w="626" w:type="dxa"/>
                  <w:vMerge w:val="continue"/>
                  <w:noWrap w:val="0"/>
                  <w:vAlign w:val="center"/>
                </w:tcPr>
                <w:p w14:paraId="4EFDA44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1117" w:type="dxa"/>
                  <w:vMerge w:val="restart"/>
                  <w:noWrap w:val="0"/>
                  <w:vAlign w:val="center"/>
                </w:tcPr>
                <w:p w14:paraId="33BA7D7D">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color w:val="auto"/>
                      <w:sz w:val="21"/>
                      <w:szCs w:val="21"/>
                      <w:highlight w:val="none"/>
                    </w:rPr>
                  </w:pPr>
                  <w:r>
                    <w:rPr>
                      <w:rFonts w:hint="default" w:ascii="Times New Roman" w:hAnsi="Times New Roman" w:cs="Times New Roman"/>
                      <w:color w:val="auto"/>
                      <w:sz w:val="21"/>
                      <w:szCs w:val="21"/>
                      <w:highlight w:val="none"/>
                    </w:rPr>
                    <w:t>类比法</w:t>
                  </w:r>
                </w:p>
              </w:tc>
              <w:tc>
                <w:tcPr>
                  <w:tcW w:w="885" w:type="dxa"/>
                  <w:noWrap w:val="0"/>
                  <w:vAlign w:val="center"/>
                </w:tcPr>
                <w:p w14:paraId="67295C2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t/a</w:t>
                  </w:r>
                </w:p>
              </w:tc>
              <w:tc>
                <w:tcPr>
                  <w:tcW w:w="1645" w:type="dxa"/>
                  <w:vMerge w:val="continue"/>
                  <w:noWrap w:val="0"/>
                  <w:vAlign w:val="center"/>
                </w:tcPr>
                <w:p w14:paraId="36B0596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rPr>
                  </w:pPr>
                </w:p>
              </w:tc>
              <w:tc>
                <w:tcPr>
                  <w:tcW w:w="869" w:type="dxa"/>
                  <w:noWrap w:val="0"/>
                  <w:vAlign w:val="center"/>
                </w:tcPr>
                <w:p w14:paraId="43BB5A5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t/a</w:t>
                  </w:r>
                </w:p>
              </w:tc>
              <w:tc>
                <w:tcPr>
                  <w:tcW w:w="1052" w:type="dxa"/>
                  <w:vMerge w:val="continue"/>
                  <w:noWrap w:val="0"/>
                  <w:vAlign w:val="center"/>
                </w:tcPr>
                <w:p w14:paraId="09E413C3">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r w14:paraId="6D77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28" w:type="dxa"/>
                  <w:vMerge w:val="continue"/>
                  <w:noWrap w:val="0"/>
                  <w:vAlign w:val="center"/>
                </w:tcPr>
                <w:p w14:paraId="168872B8">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545" w:type="dxa"/>
                  <w:vMerge w:val="continue"/>
                  <w:noWrap w:val="0"/>
                  <w:vAlign w:val="center"/>
                </w:tcPr>
                <w:p w14:paraId="08729E5A">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p>
              </w:tc>
              <w:tc>
                <w:tcPr>
                  <w:tcW w:w="1112" w:type="dxa"/>
                  <w:noWrap w:val="0"/>
                  <w:vAlign w:val="center"/>
                </w:tcPr>
                <w:p w14:paraId="5964BF64">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废包装瓶/桶</w:t>
                  </w:r>
                </w:p>
              </w:tc>
              <w:tc>
                <w:tcPr>
                  <w:tcW w:w="626" w:type="dxa"/>
                  <w:vMerge w:val="continue"/>
                  <w:noWrap w:val="0"/>
                  <w:vAlign w:val="center"/>
                </w:tcPr>
                <w:p w14:paraId="709844C5">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1117" w:type="dxa"/>
                  <w:vMerge w:val="continue"/>
                  <w:noWrap w:val="0"/>
                  <w:vAlign w:val="center"/>
                </w:tcPr>
                <w:p w14:paraId="4484B69E">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c>
                <w:tcPr>
                  <w:tcW w:w="885" w:type="dxa"/>
                  <w:noWrap w:val="0"/>
                  <w:vAlign w:val="center"/>
                </w:tcPr>
                <w:p w14:paraId="2581879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r>
                    <w:rPr>
                      <w:rFonts w:hint="default" w:ascii="Times New Roman" w:hAnsi="Times New Roman" w:eastAsia="宋体" w:cs="Times New Roman"/>
                      <w:color w:val="auto"/>
                      <w:kern w:val="0"/>
                      <w:sz w:val="21"/>
                      <w:szCs w:val="21"/>
                      <w:highlight w:val="none"/>
                      <w:lang w:val="en-US" w:eastAsia="zh-CN"/>
                    </w:rPr>
                    <w:t>t/a</w:t>
                  </w:r>
                </w:p>
              </w:tc>
              <w:tc>
                <w:tcPr>
                  <w:tcW w:w="1645" w:type="dxa"/>
                  <w:vMerge w:val="continue"/>
                  <w:noWrap w:val="0"/>
                  <w:vAlign w:val="center"/>
                </w:tcPr>
                <w:p w14:paraId="5A9659F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rPr>
                  </w:pPr>
                </w:p>
              </w:tc>
              <w:tc>
                <w:tcPr>
                  <w:tcW w:w="869" w:type="dxa"/>
                  <w:noWrap w:val="0"/>
                  <w:vAlign w:val="center"/>
                </w:tcPr>
                <w:p w14:paraId="7219FC2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r>
                    <w:rPr>
                      <w:rFonts w:hint="default" w:ascii="Times New Roman" w:hAnsi="Times New Roman" w:eastAsia="宋体" w:cs="Times New Roman"/>
                      <w:color w:val="auto"/>
                      <w:kern w:val="0"/>
                      <w:sz w:val="21"/>
                      <w:szCs w:val="21"/>
                      <w:highlight w:val="none"/>
                      <w:lang w:val="en-US" w:eastAsia="zh-CN"/>
                    </w:rPr>
                    <w:t>t/a</w:t>
                  </w:r>
                </w:p>
              </w:tc>
              <w:tc>
                <w:tcPr>
                  <w:tcW w:w="1052" w:type="dxa"/>
                  <w:vMerge w:val="continue"/>
                  <w:noWrap w:val="0"/>
                  <w:vAlign w:val="center"/>
                </w:tcPr>
                <w:p w14:paraId="7FF8F3C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bl>
          <w:p w14:paraId="5A133BC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表4</w:t>
            </w:r>
            <w:r>
              <w:rPr>
                <w:rFonts w:hint="eastAsia" w:cs="Times New Roman"/>
                <w:b/>
                <w:bCs/>
                <w:color w:val="auto"/>
                <w:spacing w:val="0"/>
                <w:sz w:val="24"/>
                <w:szCs w:val="24"/>
                <w:highlight w:val="none"/>
                <w:lang w:val="en-US" w:eastAsia="zh-CN"/>
              </w:rPr>
              <w:t>-8</w:t>
            </w:r>
            <w:r>
              <w:rPr>
                <w:rFonts w:hint="eastAsia" w:ascii="Times New Roman" w:hAnsi="Times New Roman" w:eastAsia="宋体" w:cs="Times New Roman"/>
                <w:b/>
                <w:bCs/>
                <w:color w:val="auto"/>
                <w:spacing w:val="0"/>
                <w:sz w:val="24"/>
                <w:szCs w:val="24"/>
                <w:highlight w:val="none"/>
                <w:lang w:val="en-US" w:eastAsia="zh-CN"/>
              </w:rPr>
              <w:t xml:space="preserve"> </w:t>
            </w:r>
            <w:r>
              <w:rPr>
                <w:rFonts w:hint="default" w:ascii="Times New Roman" w:hAnsi="Times New Roman" w:eastAsia="宋体" w:cs="Times New Roman"/>
                <w:b/>
                <w:bCs/>
                <w:color w:val="auto"/>
                <w:spacing w:val="0"/>
                <w:sz w:val="24"/>
                <w:szCs w:val="24"/>
                <w:highlight w:val="none"/>
                <w:lang w:val="en-US" w:eastAsia="zh-CN"/>
              </w:rPr>
              <w:t xml:space="preserve"> 项目运营期危险废物汇总表</w:t>
            </w:r>
          </w:p>
          <w:tbl>
            <w:tblPr>
              <w:tblStyle w:val="31"/>
              <w:tblW w:w="878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
              <w:gridCol w:w="883"/>
              <w:gridCol w:w="756"/>
              <w:gridCol w:w="805"/>
              <w:gridCol w:w="659"/>
              <w:gridCol w:w="830"/>
              <w:gridCol w:w="458"/>
              <w:gridCol w:w="901"/>
              <w:gridCol w:w="892"/>
              <w:gridCol w:w="687"/>
              <w:gridCol w:w="672"/>
              <w:gridCol w:w="877"/>
            </w:tblGrid>
            <w:tr w14:paraId="21F0E0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9" w:type="dxa"/>
                  <w:tcBorders>
                    <w:top w:val="single" w:color="auto" w:sz="4" w:space="0"/>
                    <w:left w:val="single" w:color="auto" w:sz="0" w:space="0"/>
                  </w:tcBorders>
                  <w:noWrap w:val="0"/>
                  <w:vAlign w:val="center"/>
                </w:tcPr>
                <w:p w14:paraId="398DAB4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序号</w:t>
                  </w:r>
                </w:p>
              </w:tc>
              <w:tc>
                <w:tcPr>
                  <w:tcW w:w="883" w:type="dxa"/>
                  <w:tcBorders>
                    <w:top w:val="single" w:color="auto" w:sz="4" w:space="0"/>
                  </w:tcBorders>
                  <w:noWrap w:val="0"/>
                  <w:vAlign w:val="center"/>
                </w:tcPr>
                <w:p w14:paraId="28F208A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危险废物名称</w:t>
                  </w:r>
                </w:p>
              </w:tc>
              <w:tc>
                <w:tcPr>
                  <w:tcW w:w="756" w:type="dxa"/>
                  <w:tcBorders>
                    <w:top w:val="single" w:color="auto" w:sz="4" w:space="0"/>
                  </w:tcBorders>
                  <w:noWrap w:val="0"/>
                  <w:vAlign w:val="center"/>
                </w:tcPr>
                <w:p w14:paraId="22270B1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危险废物类别</w:t>
                  </w:r>
                </w:p>
              </w:tc>
              <w:tc>
                <w:tcPr>
                  <w:tcW w:w="805" w:type="dxa"/>
                  <w:tcBorders>
                    <w:top w:val="single" w:color="auto" w:sz="4" w:space="0"/>
                  </w:tcBorders>
                  <w:noWrap w:val="0"/>
                  <w:vAlign w:val="center"/>
                </w:tcPr>
                <w:p w14:paraId="0DC6BBC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危险废物代码</w:t>
                  </w:r>
                </w:p>
              </w:tc>
              <w:tc>
                <w:tcPr>
                  <w:tcW w:w="659" w:type="dxa"/>
                  <w:tcBorders>
                    <w:top w:val="single" w:color="auto" w:sz="4" w:space="0"/>
                  </w:tcBorders>
                  <w:noWrap w:val="0"/>
                  <w:vAlign w:val="center"/>
                </w:tcPr>
                <w:p w14:paraId="136BAAE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rPr>
                    <w:t>产生量</w:t>
                  </w:r>
                </w:p>
              </w:tc>
              <w:tc>
                <w:tcPr>
                  <w:tcW w:w="830" w:type="dxa"/>
                  <w:tcBorders>
                    <w:top w:val="single" w:color="auto" w:sz="4" w:space="0"/>
                  </w:tcBorders>
                  <w:noWrap w:val="0"/>
                  <w:vAlign w:val="center"/>
                </w:tcPr>
                <w:p w14:paraId="7FB849B3">
                  <w:pPr>
                    <w:keepNext w:val="0"/>
                    <w:keepLines w:val="0"/>
                    <w:pageBreakBefore w:val="0"/>
                    <w:widowControl w:val="0"/>
                    <w:kinsoku/>
                    <w:wordWrap/>
                    <w:overflowPunct/>
                    <w:topLine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rPr>
                    <w:t>产生工序及装置</w:t>
                  </w:r>
                </w:p>
              </w:tc>
              <w:tc>
                <w:tcPr>
                  <w:tcW w:w="458" w:type="dxa"/>
                  <w:tcBorders>
                    <w:top w:val="single" w:color="auto" w:sz="4" w:space="0"/>
                  </w:tcBorders>
                  <w:noWrap w:val="0"/>
                  <w:vAlign w:val="center"/>
                </w:tcPr>
                <w:p w14:paraId="4049CEB7">
                  <w:pPr>
                    <w:keepNext w:val="0"/>
                    <w:keepLines w:val="0"/>
                    <w:pageBreakBefore w:val="0"/>
                    <w:widowControl w:val="0"/>
                    <w:kinsoku/>
                    <w:wordWrap/>
                    <w:overflowPunct/>
                    <w:topLine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rPr>
                    <w:t>形态</w:t>
                  </w:r>
                </w:p>
              </w:tc>
              <w:tc>
                <w:tcPr>
                  <w:tcW w:w="901" w:type="dxa"/>
                  <w:tcBorders>
                    <w:top w:val="single" w:color="auto" w:sz="4" w:space="0"/>
                  </w:tcBorders>
                  <w:noWrap w:val="0"/>
                  <w:vAlign w:val="center"/>
                </w:tcPr>
                <w:p w14:paraId="23D8CDE0">
                  <w:pPr>
                    <w:keepNext w:val="0"/>
                    <w:keepLines w:val="0"/>
                    <w:pageBreakBefore w:val="0"/>
                    <w:widowControl w:val="0"/>
                    <w:kinsoku/>
                    <w:wordWrap/>
                    <w:overflowPunct/>
                    <w:topLine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rPr>
                    <w:t>主要成分</w:t>
                  </w:r>
                </w:p>
              </w:tc>
              <w:tc>
                <w:tcPr>
                  <w:tcW w:w="892" w:type="dxa"/>
                  <w:tcBorders>
                    <w:top w:val="single" w:color="auto" w:sz="4" w:space="0"/>
                  </w:tcBorders>
                  <w:noWrap w:val="0"/>
                  <w:vAlign w:val="center"/>
                </w:tcPr>
                <w:p w14:paraId="3164750E">
                  <w:pPr>
                    <w:keepNext w:val="0"/>
                    <w:keepLines w:val="0"/>
                    <w:pageBreakBefore w:val="0"/>
                    <w:widowControl w:val="0"/>
                    <w:kinsoku/>
                    <w:wordWrap/>
                    <w:overflowPunct/>
                    <w:topLine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rPr>
                    <w:t>有害成分</w:t>
                  </w:r>
                </w:p>
              </w:tc>
              <w:tc>
                <w:tcPr>
                  <w:tcW w:w="687" w:type="dxa"/>
                  <w:tcBorders>
                    <w:top w:val="single" w:color="auto" w:sz="4" w:space="0"/>
                    <w:right w:val="single" w:color="auto" w:sz="4" w:space="0"/>
                  </w:tcBorders>
                  <w:noWrap w:val="0"/>
                  <w:vAlign w:val="center"/>
                </w:tcPr>
                <w:p w14:paraId="26B72AD7">
                  <w:pPr>
                    <w:keepNext w:val="0"/>
                    <w:keepLines w:val="0"/>
                    <w:pageBreakBefore w:val="0"/>
                    <w:widowControl w:val="0"/>
                    <w:kinsoku/>
                    <w:wordWrap/>
                    <w:overflowPunct/>
                    <w:topLine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rPr>
                    <w:t>产废周期</w:t>
                  </w:r>
                </w:p>
              </w:tc>
              <w:tc>
                <w:tcPr>
                  <w:tcW w:w="672" w:type="dxa"/>
                  <w:tcBorders>
                    <w:top w:val="single" w:color="auto" w:sz="4" w:space="0"/>
                    <w:right w:val="single" w:color="auto" w:sz="4" w:space="0"/>
                  </w:tcBorders>
                  <w:noWrap w:val="0"/>
                  <w:vAlign w:val="center"/>
                </w:tcPr>
                <w:p w14:paraId="28BC2E91">
                  <w:pPr>
                    <w:keepNext w:val="0"/>
                    <w:keepLines w:val="0"/>
                    <w:pageBreakBefore w:val="0"/>
                    <w:widowControl w:val="0"/>
                    <w:kinsoku/>
                    <w:wordWrap/>
                    <w:overflowPunct/>
                    <w:topLine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rPr>
                    <w:t>危险特性</w:t>
                  </w:r>
                </w:p>
              </w:tc>
              <w:tc>
                <w:tcPr>
                  <w:tcW w:w="877" w:type="dxa"/>
                  <w:tcBorders>
                    <w:top w:val="single" w:color="auto" w:sz="4" w:space="0"/>
                    <w:right w:val="single" w:color="auto" w:sz="4" w:space="0"/>
                  </w:tcBorders>
                  <w:noWrap w:val="0"/>
                  <w:vAlign w:val="center"/>
                </w:tcPr>
                <w:p w14:paraId="24815A34">
                  <w:pPr>
                    <w:keepNext w:val="0"/>
                    <w:keepLines w:val="0"/>
                    <w:pageBreakBefore w:val="0"/>
                    <w:widowControl w:val="0"/>
                    <w:kinsoku/>
                    <w:wordWrap/>
                    <w:overflowPunct/>
                    <w:topLine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bCs/>
                      <w:color w:val="auto"/>
                      <w:sz w:val="21"/>
                      <w:szCs w:val="21"/>
                      <w:highlight w:val="none"/>
                    </w:rPr>
                    <w:t>污染防治措施</w:t>
                  </w:r>
                </w:p>
              </w:tc>
            </w:tr>
            <w:tr w14:paraId="7CA682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9" w:type="dxa"/>
                  <w:tcBorders>
                    <w:left w:val="single" w:color="auto" w:sz="4" w:space="0"/>
                  </w:tcBorders>
                  <w:noWrap w:val="0"/>
                  <w:vAlign w:val="center"/>
                </w:tcPr>
                <w:p w14:paraId="1EEE0F3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w:t>
                  </w:r>
                </w:p>
              </w:tc>
              <w:tc>
                <w:tcPr>
                  <w:tcW w:w="883" w:type="dxa"/>
                  <w:noWrap w:val="0"/>
                  <w:vAlign w:val="center"/>
                </w:tcPr>
                <w:p w14:paraId="20FB0AC5">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实验废液</w:t>
                  </w:r>
                </w:p>
              </w:tc>
              <w:tc>
                <w:tcPr>
                  <w:tcW w:w="756" w:type="dxa"/>
                  <w:noWrap w:val="0"/>
                  <w:vAlign w:val="center"/>
                </w:tcPr>
                <w:p w14:paraId="3904808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color w:val="auto"/>
                      <w:sz w:val="21"/>
                      <w:szCs w:val="21"/>
                      <w:highlight w:val="none"/>
                    </w:rPr>
                    <w:t>HW</w:t>
                  </w:r>
                  <w:r>
                    <w:rPr>
                      <w:rFonts w:hint="eastAsia"/>
                      <w:color w:val="auto"/>
                      <w:sz w:val="21"/>
                      <w:szCs w:val="21"/>
                      <w:highlight w:val="none"/>
                    </w:rPr>
                    <w:t>49</w:t>
                  </w:r>
                </w:p>
              </w:tc>
              <w:tc>
                <w:tcPr>
                  <w:tcW w:w="805" w:type="dxa"/>
                  <w:noWrap w:val="0"/>
                  <w:vAlign w:val="center"/>
                </w:tcPr>
                <w:p w14:paraId="4A65766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900-047-49</w:t>
                  </w:r>
                </w:p>
              </w:tc>
              <w:tc>
                <w:tcPr>
                  <w:tcW w:w="659" w:type="dxa"/>
                  <w:noWrap w:val="0"/>
                  <w:vAlign w:val="center"/>
                </w:tcPr>
                <w:p w14:paraId="75647BC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0.05t/a</w:t>
                  </w:r>
                </w:p>
              </w:tc>
              <w:tc>
                <w:tcPr>
                  <w:tcW w:w="830" w:type="dxa"/>
                  <w:noWrap w:val="0"/>
                  <w:vAlign w:val="center"/>
                </w:tcPr>
                <w:p w14:paraId="63B56086">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w:t>
                  </w:r>
                </w:p>
              </w:tc>
              <w:tc>
                <w:tcPr>
                  <w:tcW w:w="458" w:type="dxa"/>
                  <w:noWrap w:val="0"/>
                  <w:vAlign w:val="center"/>
                </w:tcPr>
                <w:p w14:paraId="145FB8B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液态</w:t>
                  </w:r>
                </w:p>
              </w:tc>
              <w:tc>
                <w:tcPr>
                  <w:tcW w:w="901" w:type="dxa"/>
                  <w:noWrap w:val="0"/>
                  <w:vAlign w:val="center"/>
                </w:tcPr>
                <w:p w14:paraId="7D90C3F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酸碱废液</w:t>
                  </w:r>
                  <w:r>
                    <w:rPr>
                      <w:rFonts w:hint="eastAsia" w:ascii="Times New Roman" w:hAnsi="Times New Roman"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有机废液</w:t>
                  </w:r>
                </w:p>
              </w:tc>
              <w:tc>
                <w:tcPr>
                  <w:tcW w:w="892" w:type="dxa"/>
                  <w:noWrap w:val="0"/>
                  <w:vAlign w:val="center"/>
                </w:tcPr>
                <w:p w14:paraId="6579C2A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酸碱废液</w:t>
                  </w:r>
                  <w:r>
                    <w:rPr>
                      <w:rFonts w:hint="eastAsia" w:ascii="Times New Roman" w:hAnsi="Times New Roman"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有机废液</w:t>
                  </w:r>
                </w:p>
              </w:tc>
              <w:tc>
                <w:tcPr>
                  <w:tcW w:w="687" w:type="dxa"/>
                  <w:tcBorders>
                    <w:right w:val="single" w:color="auto" w:sz="4" w:space="0"/>
                  </w:tcBorders>
                  <w:noWrap w:val="0"/>
                  <w:vAlign w:val="center"/>
                </w:tcPr>
                <w:p w14:paraId="7CDB5CF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个月</w:t>
                  </w:r>
                </w:p>
              </w:tc>
              <w:tc>
                <w:tcPr>
                  <w:tcW w:w="672" w:type="dxa"/>
                  <w:tcBorders>
                    <w:right w:val="single" w:color="auto" w:sz="4" w:space="0"/>
                  </w:tcBorders>
                  <w:noWrap w:val="0"/>
                  <w:vAlign w:val="center"/>
                </w:tcPr>
                <w:p w14:paraId="79E67AD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T/C/I/R</w:t>
                  </w:r>
                </w:p>
              </w:tc>
              <w:tc>
                <w:tcPr>
                  <w:tcW w:w="877" w:type="dxa"/>
                  <w:vMerge w:val="restart"/>
                  <w:tcBorders>
                    <w:right w:val="single" w:color="auto" w:sz="4" w:space="0"/>
                  </w:tcBorders>
                  <w:noWrap w:val="0"/>
                  <w:vAlign w:val="center"/>
                </w:tcPr>
                <w:p w14:paraId="7B6F3F8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委托有资质单位回收处置</w:t>
                  </w:r>
                </w:p>
              </w:tc>
            </w:tr>
            <w:tr w14:paraId="2793C3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9" w:type="dxa"/>
                  <w:tcBorders>
                    <w:left w:val="single" w:color="auto" w:sz="4" w:space="0"/>
                  </w:tcBorders>
                  <w:noWrap w:val="0"/>
                  <w:vAlign w:val="center"/>
                </w:tcPr>
                <w:p w14:paraId="2C57D63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w:t>
                  </w:r>
                </w:p>
              </w:tc>
              <w:tc>
                <w:tcPr>
                  <w:tcW w:w="883" w:type="dxa"/>
                  <w:noWrap w:val="0"/>
                  <w:vAlign w:val="center"/>
                </w:tcPr>
                <w:p w14:paraId="71B534AB">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废润滑油</w:t>
                  </w:r>
                </w:p>
              </w:tc>
              <w:tc>
                <w:tcPr>
                  <w:tcW w:w="756" w:type="dxa"/>
                  <w:noWrap w:val="0"/>
                  <w:vAlign w:val="center"/>
                </w:tcPr>
                <w:p w14:paraId="5555F5C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HW</w:t>
                  </w:r>
                  <w:r>
                    <w:rPr>
                      <w:rFonts w:hint="eastAsia" w:ascii="Times New Roman" w:hAnsi="Times New Roman" w:eastAsia="宋体" w:cs="Times New Roman"/>
                      <w:color w:val="auto"/>
                      <w:kern w:val="0"/>
                      <w:sz w:val="21"/>
                      <w:szCs w:val="21"/>
                      <w:highlight w:val="none"/>
                      <w:lang w:val="en-US" w:eastAsia="zh-CN"/>
                    </w:rPr>
                    <w:t>08</w:t>
                  </w:r>
                </w:p>
              </w:tc>
              <w:tc>
                <w:tcPr>
                  <w:tcW w:w="805" w:type="dxa"/>
                  <w:noWrap w:val="0"/>
                  <w:vAlign w:val="center"/>
                </w:tcPr>
                <w:p w14:paraId="205C87C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Cs w:val="21"/>
                    </w:rPr>
                    <w:t>900-249-08</w:t>
                  </w:r>
                </w:p>
              </w:tc>
              <w:tc>
                <w:tcPr>
                  <w:tcW w:w="659" w:type="dxa"/>
                  <w:noWrap w:val="0"/>
                  <w:vAlign w:val="center"/>
                </w:tcPr>
                <w:p w14:paraId="63D8432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olor w:val="auto"/>
                      <w:sz w:val="21"/>
                      <w:szCs w:val="21"/>
                      <w:highlight w:val="none"/>
                    </w:rPr>
                  </w:pPr>
                  <w:r>
                    <w:rPr>
                      <w:rFonts w:hint="eastAsia"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t/a</w:t>
                  </w:r>
                </w:p>
              </w:tc>
              <w:tc>
                <w:tcPr>
                  <w:tcW w:w="830" w:type="dxa"/>
                  <w:noWrap w:val="0"/>
                  <w:vAlign w:val="center"/>
                </w:tcPr>
                <w:p w14:paraId="47F3E66E">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生产</w:t>
                  </w:r>
                </w:p>
              </w:tc>
              <w:tc>
                <w:tcPr>
                  <w:tcW w:w="458" w:type="dxa"/>
                  <w:noWrap w:val="0"/>
                  <w:vAlign w:val="center"/>
                </w:tcPr>
                <w:p w14:paraId="31159F8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液态</w:t>
                  </w:r>
                </w:p>
              </w:tc>
              <w:tc>
                <w:tcPr>
                  <w:tcW w:w="901" w:type="dxa"/>
                  <w:noWrap w:val="0"/>
                  <w:vAlign w:val="center"/>
                </w:tcPr>
                <w:p w14:paraId="28A52F7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润滑油</w:t>
                  </w:r>
                </w:p>
              </w:tc>
              <w:tc>
                <w:tcPr>
                  <w:tcW w:w="892" w:type="dxa"/>
                  <w:noWrap w:val="0"/>
                  <w:vAlign w:val="center"/>
                </w:tcPr>
                <w:p w14:paraId="042B2A0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机油</w:t>
                  </w:r>
                </w:p>
              </w:tc>
              <w:tc>
                <w:tcPr>
                  <w:tcW w:w="687" w:type="dxa"/>
                  <w:tcBorders>
                    <w:right w:val="single" w:color="auto" w:sz="4" w:space="0"/>
                  </w:tcBorders>
                  <w:noWrap w:val="0"/>
                  <w:vAlign w:val="center"/>
                </w:tcPr>
                <w:p w14:paraId="36A5504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个月</w:t>
                  </w:r>
                </w:p>
              </w:tc>
              <w:tc>
                <w:tcPr>
                  <w:tcW w:w="672" w:type="dxa"/>
                  <w:tcBorders>
                    <w:right w:val="single" w:color="auto" w:sz="4" w:space="0"/>
                  </w:tcBorders>
                  <w:noWrap w:val="0"/>
                  <w:vAlign w:val="center"/>
                </w:tcPr>
                <w:p w14:paraId="1FA4BBE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T</w:t>
                  </w:r>
                  <w:r>
                    <w:rPr>
                      <w:rFonts w:hint="eastAsia" w:cs="Times New Roman"/>
                      <w:color w:val="auto"/>
                      <w:sz w:val="21"/>
                      <w:szCs w:val="21"/>
                      <w:highlight w:val="none"/>
                      <w:lang w:val="en-US" w:eastAsia="zh-CN"/>
                    </w:rPr>
                    <w:t>/In</w:t>
                  </w:r>
                </w:p>
              </w:tc>
              <w:tc>
                <w:tcPr>
                  <w:tcW w:w="877" w:type="dxa"/>
                  <w:vMerge w:val="continue"/>
                  <w:tcBorders>
                    <w:right w:val="single" w:color="auto" w:sz="4" w:space="0"/>
                  </w:tcBorders>
                  <w:noWrap w:val="0"/>
                  <w:vAlign w:val="center"/>
                </w:tcPr>
                <w:p w14:paraId="69FCFD9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53FC6A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9" w:type="dxa"/>
                  <w:tcBorders>
                    <w:left w:val="single" w:color="auto" w:sz="4" w:space="0"/>
                  </w:tcBorders>
                  <w:noWrap w:val="0"/>
                  <w:vAlign w:val="center"/>
                </w:tcPr>
                <w:p w14:paraId="0FF2CA3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w:t>
                  </w:r>
                </w:p>
              </w:tc>
              <w:tc>
                <w:tcPr>
                  <w:tcW w:w="883" w:type="dxa"/>
                  <w:noWrap w:val="0"/>
                  <w:vAlign w:val="center"/>
                </w:tcPr>
                <w:p w14:paraId="51345450">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废包装桶</w:t>
                  </w:r>
                </w:p>
              </w:tc>
              <w:tc>
                <w:tcPr>
                  <w:tcW w:w="756" w:type="dxa"/>
                  <w:noWrap w:val="0"/>
                  <w:vAlign w:val="center"/>
                </w:tcPr>
                <w:p w14:paraId="5AE38A98">
                  <w:pPr>
                    <w:keepNext w:val="0"/>
                    <w:keepLines w:val="0"/>
                    <w:pageBreakBefore w:val="0"/>
                    <w:widowControl w:val="0"/>
                    <w:kinsoku/>
                    <w:wordWrap/>
                    <w:overflow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color w:val="auto"/>
                      <w:sz w:val="21"/>
                      <w:szCs w:val="21"/>
                      <w:highlight w:val="none"/>
                    </w:rPr>
                    <w:t>HW</w:t>
                  </w:r>
                  <w:r>
                    <w:rPr>
                      <w:rFonts w:hint="eastAsia"/>
                      <w:color w:val="auto"/>
                      <w:sz w:val="21"/>
                      <w:szCs w:val="21"/>
                      <w:highlight w:val="none"/>
                    </w:rPr>
                    <w:t>49</w:t>
                  </w:r>
                </w:p>
              </w:tc>
              <w:tc>
                <w:tcPr>
                  <w:tcW w:w="805" w:type="dxa"/>
                  <w:noWrap w:val="0"/>
                  <w:vAlign w:val="center"/>
                </w:tcPr>
                <w:p w14:paraId="6E8E0B80">
                  <w:pPr>
                    <w:keepNext w:val="0"/>
                    <w:keepLines w:val="0"/>
                    <w:pageBreakBefore w:val="0"/>
                    <w:widowControl w:val="0"/>
                    <w:kinsoku/>
                    <w:wordWrap/>
                    <w:overflowPunct/>
                    <w:autoSpaceDE/>
                    <w:autoSpaceDN/>
                    <w:bidi w:val="0"/>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color w:val="auto"/>
                      <w:sz w:val="21"/>
                      <w:szCs w:val="21"/>
                      <w:highlight w:val="none"/>
                    </w:rPr>
                    <w:t>900-</w:t>
                  </w:r>
                  <w:r>
                    <w:rPr>
                      <w:rFonts w:hint="eastAsia"/>
                      <w:color w:val="auto"/>
                      <w:sz w:val="21"/>
                      <w:szCs w:val="21"/>
                      <w:highlight w:val="none"/>
                    </w:rPr>
                    <w:t>041-49</w:t>
                  </w:r>
                </w:p>
              </w:tc>
              <w:tc>
                <w:tcPr>
                  <w:tcW w:w="659" w:type="dxa"/>
                  <w:noWrap w:val="0"/>
                  <w:vAlign w:val="center"/>
                </w:tcPr>
                <w:p w14:paraId="0A4624C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0.02</w:t>
                  </w:r>
                  <w:r>
                    <w:rPr>
                      <w:rFonts w:hint="default" w:ascii="Times New Roman" w:hAnsi="Times New Roman" w:eastAsia="宋体" w:cs="Times New Roman"/>
                      <w:color w:val="auto"/>
                      <w:kern w:val="0"/>
                      <w:sz w:val="21"/>
                      <w:szCs w:val="21"/>
                      <w:highlight w:val="none"/>
                      <w:lang w:val="en-US" w:eastAsia="zh-CN"/>
                    </w:rPr>
                    <w:t>t/a</w:t>
                  </w:r>
                </w:p>
              </w:tc>
              <w:tc>
                <w:tcPr>
                  <w:tcW w:w="830" w:type="dxa"/>
                  <w:noWrap w:val="0"/>
                  <w:vAlign w:val="center"/>
                </w:tcPr>
                <w:p w14:paraId="63056925">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生产</w:t>
                  </w:r>
                </w:p>
              </w:tc>
              <w:tc>
                <w:tcPr>
                  <w:tcW w:w="458" w:type="dxa"/>
                  <w:noWrap w:val="0"/>
                  <w:vAlign w:val="center"/>
                </w:tcPr>
                <w:p w14:paraId="0DC2B55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固态</w:t>
                  </w:r>
                </w:p>
              </w:tc>
              <w:tc>
                <w:tcPr>
                  <w:tcW w:w="901" w:type="dxa"/>
                  <w:noWrap w:val="0"/>
                  <w:vAlign w:val="center"/>
                </w:tcPr>
                <w:p w14:paraId="43398CE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试剂、润滑油</w:t>
                  </w:r>
                </w:p>
              </w:tc>
              <w:tc>
                <w:tcPr>
                  <w:tcW w:w="892" w:type="dxa"/>
                  <w:noWrap w:val="0"/>
                  <w:vAlign w:val="center"/>
                </w:tcPr>
                <w:p w14:paraId="575F3E1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试剂、润滑油</w:t>
                  </w:r>
                </w:p>
              </w:tc>
              <w:tc>
                <w:tcPr>
                  <w:tcW w:w="687" w:type="dxa"/>
                  <w:tcBorders>
                    <w:right w:val="single" w:color="auto" w:sz="4" w:space="0"/>
                  </w:tcBorders>
                  <w:noWrap w:val="0"/>
                  <w:vAlign w:val="center"/>
                </w:tcPr>
                <w:p w14:paraId="6DB5306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6个月</w:t>
                  </w:r>
                </w:p>
              </w:tc>
              <w:tc>
                <w:tcPr>
                  <w:tcW w:w="672" w:type="dxa"/>
                  <w:tcBorders>
                    <w:right w:val="single" w:color="auto" w:sz="4" w:space="0"/>
                  </w:tcBorders>
                  <w:noWrap w:val="0"/>
                  <w:vAlign w:val="center"/>
                </w:tcPr>
                <w:p w14:paraId="1D87543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T/In</w:t>
                  </w:r>
                </w:p>
              </w:tc>
              <w:tc>
                <w:tcPr>
                  <w:tcW w:w="877" w:type="dxa"/>
                  <w:vMerge w:val="continue"/>
                  <w:tcBorders>
                    <w:right w:val="single" w:color="auto" w:sz="4" w:space="0"/>
                  </w:tcBorders>
                  <w:noWrap w:val="0"/>
                  <w:vAlign w:val="center"/>
                </w:tcPr>
                <w:p w14:paraId="54DC2CD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p>
              </w:tc>
            </w:tr>
          </w:tbl>
          <w:p w14:paraId="4BFE031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i w:val="0"/>
                <w:iCs w:val="0"/>
                <w:color w:val="auto"/>
                <w:sz w:val="24"/>
                <w:szCs w:val="24"/>
                <w:highlight w:val="none"/>
                <w:lang w:val="en-US"/>
              </w:rPr>
            </w:pPr>
            <w:r>
              <w:rPr>
                <w:rFonts w:hint="default" w:ascii="Times New Roman" w:hAnsi="Times New Roman" w:eastAsia="宋体" w:cs="Times New Roman"/>
                <w:i w:val="0"/>
                <w:iCs w:val="0"/>
                <w:color w:val="auto"/>
                <w:kern w:val="2"/>
                <w:sz w:val="24"/>
                <w:szCs w:val="24"/>
                <w:highlight w:val="none"/>
                <w:lang w:val="en-US" w:eastAsia="zh-CN" w:bidi="ar"/>
              </w:rPr>
              <w:t>项目新建1间独立</w:t>
            </w:r>
            <w:r>
              <w:rPr>
                <w:rFonts w:hint="eastAsia" w:ascii="Times New Roman" w:hAnsi="Times New Roman" w:eastAsia="宋体" w:cs="Times New Roman"/>
                <w:i w:val="0"/>
                <w:iCs w:val="0"/>
                <w:color w:val="auto"/>
                <w:kern w:val="2"/>
                <w:sz w:val="24"/>
                <w:szCs w:val="24"/>
                <w:highlight w:val="none"/>
                <w:lang w:val="en-US" w:eastAsia="zh-CN" w:bidi="ar"/>
              </w:rPr>
              <w:t>危险废物暂存间</w:t>
            </w:r>
            <w:r>
              <w:rPr>
                <w:rFonts w:hint="default" w:ascii="Times New Roman" w:hAnsi="Times New Roman" w:eastAsia="宋体" w:cs="Times New Roman"/>
                <w:i w:val="0"/>
                <w:iCs w:val="0"/>
                <w:color w:val="auto"/>
                <w:kern w:val="2"/>
                <w:sz w:val="24"/>
                <w:szCs w:val="24"/>
                <w:highlight w:val="none"/>
                <w:lang w:val="en-US" w:eastAsia="zh-CN" w:bidi="ar"/>
              </w:rPr>
              <w:t>，位于</w:t>
            </w:r>
            <w:r>
              <w:rPr>
                <w:rFonts w:hint="eastAsia" w:ascii="Times New Roman" w:hAnsi="Times New Roman" w:cs="Times New Roman"/>
                <w:i w:val="0"/>
                <w:iCs w:val="0"/>
                <w:color w:val="auto"/>
                <w:kern w:val="2"/>
                <w:sz w:val="24"/>
                <w:szCs w:val="24"/>
                <w:highlight w:val="none"/>
                <w:lang w:val="en-US" w:eastAsia="zh-CN" w:bidi="ar"/>
              </w:rPr>
              <w:t>综合楼1F</w:t>
            </w:r>
            <w:r>
              <w:rPr>
                <w:rFonts w:hint="default" w:ascii="Times New Roman" w:hAnsi="Times New Roman" w:eastAsia="宋体" w:cs="Times New Roman"/>
                <w:i w:val="0"/>
                <w:iCs w:val="0"/>
                <w:color w:val="auto"/>
                <w:kern w:val="2"/>
                <w:sz w:val="24"/>
                <w:szCs w:val="24"/>
                <w:highlight w:val="none"/>
                <w:lang w:val="en-US" w:eastAsia="zh-CN" w:bidi="ar"/>
              </w:rPr>
              <w:t>，建筑面积约</w:t>
            </w:r>
            <w:r>
              <w:rPr>
                <w:rFonts w:hint="eastAsia" w:ascii="Times New Roman" w:hAnsi="Times New Roman" w:eastAsia="宋体" w:cs="Times New Roman"/>
                <w:i w:val="0"/>
                <w:iCs w:val="0"/>
                <w:color w:val="auto"/>
                <w:kern w:val="2"/>
                <w:sz w:val="24"/>
                <w:szCs w:val="24"/>
                <w:highlight w:val="none"/>
                <w:lang w:val="en-US" w:eastAsia="zh-CN" w:bidi="ar"/>
              </w:rPr>
              <w:t>10</w:t>
            </w:r>
            <w:r>
              <w:rPr>
                <w:rFonts w:hint="default" w:ascii="Times New Roman" w:hAnsi="Times New Roman" w:eastAsia="宋体" w:cs="Times New Roman"/>
                <w:i w:val="0"/>
                <w:iCs w:val="0"/>
                <w:color w:val="auto"/>
                <w:kern w:val="2"/>
                <w:sz w:val="24"/>
                <w:szCs w:val="24"/>
                <w:highlight w:val="none"/>
                <w:lang w:val="en-US" w:eastAsia="zh-CN" w:bidi="ar"/>
              </w:rPr>
              <w:t>m</w:t>
            </w:r>
            <w:r>
              <w:rPr>
                <w:rFonts w:hint="default" w:ascii="Times New Roman" w:hAnsi="Times New Roman" w:eastAsia="宋体" w:cs="Times New Roman"/>
                <w:i w:val="0"/>
                <w:iCs w:val="0"/>
                <w:color w:val="auto"/>
                <w:kern w:val="2"/>
                <w:sz w:val="24"/>
                <w:szCs w:val="24"/>
                <w:highlight w:val="none"/>
                <w:vertAlign w:val="superscript"/>
                <w:lang w:val="en-US" w:eastAsia="zh-CN" w:bidi="ar"/>
              </w:rPr>
              <w:t>2</w:t>
            </w:r>
            <w:r>
              <w:rPr>
                <w:rFonts w:hint="default" w:ascii="Times New Roman" w:hAnsi="Times New Roman" w:eastAsia="宋体" w:cs="Times New Roman"/>
                <w:i w:val="0"/>
                <w:iCs w:val="0"/>
                <w:color w:val="auto"/>
                <w:kern w:val="2"/>
                <w:sz w:val="24"/>
                <w:szCs w:val="24"/>
                <w:highlight w:val="none"/>
                <w:lang w:val="en-US" w:eastAsia="zh-CN" w:bidi="ar"/>
              </w:rPr>
              <w:t>，防雨淋、防腐蚀、防渗漏、防流失等处理，可满足的需求。</w:t>
            </w:r>
          </w:p>
          <w:p w14:paraId="6CFFBE3A">
            <w:pPr>
              <w:keepNext w:val="0"/>
              <w:keepLines w:val="0"/>
              <w:pageBreakBefore w:val="0"/>
              <w:widowControl w:val="0"/>
              <w:suppressLineNumbers w:val="0"/>
              <w:kinsoku/>
              <w:wordWrap/>
              <w:overflowPunct/>
              <w:topLinePunct w:val="0"/>
              <w:autoSpaceDE/>
              <w:autoSpaceDN/>
              <w:bidi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i w:val="0"/>
                <w:iCs w:val="0"/>
                <w:color w:val="auto"/>
                <w:sz w:val="24"/>
                <w:szCs w:val="24"/>
                <w:highlight w:val="none"/>
                <w:lang w:val="en-US"/>
              </w:rPr>
            </w:pPr>
            <w:r>
              <w:rPr>
                <w:rFonts w:hint="default" w:ascii="Times New Roman" w:hAnsi="Times New Roman" w:eastAsia="宋体" w:cs="Times New Roman"/>
                <w:i w:val="0"/>
                <w:iCs w:val="0"/>
                <w:color w:val="auto"/>
                <w:kern w:val="2"/>
                <w:sz w:val="24"/>
                <w:szCs w:val="24"/>
                <w:highlight w:val="none"/>
                <w:lang w:val="en-US" w:eastAsia="zh-CN" w:bidi="ar"/>
              </w:rPr>
              <w:t>危废暂存间需要按照《危险废物贮存污染控制标准》（GB18597-20</w:t>
            </w:r>
            <w:r>
              <w:rPr>
                <w:rFonts w:hint="eastAsia" w:ascii="Times New Roman" w:hAnsi="Times New Roman" w:eastAsia="宋体" w:cs="Times New Roman"/>
                <w:i w:val="0"/>
                <w:iCs w:val="0"/>
                <w:color w:val="auto"/>
                <w:kern w:val="2"/>
                <w:sz w:val="24"/>
                <w:szCs w:val="24"/>
                <w:highlight w:val="none"/>
                <w:lang w:val="en-US" w:eastAsia="zh-CN" w:bidi="ar"/>
              </w:rPr>
              <w:t>23</w:t>
            </w:r>
            <w:r>
              <w:rPr>
                <w:rFonts w:hint="default" w:ascii="Times New Roman" w:hAnsi="Times New Roman" w:eastAsia="宋体" w:cs="Times New Roman"/>
                <w:i w:val="0"/>
                <w:iCs w:val="0"/>
                <w:color w:val="auto"/>
                <w:kern w:val="2"/>
                <w:sz w:val="24"/>
                <w:szCs w:val="24"/>
                <w:highlight w:val="none"/>
                <w:lang w:val="en-US" w:eastAsia="zh-CN" w:bidi="ar"/>
              </w:rPr>
              <w:t>）</w:t>
            </w:r>
            <w:r>
              <w:rPr>
                <w:rFonts w:hint="eastAsia" w:ascii="Times New Roman" w:hAnsi="Times New Roman" w:eastAsia="宋体" w:cs="Times New Roman"/>
                <w:i w:val="0"/>
                <w:iCs w:val="0"/>
                <w:color w:val="auto"/>
                <w:kern w:val="2"/>
                <w:sz w:val="24"/>
                <w:szCs w:val="24"/>
                <w:highlight w:val="none"/>
                <w:lang w:val="en-US" w:eastAsia="zh-CN" w:bidi="ar"/>
              </w:rPr>
              <w:t>中</w:t>
            </w:r>
            <w:r>
              <w:rPr>
                <w:rFonts w:hint="default" w:ascii="Times New Roman" w:hAnsi="Times New Roman" w:eastAsia="宋体" w:cs="Times New Roman"/>
                <w:i w:val="0"/>
                <w:iCs w:val="0"/>
                <w:color w:val="auto"/>
                <w:kern w:val="2"/>
                <w:sz w:val="24"/>
                <w:szCs w:val="24"/>
                <w:highlight w:val="none"/>
                <w:lang w:val="en-US" w:eastAsia="zh-CN" w:bidi="ar"/>
              </w:rPr>
              <w:t>要求进行。</w:t>
            </w:r>
          </w:p>
          <w:p w14:paraId="787BB805">
            <w:pPr>
              <w:keepNext w:val="0"/>
              <w:keepLines w:val="0"/>
              <w:pageBreakBefore w:val="0"/>
              <w:widowControl w:val="0"/>
              <w:suppressLineNumbers w:val="0"/>
              <w:kinsoku/>
              <w:wordWrap/>
              <w:overflowPunct/>
              <w:topLinePunct w:val="0"/>
              <w:autoSpaceDE/>
              <w:autoSpaceDN/>
              <w:bidi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i w:val="0"/>
                <w:iCs w:val="0"/>
                <w:color w:val="auto"/>
                <w:sz w:val="24"/>
                <w:szCs w:val="24"/>
                <w:highlight w:val="none"/>
                <w:lang w:val="en-US"/>
              </w:rPr>
            </w:pPr>
            <w:r>
              <w:rPr>
                <w:rFonts w:hint="default" w:ascii="Times New Roman" w:hAnsi="Times New Roman" w:eastAsia="宋体" w:cs="Times New Roman"/>
                <w:i w:val="0"/>
                <w:iCs w:val="0"/>
                <w:color w:val="auto"/>
                <w:kern w:val="2"/>
                <w:sz w:val="24"/>
                <w:szCs w:val="24"/>
                <w:highlight w:val="none"/>
                <w:lang w:val="en-US" w:eastAsia="zh-CN" w:bidi="ar"/>
              </w:rPr>
              <w:t>①危废暂存间设计时基础采取防水防渗，等效粘土防渗层Mb≥6.0m，渗透系数K≤10</w:t>
            </w:r>
            <w:r>
              <w:rPr>
                <w:rFonts w:hint="default" w:ascii="Times New Roman" w:hAnsi="Times New Roman" w:eastAsia="宋体" w:cs="Times New Roman"/>
                <w:i w:val="0"/>
                <w:iCs w:val="0"/>
                <w:color w:val="auto"/>
                <w:kern w:val="2"/>
                <w:sz w:val="24"/>
                <w:szCs w:val="24"/>
                <w:highlight w:val="none"/>
                <w:vertAlign w:val="superscript"/>
                <w:lang w:val="en-US" w:eastAsia="zh-CN" w:bidi="ar"/>
              </w:rPr>
              <w:t>-7</w:t>
            </w:r>
            <w:r>
              <w:rPr>
                <w:rFonts w:hint="default" w:ascii="Times New Roman" w:hAnsi="Times New Roman" w:eastAsia="宋体" w:cs="Times New Roman"/>
                <w:i w:val="0"/>
                <w:iCs w:val="0"/>
                <w:color w:val="auto"/>
                <w:kern w:val="2"/>
                <w:sz w:val="24"/>
                <w:szCs w:val="24"/>
                <w:highlight w:val="none"/>
                <w:lang w:val="en-US" w:eastAsia="zh-CN" w:bidi="ar"/>
              </w:rPr>
              <w:t>cm/s）。地面与裙脚要用坚固、防渗的材料建造，建筑材料必须与危险废物相容。设施内要有安全照明设施和观察窗口。危废暂存间应设置警示标识。</w:t>
            </w:r>
          </w:p>
          <w:p w14:paraId="0ABFCA0A">
            <w:pPr>
              <w:keepNext w:val="0"/>
              <w:keepLines w:val="0"/>
              <w:pageBreakBefore w:val="0"/>
              <w:widowControl w:val="0"/>
              <w:suppressLineNumbers w:val="0"/>
              <w:kinsoku/>
              <w:wordWrap/>
              <w:overflowPunct/>
              <w:topLinePunct w:val="0"/>
              <w:autoSpaceDE/>
              <w:autoSpaceDN/>
              <w:bidi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i w:val="0"/>
                <w:iCs w:val="0"/>
                <w:color w:val="auto"/>
                <w:sz w:val="24"/>
                <w:szCs w:val="24"/>
                <w:highlight w:val="none"/>
                <w:lang w:val="en-US"/>
              </w:rPr>
            </w:pPr>
            <w:r>
              <w:rPr>
                <w:rFonts w:hint="default" w:ascii="Times New Roman" w:hAnsi="Times New Roman" w:eastAsia="宋体" w:cs="Times New Roman"/>
                <w:i w:val="0"/>
                <w:iCs w:val="0"/>
                <w:color w:val="auto"/>
                <w:kern w:val="2"/>
                <w:sz w:val="24"/>
                <w:szCs w:val="24"/>
                <w:highlight w:val="none"/>
                <w:lang w:val="en-US" w:eastAsia="zh-CN" w:bidi="ar"/>
              </w:rPr>
              <w:t>②盛装危险废物的容器上必须粘贴清晰</w:t>
            </w:r>
            <w:r>
              <w:rPr>
                <w:rFonts w:hint="eastAsia" w:ascii="Times New Roman" w:hAnsi="Times New Roman" w:eastAsia="宋体" w:cs="Times New Roman"/>
                <w:i w:val="0"/>
                <w:iCs w:val="0"/>
                <w:color w:val="auto"/>
                <w:kern w:val="2"/>
                <w:sz w:val="24"/>
                <w:szCs w:val="24"/>
                <w:highlight w:val="none"/>
                <w:lang w:val="en-US" w:eastAsia="zh-CN" w:bidi="ar"/>
              </w:rPr>
              <w:t>标明</w:t>
            </w:r>
            <w:r>
              <w:rPr>
                <w:rFonts w:hint="default" w:ascii="Times New Roman" w:hAnsi="Times New Roman" w:eastAsia="宋体" w:cs="Times New Roman"/>
                <w:i w:val="0"/>
                <w:iCs w:val="0"/>
                <w:color w:val="auto"/>
                <w:kern w:val="2"/>
                <w:sz w:val="24"/>
                <w:szCs w:val="24"/>
                <w:highlight w:val="none"/>
                <w:lang w:val="en-US" w:eastAsia="zh-CN" w:bidi="ar"/>
              </w:rPr>
              <w:t>危险废物名称、种类、数量等的标签。</w:t>
            </w:r>
          </w:p>
          <w:p w14:paraId="75C7D9AF">
            <w:pPr>
              <w:keepNext w:val="0"/>
              <w:keepLines w:val="0"/>
              <w:pageBreakBefore w:val="0"/>
              <w:widowControl w:val="0"/>
              <w:suppressLineNumbers w:val="0"/>
              <w:kinsoku/>
              <w:wordWrap/>
              <w:overflowPunct/>
              <w:topLinePunct w:val="0"/>
              <w:autoSpaceDE/>
              <w:autoSpaceDN/>
              <w:bidi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i w:val="0"/>
                <w:iCs w:val="0"/>
                <w:color w:val="auto"/>
                <w:kern w:val="2"/>
                <w:sz w:val="24"/>
                <w:szCs w:val="24"/>
                <w:highlight w:val="none"/>
                <w:lang w:val="en-US" w:eastAsia="zh-CN" w:bidi="ar"/>
              </w:rPr>
            </w:pPr>
            <w:r>
              <w:rPr>
                <w:rFonts w:hint="default" w:ascii="Times New Roman" w:hAnsi="Times New Roman" w:eastAsia="宋体" w:cs="Times New Roman"/>
                <w:i w:val="0"/>
                <w:iCs w:val="0"/>
                <w:color w:val="auto"/>
                <w:kern w:val="2"/>
                <w:sz w:val="24"/>
                <w:szCs w:val="24"/>
                <w:highlight w:val="none"/>
                <w:lang w:val="en-US" w:eastAsia="zh-CN" w:bidi="ar"/>
              </w:rPr>
              <w:t>③禁止将不相容（相互反应）的危险废物在同一容器内混装。危废间内清理出来的泄漏物，一律按危险废物处理。危废管理员须</w:t>
            </w:r>
            <w:r>
              <w:rPr>
                <w:rFonts w:hint="eastAsia" w:ascii="Times New Roman" w:hAnsi="Times New Roman" w:eastAsia="宋体" w:cs="Times New Roman"/>
                <w:i w:val="0"/>
                <w:iCs w:val="0"/>
                <w:color w:val="auto"/>
                <w:kern w:val="2"/>
                <w:sz w:val="24"/>
                <w:szCs w:val="24"/>
                <w:highlight w:val="none"/>
                <w:lang w:val="en-US" w:eastAsia="zh-CN" w:bidi="ar"/>
              </w:rPr>
              <w:t>做</w:t>
            </w:r>
            <w:r>
              <w:rPr>
                <w:rFonts w:hint="default" w:ascii="Times New Roman" w:hAnsi="Times New Roman" w:eastAsia="宋体" w:cs="Times New Roman"/>
                <w:i w:val="0"/>
                <w:iCs w:val="0"/>
                <w:color w:val="auto"/>
                <w:kern w:val="2"/>
                <w:sz w:val="24"/>
                <w:szCs w:val="24"/>
                <w:highlight w:val="none"/>
                <w:lang w:val="en-US" w:eastAsia="zh-CN" w:bidi="ar"/>
              </w:rPr>
              <w:t>好危险废物情况的记录，记录上须注明危险废物的名称、来源、数量、特性和包装容器的类别、入库日期、存放库位、废物出库日期及委托处置接收单位名称。危险废物的记录和货单在危险废物回取后应继续保留三年。</w:t>
            </w:r>
          </w:p>
          <w:p w14:paraId="7FB5762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采取以上处置措施后，本项目固废实现无害化，对周围环境影响较小。</w:t>
            </w:r>
          </w:p>
          <w:p w14:paraId="5BAA46B8">
            <w:pPr>
              <w:keepNext w:val="0"/>
              <w:keepLines w:val="0"/>
              <w:pageBreakBefore w:val="0"/>
              <w:widowControl w:val="0"/>
              <w:kinsoku/>
              <w:overflowPunct/>
              <w:bidi w:val="0"/>
              <w:adjustRightInd w:val="0"/>
              <w:snapToGrid w:val="0"/>
              <w:spacing w:beforeAutospacing="0" w:afterAutospacing="0" w:line="360" w:lineRule="auto"/>
              <w:ind w:left="0" w:leftChars="0" w:right="0" w:rightChars="0" w:firstLine="442" w:firstLineChars="200"/>
              <w:rPr>
                <w:rFonts w:hint="default" w:ascii="Times New Roman" w:hAnsi="Times New Roman" w:eastAsia="宋体" w:cs="Times New Roman"/>
                <w:b/>
                <w:bCs/>
                <w:color w:val="auto"/>
                <w:spacing w:val="-10"/>
                <w:sz w:val="24"/>
                <w:szCs w:val="24"/>
                <w:highlight w:val="none"/>
              </w:rPr>
            </w:pPr>
            <w:r>
              <w:rPr>
                <w:rFonts w:hint="eastAsia" w:ascii="Times New Roman" w:hAnsi="Times New Roman" w:eastAsia="宋体" w:cs="Times New Roman"/>
                <w:b/>
                <w:bCs/>
                <w:color w:val="auto"/>
                <w:spacing w:val="-10"/>
                <w:sz w:val="24"/>
                <w:szCs w:val="24"/>
                <w:highlight w:val="none"/>
                <w:lang w:val="en-US" w:eastAsia="zh-CN"/>
              </w:rPr>
              <w:t>五、</w:t>
            </w:r>
            <w:r>
              <w:rPr>
                <w:rFonts w:hint="default" w:ascii="Times New Roman" w:hAnsi="Times New Roman" w:eastAsia="宋体" w:cs="Times New Roman"/>
                <w:b/>
                <w:bCs/>
                <w:color w:val="auto"/>
                <w:spacing w:val="-10"/>
                <w:sz w:val="24"/>
                <w:szCs w:val="24"/>
                <w:highlight w:val="none"/>
              </w:rPr>
              <w:t>土壤</w:t>
            </w:r>
            <w:r>
              <w:rPr>
                <w:rFonts w:hint="default" w:ascii="Times New Roman" w:hAnsi="Times New Roman" w:eastAsia="宋体" w:cs="Times New Roman"/>
                <w:b/>
                <w:bCs/>
                <w:color w:val="auto"/>
                <w:spacing w:val="-10"/>
                <w:sz w:val="24"/>
                <w:szCs w:val="24"/>
                <w:highlight w:val="none"/>
                <w:lang w:eastAsia="zh-CN"/>
              </w:rPr>
              <w:t>、</w:t>
            </w:r>
            <w:r>
              <w:rPr>
                <w:rFonts w:hint="default" w:ascii="Times New Roman" w:hAnsi="Times New Roman" w:eastAsia="宋体" w:cs="Times New Roman"/>
                <w:b/>
                <w:bCs/>
                <w:color w:val="auto"/>
                <w:spacing w:val="-10"/>
                <w:sz w:val="24"/>
                <w:szCs w:val="24"/>
                <w:highlight w:val="none"/>
                <w:lang w:val="en-US" w:eastAsia="zh-CN"/>
              </w:rPr>
              <w:t>地下水</w:t>
            </w:r>
            <w:r>
              <w:rPr>
                <w:rFonts w:hint="default" w:ascii="Times New Roman" w:hAnsi="Times New Roman" w:eastAsia="宋体" w:cs="Times New Roman"/>
                <w:b/>
                <w:bCs/>
                <w:color w:val="auto"/>
                <w:spacing w:val="-10"/>
                <w:sz w:val="24"/>
                <w:szCs w:val="24"/>
                <w:highlight w:val="none"/>
              </w:rPr>
              <w:t>环境影响分析</w:t>
            </w:r>
          </w:p>
          <w:p w14:paraId="42D736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地下水</w:t>
            </w:r>
            <w:r>
              <w:rPr>
                <w:rFonts w:hint="default" w:ascii="Times New Roman" w:hAnsi="Times New Roman" w:eastAsia="宋体" w:cs="Times New Roman"/>
                <w:b/>
                <w:bCs/>
                <w:color w:val="auto"/>
                <w:sz w:val="24"/>
                <w:szCs w:val="24"/>
                <w:highlight w:val="none"/>
                <w:lang w:eastAsia="zh-CN"/>
              </w:rPr>
              <w:t>、土壤</w:t>
            </w:r>
            <w:r>
              <w:rPr>
                <w:rFonts w:hint="default" w:ascii="Times New Roman" w:hAnsi="Times New Roman" w:eastAsia="宋体" w:cs="Times New Roman"/>
                <w:b/>
                <w:bCs/>
                <w:color w:val="auto"/>
                <w:sz w:val="24"/>
                <w:szCs w:val="24"/>
                <w:highlight w:val="none"/>
              </w:rPr>
              <w:t>污染途径分析</w:t>
            </w:r>
          </w:p>
          <w:p w14:paraId="501856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cs="Times New Roman"/>
                <w:color w:val="auto"/>
                <w:kern w:val="0"/>
                <w:sz w:val="24"/>
                <w:szCs w:val="20"/>
                <w:highlight w:val="none"/>
                <w:lang w:val="en-US" w:eastAsia="zh-CN"/>
              </w:rPr>
            </w:pPr>
            <w:r>
              <w:rPr>
                <w:rFonts w:hint="default" w:ascii="Times New Roman" w:hAnsi="Times New Roman" w:eastAsia="宋体" w:cs="Times New Roman"/>
                <w:color w:val="auto"/>
                <w:sz w:val="24"/>
                <w:szCs w:val="24"/>
                <w:highlight w:val="none"/>
              </w:rPr>
              <w:t>污染源：</w:t>
            </w:r>
            <w:r>
              <w:rPr>
                <w:rFonts w:hint="default" w:ascii="Times New Roman" w:hAnsi="Times New Roman" w:cs="Times New Roman"/>
                <w:color w:val="auto"/>
                <w:kern w:val="0"/>
                <w:sz w:val="24"/>
                <w:szCs w:val="20"/>
                <w:highlight w:val="none"/>
                <w:lang w:eastAsia="zh-CN"/>
              </w:rPr>
              <w:t>危废</w:t>
            </w:r>
            <w:r>
              <w:rPr>
                <w:rFonts w:hint="default" w:ascii="Times New Roman" w:hAnsi="Times New Roman" w:cs="Times New Roman"/>
                <w:color w:val="auto"/>
                <w:kern w:val="0"/>
                <w:sz w:val="24"/>
                <w:szCs w:val="20"/>
                <w:highlight w:val="none"/>
                <w:lang w:val="en-US" w:eastAsia="zh-CN"/>
              </w:rPr>
              <w:t>暂存间</w:t>
            </w:r>
            <w:r>
              <w:rPr>
                <w:rFonts w:hint="eastAsia" w:cs="Times New Roman"/>
                <w:color w:val="auto"/>
                <w:kern w:val="0"/>
                <w:sz w:val="24"/>
                <w:szCs w:val="20"/>
                <w:highlight w:val="none"/>
                <w:lang w:val="en-US" w:eastAsia="zh-CN"/>
              </w:rPr>
              <w:t>、</w:t>
            </w:r>
            <w:r>
              <w:rPr>
                <w:rFonts w:hint="eastAsia" w:cs="Times New Roman"/>
                <w:bCs/>
                <w:color w:val="auto"/>
                <w:kern w:val="2"/>
                <w:sz w:val="24"/>
                <w:szCs w:val="24"/>
                <w:vertAlign w:val="baseline"/>
                <w:lang w:val="en-US" w:eastAsia="zh-CN" w:bidi="ar-SA"/>
              </w:rPr>
              <w:t>润滑油储存室、药剂储存室、各水池</w:t>
            </w:r>
            <w:r>
              <w:rPr>
                <w:rFonts w:hint="eastAsia" w:cs="Times New Roman"/>
                <w:color w:val="auto"/>
                <w:kern w:val="0"/>
                <w:sz w:val="24"/>
                <w:szCs w:val="20"/>
                <w:highlight w:val="none"/>
                <w:lang w:val="en-US" w:eastAsia="zh-CN"/>
              </w:rPr>
              <w:t>等。</w:t>
            </w:r>
          </w:p>
          <w:p w14:paraId="6102FD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污染物类型：</w:t>
            </w:r>
            <w:r>
              <w:rPr>
                <w:rFonts w:hint="default" w:ascii="Times New Roman" w:hAnsi="Times New Roman" w:eastAsia="宋体" w:cs="Times New Roman"/>
                <w:color w:val="auto"/>
                <w:sz w:val="24"/>
                <w:szCs w:val="24"/>
                <w:highlight w:val="none"/>
                <w:lang w:eastAsia="zh-CN"/>
              </w:rPr>
              <w:t>危废、</w:t>
            </w:r>
            <w:r>
              <w:rPr>
                <w:rFonts w:hint="eastAsia" w:cs="Times New Roman"/>
                <w:i w:val="0"/>
                <w:iCs w:val="0"/>
                <w:color w:val="auto"/>
                <w:kern w:val="2"/>
                <w:sz w:val="24"/>
                <w:szCs w:val="24"/>
                <w:lang w:val="en-US" w:eastAsia="zh-CN" w:bidi="ar"/>
              </w:rPr>
              <w:t>润滑油、药剂等</w:t>
            </w:r>
            <w:r>
              <w:rPr>
                <w:rFonts w:hint="eastAsia" w:cs="Times New Roman"/>
                <w:color w:val="auto"/>
                <w:sz w:val="24"/>
                <w:szCs w:val="24"/>
                <w:highlight w:val="none"/>
                <w:lang w:val="en-US" w:eastAsia="zh-CN"/>
              </w:rPr>
              <w:t>。</w:t>
            </w:r>
          </w:p>
          <w:p w14:paraId="79EC89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污染途径：地面下渗污染</w:t>
            </w:r>
            <w:r>
              <w:rPr>
                <w:rFonts w:hint="eastAsia" w:cs="Times New Roman"/>
                <w:color w:val="auto"/>
                <w:sz w:val="24"/>
                <w:szCs w:val="24"/>
                <w:highlight w:val="none"/>
                <w:lang w:eastAsia="zh-CN"/>
              </w:rPr>
              <w:t>。</w:t>
            </w:r>
          </w:p>
          <w:p w14:paraId="5B7775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主要防渗措施</w:t>
            </w:r>
          </w:p>
          <w:p w14:paraId="24F5CD6A">
            <w:pPr>
              <w:keepNext w:val="0"/>
              <w:keepLines w:val="0"/>
              <w:pageBreakBefore w:val="0"/>
              <w:widowControl w:val="0"/>
              <w:kinsoku/>
              <w:wordWrap/>
              <w:overflowPunct/>
              <w:bidi w:val="0"/>
              <w:spacing w:beforeAutospacing="0" w:afterAutospacing="0" w:line="360" w:lineRule="auto"/>
              <w:ind w:left="0" w:leftChars="0" w:firstLine="480" w:firstLineChars="200"/>
              <w:rPr>
                <w:rFonts w:hint="default" w:ascii="Times New Roman" w:hAnsi="Times New Roman" w:eastAsia="宋体" w:cs="Times New Roman"/>
                <w:i w:val="0"/>
                <w:iCs w:val="0"/>
                <w:color w:val="auto"/>
                <w:kern w:val="2"/>
                <w:sz w:val="24"/>
                <w:szCs w:val="24"/>
                <w:lang w:val="en-US" w:eastAsia="zh-CN" w:bidi="ar"/>
              </w:rPr>
            </w:pPr>
            <w:r>
              <w:rPr>
                <w:rFonts w:hint="default" w:ascii="Times New Roman" w:hAnsi="Times New Roman" w:eastAsia="宋体" w:cs="Times New Roman"/>
                <w:i w:val="0"/>
                <w:iCs w:val="0"/>
                <w:color w:val="auto"/>
                <w:kern w:val="2"/>
                <w:sz w:val="24"/>
                <w:szCs w:val="24"/>
                <w:lang w:val="en-US" w:eastAsia="zh-CN" w:bidi="ar"/>
              </w:rPr>
              <w:t>重点防渗区：主要为危废物暂存间</w:t>
            </w:r>
            <w:r>
              <w:rPr>
                <w:rFonts w:hint="eastAsia" w:cs="Times New Roman"/>
                <w:i w:val="0"/>
                <w:iCs w:val="0"/>
                <w:color w:val="auto"/>
                <w:kern w:val="2"/>
                <w:sz w:val="24"/>
                <w:szCs w:val="24"/>
                <w:lang w:val="en-US" w:eastAsia="zh-CN" w:bidi="ar"/>
              </w:rPr>
              <w:t>、</w:t>
            </w:r>
            <w:r>
              <w:rPr>
                <w:rFonts w:hint="eastAsia" w:cs="Times New Roman"/>
                <w:bCs/>
                <w:color w:val="auto"/>
                <w:kern w:val="2"/>
                <w:sz w:val="24"/>
                <w:szCs w:val="24"/>
                <w:vertAlign w:val="baseline"/>
                <w:lang w:val="en-US" w:eastAsia="zh-CN" w:bidi="ar-SA"/>
              </w:rPr>
              <w:t>润滑油储存室、药剂储存室、各水池等</w:t>
            </w:r>
            <w:r>
              <w:rPr>
                <w:rFonts w:hint="default" w:ascii="Times New Roman" w:hAnsi="Times New Roman" w:eastAsia="宋体" w:cs="Times New Roman"/>
                <w:i w:val="0"/>
                <w:iCs w:val="0"/>
                <w:color w:val="auto"/>
                <w:kern w:val="2"/>
                <w:sz w:val="24"/>
                <w:szCs w:val="24"/>
                <w:lang w:val="en-US" w:eastAsia="zh-CN" w:bidi="ar"/>
              </w:rPr>
              <w:t>。</w:t>
            </w:r>
          </w:p>
          <w:p w14:paraId="77983C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color w:val="auto"/>
                <w:sz w:val="24"/>
                <w:szCs w:val="24"/>
                <w:highlight w:val="none"/>
                <w:shd w:val="clear" w:color="auto" w:fill="auto"/>
                <w:lang w:val="en-US" w:eastAsia="zh-CN"/>
              </w:rPr>
            </w:pPr>
            <w:r>
              <w:rPr>
                <w:rFonts w:hint="default" w:ascii="Times New Roman" w:hAnsi="Times New Roman" w:eastAsia="宋体" w:cs="Times New Roman"/>
                <w:b/>
                <w:color w:val="auto"/>
                <w:sz w:val="24"/>
                <w:szCs w:val="24"/>
                <w:highlight w:val="none"/>
                <w:shd w:val="clear" w:color="auto" w:fill="auto"/>
                <w:lang w:val="en-US" w:eastAsia="zh-CN"/>
              </w:rPr>
              <w:t>表</w:t>
            </w:r>
            <w:r>
              <w:rPr>
                <w:rFonts w:hint="eastAsia" w:ascii="Times New Roman" w:hAnsi="Times New Roman" w:eastAsia="宋体" w:cs="Times New Roman"/>
                <w:b/>
                <w:color w:val="auto"/>
                <w:sz w:val="24"/>
                <w:szCs w:val="24"/>
                <w:highlight w:val="none"/>
                <w:shd w:val="clear" w:color="auto" w:fill="auto"/>
                <w:lang w:val="en-US" w:eastAsia="zh-CN"/>
              </w:rPr>
              <w:t>4-</w:t>
            </w:r>
            <w:r>
              <w:rPr>
                <w:rFonts w:hint="eastAsia" w:cs="Times New Roman"/>
                <w:b/>
                <w:color w:val="auto"/>
                <w:sz w:val="24"/>
                <w:szCs w:val="24"/>
                <w:highlight w:val="none"/>
                <w:shd w:val="clear" w:color="auto" w:fill="auto"/>
                <w:lang w:val="en-US" w:eastAsia="zh-CN"/>
              </w:rPr>
              <w:t>9</w:t>
            </w:r>
            <w:r>
              <w:rPr>
                <w:rFonts w:hint="eastAsia" w:ascii="Times New Roman" w:hAnsi="Times New Roman" w:eastAsia="宋体" w:cs="Times New Roman"/>
                <w:b/>
                <w:color w:val="auto"/>
                <w:sz w:val="24"/>
                <w:szCs w:val="24"/>
                <w:highlight w:val="none"/>
                <w:shd w:val="clear" w:color="auto" w:fill="auto"/>
                <w:lang w:val="en-US" w:eastAsia="zh-CN"/>
              </w:rPr>
              <w:t xml:space="preserve">  分区防渗划分一览表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261"/>
              <w:gridCol w:w="2667"/>
              <w:gridCol w:w="2518"/>
              <w:gridCol w:w="1220"/>
            </w:tblGrid>
            <w:tr w14:paraId="3386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noWrap w:val="0"/>
                  <w:vAlign w:val="center"/>
                </w:tcPr>
                <w:p w14:paraId="0586F7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防渗分区</w:t>
                  </w:r>
                </w:p>
              </w:tc>
              <w:tc>
                <w:tcPr>
                  <w:tcW w:w="718" w:type="pct"/>
                  <w:noWrap w:val="0"/>
                  <w:vAlign w:val="center"/>
                </w:tcPr>
                <w:p w14:paraId="3419C1D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厂内分区</w:t>
                  </w:r>
                </w:p>
              </w:tc>
              <w:tc>
                <w:tcPr>
                  <w:tcW w:w="3647" w:type="pct"/>
                  <w:gridSpan w:val="3"/>
                  <w:noWrap w:val="0"/>
                  <w:vAlign w:val="center"/>
                </w:tcPr>
                <w:p w14:paraId="577361C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需采取措施</w:t>
                  </w:r>
                </w:p>
              </w:tc>
            </w:tr>
            <w:tr w14:paraId="2E3E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noWrap w:val="0"/>
                  <w:vAlign w:val="center"/>
                </w:tcPr>
                <w:p w14:paraId="6866DE6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重点防渗区</w:t>
                  </w:r>
                </w:p>
              </w:tc>
              <w:tc>
                <w:tcPr>
                  <w:tcW w:w="718" w:type="pct"/>
                  <w:noWrap w:val="0"/>
                  <w:vAlign w:val="center"/>
                </w:tcPr>
                <w:p w14:paraId="3D87ACD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2"/>
                      <w:sz w:val="21"/>
                      <w:szCs w:val="21"/>
                      <w:lang w:val="en-US" w:eastAsia="zh-CN" w:bidi="ar"/>
                    </w:rPr>
                    <w:t>危废物暂存间</w:t>
                  </w:r>
                  <w:r>
                    <w:rPr>
                      <w:rFonts w:hint="eastAsia" w:cs="Times New Roman"/>
                      <w:i w:val="0"/>
                      <w:iCs w:val="0"/>
                      <w:color w:val="auto"/>
                      <w:kern w:val="2"/>
                      <w:sz w:val="21"/>
                      <w:szCs w:val="21"/>
                      <w:lang w:val="en-US" w:eastAsia="zh-CN" w:bidi="ar"/>
                    </w:rPr>
                    <w:t>、</w:t>
                  </w:r>
                  <w:r>
                    <w:rPr>
                      <w:rFonts w:hint="eastAsia" w:cs="Times New Roman"/>
                      <w:bCs/>
                      <w:color w:val="auto"/>
                      <w:kern w:val="2"/>
                      <w:sz w:val="21"/>
                      <w:szCs w:val="21"/>
                      <w:vertAlign w:val="baseline"/>
                      <w:lang w:val="en-US" w:eastAsia="zh-CN" w:bidi="ar-SA"/>
                    </w:rPr>
                    <w:t>润滑油储存室、药剂储存室、各水池</w:t>
                  </w:r>
                </w:p>
              </w:tc>
              <w:tc>
                <w:tcPr>
                  <w:tcW w:w="1518" w:type="pct"/>
                  <w:noWrap w:val="0"/>
                  <w:vAlign w:val="center"/>
                </w:tcPr>
                <w:p w14:paraId="493FF90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具有固定边界，与其他区域进行隔离</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危险废物置于桶内;采取防渗、防漏等污染防治措施或采用具有相应功能的装置</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及时清运</w:t>
                  </w:r>
                </w:p>
              </w:tc>
              <w:tc>
                <w:tcPr>
                  <w:tcW w:w="1434" w:type="pct"/>
                  <w:noWrap w:val="0"/>
                  <w:vAlign w:val="center"/>
                </w:tcPr>
                <w:p w14:paraId="06EB3BD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防渗层为至少1m厚黏土层，K≤1.0*10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vertAlign w:val="baseline"/>
                      <w:lang w:val="en-US" w:eastAsia="zh-CN"/>
                    </w:rPr>
                    <w:t>cm/s</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或至少2mm厚高密度聚乙烯膜等人工防渗材料，K≤1.0*10</w:t>
                  </w:r>
                  <w:r>
                    <w:rPr>
                      <w:rFonts w:hint="default" w:ascii="Times New Roman" w:hAnsi="Times New Roman" w:eastAsia="宋体" w:cs="Times New Roman"/>
                      <w:b w:val="0"/>
                      <w:bCs w:val="0"/>
                      <w:color w:val="auto"/>
                      <w:sz w:val="21"/>
                      <w:szCs w:val="21"/>
                      <w:highlight w:val="none"/>
                      <w:vertAlign w:val="superscript"/>
                      <w:lang w:val="en-US" w:eastAsia="zh-CN"/>
                    </w:rPr>
                    <w:t>-1</w:t>
                  </w:r>
                  <w:r>
                    <w:rPr>
                      <w:rFonts w:hint="eastAsia" w:cs="Times New Roman"/>
                      <w:b w:val="0"/>
                      <w:bCs w:val="0"/>
                      <w:color w:val="auto"/>
                      <w:sz w:val="21"/>
                      <w:szCs w:val="21"/>
                      <w:highlight w:val="none"/>
                      <w:vertAlign w:val="superscript"/>
                      <w:lang w:val="en-US" w:eastAsia="zh-CN"/>
                    </w:rPr>
                    <w:t>0</w:t>
                  </w:r>
                  <w:r>
                    <w:rPr>
                      <w:rFonts w:hint="default" w:ascii="Times New Roman" w:hAnsi="Times New Roman" w:eastAsia="宋体" w:cs="Times New Roman"/>
                      <w:b w:val="0"/>
                      <w:bCs w:val="0"/>
                      <w:color w:val="auto"/>
                      <w:sz w:val="21"/>
                      <w:szCs w:val="21"/>
                      <w:highlight w:val="none"/>
                      <w:vertAlign w:val="baseline"/>
                      <w:lang w:val="en-US" w:eastAsia="zh-CN"/>
                    </w:rPr>
                    <w:t>cm/s</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或其他防渗性能等效的材料</w:t>
                  </w:r>
                </w:p>
              </w:tc>
              <w:tc>
                <w:tcPr>
                  <w:tcW w:w="694" w:type="pct"/>
                  <w:noWrap w:val="0"/>
                  <w:vAlign w:val="center"/>
                </w:tcPr>
                <w:p w14:paraId="3093ED1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《危险废物贮存污染控制标准》（GB18597-2023）</w:t>
                  </w:r>
                </w:p>
              </w:tc>
            </w:tr>
            <w:tr w14:paraId="142D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noWrap w:val="0"/>
                  <w:vAlign w:val="center"/>
                </w:tcPr>
                <w:p w14:paraId="087DE39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简单</w:t>
                  </w:r>
                  <w:r>
                    <w:rPr>
                      <w:rFonts w:hint="default" w:ascii="Times New Roman" w:hAnsi="Times New Roman" w:eastAsia="宋体" w:cs="Times New Roman"/>
                      <w:b w:val="0"/>
                      <w:bCs w:val="0"/>
                      <w:color w:val="auto"/>
                      <w:sz w:val="21"/>
                      <w:szCs w:val="21"/>
                      <w:highlight w:val="none"/>
                      <w:vertAlign w:val="baseline"/>
                      <w:lang w:val="en-US" w:eastAsia="zh-CN"/>
                    </w:rPr>
                    <w:t>防渗区</w:t>
                  </w:r>
                </w:p>
              </w:tc>
              <w:tc>
                <w:tcPr>
                  <w:tcW w:w="718" w:type="pct"/>
                  <w:noWrap w:val="0"/>
                  <w:vAlign w:val="center"/>
                </w:tcPr>
                <w:p w14:paraId="62D4185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综合楼</w:t>
                  </w:r>
                </w:p>
              </w:tc>
              <w:tc>
                <w:tcPr>
                  <w:tcW w:w="2953" w:type="pct"/>
                  <w:gridSpan w:val="2"/>
                  <w:noWrap w:val="0"/>
                  <w:vAlign w:val="center"/>
                </w:tcPr>
                <w:p w14:paraId="1EAE6FF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地面硬化</w:t>
                  </w:r>
                </w:p>
              </w:tc>
              <w:tc>
                <w:tcPr>
                  <w:tcW w:w="694" w:type="pct"/>
                  <w:noWrap w:val="0"/>
                  <w:vAlign w:val="center"/>
                </w:tcPr>
                <w:p w14:paraId="07DD2EF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cs="Times New Roman"/>
                      <w:b w:val="0"/>
                      <w:bCs w:val="0"/>
                      <w:color w:val="auto"/>
                      <w:sz w:val="21"/>
                      <w:szCs w:val="21"/>
                      <w:highlight w:val="none"/>
                      <w:vertAlign w:val="baseline"/>
                      <w:lang w:val="en-US" w:eastAsia="zh-CN"/>
                    </w:rPr>
                  </w:pPr>
                </w:p>
              </w:tc>
            </w:tr>
          </w:tbl>
          <w:p w14:paraId="7BFDABD2">
            <w:pPr>
              <w:keepNext w:val="0"/>
              <w:keepLines w:val="0"/>
              <w:pageBreakBefore w:val="0"/>
              <w:widowControl w:val="0"/>
              <w:kinsoku/>
              <w:wordWrap w:val="0"/>
              <w:overflowPunct/>
              <w:topLinePunct/>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eastAsia="宋体" w:cs="Times New Roman"/>
                <w:i w:val="0"/>
                <w:iCs w:val="0"/>
                <w:color w:val="auto"/>
                <w:kern w:val="2"/>
                <w:sz w:val="24"/>
                <w:szCs w:val="24"/>
                <w:lang w:val="en-US" w:eastAsia="zh-CN" w:bidi="ar"/>
              </w:rPr>
              <w:t>采取以上防治措施后，能够保证项目产生的污染物对项目区地下水、土壤的影响较小</w:t>
            </w:r>
            <w:r>
              <w:rPr>
                <w:rFonts w:hint="eastAsia" w:cs="Times New Roman"/>
                <w:b w:val="0"/>
                <w:bCs w:val="0"/>
                <w:color w:val="auto"/>
                <w:sz w:val="24"/>
                <w:highlight w:val="none"/>
                <w:lang w:val="en-US" w:eastAsia="zh-CN"/>
              </w:rPr>
              <w:t>。</w:t>
            </w:r>
          </w:p>
          <w:p w14:paraId="47080B73">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六、风险环境影响分析</w:t>
            </w:r>
          </w:p>
          <w:p w14:paraId="511B3C9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i w:val="0"/>
                <w:iCs w:val="0"/>
                <w:color w:val="auto"/>
                <w:kern w:val="2"/>
                <w:sz w:val="24"/>
                <w:szCs w:val="24"/>
                <w:highlight w:val="none"/>
                <w:lang w:val="en-US" w:eastAsia="zh-CN" w:bidi="ar"/>
              </w:rPr>
            </w:pPr>
            <w:r>
              <w:rPr>
                <w:rFonts w:hint="default" w:ascii="Times New Roman" w:hAnsi="Times New Roman" w:eastAsia="宋体" w:cs="Times New Roman"/>
                <w:i w:val="0"/>
                <w:iCs w:val="0"/>
                <w:color w:val="auto"/>
                <w:kern w:val="2"/>
                <w:sz w:val="24"/>
                <w:szCs w:val="24"/>
                <w:highlight w:val="none"/>
                <w:lang w:val="en-US" w:eastAsia="zh-CN" w:bidi="ar"/>
              </w:rPr>
              <w:t>环境风险评价的目的是分析和预测建设项目存在的潜在危险、有害因素，项目建设和运行期间可能发生的突发性事件或事故，引起有毒有害和易燃易爆等物质泄漏，所造成的人身安全与环境影响和损害程度，提出合理可行的防范、应急与减缓措施，以使建设项目事故率、损失和环境影响达到可接受的水平。</w:t>
            </w:r>
          </w:p>
          <w:p w14:paraId="615E1556">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1、评级依据</w:t>
            </w:r>
          </w:p>
          <w:p w14:paraId="6F7A63A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经查询《建设项目环境风险评价技术导则》（HJ169-2018）附录B表B.1、《化学品分类和标签规范 第18部分：急性毒性》（GB 30000.18-2013）及危险化学品重大危险源辨识</w:t>
            </w:r>
            <w:r>
              <w:rPr>
                <w:rFonts w:hint="eastAsia"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rPr>
              <w:t>GB18218-2018)，本项目所使用的原辅材料</w:t>
            </w:r>
            <w:r>
              <w:rPr>
                <w:rFonts w:hint="default" w:ascii="Times New Roman" w:hAnsi="Times New Roman" w:eastAsia="宋体" w:cs="Times New Roman"/>
                <w:b w:val="0"/>
                <w:bCs w:val="0"/>
                <w:color w:val="auto"/>
                <w:kern w:val="0"/>
                <w:sz w:val="24"/>
                <w:szCs w:val="24"/>
                <w:highlight w:val="none"/>
                <w:lang w:val="en-US" w:eastAsia="zh-CN"/>
              </w:rPr>
              <w:t>中</w:t>
            </w:r>
            <w:r>
              <w:rPr>
                <w:rFonts w:hint="eastAsia" w:cs="Times New Roman"/>
                <w:b w:val="0"/>
                <w:bCs w:val="0"/>
                <w:color w:val="auto"/>
                <w:kern w:val="0"/>
                <w:sz w:val="24"/>
                <w:szCs w:val="24"/>
                <w:highlight w:val="none"/>
                <w:lang w:val="en-US" w:eastAsia="zh-CN"/>
              </w:rPr>
              <w:t>润滑油、PAC等</w:t>
            </w:r>
            <w:r>
              <w:rPr>
                <w:rFonts w:hint="default" w:ascii="Times New Roman" w:hAnsi="Times New Roman" w:eastAsia="宋体" w:cs="Times New Roman"/>
                <w:b w:val="0"/>
                <w:bCs w:val="0"/>
                <w:color w:val="auto"/>
                <w:sz w:val="24"/>
                <w:szCs w:val="24"/>
                <w:highlight w:val="none"/>
                <w:lang w:val="en-US" w:eastAsia="zh-CN"/>
              </w:rPr>
              <w:t>属于</w:t>
            </w:r>
            <w:r>
              <w:rPr>
                <w:rFonts w:hint="eastAsia" w:cs="Times New Roman"/>
                <w:b w:val="0"/>
                <w:bCs w:val="0"/>
                <w:color w:val="auto"/>
                <w:sz w:val="24"/>
                <w:szCs w:val="24"/>
                <w:highlight w:val="none"/>
                <w:lang w:eastAsia="zh-CN"/>
              </w:rPr>
              <w:t>风险</w:t>
            </w:r>
            <w:r>
              <w:rPr>
                <w:rFonts w:hint="default" w:ascii="Times New Roman" w:hAnsi="Times New Roman" w:eastAsia="宋体" w:cs="Times New Roman"/>
                <w:b w:val="0"/>
                <w:bCs w:val="0"/>
                <w:color w:val="auto"/>
                <w:sz w:val="24"/>
                <w:szCs w:val="24"/>
                <w:highlight w:val="none"/>
              </w:rPr>
              <w:t>物质</w:t>
            </w:r>
            <w:r>
              <w:rPr>
                <w:rFonts w:hint="default" w:ascii="Times New Roman" w:hAnsi="Times New Roman" w:eastAsia="宋体" w:cs="Times New Roman"/>
                <w:b w:val="0"/>
                <w:bCs w:val="0"/>
                <w:color w:val="auto"/>
                <w:kern w:val="0"/>
                <w:sz w:val="24"/>
                <w:szCs w:val="24"/>
                <w:highlight w:val="none"/>
              </w:rPr>
              <w:t>。</w:t>
            </w:r>
          </w:p>
          <w:p w14:paraId="0264CB5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表4-</w:t>
            </w:r>
            <w:r>
              <w:rPr>
                <w:rFonts w:hint="eastAsia" w:cs="Times New Roman"/>
                <w:b/>
                <w:bCs/>
                <w:color w:val="auto"/>
                <w:spacing w:val="0"/>
                <w:sz w:val="24"/>
                <w:szCs w:val="24"/>
                <w:highlight w:val="none"/>
                <w:lang w:val="en-US" w:eastAsia="zh-CN"/>
              </w:rPr>
              <w:t>10</w:t>
            </w:r>
            <w:r>
              <w:rPr>
                <w:rFonts w:hint="default" w:ascii="Times New Roman" w:hAnsi="Times New Roman" w:eastAsia="宋体" w:cs="Times New Roman"/>
                <w:b/>
                <w:bCs/>
                <w:color w:val="auto"/>
                <w:spacing w:val="0"/>
                <w:sz w:val="24"/>
                <w:szCs w:val="24"/>
                <w:highlight w:val="none"/>
                <w:lang w:val="en-US" w:eastAsia="zh-CN"/>
              </w:rPr>
              <w:t xml:space="preserve">  临界量与实际量对比一览表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548"/>
              <w:gridCol w:w="1706"/>
              <w:gridCol w:w="1534"/>
              <w:gridCol w:w="3280"/>
            </w:tblGrid>
            <w:tr w14:paraId="04C69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04" w:type="pct"/>
                  <w:tcBorders>
                    <w:tl2br w:val="nil"/>
                    <w:tr2bl w:val="nil"/>
                  </w:tcBorders>
                  <w:noWrap w:val="0"/>
                  <w:vAlign w:val="center"/>
                </w:tcPr>
                <w:p w14:paraId="2424B964">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81" w:type="pct"/>
                  <w:tcBorders>
                    <w:right w:val="single" w:color="auto" w:sz="4" w:space="0"/>
                    <w:tl2br w:val="nil"/>
                    <w:tr2bl w:val="nil"/>
                  </w:tcBorders>
                  <w:noWrap w:val="0"/>
                  <w:vAlign w:val="center"/>
                </w:tcPr>
                <w:p w14:paraId="0A563E88">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b/>
                      <w:bCs/>
                      <w:color w:val="auto"/>
                      <w:sz w:val="21"/>
                      <w:szCs w:val="21"/>
                      <w:highlight w:val="none"/>
                    </w:rPr>
                  </w:pPr>
                  <w:commentRangeStart w:id="10"/>
                  <w:r>
                    <w:rPr>
                      <w:rFonts w:hint="default" w:ascii="Times New Roman" w:hAnsi="Times New Roman" w:eastAsia="宋体" w:cs="Times New Roman"/>
                      <w:b/>
                      <w:bCs/>
                      <w:color w:val="auto"/>
                      <w:sz w:val="21"/>
                      <w:szCs w:val="21"/>
                      <w:highlight w:val="none"/>
                    </w:rPr>
                    <w:t>原辅材料名称</w:t>
                  </w:r>
                </w:p>
              </w:tc>
              <w:tc>
                <w:tcPr>
                  <w:tcW w:w="971" w:type="pct"/>
                  <w:tcBorders>
                    <w:left w:val="single" w:color="auto" w:sz="4" w:space="0"/>
                    <w:tl2br w:val="nil"/>
                    <w:tr2bl w:val="nil"/>
                  </w:tcBorders>
                  <w:noWrap w:val="0"/>
                  <w:vAlign w:val="center"/>
                </w:tcPr>
                <w:p w14:paraId="60BD1D5E">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一次最大储量t</w:t>
                  </w:r>
                  <w:commentRangeEnd w:id="10"/>
                  <w:r>
                    <w:commentReference w:id="10"/>
                  </w:r>
                </w:p>
              </w:tc>
              <w:tc>
                <w:tcPr>
                  <w:tcW w:w="873" w:type="pct"/>
                  <w:tcBorders>
                    <w:tl2br w:val="nil"/>
                    <w:tr2bl w:val="nil"/>
                  </w:tcBorders>
                  <w:noWrap w:val="0"/>
                  <w:vAlign w:val="center"/>
                </w:tcPr>
                <w:p w14:paraId="457275B0">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临界量t</w:t>
                  </w:r>
                </w:p>
              </w:tc>
              <w:tc>
                <w:tcPr>
                  <w:tcW w:w="1868" w:type="pct"/>
                  <w:tcBorders>
                    <w:tl2br w:val="nil"/>
                    <w:tr2bl w:val="nil"/>
                  </w:tcBorders>
                  <w:noWrap w:val="0"/>
                  <w:vAlign w:val="center"/>
                </w:tcPr>
                <w:p w14:paraId="2D08FB8C">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危险物质数量与临界量比值Qn</w:t>
                  </w:r>
                </w:p>
              </w:tc>
            </w:tr>
            <w:tr w14:paraId="7E5247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04" w:type="pct"/>
                  <w:tcBorders>
                    <w:tl2br w:val="nil"/>
                    <w:tr2bl w:val="nil"/>
                  </w:tcBorders>
                  <w:noWrap w:val="0"/>
                  <w:vAlign w:val="center"/>
                </w:tcPr>
                <w:p w14:paraId="7D934EA6">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1" w:type="pct"/>
                  <w:tcBorders>
                    <w:right w:val="single" w:color="auto" w:sz="4" w:space="0"/>
                    <w:tl2br w:val="nil"/>
                    <w:tr2bl w:val="nil"/>
                  </w:tcBorders>
                  <w:noWrap w:val="0"/>
                  <w:vAlign w:val="center"/>
                </w:tcPr>
                <w:p w14:paraId="03F60926">
                  <w:pPr>
                    <w:pStyle w:val="107"/>
                    <w:keepNext w:val="0"/>
                    <w:keepLines w:val="0"/>
                    <w:pageBreakBefore w:val="0"/>
                    <w:widowControl w:val="0"/>
                    <w:kinsoku/>
                    <w:overflowPunct/>
                    <w:bidi w:val="0"/>
                    <w:spacing w:beforeAutospacing="0" w:afterAutospacing="0"/>
                    <w:ind w:left="0" w:leftChars="0" w:firstLine="0" w:firstLineChars="0"/>
                    <w:jc w:val="center"/>
                    <w:rPr>
                      <w:rFonts w:hint="eastAsia" w:ascii="Times New Roman" w:hAnsi="Times New Roman" w:eastAsia="宋体" w:cs="Times New Roman"/>
                      <w:color w:val="0000FF"/>
                      <w:sz w:val="21"/>
                      <w:szCs w:val="21"/>
                      <w:highlight w:val="none"/>
                      <w:lang w:val="en-US" w:eastAsia="zh-CN"/>
                    </w:rPr>
                  </w:pPr>
                  <w:r>
                    <w:rPr>
                      <w:rFonts w:hint="eastAsia"/>
                      <w:color w:val="0000FF"/>
                    </w:rPr>
                    <w:t>次氯酸钠</w:t>
                  </w:r>
                  <w:r>
                    <w:rPr>
                      <w:rFonts w:hint="eastAsia"/>
                      <w:color w:val="0000FF"/>
                      <w:lang w:val="en-US" w:eastAsia="zh-CN"/>
                    </w:rPr>
                    <w:t>*</w:t>
                  </w:r>
                </w:p>
              </w:tc>
              <w:tc>
                <w:tcPr>
                  <w:tcW w:w="971" w:type="pct"/>
                  <w:tcBorders>
                    <w:left w:val="single" w:color="auto" w:sz="4" w:space="0"/>
                    <w:tl2br w:val="nil"/>
                    <w:tr2bl w:val="nil"/>
                  </w:tcBorders>
                  <w:noWrap w:val="0"/>
                  <w:vAlign w:val="center"/>
                </w:tcPr>
                <w:p w14:paraId="1423A9D1">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3</w:t>
                  </w:r>
                </w:p>
              </w:tc>
              <w:tc>
                <w:tcPr>
                  <w:tcW w:w="873" w:type="pct"/>
                  <w:tcBorders>
                    <w:tl2br w:val="nil"/>
                    <w:tr2bl w:val="nil"/>
                  </w:tcBorders>
                  <w:noWrap w:val="0"/>
                  <w:vAlign w:val="center"/>
                </w:tcPr>
                <w:p w14:paraId="3CE136DA">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868" w:type="pct"/>
                  <w:tcBorders>
                    <w:tl2br w:val="nil"/>
                    <w:tr2bl w:val="nil"/>
                  </w:tcBorders>
                  <w:noWrap w:val="0"/>
                  <w:vAlign w:val="center"/>
                </w:tcPr>
                <w:p w14:paraId="47179F44">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r>
            <w:tr w14:paraId="32E9DA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04" w:type="pct"/>
                  <w:tcBorders>
                    <w:tl2br w:val="nil"/>
                    <w:tr2bl w:val="nil"/>
                  </w:tcBorders>
                  <w:noWrap w:val="0"/>
                  <w:vAlign w:val="center"/>
                </w:tcPr>
                <w:p w14:paraId="49BD5DC4">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881" w:type="pct"/>
                  <w:tcBorders>
                    <w:right w:val="single" w:color="auto" w:sz="4" w:space="0"/>
                    <w:tl2br w:val="nil"/>
                    <w:tr2bl w:val="nil"/>
                  </w:tcBorders>
                  <w:noWrap w:val="0"/>
                  <w:vAlign w:val="center"/>
                </w:tcPr>
                <w:p w14:paraId="01A1C406">
                  <w:pPr>
                    <w:pStyle w:val="99"/>
                    <w:keepNext w:val="0"/>
                    <w:keepLines w:val="0"/>
                    <w:pageBreakBefore w:val="0"/>
                    <w:widowControl w:val="0"/>
                    <w:kinsoku/>
                    <w:overflowPunct/>
                    <w:bidi w:val="0"/>
                    <w:spacing w:beforeAutospacing="0" w:afterAutospacing="0"/>
                    <w:ind w:left="0" w:leftChars="0" w:firstLine="0" w:firstLineChars="0"/>
                    <w:rPr>
                      <w:rFonts w:hint="eastAsia" w:ascii="Times New Roman" w:hAnsi="Times New Roman" w:eastAsia="宋体" w:cs="Times New Roman"/>
                      <w:color w:val="0000FF"/>
                      <w:kern w:val="2"/>
                      <w:sz w:val="21"/>
                      <w:szCs w:val="24"/>
                      <w:lang w:val="en-US" w:eastAsia="zh-CN" w:bidi="ar-SA"/>
                    </w:rPr>
                  </w:pPr>
                  <w:r>
                    <w:rPr>
                      <w:color w:val="0000FF"/>
                    </w:rPr>
                    <w:t>盐酸</w:t>
                  </w:r>
                </w:p>
              </w:tc>
              <w:tc>
                <w:tcPr>
                  <w:tcW w:w="971" w:type="pct"/>
                  <w:tcBorders>
                    <w:left w:val="single" w:color="auto" w:sz="4" w:space="0"/>
                    <w:tl2br w:val="nil"/>
                    <w:tr2bl w:val="nil"/>
                  </w:tcBorders>
                  <w:noWrap w:val="0"/>
                  <w:vAlign w:val="center"/>
                </w:tcPr>
                <w:p w14:paraId="33DC9D59">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0.4403kg</w:t>
                  </w:r>
                </w:p>
              </w:tc>
              <w:tc>
                <w:tcPr>
                  <w:tcW w:w="873" w:type="pct"/>
                  <w:tcBorders>
                    <w:tl2br w:val="nil"/>
                    <w:tr2bl w:val="nil"/>
                  </w:tcBorders>
                  <w:noWrap w:val="0"/>
                  <w:vAlign w:val="center"/>
                </w:tcPr>
                <w:p w14:paraId="5BDF91C4">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1868" w:type="pct"/>
                  <w:tcBorders>
                    <w:tl2br w:val="nil"/>
                    <w:tr2bl w:val="nil"/>
                  </w:tcBorders>
                  <w:noWrap w:val="0"/>
                  <w:vAlign w:val="center"/>
                </w:tcPr>
                <w:p w14:paraId="2F1B3D32">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0.00005871</w:t>
                  </w:r>
                </w:p>
              </w:tc>
            </w:tr>
            <w:tr w14:paraId="63FD59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04" w:type="pct"/>
                  <w:tcBorders>
                    <w:tl2br w:val="nil"/>
                    <w:tr2bl w:val="nil"/>
                  </w:tcBorders>
                  <w:noWrap w:val="0"/>
                  <w:vAlign w:val="center"/>
                </w:tcPr>
                <w:p w14:paraId="25CD9544">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p>
              </w:tc>
              <w:tc>
                <w:tcPr>
                  <w:tcW w:w="881" w:type="pct"/>
                  <w:tcBorders>
                    <w:right w:val="single" w:color="auto" w:sz="4" w:space="0"/>
                    <w:tl2br w:val="nil"/>
                    <w:tr2bl w:val="nil"/>
                  </w:tcBorders>
                  <w:noWrap w:val="0"/>
                  <w:vAlign w:val="center"/>
                </w:tcPr>
                <w:p w14:paraId="6E76CAA2">
                  <w:pPr>
                    <w:pStyle w:val="99"/>
                    <w:keepNext w:val="0"/>
                    <w:keepLines w:val="0"/>
                    <w:pageBreakBefore w:val="0"/>
                    <w:widowControl w:val="0"/>
                    <w:kinsoku/>
                    <w:overflowPunct/>
                    <w:bidi w:val="0"/>
                    <w:spacing w:beforeAutospacing="0" w:afterAutospacing="0"/>
                    <w:ind w:left="0" w:leftChars="0" w:firstLine="0" w:firstLineChars="0"/>
                    <w:rPr>
                      <w:rFonts w:hint="eastAsia" w:ascii="Times New Roman" w:hAnsi="Times New Roman" w:eastAsia="宋体" w:cs="Times New Roman"/>
                      <w:color w:val="0000FF"/>
                      <w:kern w:val="2"/>
                      <w:sz w:val="21"/>
                      <w:szCs w:val="24"/>
                      <w:lang w:val="en-US" w:eastAsia="zh-CN" w:bidi="ar-SA"/>
                    </w:rPr>
                  </w:pPr>
                  <w:r>
                    <w:rPr>
                      <w:color w:val="0000FF"/>
                    </w:rPr>
                    <w:t>硫酸</w:t>
                  </w:r>
                </w:p>
              </w:tc>
              <w:tc>
                <w:tcPr>
                  <w:tcW w:w="971" w:type="pct"/>
                  <w:tcBorders>
                    <w:left w:val="single" w:color="auto" w:sz="4" w:space="0"/>
                    <w:tl2br w:val="nil"/>
                    <w:tr2bl w:val="nil"/>
                  </w:tcBorders>
                  <w:noWrap w:val="0"/>
                  <w:vAlign w:val="center"/>
                </w:tcPr>
                <w:p w14:paraId="5C1F5B2C">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1.8032kg</w:t>
                  </w:r>
                </w:p>
              </w:tc>
              <w:tc>
                <w:tcPr>
                  <w:tcW w:w="873" w:type="pct"/>
                  <w:tcBorders>
                    <w:tl2br w:val="nil"/>
                    <w:tr2bl w:val="nil"/>
                  </w:tcBorders>
                  <w:noWrap w:val="0"/>
                  <w:vAlign w:val="center"/>
                </w:tcPr>
                <w:p w14:paraId="32E69EA3">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868" w:type="pct"/>
                  <w:tcBorders>
                    <w:tl2br w:val="nil"/>
                    <w:tr2bl w:val="nil"/>
                  </w:tcBorders>
                  <w:noWrap w:val="0"/>
                  <w:vAlign w:val="center"/>
                </w:tcPr>
                <w:p w14:paraId="276C1CD3">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0.00018032</w:t>
                  </w:r>
                </w:p>
              </w:tc>
            </w:tr>
            <w:tr w14:paraId="49F461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04" w:type="pct"/>
                  <w:tcBorders>
                    <w:tl2br w:val="nil"/>
                    <w:tr2bl w:val="nil"/>
                  </w:tcBorders>
                  <w:noWrap w:val="0"/>
                  <w:vAlign w:val="center"/>
                </w:tcPr>
                <w:p w14:paraId="79A25EA1">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881" w:type="pct"/>
                  <w:tcBorders>
                    <w:right w:val="single" w:color="auto" w:sz="4" w:space="0"/>
                    <w:tl2br w:val="nil"/>
                    <w:tr2bl w:val="nil"/>
                  </w:tcBorders>
                  <w:noWrap w:val="0"/>
                  <w:vAlign w:val="center"/>
                </w:tcPr>
                <w:p w14:paraId="175617A6">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commentRangeStart w:id="11"/>
                  <w:r>
                    <w:rPr>
                      <w:rFonts w:hint="eastAsia" w:cs="Times New Roman"/>
                      <w:color w:val="auto"/>
                      <w:sz w:val="21"/>
                      <w:szCs w:val="21"/>
                      <w:highlight w:val="none"/>
                      <w:lang w:eastAsia="zh-CN"/>
                    </w:rPr>
                    <w:t>润滑油</w:t>
                  </w:r>
                </w:p>
              </w:tc>
              <w:tc>
                <w:tcPr>
                  <w:tcW w:w="971" w:type="pct"/>
                  <w:tcBorders>
                    <w:left w:val="single" w:color="auto" w:sz="4" w:space="0"/>
                    <w:tl2br w:val="nil"/>
                    <w:tr2bl w:val="nil"/>
                  </w:tcBorders>
                  <w:noWrap w:val="0"/>
                  <w:vAlign w:val="center"/>
                </w:tcPr>
                <w:p w14:paraId="207D2128">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commentRangeEnd w:id="11"/>
                  <w:r>
                    <w:commentReference w:id="11"/>
                  </w:r>
                </w:p>
              </w:tc>
              <w:tc>
                <w:tcPr>
                  <w:tcW w:w="873" w:type="pct"/>
                  <w:tcBorders>
                    <w:tl2br w:val="nil"/>
                    <w:tr2bl w:val="nil"/>
                  </w:tcBorders>
                  <w:noWrap w:val="0"/>
                  <w:vAlign w:val="center"/>
                </w:tcPr>
                <w:p w14:paraId="468E7E07">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2500</w:t>
                  </w:r>
                </w:p>
              </w:tc>
              <w:tc>
                <w:tcPr>
                  <w:tcW w:w="1868" w:type="pct"/>
                  <w:tcBorders>
                    <w:tl2br w:val="nil"/>
                    <w:tr2bl w:val="nil"/>
                  </w:tcBorders>
                  <w:noWrap w:val="0"/>
                  <w:vAlign w:val="center"/>
                </w:tcPr>
                <w:p w14:paraId="176D5840">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0.00004</w:t>
                  </w:r>
                </w:p>
              </w:tc>
            </w:tr>
            <w:tr w14:paraId="327A08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131" w:type="pct"/>
                  <w:gridSpan w:val="4"/>
                  <w:tcBorders>
                    <w:tl2br w:val="nil"/>
                    <w:tr2bl w:val="nil"/>
                  </w:tcBorders>
                  <w:noWrap w:val="0"/>
                  <w:vAlign w:val="center"/>
                </w:tcPr>
                <w:p w14:paraId="4BDF1C08">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1868" w:type="pct"/>
                  <w:tcBorders>
                    <w:tl2br w:val="nil"/>
                    <w:tr2bl w:val="nil"/>
                  </w:tcBorders>
                  <w:noWrap w:val="0"/>
                  <w:vAlign w:val="center"/>
                </w:tcPr>
                <w:p w14:paraId="0C631550">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0.60027903</w:t>
                  </w:r>
                </w:p>
              </w:tc>
            </w:tr>
            <w:tr w14:paraId="4C3AC4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000" w:type="pct"/>
                  <w:gridSpan w:val="5"/>
                  <w:tcBorders>
                    <w:tl2br w:val="nil"/>
                    <w:tr2bl w:val="nil"/>
                  </w:tcBorders>
                  <w:noWrap w:val="0"/>
                  <w:vAlign w:val="center"/>
                </w:tcPr>
                <w:p w14:paraId="4FB4B62D">
                  <w:pPr>
                    <w:pStyle w:val="99"/>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FF"/>
                      <w:lang w:val="en-US" w:eastAsia="zh-CN"/>
                    </w:rPr>
                    <w:t>*注：项目使用的5%</w:t>
                  </w:r>
                  <w:r>
                    <w:rPr>
                      <w:rFonts w:hint="eastAsia" w:ascii="Times New Roman" w:hAnsi="Times New Roman" w:eastAsia="宋体" w:cs="Times New Roman"/>
                      <w:color w:val="0000FF"/>
                    </w:rPr>
                    <w:t>次氯酸钠</w:t>
                  </w:r>
                  <w:r>
                    <w:rPr>
                      <w:rFonts w:hint="eastAsia" w:ascii="Times New Roman" w:hAnsi="Times New Roman" w:eastAsia="宋体" w:cs="Times New Roman"/>
                      <w:color w:val="0000FF"/>
                      <w:lang w:eastAsia="zh-CN"/>
                    </w:rPr>
                    <w:t>溶液，厂区一次最大储存量为</w:t>
                  </w:r>
                  <w:r>
                    <w:rPr>
                      <w:rFonts w:hint="eastAsia" w:ascii="Times New Roman" w:hAnsi="Times New Roman" w:eastAsia="宋体" w:cs="Times New Roman"/>
                      <w:color w:val="0000FF"/>
                      <w:lang w:val="en-US" w:eastAsia="zh-CN"/>
                    </w:rPr>
                    <w:t>60t，故次氯酸钠</w:t>
                  </w:r>
                  <w:r>
                    <w:rPr>
                      <w:rFonts w:hint="eastAsia" w:cs="Times New Roman"/>
                      <w:color w:val="0000FF"/>
                      <w:lang w:val="en-US" w:eastAsia="zh-CN"/>
                    </w:rPr>
                    <w:t>储存量</w:t>
                  </w:r>
                  <w:r>
                    <w:rPr>
                      <w:rFonts w:hint="eastAsia" w:ascii="Times New Roman" w:hAnsi="Times New Roman" w:eastAsia="宋体" w:cs="Times New Roman"/>
                      <w:color w:val="0000FF"/>
                      <w:lang w:val="en-US" w:eastAsia="zh-CN"/>
                    </w:rPr>
                    <w:t>为3t</w:t>
                  </w:r>
                  <w:r>
                    <w:rPr>
                      <w:rFonts w:hint="eastAsia" w:cs="Times New Roman"/>
                      <w:color w:val="0000FF"/>
                      <w:lang w:val="en-US" w:eastAsia="zh-CN"/>
                    </w:rPr>
                    <w:t>；化验室采购的盐酸、硫酸浓度为37%、98%，37%盐酸密度为1.19g/cm</w:t>
                  </w:r>
                  <w:r>
                    <w:rPr>
                      <w:rFonts w:hint="eastAsia" w:cs="Times New Roman"/>
                      <w:color w:val="0000FF"/>
                      <w:vertAlign w:val="superscript"/>
                      <w:lang w:val="en-US" w:eastAsia="zh-CN"/>
                    </w:rPr>
                    <w:t>3</w:t>
                  </w:r>
                  <w:r>
                    <w:rPr>
                      <w:rFonts w:hint="eastAsia" w:cs="Times New Roman"/>
                      <w:color w:val="0000FF"/>
                      <w:lang w:val="en-US" w:eastAsia="zh-CN"/>
                    </w:rPr>
                    <w:t>，98%硫酸1.84密度为g/cm³，盐酸、硫酸一次最大储存量均为1L，故盐酸储存量为0.595t，硫酸储存量为1.8032t。</w:t>
                  </w:r>
                </w:p>
              </w:tc>
            </w:tr>
          </w:tbl>
          <w:p w14:paraId="432BAED1">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bCs/>
                <w:color w:val="auto"/>
                <w:sz w:val="24"/>
                <w:highlight w:val="none"/>
              </w:rPr>
              <w:t>根据《建设项目环境风险评价技术导则》（HJ169-2018）附录C，</w:t>
            </w:r>
            <w:r>
              <w:rPr>
                <w:rFonts w:hint="default" w:ascii="Times New Roman" w:hAnsi="Times New Roman" w:eastAsia="宋体" w:cs="Times New Roman"/>
                <w:bCs/>
                <w:color w:val="auto"/>
                <w:sz w:val="24"/>
                <w:szCs w:val="24"/>
                <w:highlight w:val="none"/>
              </w:rPr>
              <w:t>Q=</w:t>
            </w:r>
            <w:r>
              <w:rPr>
                <w:rFonts w:hint="eastAsia" w:ascii="Times New Roman" w:hAnsi="Times New Roman" w:eastAsia="宋体" w:cs="Times New Roman"/>
                <w:color w:val="auto"/>
                <w:sz w:val="24"/>
                <w:szCs w:val="24"/>
                <w:highlight w:val="none"/>
                <w:lang w:val="en-US" w:eastAsia="zh-CN"/>
              </w:rPr>
              <w:t>0.60027903</w:t>
            </w:r>
            <w:r>
              <w:rPr>
                <w:rFonts w:hint="default" w:ascii="Times New Roman" w:hAnsi="Times New Roman" w:eastAsia="宋体" w:cs="Times New Roman"/>
                <w:bCs/>
                <w:color w:val="auto"/>
                <w:sz w:val="24"/>
                <w:highlight w:val="none"/>
              </w:rPr>
              <w:t>。</w:t>
            </w:r>
          </w:p>
          <w:p w14:paraId="7859583F">
            <w:pPr>
              <w:keepNext w:val="0"/>
              <w:keepLines w:val="0"/>
              <w:pageBreakBefore w:val="0"/>
              <w:widowControl w:val="0"/>
              <w:kinsoku/>
              <w:overflowPunct/>
              <w:bidi w:val="0"/>
              <w:spacing w:beforeAutospacing="0" w:afterAutospacing="0" w:line="360" w:lineRule="auto"/>
              <w:ind w:left="0" w:leftChars="0" w:firstLine="482" w:firstLineChars="200"/>
              <w:rPr>
                <w:rFonts w:hint="eastAsia" w:eastAsia="宋体"/>
                <w:b/>
                <w:bCs/>
                <w:color w:val="auto"/>
                <w:sz w:val="24"/>
                <w:lang w:val="en-US" w:eastAsia="zh-CN"/>
              </w:rPr>
            </w:pPr>
            <w:r>
              <w:rPr>
                <w:rFonts w:hint="eastAsia"/>
                <w:b/>
                <w:bCs/>
                <w:color w:val="auto"/>
                <w:sz w:val="24"/>
                <w:lang w:val="en-US" w:eastAsia="zh-CN"/>
              </w:rPr>
              <w:t>2、风险分析</w:t>
            </w:r>
          </w:p>
          <w:p w14:paraId="324309EC">
            <w:pPr>
              <w:keepNext w:val="0"/>
              <w:keepLines w:val="0"/>
              <w:pageBreakBefore w:val="0"/>
              <w:widowControl w:val="0"/>
              <w:kinsoku/>
              <w:overflowPunct/>
              <w:bidi w:val="0"/>
              <w:spacing w:beforeAutospacing="0" w:afterAutospacing="0" w:line="360" w:lineRule="auto"/>
              <w:ind w:left="0" w:leftChars="0" w:firstLine="480" w:firstLineChars="200"/>
              <w:rPr>
                <w:rFonts w:hint="eastAsia"/>
                <w:color w:val="auto"/>
                <w:sz w:val="24"/>
              </w:rPr>
            </w:pPr>
            <w:r>
              <w:rPr>
                <w:rFonts w:hint="eastAsia"/>
                <w:color w:val="auto"/>
                <w:sz w:val="24"/>
              </w:rPr>
              <w:t>（1）泄漏</w:t>
            </w:r>
          </w:p>
          <w:p w14:paraId="79CBF353">
            <w:pPr>
              <w:keepNext w:val="0"/>
              <w:keepLines w:val="0"/>
              <w:pageBreakBefore w:val="0"/>
              <w:widowControl w:val="0"/>
              <w:kinsoku/>
              <w:overflowPunct/>
              <w:bidi w:val="0"/>
              <w:spacing w:beforeAutospacing="0" w:afterAutospacing="0" w:line="360" w:lineRule="auto"/>
              <w:ind w:left="0" w:leftChars="0" w:firstLine="480" w:firstLineChars="200"/>
              <w:rPr>
                <w:rFonts w:hint="eastAsia"/>
                <w:color w:val="auto"/>
                <w:sz w:val="24"/>
              </w:rPr>
            </w:pPr>
            <w:r>
              <w:rPr>
                <w:rFonts w:hint="eastAsia"/>
                <w:color w:val="auto"/>
                <w:sz w:val="24"/>
              </w:rPr>
              <w:t>本项目</w:t>
            </w:r>
            <w:r>
              <w:rPr>
                <w:rFonts w:hint="eastAsia"/>
                <w:color w:val="auto"/>
                <w:sz w:val="24"/>
                <w:lang w:eastAsia="zh-CN"/>
              </w:rPr>
              <w:t>原料储存区内</w:t>
            </w:r>
            <w:r>
              <w:rPr>
                <w:rFonts w:hint="eastAsia"/>
                <w:color w:val="auto"/>
                <w:sz w:val="24"/>
              </w:rPr>
              <w:t>暂存次氯酸钠溶液，危废暂存间储</w:t>
            </w:r>
            <w:bookmarkStart w:id="13" w:name="_GoBack"/>
            <w:bookmarkEnd w:id="13"/>
            <w:r>
              <w:rPr>
                <w:rFonts w:hint="eastAsia"/>
                <w:color w:val="auto"/>
                <w:sz w:val="24"/>
              </w:rPr>
              <w:t>存废润滑油</w:t>
            </w:r>
            <w:r>
              <w:rPr>
                <w:rFonts w:hint="eastAsia"/>
                <w:color w:val="auto"/>
                <w:sz w:val="24"/>
                <w:lang w:eastAsia="zh-CN"/>
              </w:rPr>
              <w:t>，</w:t>
            </w:r>
            <w:r>
              <w:rPr>
                <w:rFonts w:hint="eastAsia"/>
                <w:color w:val="auto"/>
                <w:sz w:val="24"/>
              </w:rPr>
              <w:t>如管理不善，会导致次氯酸钠溶液、废润滑油泄漏。本项目</w:t>
            </w:r>
            <w:r>
              <w:rPr>
                <w:rFonts w:hint="eastAsia"/>
                <w:color w:val="auto"/>
                <w:sz w:val="24"/>
                <w:lang w:eastAsia="zh-CN"/>
              </w:rPr>
              <w:t>原料储存区</w:t>
            </w:r>
            <w:r>
              <w:rPr>
                <w:rFonts w:hint="eastAsia"/>
                <w:color w:val="auto"/>
                <w:sz w:val="24"/>
              </w:rPr>
              <w:t>和危废暂存间进行了重点防渗，在危险废物下方增设托盘，发生废润滑油、次氯酸钠溶液泄露的几率较小，不会发生污染地下水及地表水的情况。本项目储存废润滑油采用密闭钢罐储存，次氯酸钠溶液采用密闭塑料桶装，正常情况下不会产生泄漏。</w:t>
            </w:r>
          </w:p>
          <w:p w14:paraId="3EE94C3E">
            <w:pPr>
              <w:keepNext w:val="0"/>
              <w:keepLines w:val="0"/>
              <w:pageBreakBefore w:val="0"/>
              <w:widowControl w:val="0"/>
              <w:kinsoku/>
              <w:overflowPunct/>
              <w:bidi w:val="0"/>
              <w:spacing w:beforeAutospacing="0" w:afterAutospacing="0" w:line="360" w:lineRule="auto"/>
              <w:ind w:left="0" w:leftChars="0" w:firstLine="480" w:firstLineChars="200"/>
              <w:rPr>
                <w:rFonts w:hint="eastAsia"/>
                <w:color w:val="auto"/>
                <w:sz w:val="24"/>
              </w:rPr>
            </w:pPr>
            <w:r>
              <w:rPr>
                <w:rFonts w:hint="eastAsia"/>
                <w:color w:val="auto"/>
                <w:sz w:val="24"/>
              </w:rPr>
              <w:t>（2）火灾风险分析</w:t>
            </w:r>
          </w:p>
          <w:p w14:paraId="2509E8F7">
            <w:pPr>
              <w:keepNext w:val="0"/>
              <w:keepLines w:val="0"/>
              <w:pageBreakBefore w:val="0"/>
              <w:widowControl w:val="0"/>
              <w:kinsoku/>
              <w:overflowPunct/>
              <w:bidi w:val="0"/>
              <w:spacing w:beforeAutospacing="0" w:afterAutospacing="0" w:line="360" w:lineRule="auto"/>
              <w:ind w:left="0" w:leftChars="0" w:firstLine="480" w:firstLineChars="200"/>
              <w:rPr>
                <w:rFonts w:hint="eastAsia"/>
                <w:color w:val="auto"/>
                <w:sz w:val="24"/>
              </w:rPr>
            </w:pPr>
            <w:r>
              <w:rPr>
                <w:rFonts w:hint="eastAsia"/>
                <w:color w:val="auto"/>
                <w:sz w:val="24"/>
              </w:rPr>
              <w:t>项目生产过程中使用的废润滑油为可燃物质，遇明火容易发生火灾，燃烧产生有毒有害物质，造成大气污染，且扑灭火灾产生的废水也有污染地表水和土壤的可能。火灾风险对周围环境的主要危害为以下方面：</w:t>
            </w:r>
          </w:p>
          <w:p w14:paraId="673F207D">
            <w:pPr>
              <w:keepNext w:val="0"/>
              <w:keepLines w:val="0"/>
              <w:pageBreakBefore w:val="0"/>
              <w:widowControl w:val="0"/>
              <w:kinsoku/>
              <w:overflowPunct/>
              <w:bidi w:val="0"/>
              <w:spacing w:beforeAutospacing="0" w:afterAutospacing="0" w:line="360" w:lineRule="auto"/>
              <w:ind w:left="0" w:leftChars="0" w:firstLine="480" w:firstLineChars="200"/>
              <w:rPr>
                <w:rFonts w:hint="eastAsia"/>
                <w:color w:val="auto"/>
                <w:sz w:val="24"/>
              </w:rPr>
            </w:pPr>
            <w:r>
              <w:rPr>
                <w:rFonts w:hint="eastAsia"/>
                <w:color w:val="auto"/>
                <w:sz w:val="24"/>
              </w:rPr>
              <w:t>①热辐射：燃烧时放出大量的辐射热</w:t>
            </w:r>
            <w:r>
              <w:rPr>
                <w:rFonts w:hint="eastAsia"/>
                <w:color w:val="auto"/>
                <w:sz w:val="24"/>
                <w:lang w:eastAsia="zh-CN"/>
              </w:rPr>
              <w:t>，</w:t>
            </w:r>
            <w:r>
              <w:rPr>
                <w:rFonts w:hint="eastAsia"/>
                <w:color w:val="auto"/>
                <w:sz w:val="24"/>
              </w:rPr>
              <w:t>危及火区周围的人员生命及附近建筑物和设备安全。</w:t>
            </w:r>
          </w:p>
          <w:p w14:paraId="772A6F26">
            <w:pPr>
              <w:keepNext w:val="0"/>
              <w:keepLines w:val="0"/>
              <w:pageBreakBefore w:val="0"/>
              <w:widowControl w:val="0"/>
              <w:kinsoku/>
              <w:overflowPunct/>
              <w:bidi w:val="0"/>
              <w:spacing w:beforeAutospacing="0" w:afterAutospacing="0" w:line="360" w:lineRule="auto"/>
              <w:ind w:left="0" w:leftChars="0" w:firstLine="480" w:firstLineChars="200"/>
              <w:rPr>
                <w:rFonts w:hint="eastAsia"/>
                <w:color w:val="auto"/>
                <w:sz w:val="24"/>
              </w:rPr>
            </w:pPr>
            <w:r>
              <w:rPr>
                <w:rFonts w:hint="eastAsia"/>
                <w:color w:val="auto"/>
                <w:sz w:val="24"/>
              </w:rPr>
              <w:t>②浓烟及有毒废气：火灾时在放出大量热辐射的同时，还散发出大量浓烟，它是由燃烧物质释放出的高温蒸汽和毒气，被分解的未燃物质和被火燃烧加热而带入上升气流中的空气和污染物质的混合物</w:t>
            </w:r>
            <w:r>
              <w:rPr>
                <w:rFonts w:hint="eastAsia"/>
                <w:color w:val="auto"/>
                <w:sz w:val="24"/>
                <w:lang w:eastAsia="zh-CN"/>
              </w:rPr>
              <w:t>，</w:t>
            </w:r>
            <w:r>
              <w:rPr>
                <w:rFonts w:hint="eastAsia"/>
                <w:color w:val="auto"/>
                <w:sz w:val="24"/>
              </w:rPr>
              <w:t>它不但含有大量的热量，而且还有蒸汽、有毒气体和弥散的固体微粒，对火场周围的人员生命安全和大气环境质量造成污染和破坏。</w:t>
            </w:r>
          </w:p>
          <w:p w14:paraId="26206AF3">
            <w:pPr>
              <w:keepNext w:val="0"/>
              <w:keepLines w:val="0"/>
              <w:pageBreakBefore w:val="0"/>
              <w:widowControl w:val="0"/>
              <w:kinsoku/>
              <w:overflowPunct/>
              <w:bidi w:val="0"/>
              <w:spacing w:beforeAutospacing="0" w:afterAutospacing="0" w:line="360" w:lineRule="auto"/>
              <w:ind w:left="0" w:leftChars="0" w:firstLine="480" w:firstLineChars="200"/>
              <w:rPr>
                <w:rFonts w:hint="eastAsia"/>
                <w:color w:val="auto"/>
                <w:sz w:val="24"/>
              </w:rPr>
            </w:pPr>
            <w:r>
              <w:rPr>
                <w:rFonts w:hint="eastAsia"/>
                <w:color w:val="auto"/>
                <w:sz w:val="24"/>
              </w:rPr>
              <w:t>③泄漏：发生火灾后消防废水对周边地表水及地下水环境生产影响。在储存过程中一旦发生泄漏可能对土壤、地下水及地表水造成一定的环境影响。</w:t>
            </w:r>
          </w:p>
          <w:p w14:paraId="16099B49">
            <w:pPr>
              <w:keepNext w:val="0"/>
              <w:keepLines w:val="0"/>
              <w:pageBreakBefore w:val="0"/>
              <w:widowControl w:val="0"/>
              <w:kinsoku/>
              <w:overflowPunct/>
              <w:bidi w:val="0"/>
              <w:spacing w:beforeAutospacing="0" w:afterAutospacing="0" w:line="360" w:lineRule="auto"/>
              <w:ind w:left="0" w:leftChars="0" w:firstLine="480" w:firstLineChars="200"/>
              <w:rPr>
                <w:rFonts w:hint="eastAsia"/>
                <w:color w:val="auto"/>
                <w:sz w:val="24"/>
              </w:rPr>
            </w:pPr>
            <w:r>
              <w:rPr>
                <w:rFonts w:hint="eastAsia"/>
                <w:color w:val="auto"/>
                <w:sz w:val="24"/>
              </w:rPr>
              <w:t>因此必须保证日常危废油类的监督和管理。事故处置中产生的固体废物全部收集后由具有危废处置资质的单位进行处理。</w:t>
            </w:r>
          </w:p>
          <w:p w14:paraId="3512CCF3">
            <w:pPr>
              <w:keepNext w:val="0"/>
              <w:keepLines w:val="0"/>
              <w:pageBreakBefore w:val="0"/>
              <w:widowControl w:val="0"/>
              <w:suppressLineNumbers w:val="0"/>
              <w:kinsoku/>
              <w:overflowPunct/>
              <w:bidi w:val="0"/>
              <w:spacing w:beforeAutospacing="0" w:afterAutospacing="0" w:line="360" w:lineRule="auto"/>
              <w:ind w:left="0" w:leftChars="0" w:right="0" w:rightChars="0" w:firstLine="482" w:firstLineChars="200"/>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3、风险防范措施</w:t>
            </w:r>
          </w:p>
          <w:p w14:paraId="26B6C5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（1）废润滑油风险防范措施</w:t>
            </w:r>
          </w:p>
          <w:p w14:paraId="542E14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①做好废润滑油的收集储存措施，保证危废暂存间处于阴凉，保证处于潮湿的环境；</w:t>
            </w:r>
          </w:p>
          <w:p w14:paraId="2A936F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②做好厂区的防渗、防雨淋、防流失的设施；</w:t>
            </w:r>
          </w:p>
          <w:p w14:paraId="014C51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③危废暂存间做好禁火、禁烟的标志，做好防火设施，设置灭火器等。</w:t>
            </w:r>
          </w:p>
          <w:p w14:paraId="573E05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（2）次氯酸钠风险防范措施</w:t>
            </w:r>
          </w:p>
          <w:p w14:paraId="0F7A5A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①存放</w:t>
            </w:r>
          </w:p>
          <w:p w14:paraId="269C59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次氯酸钠采用桶装，并设置存放区。</w:t>
            </w:r>
          </w:p>
          <w:p w14:paraId="2935C1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②加强管理</w:t>
            </w:r>
          </w:p>
          <w:p w14:paraId="208769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制定严格的化学品管理制度及安全操作规程，一律培训上岗。要对储运及使用各类化学品的工作人员进行严格的岗位培训</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在化学品的储存及使用地设置明显的标志，并严禁无关人员随意出入该区域</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对各类化学品的回收废液及时清运，严禁随处放置化学品废液。化学品泄漏（如因包装稍有破损造成小量泄漏），首先应检查二次托盘防溢情况，若二次托盘完好，则可以用吸附棉完全吸附渗漏在托盘内的化学品。若二次托盘也有溢漏，迅速使用吸附棉或其他围堰设堵，防止大面积扩散。发生大量化学品泄漏（如包装完全破损），要立即佩戴好个人防护（如手套、口罩等），迅速使用吸附棉吸附，防止更大面积扩散。</w:t>
            </w:r>
          </w:p>
          <w:p w14:paraId="382B11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③严把选材、施工质量关在各类毒害物质的储存、输送管线中，要用到储罐、管材、阀门、法兰、报警器、探头等配件及仪表，该类产品质量不符合要求，会导致风险事故的发生。要严把选材质量关，并在安装前做相应检验测试。加强施工监督，确保工程按相关规范和规程进行施工，降低发生各类事故的隐患。</w:t>
            </w:r>
          </w:p>
          <w:p w14:paraId="4EE9B6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④加强岗位培训</w:t>
            </w:r>
          </w:p>
          <w:p w14:paraId="557353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人员的培训至关重要，要对操作人员进行相关的岗位培训，并严格按操作规程工作，同时也要对操作人员进行应急突发事件的教育，发现问题及时处理，避免事故扩大，最大限度的减少损失。</w:t>
            </w:r>
          </w:p>
          <w:p w14:paraId="7C9493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⑤对于运输途中产生的风险防范措施应由专业运输公司负责运输，本项目建设单位不承担该部分责任。但是一旦发生运输途中的风险事故，项目建设单位应积极响应，并妥善做好相应的防范措施，具体有：</w:t>
            </w:r>
          </w:p>
          <w:p w14:paraId="469A89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a.水厂应承担区域联动联防的相应责任，配合相关部门的事故处置和善后处理。</w:t>
            </w:r>
          </w:p>
          <w:p w14:paraId="690A38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b.积极配合承运单位相关人员做好事故处置，并在厂内常备吸附棉等物品。在发生事故时，应尽可能切断泄漏源。少量泄漏时用吸附棉吸附；大量泄漏时构筑围堤，用泵转移至槽车或专用收集器内，回收或运至废物处理场所处置。</w:t>
            </w:r>
          </w:p>
          <w:p w14:paraId="65E4D3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c.对承运单位和承运人进行安全教育，运输车辆必须配备泄漏应急处理设备。运输途中应防曝晒、雨淋，防高温。必须按规定路线行驶，不得在居民区停留。</w:t>
            </w:r>
          </w:p>
          <w:p w14:paraId="0E807E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rPr>
                <w:rFonts w:hint="eastAsia"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4、</w:t>
            </w:r>
            <w:r>
              <w:rPr>
                <w:rFonts w:hint="eastAsia" w:ascii="Times New Roman" w:hAnsi="Times New Roman" w:eastAsia="宋体" w:cs="Times New Roman"/>
                <w:b/>
                <w:bCs w:val="0"/>
                <w:color w:val="auto"/>
                <w:sz w:val="24"/>
                <w:highlight w:val="none"/>
                <w:lang w:val="en-US" w:eastAsia="zh-CN"/>
              </w:rPr>
              <w:t>环境风险应急预案</w:t>
            </w:r>
          </w:p>
          <w:p w14:paraId="0035EEB4">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依据《安徽省环保厅转发环保部企业事业单位突发环境事件应急预案备案管理办法（试行）的的通知》（皖环函[2015]号221号），建设单位应参照《突发环境事件应急预案管理暂行办法》，及时修订环境风险应急预案，并报当地环境主管部门备案，组织专业队伍学习和演练，提高队伍实战能力，防患于未然，以便应急救援工作的顺利开展。</w:t>
            </w:r>
          </w:p>
          <w:p w14:paraId="6C03D077">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综上所述，本项目主要环境风险来自</w:t>
            </w:r>
            <w:r>
              <w:rPr>
                <w:rFonts w:hint="eastAsia" w:cs="Times New Roman"/>
                <w:bCs/>
                <w:color w:val="auto"/>
                <w:sz w:val="24"/>
                <w:highlight w:val="none"/>
                <w:lang w:val="en-US" w:eastAsia="zh-CN"/>
              </w:rPr>
              <w:t>原料储存</w:t>
            </w:r>
            <w:r>
              <w:rPr>
                <w:rFonts w:hint="eastAsia" w:ascii="Times New Roman" w:hAnsi="Times New Roman" w:eastAsia="宋体" w:cs="Times New Roman"/>
                <w:bCs/>
                <w:color w:val="auto"/>
                <w:sz w:val="24"/>
                <w:highlight w:val="none"/>
                <w:lang w:val="en-US" w:eastAsia="zh-CN"/>
              </w:rPr>
              <w:t>，存在泄漏并由此引起的火灾爆炸及次生危害带来的环境影响。建设单位经采取相应预防措施，能大大减少事故发生概率，如一旦发生事故，也能迅速采取有力措施，减小对环境的污染，其潜在的事故风险是可以防范的。因此项目的建设，从环境风险评价的角度是可行的。</w:t>
            </w:r>
          </w:p>
          <w:p w14:paraId="2E497574">
            <w:pPr>
              <w:pStyle w:val="3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eastAsia="宋体" w:cs="Times New Roman"/>
                <w:b/>
                <w:bCs w:val="0"/>
                <w:color w:val="auto"/>
                <w:kern w:val="2"/>
                <w:sz w:val="24"/>
                <w:szCs w:val="24"/>
                <w:highlight w:val="none"/>
                <w:lang w:val="en-US" w:eastAsia="zh-CN" w:bidi="ar-SA"/>
              </w:rPr>
              <w:t>七</w:t>
            </w:r>
            <w:r>
              <w:rPr>
                <w:rFonts w:hint="default" w:ascii="Times New Roman" w:hAnsi="Times New Roman" w:eastAsia="宋体" w:cs="Times New Roman"/>
                <w:b/>
                <w:bCs w:val="0"/>
                <w:color w:val="auto"/>
                <w:kern w:val="2"/>
                <w:sz w:val="24"/>
                <w:szCs w:val="24"/>
                <w:highlight w:val="none"/>
                <w:lang w:val="en-US" w:eastAsia="zh-CN" w:bidi="ar-SA"/>
              </w:rPr>
              <w:t>、三本账</w:t>
            </w:r>
          </w:p>
          <w:p w14:paraId="19437A5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cs="Times New Roman"/>
                <w:b/>
                <w:color w:val="auto"/>
                <w:szCs w:val="21"/>
              </w:rPr>
            </w:pPr>
            <w:r>
              <w:rPr>
                <w:rFonts w:hint="default" w:ascii="Times New Roman" w:hAnsi="Times New Roman" w:eastAsia="宋体" w:cs="Times New Roman"/>
                <w:b/>
                <w:bCs/>
                <w:color w:val="auto"/>
                <w:spacing w:val="0"/>
                <w:sz w:val="24"/>
                <w:szCs w:val="24"/>
                <w:highlight w:val="none"/>
                <w:lang w:val="en-US" w:eastAsia="zh-CN"/>
              </w:rPr>
              <w:t>表</w:t>
            </w:r>
            <w:r>
              <w:rPr>
                <w:rFonts w:hint="eastAsia" w:eastAsia="宋体" w:cs="Times New Roman"/>
                <w:b/>
                <w:bCs/>
                <w:color w:val="auto"/>
                <w:spacing w:val="0"/>
                <w:sz w:val="24"/>
                <w:szCs w:val="24"/>
                <w:highlight w:val="none"/>
                <w:lang w:val="en-US" w:eastAsia="zh-CN"/>
              </w:rPr>
              <w:t>4-1</w:t>
            </w:r>
            <w:r>
              <w:rPr>
                <w:rFonts w:hint="eastAsia" w:cs="Times New Roman"/>
                <w:b/>
                <w:bCs/>
                <w:color w:val="auto"/>
                <w:spacing w:val="0"/>
                <w:sz w:val="24"/>
                <w:szCs w:val="24"/>
                <w:highlight w:val="none"/>
                <w:lang w:val="en-US" w:eastAsia="zh-CN"/>
              </w:rPr>
              <w:t>1</w:t>
            </w:r>
            <w:r>
              <w:rPr>
                <w:rFonts w:hint="default" w:ascii="Times New Roman" w:hAnsi="Times New Roman" w:eastAsia="宋体" w:cs="Times New Roman"/>
                <w:b/>
                <w:bCs/>
                <w:color w:val="auto"/>
                <w:spacing w:val="0"/>
                <w:sz w:val="24"/>
                <w:szCs w:val="24"/>
                <w:highlight w:val="none"/>
                <w:lang w:val="en-US" w:eastAsia="zh-CN"/>
              </w:rPr>
              <w:t xml:space="preserve">   项目污染物产生排放情况汇总表</w:t>
            </w:r>
            <w:r>
              <w:rPr>
                <w:rFonts w:hint="eastAsia" w:cs="Times New Roman"/>
                <w:b/>
                <w:bCs/>
                <w:color w:val="auto"/>
                <w:spacing w:val="0"/>
                <w:sz w:val="24"/>
                <w:szCs w:val="24"/>
                <w:highlight w:val="none"/>
                <w:lang w:val="en-US" w:eastAsia="zh-CN"/>
              </w:rPr>
              <w:t>（单位：t/a）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130"/>
              <w:gridCol w:w="1082"/>
              <w:gridCol w:w="1125"/>
              <w:gridCol w:w="1163"/>
              <w:gridCol w:w="869"/>
              <w:gridCol w:w="931"/>
              <w:gridCol w:w="982"/>
              <w:gridCol w:w="1068"/>
            </w:tblGrid>
            <w:tr w14:paraId="2A50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44" w:type="pct"/>
                  <w:vMerge w:val="restart"/>
                  <w:vAlign w:val="center"/>
                </w:tcPr>
                <w:p w14:paraId="7DD19F1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类别</w:t>
                  </w:r>
                </w:p>
              </w:tc>
              <w:tc>
                <w:tcPr>
                  <w:tcW w:w="643" w:type="pct"/>
                  <w:vMerge w:val="restart"/>
                  <w:vAlign w:val="center"/>
                </w:tcPr>
                <w:p w14:paraId="2A0F5B4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污染物</w:t>
                  </w:r>
                </w:p>
              </w:tc>
              <w:tc>
                <w:tcPr>
                  <w:tcW w:w="616" w:type="pct"/>
                  <w:vMerge w:val="restart"/>
                  <w:vAlign w:val="center"/>
                </w:tcPr>
                <w:p w14:paraId="2D458CA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现有工程排放量</w:t>
                  </w:r>
                </w:p>
              </w:tc>
              <w:tc>
                <w:tcPr>
                  <w:tcW w:w="1798" w:type="pct"/>
                  <w:gridSpan w:val="3"/>
                  <w:vAlign w:val="center"/>
                </w:tcPr>
                <w:p w14:paraId="687D452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改扩建项目</w:t>
                  </w:r>
                </w:p>
              </w:tc>
              <w:tc>
                <w:tcPr>
                  <w:tcW w:w="530" w:type="pct"/>
                  <w:vMerge w:val="restart"/>
                  <w:vAlign w:val="center"/>
                </w:tcPr>
                <w:p w14:paraId="02C19056">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0"/>
                    </w:rPr>
                  </w:pPr>
                  <w:r>
                    <w:rPr>
                      <w:rFonts w:hint="default" w:ascii="Times New Roman" w:hAnsi="Times New Roman" w:cs="Times New Roman"/>
                      <w:color w:val="auto"/>
                      <w:szCs w:val="20"/>
                    </w:rPr>
                    <w:t>“以新带老”消减量</w:t>
                  </w:r>
                </w:p>
              </w:tc>
              <w:tc>
                <w:tcPr>
                  <w:tcW w:w="559" w:type="pct"/>
                  <w:vMerge w:val="restart"/>
                  <w:vAlign w:val="center"/>
                </w:tcPr>
                <w:p w14:paraId="1AAA9FE6">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0"/>
                    </w:rPr>
                  </w:pPr>
                  <w:r>
                    <w:rPr>
                      <w:rFonts w:hint="default" w:ascii="Times New Roman" w:hAnsi="Times New Roman" w:cs="Times New Roman"/>
                      <w:color w:val="auto"/>
                      <w:szCs w:val="20"/>
                    </w:rPr>
                    <w:t>改扩建完成后排放量</w:t>
                  </w:r>
                </w:p>
              </w:tc>
              <w:tc>
                <w:tcPr>
                  <w:tcW w:w="608" w:type="pct"/>
                  <w:vMerge w:val="restart"/>
                  <w:vAlign w:val="center"/>
                </w:tcPr>
                <w:p w14:paraId="0A15364C">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0"/>
                    </w:rPr>
                  </w:pPr>
                  <w:r>
                    <w:rPr>
                      <w:rFonts w:hint="default" w:ascii="Times New Roman" w:hAnsi="Times New Roman" w:cs="Times New Roman"/>
                      <w:color w:val="auto"/>
                      <w:szCs w:val="20"/>
                    </w:rPr>
                    <w:t>排放增减量</w:t>
                  </w:r>
                </w:p>
              </w:tc>
            </w:tr>
            <w:tr w14:paraId="684C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44" w:type="pct"/>
                  <w:vMerge w:val="continue"/>
                  <w:vAlign w:val="center"/>
                </w:tcPr>
                <w:p w14:paraId="4E2A6CB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p>
              </w:tc>
              <w:tc>
                <w:tcPr>
                  <w:tcW w:w="643" w:type="pct"/>
                  <w:vMerge w:val="continue"/>
                  <w:vAlign w:val="center"/>
                </w:tcPr>
                <w:p w14:paraId="3425160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p>
              </w:tc>
              <w:tc>
                <w:tcPr>
                  <w:tcW w:w="616" w:type="pct"/>
                  <w:vMerge w:val="continue"/>
                  <w:vAlign w:val="center"/>
                </w:tcPr>
                <w:p w14:paraId="2C80F3A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p>
              </w:tc>
              <w:tc>
                <w:tcPr>
                  <w:tcW w:w="640" w:type="pct"/>
                  <w:vAlign w:val="center"/>
                </w:tcPr>
                <w:p w14:paraId="2C3BF0A5">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0"/>
                    </w:rPr>
                  </w:pPr>
                  <w:r>
                    <w:rPr>
                      <w:rFonts w:hint="default" w:ascii="Times New Roman" w:hAnsi="Times New Roman" w:cs="Times New Roman"/>
                      <w:color w:val="auto"/>
                      <w:szCs w:val="20"/>
                    </w:rPr>
                    <w:t>产生量</w:t>
                  </w:r>
                </w:p>
              </w:tc>
              <w:tc>
                <w:tcPr>
                  <w:tcW w:w="662" w:type="pct"/>
                  <w:vAlign w:val="center"/>
                </w:tcPr>
                <w:p w14:paraId="766F6EEE">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0"/>
                    </w:rPr>
                  </w:pPr>
                  <w:r>
                    <w:rPr>
                      <w:rFonts w:hint="default" w:ascii="Times New Roman" w:hAnsi="Times New Roman" w:cs="Times New Roman"/>
                      <w:color w:val="auto"/>
                      <w:szCs w:val="20"/>
                    </w:rPr>
                    <w:t>削减量</w:t>
                  </w:r>
                </w:p>
              </w:tc>
              <w:tc>
                <w:tcPr>
                  <w:tcW w:w="494" w:type="pct"/>
                  <w:vAlign w:val="center"/>
                </w:tcPr>
                <w:p w14:paraId="5233014A">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0"/>
                    </w:rPr>
                  </w:pPr>
                  <w:r>
                    <w:rPr>
                      <w:rFonts w:hint="default" w:ascii="Times New Roman" w:hAnsi="Times New Roman" w:cs="Times New Roman"/>
                      <w:color w:val="auto"/>
                      <w:szCs w:val="20"/>
                    </w:rPr>
                    <w:t>排放量</w:t>
                  </w:r>
                </w:p>
              </w:tc>
              <w:tc>
                <w:tcPr>
                  <w:tcW w:w="530" w:type="pct"/>
                  <w:vMerge w:val="continue"/>
                  <w:vAlign w:val="center"/>
                </w:tcPr>
                <w:p w14:paraId="102BB87C">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0"/>
                    </w:rPr>
                  </w:pPr>
                </w:p>
              </w:tc>
              <w:tc>
                <w:tcPr>
                  <w:tcW w:w="559" w:type="pct"/>
                  <w:vMerge w:val="continue"/>
                  <w:vAlign w:val="center"/>
                </w:tcPr>
                <w:p w14:paraId="7E73DDA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p>
              </w:tc>
              <w:tc>
                <w:tcPr>
                  <w:tcW w:w="608" w:type="pct"/>
                  <w:vMerge w:val="continue"/>
                  <w:vAlign w:val="center"/>
                </w:tcPr>
                <w:p w14:paraId="2CEDCC9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Cs/>
                      <w:color w:val="auto"/>
                      <w:szCs w:val="21"/>
                    </w:rPr>
                  </w:pPr>
                </w:p>
              </w:tc>
            </w:tr>
            <w:tr w14:paraId="6DCC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244" w:type="pct"/>
                  <w:vMerge w:val="restart"/>
                  <w:vAlign w:val="center"/>
                </w:tcPr>
                <w:p w14:paraId="71D3CE3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643" w:type="pct"/>
                  <w:vAlign w:val="center"/>
                </w:tcPr>
                <w:p w14:paraId="3A9C987E">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616" w:type="pct"/>
                  <w:vAlign w:val="center"/>
                </w:tcPr>
                <w:p w14:paraId="0C97674E">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445836</w:t>
                  </w:r>
                </w:p>
              </w:tc>
              <w:tc>
                <w:tcPr>
                  <w:tcW w:w="1125" w:type="dxa"/>
                  <w:vAlign w:val="center"/>
                </w:tcPr>
                <w:p w14:paraId="7BDA3BB5">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889679.84</w:t>
                  </w:r>
                </w:p>
              </w:tc>
              <w:tc>
                <w:tcPr>
                  <w:tcW w:w="1163" w:type="dxa"/>
                  <w:vAlign w:val="center"/>
                </w:tcPr>
                <w:p w14:paraId="4DB86BB8">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888379.34</w:t>
                  </w:r>
                </w:p>
              </w:tc>
              <w:tc>
                <w:tcPr>
                  <w:tcW w:w="869" w:type="dxa"/>
                  <w:vAlign w:val="center"/>
                </w:tcPr>
                <w:p w14:paraId="005D879F">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1300.495</w:t>
                  </w:r>
                </w:p>
              </w:tc>
              <w:tc>
                <w:tcPr>
                  <w:tcW w:w="931" w:type="dxa"/>
                  <w:vAlign w:val="center"/>
                </w:tcPr>
                <w:p w14:paraId="6A043D0C">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82" w:type="dxa"/>
                  <w:vAlign w:val="center"/>
                </w:tcPr>
                <w:p w14:paraId="46E6BDD6">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2176.495</w:t>
                  </w:r>
                </w:p>
              </w:tc>
              <w:tc>
                <w:tcPr>
                  <w:tcW w:w="1068" w:type="dxa"/>
                  <w:vAlign w:val="center"/>
                </w:tcPr>
                <w:p w14:paraId="341960FB">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443659.505</w:t>
                  </w:r>
                </w:p>
              </w:tc>
            </w:tr>
            <w:tr w14:paraId="2291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4" w:type="pct"/>
                  <w:vMerge w:val="continue"/>
                  <w:vAlign w:val="center"/>
                </w:tcPr>
                <w:p w14:paraId="1A201CD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p>
              </w:tc>
              <w:tc>
                <w:tcPr>
                  <w:tcW w:w="643" w:type="pct"/>
                  <w:vAlign w:val="center"/>
                </w:tcPr>
                <w:p w14:paraId="573D9C17">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616" w:type="pct"/>
                  <w:vAlign w:val="center"/>
                </w:tcPr>
                <w:p w14:paraId="2D113B73">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44.759</w:t>
                  </w:r>
                </w:p>
              </w:tc>
              <w:tc>
                <w:tcPr>
                  <w:tcW w:w="1125" w:type="dxa"/>
                  <w:vAlign w:val="center"/>
                </w:tcPr>
                <w:p w14:paraId="670E085D">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164.591</w:t>
                  </w:r>
                </w:p>
              </w:tc>
              <w:tc>
                <w:tcPr>
                  <w:tcW w:w="1163" w:type="dxa"/>
                  <w:vAlign w:val="center"/>
                </w:tcPr>
                <w:p w14:paraId="3068A5B4">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164.35</w:t>
                  </w:r>
                </w:p>
              </w:tc>
              <w:tc>
                <w:tcPr>
                  <w:tcW w:w="869" w:type="dxa"/>
                  <w:vAlign w:val="center"/>
                </w:tcPr>
                <w:p w14:paraId="2972BC3D">
                  <w:pPr>
                    <w:keepNext w:val="0"/>
                    <w:keepLines w:val="0"/>
                    <w:widowControl/>
                    <w:suppressLineNumbers w:val="0"/>
                    <w:jc w:val="center"/>
                    <w:textAlignment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0.241</w:t>
                  </w:r>
                </w:p>
              </w:tc>
              <w:tc>
                <w:tcPr>
                  <w:tcW w:w="931" w:type="dxa"/>
                  <w:vAlign w:val="center"/>
                </w:tcPr>
                <w:p w14:paraId="0719B7AF">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82" w:type="dxa"/>
                  <w:vAlign w:val="center"/>
                </w:tcPr>
                <w:p w14:paraId="054B9EAE">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0.504</w:t>
                  </w:r>
                </w:p>
              </w:tc>
              <w:tc>
                <w:tcPr>
                  <w:tcW w:w="1068" w:type="dxa"/>
                  <w:vAlign w:val="center"/>
                </w:tcPr>
                <w:p w14:paraId="6D61AFE7">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44.255</w:t>
                  </w:r>
                </w:p>
              </w:tc>
            </w:tr>
            <w:tr w14:paraId="26E9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244" w:type="pct"/>
                  <w:vMerge w:val="continue"/>
                  <w:vAlign w:val="center"/>
                </w:tcPr>
                <w:p w14:paraId="20A3424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p>
              </w:tc>
              <w:tc>
                <w:tcPr>
                  <w:tcW w:w="643" w:type="pct"/>
                  <w:vAlign w:val="center"/>
                </w:tcPr>
                <w:p w14:paraId="698926CC">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616" w:type="pct"/>
                  <w:vAlign w:val="center"/>
                </w:tcPr>
                <w:p w14:paraId="7C4098A2">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311.472</w:t>
                  </w:r>
                </w:p>
              </w:tc>
              <w:tc>
                <w:tcPr>
                  <w:tcW w:w="1125" w:type="dxa"/>
                  <w:vAlign w:val="center"/>
                </w:tcPr>
                <w:p w14:paraId="0286903F">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706.406</w:t>
                  </w:r>
                </w:p>
              </w:tc>
              <w:tc>
                <w:tcPr>
                  <w:tcW w:w="1163" w:type="dxa"/>
                  <w:vAlign w:val="center"/>
                </w:tcPr>
                <w:p w14:paraId="1051B2A2">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706.199</w:t>
                  </w:r>
                </w:p>
              </w:tc>
              <w:tc>
                <w:tcPr>
                  <w:tcW w:w="869" w:type="dxa"/>
                  <w:vAlign w:val="center"/>
                </w:tcPr>
                <w:p w14:paraId="7633E8C2">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0.207</w:t>
                  </w:r>
                </w:p>
              </w:tc>
              <w:tc>
                <w:tcPr>
                  <w:tcW w:w="931" w:type="dxa"/>
                  <w:vAlign w:val="center"/>
                </w:tcPr>
                <w:p w14:paraId="1A7685E2">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82" w:type="dxa"/>
                  <w:vAlign w:val="center"/>
                </w:tcPr>
                <w:p w14:paraId="778EFD89">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0.426</w:t>
                  </w:r>
                </w:p>
              </w:tc>
              <w:tc>
                <w:tcPr>
                  <w:tcW w:w="1068" w:type="dxa"/>
                  <w:vAlign w:val="center"/>
                </w:tcPr>
                <w:p w14:paraId="5D4A415F">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311.046</w:t>
                  </w:r>
                </w:p>
              </w:tc>
            </w:tr>
            <w:tr w14:paraId="786B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jc w:val="center"/>
              </w:trPr>
              <w:tc>
                <w:tcPr>
                  <w:tcW w:w="244" w:type="pct"/>
                  <w:vMerge w:val="continue"/>
                  <w:vAlign w:val="center"/>
                </w:tcPr>
                <w:p w14:paraId="3494C56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p>
              </w:tc>
              <w:tc>
                <w:tcPr>
                  <w:tcW w:w="643" w:type="pct"/>
                  <w:vAlign w:val="center"/>
                </w:tcPr>
                <w:p w14:paraId="7279734C">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616" w:type="pct"/>
                  <w:vAlign w:val="center"/>
                </w:tcPr>
                <w:p w14:paraId="5A2E2089">
                  <w:pPr>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0.056</w:t>
                  </w:r>
                </w:p>
              </w:tc>
              <w:tc>
                <w:tcPr>
                  <w:tcW w:w="1125" w:type="dxa"/>
                  <w:vAlign w:val="center"/>
                </w:tcPr>
                <w:p w14:paraId="0756F82D">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7.731</w:t>
                  </w:r>
                </w:p>
              </w:tc>
              <w:tc>
                <w:tcPr>
                  <w:tcW w:w="1163" w:type="dxa"/>
                  <w:vAlign w:val="center"/>
                </w:tcPr>
                <w:p w14:paraId="0AD41D9F">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7.731</w:t>
                  </w:r>
                </w:p>
              </w:tc>
              <w:tc>
                <w:tcPr>
                  <w:tcW w:w="869" w:type="dxa"/>
                  <w:vAlign w:val="center"/>
                </w:tcPr>
                <w:p w14:paraId="467BC34A">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0.011</w:t>
                  </w:r>
                </w:p>
              </w:tc>
              <w:tc>
                <w:tcPr>
                  <w:tcW w:w="931" w:type="dxa"/>
                  <w:vAlign w:val="center"/>
                </w:tcPr>
                <w:p w14:paraId="3640A222">
                  <w:pPr>
                    <w:keepNext w:val="0"/>
                    <w:keepLines w:val="0"/>
                    <w:widowControl/>
                    <w:suppressLineNumbers w:val="0"/>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82" w:type="dxa"/>
                  <w:vAlign w:val="center"/>
                </w:tcPr>
                <w:p w14:paraId="46ABC9B9">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0.037</w:t>
                  </w:r>
                </w:p>
              </w:tc>
              <w:tc>
                <w:tcPr>
                  <w:tcW w:w="1068" w:type="dxa"/>
                  <w:vAlign w:val="center"/>
                </w:tcPr>
                <w:p w14:paraId="38240078">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r>
            <w:tr w14:paraId="66C6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244" w:type="pct"/>
                  <w:vMerge w:val="restart"/>
                  <w:vAlign w:val="center"/>
                </w:tcPr>
                <w:p w14:paraId="34ED376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643" w:type="pct"/>
                  <w:vAlign w:val="center"/>
                </w:tcPr>
                <w:p w14:paraId="33B2C2D6">
                  <w:pPr>
                    <w:pStyle w:val="103"/>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4"/>
                      <w:szCs w:val="21"/>
                      <w:lang w:val="en-US" w:eastAsia="zh-CN" w:bidi="ar-SA"/>
                    </w:rPr>
                  </w:pPr>
                  <w:r>
                    <w:rPr>
                      <w:rFonts w:hint="default" w:ascii="Times New Roman" w:hAnsi="Times New Roman" w:eastAsia="宋体" w:cs="Times New Roman"/>
                      <w:color w:val="auto"/>
                      <w:sz w:val="21"/>
                      <w:szCs w:val="21"/>
                    </w:rPr>
                    <w:t>危险废物</w:t>
                  </w:r>
                </w:p>
              </w:tc>
              <w:tc>
                <w:tcPr>
                  <w:tcW w:w="616" w:type="pct"/>
                  <w:vAlign w:val="center"/>
                </w:tcPr>
                <w:p w14:paraId="30A6CA2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0.113</w:t>
                  </w:r>
                </w:p>
              </w:tc>
              <w:tc>
                <w:tcPr>
                  <w:tcW w:w="640" w:type="pct"/>
                  <w:vAlign w:val="center"/>
                </w:tcPr>
                <w:p w14:paraId="7A70F05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0.157</w:t>
                  </w:r>
                </w:p>
              </w:tc>
              <w:tc>
                <w:tcPr>
                  <w:tcW w:w="662" w:type="pct"/>
                  <w:vAlign w:val="center"/>
                </w:tcPr>
                <w:p w14:paraId="49273AE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0.157</w:t>
                  </w:r>
                </w:p>
              </w:tc>
              <w:tc>
                <w:tcPr>
                  <w:tcW w:w="494" w:type="pct"/>
                  <w:vAlign w:val="center"/>
                </w:tcPr>
                <w:p w14:paraId="0E49AC9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w:t>
                  </w:r>
                </w:p>
              </w:tc>
              <w:tc>
                <w:tcPr>
                  <w:tcW w:w="530" w:type="pct"/>
                  <w:vAlign w:val="center"/>
                </w:tcPr>
                <w:p w14:paraId="7BF3165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w:t>
                  </w:r>
                </w:p>
              </w:tc>
              <w:tc>
                <w:tcPr>
                  <w:tcW w:w="559" w:type="pct"/>
                  <w:vAlign w:val="center"/>
                </w:tcPr>
                <w:p w14:paraId="04D8C02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w:t>
                  </w:r>
                </w:p>
              </w:tc>
              <w:tc>
                <w:tcPr>
                  <w:tcW w:w="608" w:type="pct"/>
                  <w:vAlign w:val="center"/>
                </w:tcPr>
                <w:p w14:paraId="49AB2DF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w:t>
                  </w:r>
                </w:p>
              </w:tc>
            </w:tr>
            <w:tr w14:paraId="3AFA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244" w:type="pct"/>
                  <w:vMerge w:val="continue"/>
                  <w:vAlign w:val="center"/>
                </w:tcPr>
                <w:p w14:paraId="45DA035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p>
              </w:tc>
              <w:tc>
                <w:tcPr>
                  <w:tcW w:w="643" w:type="pct"/>
                  <w:vAlign w:val="center"/>
                </w:tcPr>
                <w:p w14:paraId="575DB36F">
                  <w:pPr>
                    <w:pStyle w:val="103"/>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一般固废</w:t>
                  </w:r>
                </w:p>
              </w:tc>
              <w:tc>
                <w:tcPr>
                  <w:tcW w:w="616" w:type="pct"/>
                  <w:vAlign w:val="center"/>
                </w:tcPr>
                <w:p w14:paraId="3782DA8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0.205</w:t>
                  </w:r>
                </w:p>
              </w:tc>
              <w:tc>
                <w:tcPr>
                  <w:tcW w:w="640" w:type="pct"/>
                  <w:vAlign w:val="center"/>
                </w:tcPr>
                <w:p w14:paraId="654544A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5201.555</w:t>
                  </w:r>
                </w:p>
              </w:tc>
              <w:tc>
                <w:tcPr>
                  <w:tcW w:w="662" w:type="pct"/>
                  <w:vAlign w:val="center"/>
                </w:tcPr>
                <w:p w14:paraId="3F86253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cs="Times New Roman"/>
                      <w:color w:val="auto"/>
                      <w:szCs w:val="21"/>
                      <w:lang w:val="en-US" w:eastAsia="zh-CN"/>
                    </w:rPr>
                  </w:pPr>
                  <w:r>
                    <w:rPr>
                      <w:rFonts w:hint="eastAsia" w:cs="Times New Roman"/>
                      <w:color w:val="auto"/>
                      <w:szCs w:val="21"/>
                      <w:lang w:val="en-US" w:eastAsia="zh-CN"/>
                    </w:rPr>
                    <w:t>5201.555</w:t>
                  </w:r>
                </w:p>
              </w:tc>
              <w:tc>
                <w:tcPr>
                  <w:tcW w:w="494" w:type="pct"/>
                  <w:vAlign w:val="center"/>
                </w:tcPr>
                <w:p w14:paraId="77F8B6E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0</w:t>
                  </w:r>
                </w:p>
              </w:tc>
              <w:tc>
                <w:tcPr>
                  <w:tcW w:w="530" w:type="pct"/>
                  <w:vAlign w:val="center"/>
                </w:tcPr>
                <w:p w14:paraId="59DFCB7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559" w:type="pct"/>
                  <w:vAlign w:val="center"/>
                </w:tcPr>
                <w:p w14:paraId="4F0DEE0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0</w:t>
                  </w:r>
                </w:p>
              </w:tc>
              <w:tc>
                <w:tcPr>
                  <w:tcW w:w="608" w:type="pct"/>
                  <w:vAlign w:val="center"/>
                </w:tcPr>
                <w:p w14:paraId="2ABD64D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r>
            <w:tr w14:paraId="559F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244" w:type="pct"/>
                  <w:vMerge w:val="continue"/>
                  <w:vAlign w:val="center"/>
                </w:tcPr>
                <w:p w14:paraId="22AFDAE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p>
              </w:tc>
              <w:tc>
                <w:tcPr>
                  <w:tcW w:w="643" w:type="pct"/>
                  <w:vAlign w:val="center"/>
                </w:tcPr>
                <w:p w14:paraId="54D48900">
                  <w:pPr>
                    <w:pStyle w:val="103"/>
                    <w:keepNext w:val="0"/>
                    <w:keepLines w:val="0"/>
                    <w:pageBreakBefore w:val="0"/>
                    <w:widowControl w:val="0"/>
                    <w:suppressLineNumbers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生活垃圾</w:t>
                  </w:r>
                </w:p>
              </w:tc>
              <w:tc>
                <w:tcPr>
                  <w:tcW w:w="616" w:type="pct"/>
                  <w:vAlign w:val="center"/>
                </w:tcPr>
                <w:p w14:paraId="1DB2716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3.65</w:t>
                  </w:r>
                </w:p>
              </w:tc>
              <w:tc>
                <w:tcPr>
                  <w:tcW w:w="640" w:type="pct"/>
                  <w:vAlign w:val="center"/>
                </w:tcPr>
                <w:p w14:paraId="4790DE8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662" w:type="pct"/>
                  <w:vAlign w:val="center"/>
                </w:tcPr>
                <w:p w14:paraId="4B64D75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494" w:type="pct"/>
                  <w:vAlign w:val="center"/>
                </w:tcPr>
                <w:p w14:paraId="1E3E02E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530" w:type="pct"/>
                  <w:vAlign w:val="center"/>
                </w:tcPr>
                <w:p w14:paraId="4F89283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559" w:type="pct"/>
                  <w:vAlign w:val="center"/>
                </w:tcPr>
                <w:p w14:paraId="13F8E9E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608" w:type="pct"/>
                  <w:vAlign w:val="center"/>
                </w:tcPr>
                <w:p w14:paraId="3711430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r>
          </w:tbl>
          <w:p w14:paraId="1B8FACC1">
            <w:pPr>
              <w:keepNext w:val="0"/>
              <w:keepLines w:val="0"/>
              <w:pageBreakBefore w:val="0"/>
              <w:widowControl w:val="0"/>
              <w:suppressLineNumbers w:val="0"/>
              <w:kinsoku/>
              <w:overflowPunct/>
              <w:bidi w:val="0"/>
              <w:spacing w:beforeAutospacing="0" w:afterAutospacing="0" w:line="360" w:lineRule="auto"/>
              <w:ind w:left="0" w:leftChars="0" w:right="0" w:rightChars="0" w:firstLine="480" w:firstLineChars="200"/>
              <w:rPr>
                <w:rFonts w:hint="eastAsia" w:ascii="Times New Roman" w:hAnsi="Times New Roman" w:eastAsia="宋体" w:cs="Times New Roman"/>
                <w:bCs/>
                <w:color w:val="auto"/>
                <w:sz w:val="24"/>
                <w:highlight w:val="none"/>
                <w:lang w:val="en-US" w:eastAsia="zh-CN"/>
              </w:rPr>
            </w:pPr>
          </w:p>
          <w:p w14:paraId="44093566">
            <w:pPr>
              <w:keepNext w:val="0"/>
              <w:keepLines w:val="0"/>
              <w:pageBreakBefore w:val="0"/>
              <w:widowControl w:val="0"/>
              <w:kinsoku/>
              <w:overflowPunct/>
              <w:bidi w:val="0"/>
              <w:adjustRightInd w:val="0"/>
              <w:snapToGrid w:val="0"/>
              <w:spacing w:beforeAutospacing="0" w:afterAutospacing="0"/>
              <w:ind w:left="0" w:leftChars="0"/>
              <w:rPr>
                <w:rFonts w:hint="eastAsia" w:ascii="宋体" w:hAnsi="宋体" w:cs="宋体"/>
                <w:bCs/>
                <w:color w:val="auto"/>
                <w:spacing w:val="-10"/>
                <w:szCs w:val="21"/>
                <w:lang w:val="en-US" w:eastAsia="zh-CN"/>
              </w:rPr>
            </w:pPr>
          </w:p>
          <w:p w14:paraId="6BC645CB">
            <w:pPr>
              <w:keepNext w:val="0"/>
              <w:keepLines w:val="0"/>
              <w:pageBreakBefore w:val="0"/>
              <w:widowControl w:val="0"/>
              <w:kinsoku/>
              <w:overflowPunct/>
              <w:bidi w:val="0"/>
              <w:adjustRightInd w:val="0"/>
              <w:snapToGrid w:val="0"/>
              <w:spacing w:beforeAutospacing="0" w:afterAutospacing="0"/>
              <w:ind w:left="0" w:leftChars="0"/>
              <w:rPr>
                <w:rFonts w:hint="eastAsia" w:ascii="宋体" w:hAnsi="宋体" w:cs="宋体"/>
                <w:bCs/>
                <w:color w:val="auto"/>
                <w:spacing w:val="-10"/>
                <w:szCs w:val="21"/>
                <w:lang w:val="en-US" w:eastAsia="zh-CN"/>
              </w:rPr>
            </w:pPr>
          </w:p>
          <w:p w14:paraId="4FE9B264">
            <w:pPr>
              <w:keepNext w:val="0"/>
              <w:keepLines w:val="0"/>
              <w:pageBreakBefore w:val="0"/>
              <w:widowControl w:val="0"/>
              <w:kinsoku/>
              <w:overflowPunct/>
              <w:bidi w:val="0"/>
              <w:adjustRightInd w:val="0"/>
              <w:snapToGrid w:val="0"/>
              <w:spacing w:beforeAutospacing="0" w:afterAutospacing="0"/>
              <w:ind w:left="0" w:leftChars="0"/>
              <w:rPr>
                <w:rFonts w:hint="eastAsia" w:ascii="宋体" w:hAnsi="宋体" w:cs="宋体"/>
                <w:bCs/>
                <w:color w:val="auto"/>
                <w:spacing w:val="-10"/>
                <w:szCs w:val="21"/>
                <w:lang w:val="en-US" w:eastAsia="zh-CN"/>
              </w:rPr>
            </w:pPr>
          </w:p>
          <w:p w14:paraId="193DE643">
            <w:pPr>
              <w:keepNext w:val="0"/>
              <w:keepLines w:val="0"/>
              <w:pageBreakBefore w:val="0"/>
              <w:widowControl w:val="0"/>
              <w:kinsoku/>
              <w:overflowPunct/>
              <w:bidi w:val="0"/>
              <w:adjustRightInd w:val="0"/>
              <w:snapToGrid w:val="0"/>
              <w:spacing w:beforeAutospacing="0" w:afterAutospacing="0"/>
              <w:ind w:left="0" w:leftChars="0"/>
              <w:rPr>
                <w:rFonts w:hint="eastAsia" w:ascii="宋体" w:hAnsi="宋体" w:cs="宋体"/>
                <w:bCs/>
                <w:color w:val="auto"/>
                <w:spacing w:val="-10"/>
                <w:szCs w:val="21"/>
                <w:lang w:val="en-US" w:eastAsia="zh-CN"/>
              </w:rPr>
            </w:pPr>
          </w:p>
          <w:p w14:paraId="793184C3">
            <w:pPr>
              <w:keepNext w:val="0"/>
              <w:keepLines w:val="0"/>
              <w:pageBreakBefore w:val="0"/>
              <w:widowControl w:val="0"/>
              <w:kinsoku/>
              <w:overflowPunct/>
              <w:bidi w:val="0"/>
              <w:adjustRightInd w:val="0"/>
              <w:snapToGrid w:val="0"/>
              <w:spacing w:beforeAutospacing="0" w:afterAutospacing="0"/>
              <w:ind w:left="0" w:leftChars="0"/>
              <w:rPr>
                <w:rFonts w:hint="eastAsia" w:ascii="宋体" w:hAnsi="宋体" w:cs="宋体"/>
                <w:bCs/>
                <w:color w:val="auto"/>
                <w:spacing w:val="-10"/>
                <w:szCs w:val="21"/>
                <w:lang w:val="en-US" w:eastAsia="zh-CN"/>
              </w:rPr>
            </w:pPr>
          </w:p>
          <w:p w14:paraId="7382C12E">
            <w:pPr>
              <w:keepNext w:val="0"/>
              <w:keepLines w:val="0"/>
              <w:pageBreakBefore w:val="0"/>
              <w:widowControl w:val="0"/>
              <w:kinsoku/>
              <w:overflowPunct/>
              <w:bidi w:val="0"/>
              <w:adjustRightInd w:val="0"/>
              <w:snapToGrid w:val="0"/>
              <w:spacing w:beforeAutospacing="0" w:afterAutospacing="0"/>
              <w:ind w:left="0" w:leftChars="0"/>
              <w:rPr>
                <w:rFonts w:hint="eastAsia" w:ascii="宋体" w:hAnsi="宋体" w:cs="宋体"/>
                <w:bCs/>
                <w:color w:val="auto"/>
                <w:spacing w:val="-10"/>
                <w:szCs w:val="21"/>
                <w:lang w:val="en-US" w:eastAsia="zh-CN"/>
              </w:rPr>
            </w:pPr>
          </w:p>
          <w:p w14:paraId="5EA6845B">
            <w:pPr>
              <w:keepNext w:val="0"/>
              <w:keepLines w:val="0"/>
              <w:pageBreakBefore w:val="0"/>
              <w:widowControl w:val="0"/>
              <w:kinsoku/>
              <w:overflowPunct/>
              <w:bidi w:val="0"/>
              <w:adjustRightInd w:val="0"/>
              <w:snapToGrid w:val="0"/>
              <w:spacing w:beforeAutospacing="0" w:afterAutospacing="0"/>
              <w:ind w:left="0" w:leftChars="0"/>
              <w:rPr>
                <w:rFonts w:hint="default" w:ascii="宋体" w:hAnsi="宋体" w:eastAsia="宋体" w:cs="宋体"/>
                <w:bCs/>
                <w:color w:val="auto"/>
                <w:spacing w:val="-10"/>
                <w:szCs w:val="21"/>
                <w:lang w:val="en-US" w:eastAsia="zh-CN"/>
              </w:rPr>
            </w:pPr>
          </w:p>
        </w:tc>
      </w:tr>
    </w:tbl>
    <w:p w14:paraId="4626847E">
      <w:pPr>
        <w:keepNext w:val="0"/>
        <w:keepLines w:val="0"/>
        <w:pageBreakBefore w:val="0"/>
        <w:widowControl w:val="0"/>
        <w:kinsoku/>
        <w:overflowPunct/>
        <w:bidi w:val="0"/>
        <w:spacing w:beforeAutospacing="0" w:afterAutospacing="0"/>
        <w:ind w:left="0" w:leftChars="0"/>
        <w:rPr>
          <w:color w:val="auto"/>
        </w:rPr>
        <w:sectPr>
          <w:pgSz w:w="11907" w:h="16840"/>
          <w:pgMar w:top="1417" w:right="1417" w:bottom="1417" w:left="1417" w:header="851" w:footer="851" w:gutter="0"/>
          <w:cols w:space="720" w:num="1"/>
          <w:docGrid w:linePitch="312" w:charSpace="0"/>
        </w:sectPr>
      </w:pPr>
    </w:p>
    <w:p w14:paraId="5BBF83DA">
      <w:pPr>
        <w:pStyle w:val="1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b/>
          <w:bCs/>
          <w:snapToGrid w:val="0"/>
          <w:color w:val="auto"/>
          <w:sz w:val="32"/>
          <w:szCs w:val="32"/>
        </w:rPr>
      </w:pPr>
      <w:r>
        <w:rPr>
          <w:rFonts w:hint="eastAsia" w:ascii="Times New Roman" w:hAnsi="Times New Roman" w:eastAsia="宋体" w:cs="Times New Roman"/>
          <w:b/>
          <w:bCs/>
          <w:snapToGrid w:val="0"/>
          <w:color w:val="auto"/>
          <w:sz w:val="32"/>
          <w:szCs w:val="32"/>
        </w:rPr>
        <w:t>五、</w:t>
      </w:r>
      <w:bookmarkStart w:id="12" w:name="_Hlk54167917"/>
      <w:r>
        <w:rPr>
          <w:rFonts w:hint="eastAsia" w:ascii="Times New Roman" w:hAnsi="Times New Roman" w:eastAsia="宋体" w:cs="Times New Roman"/>
          <w:b/>
          <w:bCs/>
          <w:snapToGrid w:val="0"/>
          <w:color w:val="auto"/>
          <w:sz w:val="32"/>
          <w:szCs w:val="32"/>
        </w:rPr>
        <w:t>环境保护措施监督检查清单</w:t>
      </w:r>
      <w:bookmarkEnd w:id="12"/>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615"/>
        <w:gridCol w:w="1462"/>
        <w:gridCol w:w="2399"/>
        <w:gridCol w:w="2300"/>
      </w:tblGrid>
      <w:tr w14:paraId="5EA60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2" w:type="dxa"/>
            <w:tcBorders>
              <w:tl2br w:val="single" w:color="auto" w:sz="4" w:space="0"/>
            </w:tcBorders>
            <w:noWrap w:val="0"/>
            <w:vAlign w:val="top"/>
          </w:tcPr>
          <w:p w14:paraId="1908851E">
            <w:pPr>
              <w:keepNext w:val="0"/>
              <w:keepLines w:val="0"/>
              <w:pageBreakBefore w:val="0"/>
              <w:widowControl w:val="0"/>
              <w:kinsoku/>
              <w:overflowPunct/>
              <w:bidi w:val="0"/>
              <w:adjustRightInd w:val="0"/>
              <w:snapToGrid w:val="0"/>
              <w:spacing w:beforeAutospacing="0" w:afterAutospacing="0"/>
              <w:ind w:left="0" w:leftChars="0" w:firstLine="840"/>
              <w:rPr>
                <w:color w:val="auto"/>
                <w:szCs w:val="21"/>
              </w:rPr>
            </w:pPr>
            <w:r>
              <w:rPr>
                <w:color w:val="auto"/>
                <w:szCs w:val="21"/>
              </w:rPr>
              <w:t>内容</w:t>
            </w:r>
          </w:p>
          <w:p w14:paraId="5897728F">
            <w:pPr>
              <w:keepNext w:val="0"/>
              <w:keepLines w:val="0"/>
              <w:pageBreakBefore w:val="0"/>
              <w:widowControl w:val="0"/>
              <w:kinsoku/>
              <w:overflowPunct/>
              <w:bidi w:val="0"/>
              <w:adjustRightInd w:val="0"/>
              <w:snapToGrid w:val="0"/>
              <w:spacing w:beforeAutospacing="0" w:afterAutospacing="0"/>
              <w:ind w:left="0" w:leftChars="0"/>
              <w:rPr>
                <w:color w:val="auto"/>
                <w:szCs w:val="21"/>
              </w:rPr>
            </w:pPr>
            <w:r>
              <w:rPr>
                <w:color w:val="auto"/>
                <w:szCs w:val="21"/>
              </w:rPr>
              <w:t>要素</w:t>
            </w:r>
          </w:p>
        </w:tc>
        <w:tc>
          <w:tcPr>
            <w:tcW w:w="1615" w:type="dxa"/>
            <w:noWrap w:val="0"/>
            <w:vAlign w:val="center"/>
          </w:tcPr>
          <w:p w14:paraId="3C65A725">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排放口(编号、名称)/污染源</w:t>
            </w:r>
          </w:p>
        </w:tc>
        <w:tc>
          <w:tcPr>
            <w:tcW w:w="1462" w:type="dxa"/>
            <w:noWrap w:val="0"/>
            <w:vAlign w:val="center"/>
          </w:tcPr>
          <w:p w14:paraId="761FE72D">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污染物项目</w:t>
            </w:r>
          </w:p>
        </w:tc>
        <w:tc>
          <w:tcPr>
            <w:tcW w:w="2399" w:type="dxa"/>
            <w:noWrap w:val="0"/>
            <w:vAlign w:val="center"/>
          </w:tcPr>
          <w:p w14:paraId="7B1D19B9">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环境保护措施</w:t>
            </w:r>
          </w:p>
        </w:tc>
        <w:tc>
          <w:tcPr>
            <w:tcW w:w="2300" w:type="dxa"/>
            <w:noWrap w:val="0"/>
            <w:vAlign w:val="center"/>
          </w:tcPr>
          <w:p w14:paraId="69484BF5">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执行标准</w:t>
            </w:r>
          </w:p>
        </w:tc>
      </w:tr>
      <w:tr w14:paraId="7F367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2" w:type="dxa"/>
            <w:noWrap w:val="0"/>
            <w:vAlign w:val="center"/>
          </w:tcPr>
          <w:p w14:paraId="1B05E914">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大气环境</w:t>
            </w:r>
          </w:p>
        </w:tc>
        <w:tc>
          <w:tcPr>
            <w:tcW w:w="1615" w:type="dxa"/>
            <w:noWrap w:val="0"/>
            <w:vAlign w:val="center"/>
          </w:tcPr>
          <w:p w14:paraId="6ECD6D22">
            <w:pPr>
              <w:pStyle w:val="99"/>
              <w:ind w:firstLine="0" w:firstLineChars="0"/>
              <w:rPr>
                <w:rFonts w:hint="eastAsia" w:eastAsia="宋体"/>
                <w:color w:val="auto"/>
                <w:szCs w:val="21"/>
                <w:lang w:eastAsia="zh-CN"/>
              </w:rPr>
            </w:pPr>
            <w:r>
              <w:rPr>
                <w:rFonts w:hint="eastAsia"/>
                <w:color w:val="auto"/>
                <w:lang w:val="en-US" w:eastAsia="zh-CN"/>
              </w:rPr>
              <w:t>无组织</w:t>
            </w:r>
          </w:p>
        </w:tc>
        <w:tc>
          <w:tcPr>
            <w:tcW w:w="1462" w:type="dxa"/>
            <w:noWrap w:val="0"/>
            <w:vAlign w:val="center"/>
          </w:tcPr>
          <w:p w14:paraId="5EBAD0CD">
            <w:pPr>
              <w:pStyle w:val="99"/>
              <w:ind w:firstLine="0" w:firstLineChars="0"/>
              <w:rPr>
                <w:rFonts w:hint="default" w:eastAsia="宋体"/>
                <w:color w:val="auto"/>
                <w:szCs w:val="21"/>
                <w:lang w:val="en-US" w:eastAsia="zh-CN"/>
              </w:rPr>
            </w:pPr>
            <w:r>
              <w:rPr>
                <w:rFonts w:hint="eastAsia"/>
                <w:color w:val="auto"/>
                <w:lang w:val="en-US" w:eastAsia="zh-CN"/>
              </w:rPr>
              <w:t>氨、硫化氢、臭气浓度</w:t>
            </w:r>
          </w:p>
        </w:tc>
        <w:tc>
          <w:tcPr>
            <w:tcW w:w="2399" w:type="dxa"/>
            <w:noWrap w:val="0"/>
            <w:vAlign w:val="center"/>
          </w:tcPr>
          <w:p w14:paraId="6B1B80D5">
            <w:pPr>
              <w:pStyle w:val="99"/>
              <w:ind w:firstLine="0" w:firstLineChars="0"/>
              <w:rPr>
                <w:rFonts w:hint="eastAsia" w:eastAsia="宋体"/>
                <w:color w:val="auto"/>
                <w:szCs w:val="21"/>
                <w:lang w:eastAsia="zh-CN"/>
              </w:rPr>
            </w:pPr>
            <w:r>
              <w:rPr>
                <w:rFonts w:hint="eastAsia"/>
                <w:color w:val="auto"/>
                <w:lang w:val="en-US" w:eastAsia="zh-CN"/>
              </w:rPr>
              <w:t>通风换气、绿化</w:t>
            </w:r>
          </w:p>
        </w:tc>
        <w:tc>
          <w:tcPr>
            <w:tcW w:w="2300" w:type="dxa"/>
            <w:noWrap w:val="0"/>
            <w:vAlign w:val="center"/>
          </w:tcPr>
          <w:p w14:paraId="6C169564">
            <w:pPr>
              <w:pStyle w:val="99"/>
              <w:ind w:firstLine="0" w:firstLineChars="0"/>
              <w:rPr>
                <w:rFonts w:hint="eastAsia" w:eastAsia="宋体"/>
                <w:color w:val="auto"/>
                <w:szCs w:val="21"/>
                <w:lang w:eastAsia="zh-CN"/>
              </w:rPr>
            </w:pPr>
            <w:r>
              <w:rPr>
                <w:rFonts w:hint="eastAsia"/>
                <w:color w:val="auto"/>
                <w:lang w:val="en-US" w:eastAsia="zh-CN"/>
              </w:rPr>
              <w:t>《恶臭污染物排放标准》（GB14554-93）</w:t>
            </w:r>
          </w:p>
        </w:tc>
      </w:tr>
      <w:tr w14:paraId="7E7D8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2" w:type="dxa"/>
            <w:noWrap w:val="0"/>
            <w:vAlign w:val="center"/>
          </w:tcPr>
          <w:p w14:paraId="6E77D141">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地表水环境</w:t>
            </w:r>
          </w:p>
        </w:tc>
        <w:tc>
          <w:tcPr>
            <w:tcW w:w="1615" w:type="dxa"/>
            <w:noWrap w:val="0"/>
            <w:vAlign w:val="center"/>
          </w:tcPr>
          <w:p w14:paraId="7E84522F">
            <w:pPr>
              <w:keepNext w:val="0"/>
              <w:keepLines w:val="0"/>
              <w:pageBreakBefore w:val="0"/>
              <w:widowControl w:val="0"/>
              <w:kinsoku/>
              <w:overflowPunct/>
              <w:bidi w:val="0"/>
              <w:adjustRightInd w:val="0"/>
              <w:snapToGrid w:val="0"/>
              <w:spacing w:beforeAutospacing="0" w:afterAutospacing="0"/>
              <w:ind w:left="0" w:leftChars="0"/>
              <w:jc w:val="center"/>
              <w:rPr>
                <w:rFonts w:hint="eastAsia" w:eastAsia="宋体"/>
                <w:color w:val="auto"/>
                <w:szCs w:val="21"/>
                <w:lang w:eastAsia="zh-CN"/>
              </w:rPr>
            </w:pPr>
            <w:r>
              <w:rPr>
                <w:rFonts w:hint="eastAsia"/>
                <w:color w:val="auto"/>
                <w:szCs w:val="21"/>
                <w:lang w:val="en-US" w:eastAsia="zh-CN"/>
              </w:rPr>
              <w:t>反冲洗废水、排泥水</w:t>
            </w:r>
          </w:p>
        </w:tc>
        <w:tc>
          <w:tcPr>
            <w:tcW w:w="1462" w:type="dxa"/>
            <w:noWrap w:val="0"/>
            <w:vAlign w:val="center"/>
          </w:tcPr>
          <w:p w14:paraId="4CF18691">
            <w:pPr>
              <w:keepNext w:val="0"/>
              <w:keepLines w:val="0"/>
              <w:pageBreakBefore w:val="0"/>
              <w:widowControl w:val="0"/>
              <w:kinsoku/>
              <w:overflowPunct/>
              <w:bidi w:val="0"/>
              <w:adjustRightInd w:val="0"/>
              <w:snapToGrid w:val="0"/>
              <w:spacing w:beforeAutospacing="0" w:afterAutospacing="0"/>
              <w:ind w:left="0" w:leftChars="0"/>
              <w:jc w:val="center"/>
              <w:rPr>
                <w:rFonts w:hint="default" w:eastAsia="宋体"/>
                <w:color w:val="auto"/>
                <w:szCs w:val="21"/>
                <w:lang w:val="en-US" w:eastAsia="zh-CN"/>
              </w:rPr>
            </w:pPr>
            <w:r>
              <w:rPr>
                <w:rFonts w:hint="eastAsia"/>
                <w:color w:val="auto"/>
                <w:szCs w:val="21"/>
                <w:lang w:val="en-US" w:eastAsia="zh-CN"/>
              </w:rPr>
              <w:t>COD、BOD</w:t>
            </w:r>
            <w:r>
              <w:rPr>
                <w:rFonts w:hint="eastAsia"/>
                <w:color w:val="auto"/>
                <w:szCs w:val="21"/>
                <w:vertAlign w:val="subscript"/>
                <w:lang w:val="en-US" w:eastAsia="zh-CN"/>
              </w:rPr>
              <w:t>5</w:t>
            </w:r>
            <w:r>
              <w:rPr>
                <w:rFonts w:hint="eastAsia"/>
                <w:color w:val="auto"/>
                <w:szCs w:val="21"/>
                <w:lang w:val="en-US" w:eastAsia="zh-CN"/>
              </w:rPr>
              <w:t>、SS、氨氮等</w:t>
            </w:r>
          </w:p>
        </w:tc>
        <w:tc>
          <w:tcPr>
            <w:tcW w:w="2399" w:type="dxa"/>
            <w:noWrap w:val="0"/>
            <w:vAlign w:val="center"/>
          </w:tcPr>
          <w:p w14:paraId="2A7A9647">
            <w:pPr>
              <w:keepNext w:val="0"/>
              <w:keepLines w:val="0"/>
              <w:pageBreakBefore w:val="0"/>
              <w:widowControl w:val="0"/>
              <w:kinsoku/>
              <w:overflowPunct/>
              <w:bidi w:val="0"/>
              <w:adjustRightInd w:val="0"/>
              <w:snapToGrid w:val="0"/>
              <w:spacing w:beforeAutospacing="0" w:afterAutospacing="0"/>
              <w:ind w:left="0" w:leftChars="0"/>
              <w:jc w:val="center"/>
              <w:rPr>
                <w:rFonts w:hint="eastAsia" w:eastAsia="宋体"/>
                <w:color w:val="auto"/>
                <w:szCs w:val="21"/>
                <w:lang w:eastAsia="zh-CN"/>
              </w:rPr>
            </w:pPr>
            <w:r>
              <w:rPr>
                <w:rFonts w:hint="eastAsia"/>
                <w:color w:val="auto"/>
                <w:szCs w:val="21"/>
                <w:lang w:val="en-US" w:eastAsia="zh-CN"/>
              </w:rPr>
              <w:t>经沉淀池沉淀后回用于生产</w:t>
            </w:r>
          </w:p>
        </w:tc>
        <w:tc>
          <w:tcPr>
            <w:tcW w:w="2300" w:type="dxa"/>
            <w:noWrap w:val="0"/>
            <w:vAlign w:val="center"/>
          </w:tcPr>
          <w:p w14:paraId="39D48E65">
            <w:pPr>
              <w:keepNext w:val="0"/>
              <w:keepLines w:val="0"/>
              <w:pageBreakBefore w:val="0"/>
              <w:widowControl w:val="0"/>
              <w:kinsoku/>
              <w:overflowPunct/>
              <w:bidi w:val="0"/>
              <w:adjustRightInd w:val="0"/>
              <w:snapToGrid w:val="0"/>
              <w:spacing w:beforeAutospacing="0" w:afterAutospacing="0"/>
              <w:ind w:left="0" w:leftChars="0"/>
              <w:jc w:val="center"/>
              <w:rPr>
                <w:rFonts w:hint="eastAsia" w:eastAsia="宋体"/>
                <w:color w:val="auto"/>
                <w:szCs w:val="21"/>
                <w:lang w:eastAsia="zh-CN"/>
              </w:rPr>
            </w:pPr>
            <w:r>
              <w:rPr>
                <w:rFonts w:hint="eastAsia"/>
                <w:color w:val="auto"/>
                <w:szCs w:val="21"/>
                <w:lang w:val="en-US" w:eastAsia="zh-CN"/>
              </w:rPr>
              <w:t>不外排</w:t>
            </w:r>
          </w:p>
        </w:tc>
      </w:tr>
      <w:tr w14:paraId="46AD1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2" w:type="dxa"/>
            <w:noWrap w:val="0"/>
            <w:vAlign w:val="center"/>
          </w:tcPr>
          <w:p w14:paraId="45877EBA">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声环境</w:t>
            </w:r>
          </w:p>
        </w:tc>
        <w:tc>
          <w:tcPr>
            <w:tcW w:w="1615" w:type="dxa"/>
            <w:noWrap w:val="0"/>
            <w:vAlign w:val="center"/>
          </w:tcPr>
          <w:p w14:paraId="7B28A718">
            <w:pPr>
              <w:keepNext w:val="0"/>
              <w:keepLines w:val="0"/>
              <w:pageBreakBefore w:val="0"/>
              <w:widowControl w:val="0"/>
              <w:kinsoku/>
              <w:overflowPunct/>
              <w:bidi w:val="0"/>
              <w:adjustRightInd w:val="0"/>
              <w:snapToGrid w:val="0"/>
              <w:spacing w:beforeAutospacing="0" w:afterAutospacing="0"/>
              <w:ind w:left="0" w:leftChars="0"/>
              <w:jc w:val="center"/>
              <w:rPr>
                <w:rFonts w:hint="eastAsia"/>
                <w:color w:val="auto"/>
                <w:szCs w:val="21"/>
              </w:rPr>
            </w:pPr>
            <w:r>
              <w:rPr>
                <w:rFonts w:hint="eastAsia"/>
                <w:color w:val="auto"/>
                <w:szCs w:val="21"/>
              </w:rPr>
              <w:t>生产设备</w:t>
            </w:r>
          </w:p>
        </w:tc>
        <w:tc>
          <w:tcPr>
            <w:tcW w:w="1462" w:type="dxa"/>
            <w:noWrap w:val="0"/>
            <w:vAlign w:val="center"/>
          </w:tcPr>
          <w:p w14:paraId="5E28E496">
            <w:pPr>
              <w:keepNext w:val="0"/>
              <w:keepLines w:val="0"/>
              <w:pageBreakBefore w:val="0"/>
              <w:widowControl w:val="0"/>
              <w:kinsoku/>
              <w:overflowPunct/>
              <w:bidi w:val="0"/>
              <w:adjustRightInd w:val="0"/>
              <w:snapToGrid w:val="0"/>
              <w:spacing w:beforeAutospacing="0" w:afterAutospacing="0"/>
              <w:ind w:left="0" w:leftChars="0"/>
              <w:jc w:val="center"/>
              <w:rPr>
                <w:rFonts w:hint="eastAsia"/>
                <w:color w:val="auto"/>
                <w:szCs w:val="21"/>
              </w:rPr>
            </w:pPr>
            <w:r>
              <w:rPr>
                <w:rFonts w:hint="eastAsia"/>
                <w:color w:val="auto"/>
                <w:szCs w:val="21"/>
              </w:rPr>
              <w:t>噪声</w:t>
            </w:r>
          </w:p>
        </w:tc>
        <w:tc>
          <w:tcPr>
            <w:tcW w:w="2399" w:type="dxa"/>
            <w:noWrap w:val="0"/>
            <w:vAlign w:val="center"/>
          </w:tcPr>
          <w:p w14:paraId="15BEA7E1">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通过选用低噪声设备、合理安排生产时间，安装减振垫、加强设备维护等措施</w:t>
            </w:r>
          </w:p>
        </w:tc>
        <w:tc>
          <w:tcPr>
            <w:tcW w:w="2300" w:type="dxa"/>
            <w:noWrap w:val="0"/>
            <w:vAlign w:val="center"/>
          </w:tcPr>
          <w:p w14:paraId="076F4987">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《工业企业厂界环境噪声排放标准》（GB12348-2008）中</w:t>
            </w:r>
            <w:r>
              <w:rPr>
                <w:rFonts w:hint="eastAsia"/>
                <w:color w:val="auto"/>
                <w:szCs w:val="21"/>
                <w:lang w:val="en-US" w:eastAsia="zh-CN"/>
              </w:rPr>
              <w:t>2</w:t>
            </w:r>
            <w:r>
              <w:rPr>
                <w:color w:val="auto"/>
                <w:szCs w:val="21"/>
              </w:rPr>
              <w:t>类标准</w:t>
            </w:r>
          </w:p>
        </w:tc>
      </w:tr>
      <w:tr w14:paraId="68927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2" w:type="dxa"/>
            <w:noWrap w:val="0"/>
            <w:vAlign w:val="center"/>
          </w:tcPr>
          <w:p w14:paraId="7680328B">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电磁辐射</w:t>
            </w:r>
          </w:p>
        </w:tc>
        <w:tc>
          <w:tcPr>
            <w:tcW w:w="1615" w:type="dxa"/>
            <w:noWrap w:val="0"/>
            <w:vAlign w:val="center"/>
          </w:tcPr>
          <w:p w14:paraId="73BE58C6">
            <w:pPr>
              <w:keepNext w:val="0"/>
              <w:keepLines w:val="0"/>
              <w:pageBreakBefore w:val="0"/>
              <w:widowControl w:val="0"/>
              <w:kinsoku/>
              <w:overflowPunct/>
              <w:bidi w:val="0"/>
              <w:adjustRightInd w:val="0"/>
              <w:snapToGrid w:val="0"/>
              <w:spacing w:beforeAutospacing="0" w:afterAutospacing="0"/>
              <w:ind w:left="0" w:leftChars="0"/>
              <w:jc w:val="center"/>
              <w:rPr>
                <w:rFonts w:hint="eastAsia"/>
                <w:color w:val="auto"/>
                <w:szCs w:val="21"/>
              </w:rPr>
            </w:pPr>
            <w:r>
              <w:rPr>
                <w:rFonts w:hint="eastAsia"/>
                <w:color w:val="auto"/>
                <w:szCs w:val="21"/>
              </w:rPr>
              <w:t>—</w:t>
            </w:r>
          </w:p>
        </w:tc>
        <w:tc>
          <w:tcPr>
            <w:tcW w:w="1462" w:type="dxa"/>
            <w:noWrap w:val="0"/>
            <w:vAlign w:val="center"/>
          </w:tcPr>
          <w:p w14:paraId="45EAD91D">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rFonts w:hint="eastAsia"/>
                <w:color w:val="auto"/>
                <w:szCs w:val="21"/>
              </w:rPr>
              <w:t>—</w:t>
            </w:r>
          </w:p>
        </w:tc>
        <w:tc>
          <w:tcPr>
            <w:tcW w:w="2399" w:type="dxa"/>
            <w:noWrap w:val="0"/>
            <w:vAlign w:val="center"/>
          </w:tcPr>
          <w:p w14:paraId="57E6A6D4">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rFonts w:hint="eastAsia"/>
                <w:color w:val="auto"/>
                <w:szCs w:val="21"/>
              </w:rPr>
              <w:t>—</w:t>
            </w:r>
          </w:p>
        </w:tc>
        <w:tc>
          <w:tcPr>
            <w:tcW w:w="2300" w:type="dxa"/>
            <w:noWrap w:val="0"/>
            <w:vAlign w:val="center"/>
          </w:tcPr>
          <w:p w14:paraId="20870306">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rFonts w:hint="eastAsia"/>
                <w:color w:val="auto"/>
                <w:szCs w:val="21"/>
              </w:rPr>
              <w:t>—</w:t>
            </w:r>
          </w:p>
        </w:tc>
      </w:tr>
      <w:tr w14:paraId="5C32EC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512" w:type="dxa"/>
            <w:noWrap w:val="0"/>
            <w:vAlign w:val="center"/>
          </w:tcPr>
          <w:p w14:paraId="1FC640CC">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固体废物</w:t>
            </w:r>
          </w:p>
        </w:tc>
        <w:tc>
          <w:tcPr>
            <w:tcW w:w="7776" w:type="dxa"/>
            <w:gridSpan w:val="4"/>
            <w:noWrap w:val="0"/>
            <w:vAlign w:val="center"/>
          </w:tcPr>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49"/>
              <w:gridCol w:w="646"/>
              <w:gridCol w:w="1155"/>
              <w:gridCol w:w="914"/>
              <w:gridCol w:w="1700"/>
              <w:gridCol w:w="898"/>
              <w:gridCol w:w="1088"/>
            </w:tblGrid>
            <w:tr w14:paraId="6342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56" w:type="dxa"/>
                  <w:vMerge w:val="restart"/>
                  <w:noWrap w:val="0"/>
                  <w:vAlign w:val="center"/>
                </w:tcPr>
                <w:p w14:paraId="0FA35E8D">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固体废物名称</w:t>
                  </w:r>
                </w:p>
              </w:tc>
              <w:tc>
                <w:tcPr>
                  <w:tcW w:w="538" w:type="dxa"/>
                  <w:vMerge w:val="restart"/>
                  <w:noWrap w:val="0"/>
                  <w:vAlign w:val="center"/>
                </w:tcPr>
                <w:p w14:paraId="2968DF15">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固废属性</w:t>
                  </w:r>
                </w:p>
              </w:tc>
              <w:tc>
                <w:tcPr>
                  <w:tcW w:w="1722" w:type="dxa"/>
                  <w:gridSpan w:val="2"/>
                  <w:noWrap w:val="0"/>
                  <w:vAlign w:val="center"/>
                </w:tcPr>
                <w:p w14:paraId="6AC6503B">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产生情况</w:t>
                  </w:r>
                </w:p>
              </w:tc>
              <w:tc>
                <w:tcPr>
                  <w:tcW w:w="2162" w:type="dxa"/>
                  <w:gridSpan w:val="2"/>
                  <w:noWrap w:val="0"/>
                  <w:vAlign w:val="center"/>
                </w:tcPr>
                <w:p w14:paraId="2DB321AE">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处置措施</w:t>
                  </w:r>
                </w:p>
              </w:tc>
              <w:tc>
                <w:tcPr>
                  <w:tcW w:w="905" w:type="dxa"/>
                  <w:vMerge w:val="restart"/>
                  <w:noWrap w:val="0"/>
                  <w:vAlign w:val="center"/>
                </w:tcPr>
                <w:p w14:paraId="15D82FBC">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最终去向</w:t>
                  </w:r>
                </w:p>
              </w:tc>
            </w:tr>
            <w:tr w14:paraId="32A4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56" w:type="dxa"/>
                  <w:vMerge w:val="continue"/>
                  <w:noWrap w:val="0"/>
                  <w:vAlign w:val="center"/>
                </w:tcPr>
                <w:p w14:paraId="555271ED">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c>
                <w:tcPr>
                  <w:tcW w:w="538" w:type="dxa"/>
                  <w:vMerge w:val="continue"/>
                  <w:noWrap w:val="0"/>
                  <w:vAlign w:val="center"/>
                </w:tcPr>
                <w:p w14:paraId="2780AAEA">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c>
                <w:tcPr>
                  <w:tcW w:w="961" w:type="dxa"/>
                  <w:noWrap w:val="0"/>
                  <w:vAlign w:val="center"/>
                </w:tcPr>
                <w:p w14:paraId="74600FCB">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核算方法</w:t>
                  </w:r>
                </w:p>
              </w:tc>
              <w:tc>
                <w:tcPr>
                  <w:tcW w:w="761" w:type="dxa"/>
                  <w:noWrap w:val="0"/>
                  <w:vAlign w:val="center"/>
                </w:tcPr>
                <w:p w14:paraId="08469307">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1415" w:type="dxa"/>
                  <w:noWrap w:val="0"/>
                  <w:vAlign w:val="center"/>
                </w:tcPr>
                <w:p w14:paraId="65380631">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747" w:type="dxa"/>
                  <w:noWrap w:val="0"/>
                  <w:vAlign w:val="center"/>
                </w:tcPr>
                <w:p w14:paraId="51B266F6">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处置量</w:t>
                  </w:r>
                </w:p>
              </w:tc>
              <w:tc>
                <w:tcPr>
                  <w:tcW w:w="905" w:type="dxa"/>
                  <w:vMerge w:val="continue"/>
                  <w:noWrap w:val="0"/>
                  <w:vAlign w:val="center"/>
                </w:tcPr>
                <w:p w14:paraId="753B9E86">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b/>
                      <w:bCs/>
                      <w:color w:val="auto"/>
                      <w:sz w:val="21"/>
                      <w:szCs w:val="21"/>
                      <w:highlight w:val="none"/>
                    </w:rPr>
                  </w:pPr>
                </w:p>
              </w:tc>
            </w:tr>
            <w:tr w14:paraId="2D85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56" w:type="dxa"/>
                  <w:noWrap w:val="0"/>
                  <w:vAlign w:val="center"/>
                </w:tcPr>
                <w:p w14:paraId="1F792F34">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w:t>
                  </w:r>
                  <w:r>
                    <w:rPr>
                      <w:rFonts w:hint="eastAsia" w:ascii="Times New Roman" w:hAnsi="Times New Roman" w:cs="Times New Roman"/>
                      <w:color w:val="auto"/>
                      <w:kern w:val="2"/>
                      <w:sz w:val="21"/>
                      <w:szCs w:val="21"/>
                      <w:highlight w:val="none"/>
                      <w:lang w:val="en-US" w:eastAsia="zh-CN" w:bidi="ar-SA"/>
                    </w:rPr>
                    <w:t>材料</w:t>
                  </w:r>
                </w:p>
              </w:tc>
              <w:tc>
                <w:tcPr>
                  <w:tcW w:w="538" w:type="dxa"/>
                  <w:vMerge w:val="restart"/>
                  <w:noWrap w:val="0"/>
                  <w:vAlign w:val="center"/>
                </w:tcPr>
                <w:p w14:paraId="69763E76">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一般固废</w:t>
                  </w:r>
                </w:p>
              </w:tc>
              <w:tc>
                <w:tcPr>
                  <w:tcW w:w="961" w:type="dxa"/>
                  <w:noWrap w:val="0"/>
                  <w:vAlign w:val="center"/>
                </w:tcPr>
                <w:p w14:paraId="629128DB">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761" w:type="dxa"/>
                  <w:noWrap w:val="0"/>
                  <w:vAlign w:val="center"/>
                </w:tcPr>
                <w:p w14:paraId="23B11677">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lang w:val="en-US" w:eastAsia="zh-CN"/>
                    </w:rPr>
                    <w:t>t/a</w:t>
                  </w:r>
                </w:p>
              </w:tc>
              <w:tc>
                <w:tcPr>
                  <w:tcW w:w="1415" w:type="dxa"/>
                  <w:noWrap w:val="0"/>
                  <w:vAlign w:val="center"/>
                </w:tcPr>
                <w:p w14:paraId="74A43E6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外售综合利用</w:t>
                  </w:r>
                </w:p>
              </w:tc>
              <w:tc>
                <w:tcPr>
                  <w:tcW w:w="747" w:type="dxa"/>
                  <w:noWrap w:val="0"/>
                  <w:vAlign w:val="center"/>
                </w:tcPr>
                <w:p w14:paraId="148DC4D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lang w:val="en-US" w:eastAsia="zh-CN"/>
                    </w:rPr>
                    <w:t>t/a</w:t>
                  </w:r>
                </w:p>
              </w:tc>
              <w:tc>
                <w:tcPr>
                  <w:tcW w:w="905" w:type="dxa"/>
                  <w:vMerge w:val="restart"/>
                  <w:noWrap w:val="0"/>
                  <w:vAlign w:val="center"/>
                </w:tcPr>
                <w:p w14:paraId="13301667">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无害化处理</w:t>
                  </w:r>
                </w:p>
              </w:tc>
            </w:tr>
            <w:tr w14:paraId="4F7A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56" w:type="dxa"/>
                  <w:noWrap w:val="0"/>
                  <w:vAlign w:val="center"/>
                </w:tcPr>
                <w:p w14:paraId="5ABBCB5D">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污泥</w:t>
                  </w:r>
                </w:p>
              </w:tc>
              <w:tc>
                <w:tcPr>
                  <w:tcW w:w="538" w:type="dxa"/>
                  <w:vMerge w:val="continue"/>
                  <w:noWrap w:val="0"/>
                  <w:vAlign w:val="center"/>
                </w:tcPr>
                <w:p w14:paraId="255E0029">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p>
              </w:tc>
              <w:tc>
                <w:tcPr>
                  <w:tcW w:w="961" w:type="dxa"/>
                  <w:noWrap w:val="0"/>
                  <w:vAlign w:val="center"/>
                </w:tcPr>
                <w:p w14:paraId="14283D21">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761" w:type="dxa"/>
                  <w:noWrap w:val="0"/>
                  <w:vAlign w:val="center"/>
                </w:tcPr>
                <w:p w14:paraId="679014B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5201.25t/a</w:t>
                  </w:r>
                </w:p>
              </w:tc>
              <w:tc>
                <w:tcPr>
                  <w:tcW w:w="1415" w:type="dxa"/>
                  <w:noWrap w:val="0"/>
                  <w:vAlign w:val="center"/>
                </w:tcPr>
                <w:p w14:paraId="3CA4F29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sz w:val="21"/>
                      <w:szCs w:val="21"/>
                      <w:lang w:eastAsia="zh-CN"/>
                    </w:rPr>
                    <w:t>交由</w:t>
                  </w:r>
                  <w:r>
                    <w:rPr>
                      <w:rFonts w:hint="default" w:ascii="Times New Roman" w:hAnsi="Times New Roman" w:cs="Times New Roman"/>
                      <w:color w:val="auto"/>
                      <w:sz w:val="21"/>
                      <w:szCs w:val="21"/>
                      <w:lang w:eastAsia="zh-CN"/>
                    </w:rPr>
                    <w:t>八公山陶粒厂</w:t>
                  </w:r>
                  <w:r>
                    <w:rPr>
                      <w:rFonts w:hint="eastAsia" w:ascii="Times New Roman" w:hAnsi="Times New Roman" w:cs="Times New Roman"/>
                      <w:color w:val="auto"/>
                      <w:sz w:val="21"/>
                      <w:szCs w:val="21"/>
                      <w:lang w:eastAsia="zh-CN"/>
                    </w:rPr>
                    <w:t>综合利用</w:t>
                  </w:r>
                </w:p>
              </w:tc>
              <w:tc>
                <w:tcPr>
                  <w:tcW w:w="747" w:type="dxa"/>
                  <w:noWrap w:val="0"/>
                  <w:vAlign w:val="center"/>
                </w:tcPr>
                <w:p w14:paraId="3DDD7E2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5201.25t/a</w:t>
                  </w:r>
                </w:p>
              </w:tc>
              <w:tc>
                <w:tcPr>
                  <w:tcW w:w="905" w:type="dxa"/>
                  <w:vMerge w:val="continue"/>
                  <w:noWrap w:val="0"/>
                  <w:vAlign w:val="center"/>
                </w:tcPr>
                <w:p w14:paraId="7A389D55">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r w14:paraId="1B2D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56" w:type="dxa"/>
                  <w:noWrap w:val="0"/>
                  <w:vAlign w:val="center"/>
                </w:tcPr>
                <w:p w14:paraId="355E38C5">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废培养基</w:t>
                  </w:r>
                </w:p>
              </w:tc>
              <w:tc>
                <w:tcPr>
                  <w:tcW w:w="538" w:type="dxa"/>
                  <w:vMerge w:val="continue"/>
                  <w:noWrap w:val="0"/>
                  <w:vAlign w:val="center"/>
                </w:tcPr>
                <w:p w14:paraId="7E755050">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cs="Times New Roman"/>
                      <w:color w:val="auto"/>
                      <w:sz w:val="21"/>
                      <w:szCs w:val="21"/>
                      <w:highlight w:val="none"/>
                      <w:lang w:val="en-US" w:eastAsia="zh-CN"/>
                    </w:rPr>
                  </w:pPr>
                </w:p>
              </w:tc>
              <w:tc>
                <w:tcPr>
                  <w:tcW w:w="961" w:type="dxa"/>
                  <w:noWrap w:val="0"/>
                  <w:vAlign w:val="center"/>
                </w:tcPr>
                <w:p w14:paraId="5DB282C9">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761" w:type="dxa"/>
                  <w:noWrap w:val="0"/>
                  <w:vAlign w:val="center"/>
                </w:tcPr>
                <w:p w14:paraId="6F1AC7B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0.01t/a</w:t>
                  </w:r>
                </w:p>
              </w:tc>
              <w:tc>
                <w:tcPr>
                  <w:tcW w:w="1415" w:type="dxa"/>
                  <w:noWrap w:val="0"/>
                  <w:vAlign w:val="center"/>
                </w:tcPr>
                <w:p w14:paraId="5DE5DB6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外售综合利用</w:t>
                  </w:r>
                </w:p>
              </w:tc>
              <w:tc>
                <w:tcPr>
                  <w:tcW w:w="747" w:type="dxa"/>
                  <w:noWrap w:val="0"/>
                  <w:vAlign w:val="center"/>
                </w:tcPr>
                <w:p w14:paraId="66CEDE1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0.01t/a</w:t>
                  </w:r>
                </w:p>
              </w:tc>
              <w:tc>
                <w:tcPr>
                  <w:tcW w:w="905" w:type="dxa"/>
                  <w:vMerge w:val="continue"/>
                  <w:noWrap w:val="0"/>
                  <w:vAlign w:val="center"/>
                </w:tcPr>
                <w:p w14:paraId="2A9C5CAC">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r w14:paraId="487B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56" w:type="dxa"/>
                  <w:noWrap w:val="0"/>
                  <w:vAlign w:val="center"/>
                </w:tcPr>
                <w:p w14:paraId="39AD0DBB">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实验废液</w:t>
                  </w:r>
                </w:p>
              </w:tc>
              <w:tc>
                <w:tcPr>
                  <w:tcW w:w="538" w:type="dxa"/>
                  <w:vMerge w:val="restart"/>
                  <w:noWrap w:val="0"/>
                  <w:vAlign w:val="center"/>
                </w:tcPr>
                <w:p w14:paraId="3BD0A328">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危险废物</w:t>
                  </w:r>
                </w:p>
              </w:tc>
              <w:tc>
                <w:tcPr>
                  <w:tcW w:w="961" w:type="dxa"/>
                  <w:noWrap w:val="0"/>
                  <w:vAlign w:val="center"/>
                </w:tcPr>
                <w:p w14:paraId="277250E2">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761" w:type="dxa"/>
                  <w:noWrap w:val="0"/>
                  <w:vAlign w:val="center"/>
                </w:tcPr>
                <w:p w14:paraId="4815451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0.05t/a</w:t>
                  </w:r>
                </w:p>
              </w:tc>
              <w:tc>
                <w:tcPr>
                  <w:tcW w:w="1415" w:type="dxa"/>
                  <w:vMerge w:val="restart"/>
                  <w:noWrap w:val="0"/>
                  <w:vAlign w:val="center"/>
                </w:tcPr>
                <w:p w14:paraId="66568B29">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暂存于危废暂存间，定期委托资质单位处理</w:t>
                  </w:r>
                </w:p>
              </w:tc>
              <w:tc>
                <w:tcPr>
                  <w:tcW w:w="747" w:type="dxa"/>
                  <w:noWrap w:val="0"/>
                  <w:vAlign w:val="center"/>
                </w:tcPr>
                <w:p w14:paraId="4968168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0.05t/a</w:t>
                  </w:r>
                </w:p>
              </w:tc>
              <w:tc>
                <w:tcPr>
                  <w:tcW w:w="905" w:type="dxa"/>
                  <w:vMerge w:val="continue"/>
                  <w:noWrap w:val="0"/>
                  <w:vAlign w:val="center"/>
                </w:tcPr>
                <w:p w14:paraId="38D86274">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r w14:paraId="75B6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56" w:type="dxa"/>
                  <w:noWrap w:val="0"/>
                  <w:vAlign w:val="center"/>
                </w:tcPr>
                <w:p w14:paraId="0E85F95C">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废润滑油</w:t>
                  </w:r>
                </w:p>
              </w:tc>
              <w:tc>
                <w:tcPr>
                  <w:tcW w:w="538" w:type="dxa"/>
                  <w:vMerge w:val="continue"/>
                  <w:noWrap w:val="0"/>
                  <w:vAlign w:val="center"/>
                </w:tcPr>
                <w:p w14:paraId="70CBC990">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961" w:type="dxa"/>
                  <w:vMerge w:val="restart"/>
                  <w:noWrap w:val="0"/>
                  <w:vAlign w:val="center"/>
                </w:tcPr>
                <w:p w14:paraId="65C3A42D">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color w:val="auto"/>
                      <w:sz w:val="21"/>
                      <w:szCs w:val="21"/>
                      <w:highlight w:val="none"/>
                    </w:rPr>
                  </w:pPr>
                  <w:r>
                    <w:rPr>
                      <w:rFonts w:hint="default" w:ascii="Times New Roman" w:hAnsi="Times New Roman" w:cs="Times New Roman"/>
                      <w:color w:val="auto"/>
                      <w:sz w:val="21"/>
                      <w:szCs w:val="21"/>
                      <w:highlight w:val="none"/>
                    </w:rPr>
                    <w:t>类比法</w:t>
                  </w:r>
                </w:p>
              </w:tc>
              <w:tc>
                <w:tcPr>
                  <w:tcW w:w="761" w:type="dxa"/>
                  <w:noWrap w:val="0"/>
                  <w:vAlign w:val="center"/>
                </w:tcPr>
                <w:p w14:paraId="3407FF9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t/a</w:t>
                  </w:r>
                </w:p>
              </w:tc>
              <w:tc>
                <w:tcPr>
                  <w:tcW w:w="1415" w:type="dxa"/>
                  <w:vMerge w:val="continue"/>
                  <w:noWrap w:val="0"/>
                  <w:vAlign w:val="center"/>
                </w:tcPr>
                <w:p w14:paraId="5622549D">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rPr>
                  </w:pPr>
                </w:p>
              </w:tc>
              <w:tc>
                <w:tcPr>
                  <w:tcW w:w="747" w:type="dxa"/>
                  <w:noWrap w:val="0"/>
                  <w:vAlign w:val="center"/>
                </w:tcPr>
                <w:p w14:paraId="48ECE97C">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t/a</w:t>
                  </w:r>
                </w:p>
              </w:tc>
              <w:tc>
                <w:tcPr>
                  <w:tcW w:w="905" w:type="dxa"/>
                  <w:vMerge w:val="continue"/>
                  <w:noWrap w:val="0"/>
                  <w:vAlign w:val="center"/>
                </w:tcPr>
                <w:p w14:paraId="578EC1D7">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r w14:paraId="5328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956" w:type="dxa"/>
                  <w:noWrap w:val="0"/>
                  <w:vAlign w:val="center"/>
                </w:tcPr>
                <w:p w14:paraId="067902B3">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废包装瓶/桶</w:t>
                  </w:r>
                </w:p>
              </w:tc>
              <w:tc>
                <w:tcPr>
                  <w:tcW w:w="538" w:type="dxa"/>
                  <w:vMerge w:val="continue"/>
                  <w:noWrap w:val="0"/>
                  <w:vAlign w:val="center"/>
                </w:tcPr>
                <w:p w14:paraId="24488056">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961" w:type="dxa"/>
                  <w:vMerge w:val="continue"/>
                  <w:noWrap w:val="0"/>
                  <w:vAlign w:val="center"/>
                </w:tcPr>
                <w:p w14:paraId="351E8FA5">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c>
                <w:tcPr>
                  <w:tcW w:w="761" w:type="dxa"/>
                  <w:noWrap w:val="0"/>
                  <w:vAlign w:val="center"/>
                </w:tcPr>
                <w:p w14:paraId="795BF9F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r>
                    <w:rPr>
                      <w:rFonts w:hint="default" w:ascii="Times New Roman" w:hAnsi="Times New Roman" w:eastAsia="宋体" w:cs="Times New Roman"/>
                      <w:color w:val="auto"/>
                      <w:kern w:val="0"/>
                      <w:sz w:val="21"/>
                      <w:szCs w:val="21"/>
                      <w:highlight w:val="none"/>
                      <w:lang w:val="en-US" w:eastAsia="zh-CN"/>
                    </w:rPr>
                    <w:t>t/a</w:t>
                  </w:r>
                </w:p>
              </w:tc>
              <w:tc>
                <w:tcPr>
                  <w:tcW w:w="1415" w:type="dxa"/>
                  <w:vMerge w:val="continue"/>
                  <w:noWrap w:val="0"/>
                  <w:vAlign w:val="center"/>
                </w:tcPr>
                <w:p w14:paraId="606A17F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cs="Times New Roman"/>
                      <w:color w:val="auto"/>
                      <w:sz w:val="21"/>
                      <w:szCs w:val="21"/>
                      <w:highlight w:val="none"/>
                    </w:rPr>
                  </w:pPr>
                </w:p>
              </w:tc>
              <w:tc>
                <w:tcPr>
                  <w:tcW w:w="747" w:type="dxa"/>
                  <w:noWrap w:val="0"/>
                  <w:vAlign w:val="center"/>
                </w:tcPr>
                <w:p w14:paraId="170DE91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r>
                    <w:rPr>
                      <w:rFonts w:hint="default" w:ascii="Times New Roman" w:hAnsi="Times New Roman" w:eastAsia="宋体" w:cs="Times New Roman"/>
                      <w:color w:val="auto"/>
                      <w:kern w:val="0"/>
                      <w:sz w:val="21"/>
                      <w:szCs w:val="21"/>
                      <w:highlight w:val="none"/>
                      <w:lang w:val="en-US" w:eastAsia="zh-CN"/>
                    </w:rPr>
                    <w:t>t/a</w:t>
                  </w:r>
                </w:p>
              </w:tc>
              <w:tc>
                <w:tcPr>
                  <w:tcW w:w="905" w:type="dxa"/>
                  <w:vMerge w:val="continue"/>
                  <w:noWrap w:val="0"/>
                  <w:vAlign w:val="center"/>
                </w:tcPr>
                <w:p w14:paraId="434987AE">
                  <w:pPr>
                    <w:keepNext w:val="0"/>
                    <w:keepLines w:val="0"/>
                    <w:pageBreakBefore w:val="0"/>
                    <w:widowControl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cs="Times New Roman"/>
                      <w:color w:val="auto"/>
                      <w:sz w:val="21"/>
                      <w:szCs w:val="21"/>
                      <w:highlight w:val="none"/>
                    </w:rPr>
                  </w:pPr>
                </w:p>
              </w:tc>
            </w:tr>
          </w:tbl>
          <w:p w14:paraId="7BF19AD7">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p>
        </w:tc>
      </w:tr>
      <w:tr w14:paraId="3DC98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12" w:type="dxa"/>
            <w:noWrap w:val="0"/>
            <w:vAlign w:val="center"/>
          </w:tcPr>
          <w:p w14:paraId="7D3B3530">
            <w:pPr>
              <w:keepNext w:val="0"/>
              <w:keepLines w:val="0"/>
              <w:pageBreakBefore w:val="0"/>
              <w:widowControl w:val="0"/>
              <w:kinsoku/>
              <w:overflowPunct/>
              <w:bidi w:val="0"/>
              <w:adjustRightInd w:val="0"/>
              <w:snapToGrid w:val="0"/>
              <w:spacing w:beforeAutospacing="0" w:afterAutospacing="0"/>
              <w:ind w:left="0" w:leftChars="0"/>
              <w:jc w:val="center"/>
              <w:rPr>
                <w:color w:val="auto"/>
              </w:rPr>
            </w:pPr>
            <w:r>
              <w:rPr>
                <w:color w:val="auto"/>
              </w:rPr>
              <w:t>土壤及地下水</w:t>
            </w:r>
          </w:p>
          <w:p w14:paraId="49861F69">
            <w:pPr>
              <w:keepNext w:val="0"/>
              <w:keepLines w:val="0"/>
              <w:pageBreakBefore w:val="0"/>
              <w:widowControl w:val="0"/>
              <w:kinsoku/>
              <w:overflowPunct/>
              <w:bidi w:val="0"/>
              <w:adjustRightInd w:val="0"/>
              <w:snapToGrid w:val="0"/>
              <w:spacing w:beforeAutospacing="0" w:afterAutospacing="0"/>
              <w:ind w:left="0" w:leftChars="0"/>
              <w:jc w:val="center"/>
              <w:rPr>
                <w:color w:val="auto"/>
              </w:rPr>
            </w:pPr>
            <w:r>
              <w:rPr>
                <w:color w:val="auto"/>
              </w:rPr>
              <w:t>污染防治措施</w:t>
            </w:r>
          </w:p>
        </w:tc>
        <w:tc>
          <w:tcPr>
            <w:tcW w:w="7776" w:type="dxa"/>
            <w:gridSpan w:val="4"/>
            <w:noWrap w:val="0"/>
            <w:vAlign w:val="center"/>
          </w:tcPr>
          <w:p w14:paraId="5792E74D">
            <w:pPr>
              <w:keepNext w:val="0"/>
              <w:keepLines w:val="0"/>
              <w:pageBreakBefore w:val="0"/>
              <w:widowControl w:val="0"/>
              <w:kinsoku/>
              <w:overflowPunct/>
              <w:bidi w:val="0"/>
              <w:adjustRightInd w:val="0"/>
              <w:snapToGrid w:val="0"/>
              <w:spacing w:beforeAutospacing="0" w:afterAutospacing="0"/>
              <w:ind w:left="0" w:leftChars="0"/>
              <w:jc w:val="center"/>
              <w:rPr>
                <w:color w:val="auto"/>
              </w:rPr>
            </w:pPr>
            <w:r>
              <w:rPr>
                <w:rFonts w:hint="eastAsia"/>
                <w:color w:val="auto"/>
              </w:rPr>
              <w:t>厂区实施分区防渗：</w:t>
            </w:r>
            <w:r>
              <w:rPr>
                <w:rFonts w:hint="eastAsia"/>
                <w:color w:val="auto"/>
                <w:lang w:eastAsia="zh-CN"/>
              </w:rPr>
              <w:t>原料暂存区、</w:t>
            </w:r>
            <w:r>
              <w:rPr>
                <w:rFonts w:hint="eastAsia"/>
                <w:color w:val="auto"/>
              </w:rPr>
              <w:t>危废间采取重点防渗</w:t>
            </w:r>
          </w:p>
        </w:tc>
      </w:tr>
      <w:tr w14:paraId="224E1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2" w:type="dxa"/>
            <w:noWrap w:val="0"/>
            <w:vAlign w:val="center"/>
          </w:tcPr>
          <w:p w14:paraId="5E144410">
            <w:pPr>
              <w:keepNext w:val="0"/>
              <w:keepLines w:val="0"/>
              <w:pageBreakBefore w:val="0"/>
              <w:widowControl w:val="0"/>
              <w:kinsoku/>
              <w:overflowPunct/>
              <w:bidi w:val="0"/>
              <w:adjustRightInd w:val="0"/>
              <w:snapToGrid w:val="0"/>
              <w:spacing w:beforeAutospacing="0" w:afterAutospacing="0"/>
              <w:ind w:left="0" w:leftChars="0"/>
              <w:jc w:val="center"/>
              <w:rPr>
                <w:color w:val="auto"/>
                <w:szCs w:val="21"/>
              </w:rPr>
            </w:pPr>
            <w:r>
              <w:rPr>
                <w:color w:val="auto"/>
                <w:szCs w:val="21"/>
              </w:rPr>
              <w:t>生态保护措施</w:t>
            </w:r>
          </w:p>
        </w:tc>
        <w:tc>
          <w:tcPr>
            <w:tcW w:w="7776" w:type="dxa"/>
            <w:gridSpan w:val="4"/>
            <w:noWrap w:val="0"/>
            <w:vAlign w:val="center"/>
          </w:tcPr>
          <w:p w14:paraId="69E15544">
            <w:pPr>
              <w:keepNext w:val="0"/>
              <w:keepLines w:val="0"/>
              <w:pageBreakBefore w:val="0"/>
              <w:widowControl w:val="0"/>
              <w:kinsoku/>
              <w:overflowPunct/>
              <w:bidi w:val="0"/>
              <w:adjustRightInd w:val="0"/>
              <w:snapToGrid w:val="0"/>
              <w:spacing w:beforeAutospacing="0" w:afterAutospacing="0"/>
              <w:ind w:left="0" w:leftChars="0"/>
              <w:jc w:val="both"/>
              <w:rPr>
                <w:rFonts w:hint="eastAsia"/>
                <w:color w:val="auto"/>
                <w:szCs w:val="21"/>
                <w:lang w:eastAsia="zh-CN"/>
              </w:rPr>
            </w:pPr>
            <w:r>
              <w:rPr>
                <w:rFonts w:hint="eastAsia"/>
                <w:color w:val="auto"/>
                <w:szCs w:val="21"/>
                <w:lang w:eastAsia="zh-CN"/>
              </w:rPr>
              <w:t>本工程输水管线敷设作业属于短期的临时性占地，而且管网施工过程中会对沿途部分植被、农田造成破坏、地面裸露，使场内开挖土因结构松散，易被雨水冲刷造成水土流失，势必将会影响土地利用，破坏自然和生态环境，影响城市的建设和整洁，开挖出的泥土主要用于回填，多余部分要及时运走，堆土应尽可能少占地。</w:t>
            </w:r>
          </w:p>
          <w:p w14:paraId="31F24671">
            <w:pPr>
              <w:keepNext w:val="0"/>
              <w:keepLines w:val="0"/>
              <w:pageBreakBefore w:val="0"/>
              <w:widowControl w:val="0"/>
              <w:kinsoku/>
              <w:overflowPunct/>
              <w:bidi w:val="0"/>
              <w:adjustRightInd w:val="0"/>
              <w:snapToGrid w:val="0"/>
              <w:spacing w:beforeAutospacing="0" w:afterAutospacing="0"/>
              <w:ind w:left="0" w:leftChars="0"/>
              <w:jc w:val="both"/>
              <w:rPr>
                <w:rFonts w:hint="eastAsia" w:eastAsia="宋体"/>
                <w:color w:val="auto"/>
                <w:szCs w:val="21"/>
                <w:lang w:eastAsia="zh-CN"/>
              </w:rPr>
            </w:pPr>
            <w:r>
              <w:rPr>
                <w:rFonts w:hint="eastAsia"/>
                <w:color w:val="auto"/>
                <w:szCs w:val="21"/>
                <w:lang w:eastAsia="zh-CN"/>
              </w:rPr>
              <w:t>综上分析，本项目在施工期间对建设区生态环境影响不大，而且通过采取相应的生态保护和恢复措施，使得项目建设区内的生态环境得到恢复。因此，本项目建设对生态环境影响是可接受的。</w:t>
            </w:r>
          </w:p>
        </w:tc>
      </w:tr>
      <w:tr w14:paraId="38B29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512" w:type="dxa"/>
            <w:noWrap w:val="0"/>
            <w:vAlign w:val="center"/>
          </w:tcPr>
          <w:p w14:paraId="30C7206D">
            <w:pPr>
              <w:keepNext w:val="0"/>
              <w:keepLines w:val="0"/>
              <w:pageBreakBefore w:val="0"/>
              <w:widowControl w:val="0"/>
              <w:kinsoku/>
              <w:overflowPunct/>
              <w:bidi w:val="0"/>
              <w:adjustRightInd w:val="0"/>
              <w:snapToGrid w:val="0"/>
              <w:spacing w:beforeAutospacing="0" w:afterAutospacing="0"/>
              <w:ind w:left="0" w:leftChars="0"/>
              <w:jc w:val="center"/>
              <w:rPr>
                <w:color w:val="auto"/>
                <w:spacing w:val="-8"/>
                <w:szCs w:val="21"/>
              </w:rPr>
            </w:pPr>
            <w:r>
              <w:rPr>
                <w:color w:val="auto"/>
                <w:spacing w:val="-8"/>
                <w:szCs w:val="21"/>
              </w:rPr>
              <w:t>环境风险</w:t>
            </w:r>
          </w:p>
          <w:p w14:paraId="065105FC">
            <w:pPr>
              <w:keepNext w:val="0"/>
              <w:keepLines w:val="0"/>
              <w:pageBreakBefore w:val="0"/>
              <w:widowControl w:val="0"/>
              <w:kinsoku/>
              <w:overflowPunct/>
              <w:bidi w:val="0"/>
              <w:adjustRightInd w:val="0"/>
              <w:snapToGrid w:val="0"/>
              <w:spacing w:beforeAutospacing="0" w:afterAutospacing="0"/>
              <w:ind w:left="0" w:leftChars="0"/>
              <w:jc w:val="center"/>
              <w:rPr>
                <w:color w:val="auto"/>
                <w:spacing w:val="-8"/>
                <w:szCs w:val="21"/>
              </w:rPr>
            </w:pPr>
            <w:r>
              <w:rPr>
                <w:color w:val="auto"/>
                <w:spacing w:val="-8"/>
                <w:szCs w:val="21"/>
              </w:rPr>
              <w:t>防范措施</w:t>
            </w:r>
          </w:p>
        </w:tc>
        <w:tc>
          <w:tcPr>
            <w:tcW w:w="7776" w:type="dxa"/>
            <w:gridSpan w:val="4"/>
            <w:noWrap w:val="0"/>
            <w:vAlign w:val="center"/>
          </w:tcPr>
          <w:p w14:paraId="759669A7">
            <w:pPr>
              <w:keepNext w:val="0"/>
              <w:keepLines w:val="0"/>
              <w:pageBreakBefore w:val="0"/>
              <w:widowControl w:val="0"/>
              <w:kinsoku/>
              <w:overflowPunct/>
              <w:bidi w:val="0"/>
              <w:adjustRightInd w:val="0"/>
              <w:snapToGrid w:val="0"/>
              <w:spacing w:beforeAutospacing="0" w:afterAutospacing="0"/>
              <w:ind w:left="0" w:leftChars="0"/>
              <w:jc w:val="both"/>
              <w:rPr>
                <w:color w:val="auto"/>
                <w:szCs w:val="21"/>
              </w:rPr>
            </w:pPr>
            <w:r>
              <w:rPr>
                <w:rFonts w:hint="eastAsia"/>
                <w:color w:val="auto"/>
                <w:szCs w:val="21"/>
              </w:rPr>
              <w:t>落实安全检查制度，定期检查，排除火灾隐患，加强厂区消防检查和管理，厂区按照消防要求设置灭火器材。加强对各岗位员工进行风险意识、风险知识、安全技能、规章制度、应变能力等素质各方面的培训和教育。企业要按照安全监督管理部门和消防部门要求，严格执行相关风险控制措施。企业需配备应急器材，在发生泄漏、火灾和爆炸等事故时控制泄漏物和消防废水进入下水道并完善突发环境事故应急措施。仓库区禁止吸烟，远离火源，禁止明火作业，并设置醒目的易燃品标志</w:t>
            </w:r>
            <w:r>
              <w:rPr>
                <w:color w:val="auto"/>
                <w:szCs w:val="21"/>
              </w:rPr>
              <w:t>。</w:t>
            </w:r>
          </w:p>
        </w:tc>
      </w:tr>
      <w:tr w14:paraId="34653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12" w:type="dxa"/>
            <w:noWrap w:val="0"/>
            <w:vAlign w:val="center"/>
          </w:tcPr>
          <w:p w14:paraId="32E956F7">
            <w:pPr>
              <w:keepNext w:val="0"/>
              <w:keepLines w:val="0"/>
              <w:pageBreakBefore w:val="0"/>
              <w:widowControl w:val="0"/>
              <w:kinsoku/>
              <w:overflowPunct/>
              <w:bidi w:val="0"/>
              <w:adjustRightInd w:val="0"/>
              <w:snapToGrid w:val="0"/>
              <w:spacing w:beforeAutospacing="0" w:afterAutospacing="0"/>
              <w:ind w:left="0" w:leftChars="0"/>
              <w:jc w:val="center"/>
              <w:rPr>
                <w:color w:val="auto"/>
                <w:spacing w:val="-8"/>
                <w:szCs w:val="21"/>
              </w:rPr>
            </w:pPr>
            <w:r>
              <w:rPr>
                <w:color w:val="auto"/>
                <w:spacing w:val="-8"/>
                <w:szCs w:val="21"/>
              </w:rPr>
              <w:t>其他环境</w:t>
            </w:r>
          </w:p>
          <w:p w14:paraId="72171AAE">
            <w:pPr>
              <w:keepNext w:val="0"/>
              <w:keepLines w:val="0"/>
              <w:pageBreakBefore w:val="0"/>
              <w:widowControl w:val="0"/>
              <w:kinsoku/>
              <w:overflowPunct/>
              <w:bidi w:val="0"/>
              <w:adjustRightInd w:val="0"/>
              <w:snapToGrid w:val="0"/>
              <w:spacing w:beforeAutospacing="0" w:afterAutospacing="0"/>
              <w:ind w:left="0" w:leftChars="0"/>
              <w:jc w:val="center"/>
              <w:rPr>
                <w:color w:val="auto"/>
                <w:spacing w:val="-8"/>
                <w:szCs w:val="21"/>
              </w:rPr>
            </w:pPr>
            <w:r>
              <w:rPr>
                <w:color w:val="auto"/>
                <w:spacing w:val="-8"/>
                <w:szCs w:val="21"/>
              </w:rPr>
              <w:t>管理要求</w:t>
            </w:r>
          </w:p>
        </w:tc>
        <w:tc>
          <w:tcPr>
            <w:tcW w:w="7776" w:type="dxa"/>
            <w:gridSpan w:val="4"/>
            <w:noWrap w:val="0"/>
            <w:vAlign w:val="center"/>
          </w:tcPr>
          <w:p w14:paraId="109CE554">
            <w:pPr>
              <w:keepNext w:val="0"/>
              <w:keepLines w:val="0"/>
              <w:pageBreakBefore w:val="0"/>
              <w:widowControl w:val="0"/>
              <w:kinsoku/>
              <w:overflowPunct/>
              <w:bidi w:val="0"/>
              <w:adjustRightInd w:val="0"/>
              <w:snapToGrid w:val="0"/>
              <w:spacing w:beforeAutospacing="0" w:afterAutospacing="0"/>
              <w:ind w:left="0" w:leftChars="0"/>
              <w:jc w:val="both"/>
              <w:rPr>
                <w:rFonts w:hint="eastAsia"/>
                <w:color w:val="auto"/>
                <w:szCs w:val="21"/>
              </w:rPr>
            </w:pPr>
            <w:r>
              <w:rPr>
                <w:rFonts w:hint="eastAsia"/>
                <w:color w:val="auto"/>
                <w:szCs w:val="21"/>
              </w:rPr>
              <w:t>项目建成运行后，应将环境管理纳入日常管理中，根据生态环境保护的有关规定和企业自身特点，设置日常环境管理机构，制定环境管理制度。</w:t>
            </w:r>
          </w:p>
          <w:p w14:paraId="3A03A27F">
            <w:pPr>
              <w:keepNext w:val="0"/>
              <w:keepLines w:val="0"/>
              <w:pageBreakBefore w:val="0"/>
              <w:widowControl w:val="0"/>
              <w:kinsoku/>
              <w:overflowPunct/>
              <w:bidi w:val="0"/>
              <w:adjustRightInd w:val="0"/>
              <w:snapToGrid w:val="0"/>
              <w:spacing w:beforeAutospacing="0" w:afterAutospacing="0"/>
              <w:ind w:left="0" w:leftChars="0"/>
              <w:jc w:val="both"/>
              <w:rPr>
                <w:rFonts w:hint="eastAsia"/>
                <w:color w:val="auto"/>
                <w:szCs w:val="21"/>
              </w:rPr>
            </w:pPr>
            <w:r>
              <w:rPr>
                <w:rFonts w:hint="eastAsia"/>
                <w:color w:val="auto"/>
                <w:szCs w:val="21"/>
              </w:rPr>
              <w:t>（1）加强环保设施运行日常管理，确保环保设施正常运行和稳定达标排放。</w:t>
            </w:r>
          </w:p>
          <w:p w14:paraId="3215E175">
            <w:pPr>
              <w:keepNext w:val="0"/>
              <w:keepLines w:val="0"/>
              <w:pageBreakBefore w:val="0"/>
              <w:widowControl w:val="0"/>
              <w:kinsoku/>
              <w:overflowPunct/>
              <w:bidi w:val="0"/>
              <w:adjustRightInd w:val="0"/>
              <w:snapToGrid w:val="0"/>
              <w:spacing w:beforeAutospacing="0" w:afterAutospacing="0"/>
              <w:ind w:left="0" w:leftChars="0"/>
              <w:jc w:val="both"/>
              <w:rPr>
                <w:rFonts w:hint="eastAsia"/>
                <w:color w:val="auto"/>
                <w:szCs w:val="21"/>
              </w:rPr>
            </w:pPr>
            <w:r>
              <w:rPr>
                <w:rFonts w:hint="eastAsia"/>
                <w:color w:val="auto"/>
                <w:szCs w:val="21"/>
              </w:rPr>
              <w:t>（2）建立完善的生产设施及环保设施运行、维护、维修等技术方案，对生产设备及环保设备实施定期检修。</w:t>
            </w:r>
          </w:p>
          <w:p w14:paraId="7B99BB0B">
            <w:pPr>
              <w:keepNext w:val="0"/>
              <w:keepLines w:val="0"/>
              <w:pageBreakBefore w:val="0"/>
              <w:widowControl w:val="0"/>
              <w:kinsoku/>
              <w:overflowPunct/>
              <w:bidi w:val="0"/>
              <w:adjustRightInd w:val="0"/>
              <w:snapToGrid w:val="0"/>
              <w:spacing w:beforeAutospacing="0" w:afterAutospacing="0"/>
              <w:ind w:left="0" w:leftChars="0"/>
              <w:jc w:val="both"/>
              <w:rPr>
                <w:rFonts w:hint="eastAsia"/>
                <w:color w:val="auto"/>
                <w:szCs w:val="21"/>
              </w:rPr>
            </w:pPr>
            <w:r>
              <w:rPr>
                <w:rFonts w:hint="eastAsia"/>
                <w:color w:val="auto"/>
                <w:szCs w:val="21"/>
              </w:rPr>
              <w:t>（3）加强环保人员的技术培训和考核，提高其环保意识和专业技术水平。</w:t>
            </w:r>
          </w:p>
          <w:p w14:paraId="3E1F5FB5">
            <w:pPr>
              <w:keepNext w:val="0"/>
              <w:keepLines w:val="0"/>
              <w:pageBreakBefore w:val="0"/>
              <w:widowControl w:val="0"/>
              <w:kinsoku/>
              <w:overflowPunct/>
              <w:bidi w:val="0"/>
              <w:adjustRightInd w:val="0"/>
              <w:snapToGrid w:val="0"/>
              <w:spacing w:beforeAutospacing="0" w:afterAutospacing="0"/>
              <w:ind w:left="0" w:leftChars="0"/>
              <w:jc w:val="both"/>
              <w:rPr>
                <w:color w:val="auto"/>
                <w:szCs w:val="21"/>
              </w:rPr>
            </w:pPr>
            <w:r>
              <w:rPr>
                <w:rFonts w:hint="eastAsia"/>
                <w:color w:val="auto"/>
                <w:szCs w:val="21"/>
              </w:rPr>
              <w:t>（4）建立环境管理台账</w:t>
            </w:r>
          </w:p>
        </w:tc>
      </w:tr>
    </w:tbl>
    <w:p w14:paraId="6356CB9D">
      <w:pPr>
        <w:pStyle w:val="11"/>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jc w:val="center"/>
        <w:textAlignment w:val="auto"/>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br w:type="page"/>
      </w:r>
      <w:r>
        <w:rPr>
          <w:rFonts w:hint="eastAsia" w:ascii="Times New Roman" w:hAnsi="Times New Roman" w:eastAsia="宋体" w:cs="Times New Roman"/>
          <w:b/>
          <w:bCs/>
          <w:snapToGrid w:val="0"/>
          <w:color w:val="auto"/>
          <w:sz w:val="32"/>
          <w:szCs w:val="32"/>
        </w:rPr>
        <w:t>六、结论</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5163B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0EEDACE5">
            <w:pPr>
              <w:pStyle w:val="87"/>
              <w:keepNext w:val="0"/>
              <w:keepLines w:val="0"/>
              <w:pageBreakBefore w:val="0"/>
              <w:widowControl w:val="0"/>
              <w:kinsoku/>
              <w:overflowPunct/>
              <w:bidi w:val="0"/>
              <w:spacing w:beforeAutospacing="0" w:afterAutospacing="0"/>
              <w:ind w:left="0" w:leftChars="0" w:firstLine="480"/>
              <w:jc w:val="both"/>
              <w:rPr>
                <w:color w:val="auto"/>
              </w:rPr>
            </w:pPr>
            <w:r>
              <w:rPr>
                <w:color w:val="auto"/>
              </w:rPr>
              <w:t>综上所述，本项目的建设符合国家的产业政策，项目建设符合相关要求，在落实本评价要求的污染防治措施，各项污染物均可实现稳定达标排放，且不会降低评价区域原有环境质量功能级别。因而从环境影响分析角度分析，该项目是可行的。</w:t>
            </w:r>
          </w:p>
          <w:p w14:paraId="0B89D1F9">
            <w:pPr>
              <w:keepNext w:val="0"/>
              <w:keepLines w:val="0"/>
              <w:pageBreakBefore w:val="0"/>
              <w:widowControl w:val="0"/>
              <w:kinsoku/>
              <w:overflowPunct/>
              <w:bidi w:val="0"/>
              <w:spacing w:beforeAutospacing="0" w:afterAutospacing="0" w:line="360" w:lineRule="auto"/>
              <w:ind w:left="0" w:leftChars="0"/>
              <w:rPr>
                <w:rFonts w:ascii="宋体" w:cs="宋体"/>
                <w:color w:val="auto"/>
                <w:sz w:val="24"/>
              </w:rPr>
            </w:pPr>
          </w:p>
        </w:tc>
      </w:tr>
    </w:tbl>
    <w:p w14:paraId="1B6398FC">
      <w:pPr>
        <w:keepNext w:val="0"/>
        <w:keepLines w:val="0"/>
        <w:pageBreakBefore w:val="0"/>
        <w:widowControl w:val="0"/>
        <w:kinsoku/>
        <w:overflowPunct/>
        <w:bidi w:val="0"/>
        <w:spacing w:beforeAutospacing="0" w:afterAutospacing="0"/>
        <w:ind w:left="0" w:leftChars="0"/>
        <w:rPr>
          <w:rFonts w:ascii="宋体"/>
          <w:color w:val="auto"/>
        </w:rPr>
        <w:sectPr>
          <w:pgSz w:w="11906" w:h="16838"/>
          <w:pgMar w:top="1417" w:right="1417" w:bottom="1417" w:left="1417" w:header="851" w:footer="851" w:gutter="0"/>
          <w:cols w:space="720" w:num="1"/>
          <w:docGrid w:linePitch="312" w:charSpace="0"/>
        </w:sectPr>
      </w:pPr>
    </w:p>
    <w:p w14:paraId="4A7FDC68">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textAlignment w:val="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7555CAF5">
      <w:pPr>
        <w:pStyle w:val="2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445"/>
        <w:gridCol w:w="1735"/>
        <w:gridCol w:w="1301"/>
        <w:gridCol w:w="1735"/>
        <w:gridCol w:w="1590"/>
        <w:gridCol w:w="1651"/>
        <w:gridCol w:w="1592"/>
        <w:gridCol w:w="1393"/>
      </w:tblGrid>
      <w:tr w14:paraId="7CBB6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tcBorders>
              <w:tl2br w:val="single" w:color="auto" w:sz="4" w:space="0"/>
            </w:tcBorders>
            <w:noWrap w:val="0"/>
            <w:tcMar>
              <w:left w:w="28" w:type="dxa"/>
              <w:right w:w="28" w:type="dxa"/>
            </w:tcMar>
            <w:vAlign w:val="center"/>
          </w:tcPr>
          <w:p w14:paraId="3C12A20E">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jc w:val="right"/>
              <w:textAlignment w:val="auto"/>
              <w:rPr>
                <w:rFonts w:ascii="Times New Roman"/>
                <w:snapToGrid w:val="0"/>
                <w:color w:val="auto"/>
                <w:spacing w:val="-6"/>
                <w:kern w:val="21"/>
                <w:szCs w:val="21"/>
              </w:rPr>
            </w:pPr>
            <w:r>
              <w:rPr>
                <w:rFonts w:ascii="Times New Roman"/>
                <w:snapToGrid w:val="0"/>
                <w:color w:val="auto"/>
                <w:spacing w:val="-6"/>
                <w:kern w:val="21"/>
                <w:szCs w:val="21"/>
              </w:rPr>
              <w:t>项目</w:t>
            </w:r>
          </w:p>
          <w:p w14:paraId="0A8C59B4">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jc w:val="left"/>
              <w:textAlignment w:val="auto"/>
              <w:rPr>
                <w:rFonts w:ascii="Times New Roman"/>
                <w:snapToGrid w:val="0"/>
                <w:color w:val="auto"/>
                <w:spacing w:val="-6"/>
                <w:kern w:val="21"/>
                <w:szCs w:val="21"/>
              </w:rPr>
            </w:pPr>
            <w:r>
              <w:rPr>
                <w:rFonts w:ascii="Times New Roman"/>
                <w:snapToGrid w:val="0"/>
                <w:color w:val="auto"/>
                <w:spacing w:val="-6"/>
                <w:kern w:val="21"/>
                <w:szCs w:val="21"/>
              </w:rPr>
              <w:t>分类</w:t>
            </w:r>
          </w:p>
        </w:tc>
        <w:tc>
          <w:tcPr>
            <w:tcW w:w="1445" w:type="dxa"/>
            <w:noWrap w:val="0"/>
            <w:tcMar>
              <w:left w:w="28" w:type="dxa"/>
              <w:right w:w="28" w:type="dxa"/>
            </w:tcMar>
            <w:vAlign w:val="center"/>
          </w:tcPr>
          <w:p w14:paraId="03BD3233">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735" w:type="dxa"/>
            <w:noWrap w:val="0"/>
            <w:tcMar>
              <w:left w:w="28" w:type="dxa"/>
              <w:right w:w="28" w:type="dxa"/>
            </w:tcMar>
            <w:vAlign w:val="center"/>
          </w:tcPr>
          <w:p w14:paraId="7E153710">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现有工程</w:t>
            </w:r>
          </w:p>
          <w:p w14:paraId="74589DD1">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kern w:val="2"/>
                <w:szCs w:val="21"/>
              </w:rPr>
              <w:t>①</w:t>
            </w:r>
            <w:r>
              <w:rPr>
                <w:rFonts w:ascii="Times New Roman"/>
                <w:snapToGrid w:val="0"/>
                <w:color w:val="auto"/>
                <w:spacing w:val="-6"/>
                <w:kern w:val="21"/>
                <w:szCs w:val="21"/>
              </w:rPr>
              <w:fldChar w:fldCharType="end"/>
            </w:r>
          </w:p>
        </w:tc>
        <w:tc>
          <w:tcPr>
            <w:tcW w:w="1301" w:type="dxa"/>
            <w:noWrap w:val="0"/>
            <w:tcMar>
              <w:left w:w="28" w:type="dxa"/>
              <w:right w:w="28" w:type="dxa"/>
            </w:tcMar>
            <w:vAlign w:val="center"/>
          </w:tcPr>
          <w:p w14:paraId="42CEB900">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现有工程</w:t>
            </w:r>
          </w:p>
          <w:p w14:paraId="3144A8F3">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许可排放量</w:t>
            </w:r>
          </w:p>
          <w:p w14:paraId="324BAF81">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snapToGrid w:val="0"/>
                <w:color w:val="auto"/>
                <w:spacing w:val="-6"/>
                <w:kern w:val="21"/>
                <w:szCs w:val="21"/>
              </w:rPr>
              <w:fldChar w:fldCharType="end"/>
            </w:r>
          </w:p>
        </w:tc>
        <w:tc>
          <w:tcPr>
            <w:tcW w:w="1735" w:type="dxa"/>
            <w:noWrap w:val="0"/>
            <w:tcMar>
              <w:left w:w="28" w:type="dxa"/>
              <w:right w:w="28" w:type="dxa"/>
            </w:tcMar>
            <w:vAlign w:val="center"/>
          </w:tcPr>
          <w:p w14:paraId="1E544CBF">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在建工程</w:t>
            </w:r>
          </w:p>
          <w:p w14:paraId="6D23000D">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kern w:val="2"/>
                <w:szCs w:val="21"/>
              </w:rPr>
              <w:t>③</w:t>
            </w:r>
            <w:r>
              <w:rPr>
                <w:rFonts w:ascii="Times New Roman"/>
                <w:snapToGrid w:val="0"/>
                <w:color w:val="auto"/>
                <w:spacing w:val="-6"/>
                <w:kern w:val="21"/>
                <w:szCs w:val="21"/>
              </w:rPr>
              <w:fldChar w:fldCharType="end"/>
            </w:r>
          </w:p>
        </w:tc>
        <w:tc>
          <w:tcPr>
            <w:tcW w:w="1590" w:type="dxa"/>
            <w:noWrap w:val="0"/>
            <w:tcMar>
              <w:left w:w="28" w:type="dxa"/>
              <w:right w:w="28" w:type="dxa"/>
            </w:tcMar>
            <w:vAlign w:val="center"/>
          </w:tcPr>
          <w:p w14:paraId="296B3132">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本项目</w:t>
            </w:r>
          </w:p>
          <w:p w14:paraId="545F2B4E">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kern w:val="2"/>
                <w:szCs w:val="21"/>
              </w:rPr>
              <w:t>④</w:t>
            </w:r>
            <w:r>
              <w:rPr>
                <w:rFonts w:ascii="Times New Roman"/>
                <w:snapToGrid w:val="0"/>
                <w:color w:val="auto"/>
                <w:spacing w:val="-6"/>
                <w:kern w:val="21"/>
                <w:szCs w:val="21"/>
              </w:rPr>
              <w:fldChar w:fldCharType="end"/>
            </w:r>
          </w:p>
        </w:tc>
        <w:tc>
          <w:tcPr>
            <w:tcW w:w="1651" w:type="dxa"/>
            <w:noWrap w:val="0"/>
            <w:tcMar>
              <w:left w:w="28" w:type="dxa"/>
              <w:right w:w="28" w:type="dxa"/>
            </w:tcMar>
            <w:vAlign w:val="center"/>
          </w:tcPr>
          <w:p w14:paraId="2346EC20">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14:paraId="35FFBA15">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kern w:val="2"/>
                <w:szCs w:val="21"/>
              </w:rPr>
              <w:t>⑤</w:t>
            </w:r>
            <w:r>
              <w:rPr>
                <w:rFonts w:ascii="Times New Roman"/>
                <w:snapToGrid w:val="0"/>
                <w:color w:val="auto"/>
                <w:spacing w:val="-16"/>
                <w:kern w:val="21"/>
                <w:szCs w:val="21"/>
              </w:rPr>
              <w:fldChar w:fldCharType="end"/>
            </w:r>
          </w:p>
        </w:tc>
        <w:tc>
          <w:tcPr>
            <w:tcW w:w="1592" w:type="dxa"/>
            <w:noWrap w:val="0"/>
            <w:tcMar>
              <w:left w:w="28" w:type="dxa"/>
              <w:right w:w="28" w:type="dxa"/>
            </w:tcMar>
            <w:vAlign w:val="center"/>
          </w:tcPr>
          <w:p w14:paraId="29334AED">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16"/>
                <w:kern w:val="21"/>
                <w:szCs w:val="21"/>
              </w:rPr>
            </w:pPr>
            <w:r>
              <w:rPr>
                <w:rFonts w:ascii="Times New Roman"/>
                <w:snapToGrid w:val="0"/>
                <w:color w:val="auto"/>
                <w:spacing w:val="-16"/>
                <w:kern w:val="21"/>
                <w:szCs w:val="21"/>
              </w:rPr>
              <w:t>本项目建成后</w:t>
            </w:r>
          </w:p>
          <w:p w14:paraId="0ADB7810">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kern w:val="2"/>
                <w:szCs w:val="21"/>
              </w:rPr>
              <w:t>⑥</w:t>
            </w:r>
            <w:r>
              <w:rPr>
                <w:rFonts w:ascii="Times New Roman"/>
                <w:snapToGrid w:val="0"/>
                <w:color w:val="auto"/>
                <w:spacing w:val="-16"/>
                <w:kern w:val="21"/>
                <w:szCs w:val="21"/>
              </w:rPr>
              <w:fldChar w:fldCharType="end"/>
            </w:r>
          </w:p>
        </w:tc>
        <w:tc>
          <w:tcPr>
            <w:tcW w:w="1393" w:type="dxa"/>
            <w:noWrap w:val="0"/>
            <w:tcMar>
              <w:left w:w="28" w:type="dxa"/>
              <w:right w:w="28" w:type="dxa"/>
            </w:tcMar>
            <w:vAlign w:val="center"/>
          </w:tcPr>
          <w:p w14:paraId="323DFE11">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变化量</w:t>
            </w:r>
          </w:p>
          <w:p w14:paraId="73435729">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kern w:val="2"/>
                <w:szCs w:val="21"/>
              </w:rPr>
              <w:t>⑦</w:t>
            </w:r>
            <w:r>
              <w:rPr>
                <w:rFonts w:ascii="Times New Roman"/>
                <w:snapToGrid w:val="0"/>
                <w:color w:val="auto"/>
                <w:spacing w:val="-6"/>
                <w:kern w:val="21"/>
                <w:szCs w:val="21"/>
              </w:rPr>
              <w:fldChar w:fldCharType="end"/>
            </w:r>
          </w:p>
        </w:tc>
      </w:tr>
      <w:tr w14:paraId="0B7CE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noWrap w:val="0"/>
            <w:vAlign w:val="center"/>
          </w:tcPr>
          <w:p w14:paraId="7AFCE2E2">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r>
              <w:rPr>
                <w:rFonts w:ascii="Times New Roman"/>
                <w:snapToGrid w:val="0"/>
                <w:color w:val="auto"/>
                <w:kern w:val="21"/>
                <w:szCs w:val="21"/>
              </w:rPr>
              <w:t>废气</w:t>
            </w:r>
          </w:p>
        </w:tc>
        <w:tc>
          <w:tcPr>
            <w:tcW w:w="1445" w:type="dxa"/>
            <w:noWrap w:val="0"/>
            <w:vAlign w:val="center"/>
          </w:tcPr>
          <w:p w14:paraId="061C6932">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 w:val="21"/>
                <w:szCs w:val="21"/>
              </w:rPr>
            </w:pPr>
            <w:r>
              <w:rPr>
                <w:snapToGrid w:val="0"/>
                <w:color w:val="auto"/>
                <w:kern w:val="21"/>
                <w:szCs w:val="21"/>
              </w:rPr>
              <w:t>/</w:t>
            </w:r>
          </w:p>
        </w:tc>
        <w:tc>
          <w:tcPr>
            <w:tcW w:w="1735" w:type="dxa"/>
            <w:noWrap w:val="0"/>
            <w:vAlign w:val="center"/>
          </w:tcPr>
          <w:p w14:paraId="49980C82">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default" w:ascii="Times New Roman" w:eastAsia="宋体"/>
                <w:snapToGrid w:val="0"/>
                <w:color w:val="auto"/>
                <w:kern w:val="21"/>
                <w:szCs w:val="21"/>
                <w:lang w:val="en-US" w:eastAsia="zh-CN"/>
              </w:rPr>
            </w:pPr>
            <w:r>
              <w:rPr>
                <w:snapToGrid w:val="0"/>
                <w:color w:val="auto"/>
                <w:kern w:val="21"/>
                <w:szCs w:val="21"/>
              </w:rPr>
              <w:t>/</w:t>
            </w:r>
          </w:p>
        </w:tc>
        <w:tc>
          <w:tcPr>
            <w:tcW w:w="1301" w:type="dxa"/>
            <w:noWrap w:val="0"/>
            <w:vAlign w:val="center"/>
          </w:tcPr>
          <w:p w14:paraId="0FC9C061">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735" w:type="dxa"/>
            <w:noWrap w:val="0"/>
            <w:vAlign w:val="center"/>
          </w:tcPr>
          <w:p w14:paraId="02268807">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590" w:type="dxa"/>
            <w:noWrap w:val="0"/>
            <w:vAlign w:val="center"/>
          </w:tcPr>
          <w:p w14:paraId="6C5D7B2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sz w:val="21"/>
                <w:szCs w:val="21"/>
                <w:highlight w:val="none"/>
                <w:lang w:val="en-US" w:eastAsia="zh-CN"/>
              </w:rPr>
            </w:pPr>
            <w:r>
              <w:rPr>
                <w:snapToGrid w:val="0"/>
                <w:color w:val="auto"/>
                <w:kern w:val="21"/>
                <w:szCs w:val="21"/>
              </w:rPr>
              <w:t>/</w:t>
            </w:r>
          </w:p>
        </w:tc>
        <w:tc>
          <w:tcPr>
            <w:tcW w:w="1651" w:type="dxa"/>
            <w:noWrap w:val="0"/>
            <w:vAlign w:val="center"/>
          </w:tcPr>
          <w:p w14:paraId="4A5E98F5">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sz w:val="21"/>
                <w:szCs w:val="21"/>
                <w:highlight w:val="none"/>
                <w:lang w:val="en-US" w:eastAsia="zh-CN"/>
              </w:rPr>
            </w:pPr>
            <w:r>
              <w:rPr>
                <w:snapToGrid w:val="0"/>
                <w:color w:val="auto"/>
                <w:kern w:val="21"/>
                <w:szCs w:val="21"/>
              </w:rPr>
              <w:t>/</w:t>
            </w:r>
          </w:p>
        </w:tc>
        <w:tc>
          <w:tcPr>
            <w:tcW w:w="1592" w:type="dxa"/>
            <w:noWrap w:val="0"/>
            <w:vAlign w:val="center"/>
          </w:tcPr>
          <w:p w14:paraId="3EF4A9E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sz w:val="21"/>
                <w:szCs w:val="21"/>
                <w:highlight w:val="none"/>
                <w:lang w:val="en-US" w:eastAsia="zh-CN"/>
              </w:rPr>
            </w:pPr>
            <w:r>
              <w:rPr>
                <w:snapToGrid w:val="0"/>
                <w:color w:val="auto"/>
                <w:kern w:val="21"/>
                <w:szCs w:val="21"/>
              </w:rPr>
              <w:t>/</w:t>
            </w:r>
          </w:p>
        </w:tc>
        <w:tc>
          <w:tcPr>
            <w:tcW w:w="1393" w:type="dxa"/>
            <w:noWrap w:val="0"/>
            <w:vAlign w:val="center"/>
          </w:tcPr>
          <w:p w14:paraId="473FA01A">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sz w:val="21"/>
                <w:szCs w:val="21"/>
                <w:highlight w:val="none"/>
                <w:lang w:val="en-US" w:eastAsia="zh-CN"/>
              </w:rPr>
            </w:pPr>
            <w:r>
              <w:rPr>
                <w:snapToGrid w:val="0"/>
                <w:color w:val="auto"/>
                <w:kern w:val="21"/>
                <w:szCs w:val="21"/>
              </w:rPr>
              <w:t>/</w:t>
            </w:r>
          </w:p>
        </w:tc>
      </w:tr>
      <w:tr w14:paraId="2ADBF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restart"/>
            <w:noWrap w:val="0"/>
            <w:vAlign w:val="center"/>
          </w:tcPr>
          <w:p w14:paraId="0B2C8C83">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r>
              <w:rPr>
                <w:rFonts w:ascii="Times New Roman"/>
                <w:snapToGrid w:val="0"/>
                <w:color w:val="auto"/>
                <w:kern w:val="21"/>
                <w:szCs w:val="21"/>
              </w:rPr>
              <w:t>废水</w:t>
            </w:r>
          </w:p>
        </w:tc>
        <w:tc>
          <w:tcPr>
            <w:tcW w:w="1445" w:type="dxa"/>
            <w:noWrap w:val="0"/>
            <w:vAlign w:val="center"/>
          </w:tcPr>
          <w:p w14:paraId="5F3B2832">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color w:val="auto"/>
                <w:szCs w:val="21"/>
              </w:rPr>
              <w:t>COD</w:t>
            </w:r>
          </w:p>
        </w:tc>
        <w:tc>
          <w:tcPr>
            <w:tcW w:w="1735" w:type="dxa"/>
            <w:noWrap w:val="0"/>
            <w:vAlign w:val="center"/>
          </w:tcPr>
          <w:p w14:paraId="00F7DDF7">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default" w:eastAsia="宋体"/>
                <w:snapToGrid w:val="0"/>
                <w:color w:val="auto"/>
                <w:kern w:val="21"/>
                <w:szCs w:val="21"/>
                <w:lang w:val="en-US" w:eastAsia="zh-CN"/>
              </w:rPr>
            </w:pPr>
            <w:r>
              <w:rPr>
                <w:rFonts w:hint="eastAsia"/>
                <w:snapToGrid w:val="0"/>
                <w:color w:val="auto"/>
                <w:kern w:val="21"/>
                <w:szCs w:val="21"/>
                <w:lang w:val="en-US" w:eastAsia="zh-CN"/>
              </w:rPr>
              <w:t>2.717t/a</w:t>
            </w:r>
          </w:p>
        </w:tc>
        <w:tc>
          <w:tcPr>
            <w:tcW w:w="1301" w:type="dxa"/>
            <w:noWrap w:val="0"/>
            <w:vAlign w:val="center"/>
          </w:tcPr>
          <w:p w14:paraId="71DF3763">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735" w:type="dxa"/>
            <w:noWrap w:val="0"/>
            <w:vAlign w:val="center"/>
          </w:tcPr>
          <w:p w14:paraId="01BA2CD3">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590" w:type="dxa"/>
            <w:noWrap w:val="0"/>
            <w:vAlign w:val="center"/>
          </w:tcPr>
          <w:p w14:paraId="1B507812">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651" w:type="dxa"/>
            <w:noWrap w:val="0"/>
            <w:vAlign w:val="center"/>
          </w:tcPr>
          <w:p w14:paraId="581C6D24">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ascii="Times New Roman"/>
                <w:snapToGrid w:val="0"/>
                <w:color w:val="auto"/>
                <w:kern w:val="21"/>
                <w:szCs w:val="21"/>
              </w:rPr>
            </w:pPr>
            <w:r>
              <w:rPr>
                <w:snapToGrid w:val="0"/>
                <w:color w:val="auto"/>
                <w:kern w:val="21"/>
                <w:szCs w:val="21"/>
              </w:rPr>
              <w:t>/</w:t>
            </w:r>
          </w:p>
        </w:tc>
        <w:tc>
          <w:tcPr>
            <w:tcW w:w="1592" w:type="dxa"/>
            <w:noWrap w:val="0"/>
            <w:vAlign w:val="center"/>
          </w:tcPr>
          <w:p w14:paraId="25BE6E99">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rFonts w:hint="eastAsia"/>
                <w:snapToGrid w:val="0"/>
                <w:color w:val="auto"/>
                <w:kern w:val="21"/>
                <w:szCs w:val="21"/>
                <w:lang w:val="en-US" w:eastAsia="zh-CN"/>
              </w:rPr>
              <w:t>2.717t/a</w:t>
            </w:r>
          </w:p>
        </w:tc>
        <w:tc>
          <w:tcPr>
            <w:tcW w:w="1393" w:type="dxa"/>
            <w:noWrap w:val="0"/>
            <w:vAlign w:val="center"/>
          </w:tcPr>
          <w:p w14:paraId="6DBA941A">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snapToGrid w:val="0"/>
                <w:color w:val="auto"/>
                <w:kern w:val="21"/>
                <w:szCs w:val="21"/>
              </w:rPr>
            </w:pPr>
            <w:r>
              <w:rPr>
                <w:rFonts w:hint="eastAsia" w:ascii="Times New Roman"/>
                <w:snapToGrid w:val="0"/>
                <w:color w:val="auto"/>
                <w:kern w:val="21"/>
                <w:szCs w:val="21"/>
              </w:rPr>
              <w:t>0</w:t>
            </w:r>
          </w:p>
        </w:tc>
      </w:tr>
      <w:tr w14:paraId="63404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continue"/>
            <w:noWrap w:val="0"/>
            <w:vAlign w:val="center"/>
          </w:tcPr>
          <w:p w14:paraId="39AC10B5">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p>
        </w:tc>
        <w:tc>
          <w:tcPr>
            <w:tcW w:w="1445" w:type="dxa"/>
            <w:noWrap w:val="0"/>
            <w:vAlign w:val="center"/>
          </w:tcPr>
          <w:p w14:paraId="60010F82">
            <w:pPr>
              <w:pStyle w:val="87"/>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 w:val="21"/>
                <w:szCs w:val="21"/>
              </w:rPr>
            </w:pPr>
            <w:r>
              <w:rPr>
                <w:color w:val="auto"/>
                <w:sz w:val="21"/>
                <w:szCs w:val="21"/>
              </w:rPr>
              <w:t>NH</w:t>
            </w:r>
            <w:r>
              <w:rPr>
                <w:color w:val="auto"/>
                <w:sz w:val="21"/>
                <w:szCs w:val="21"/>
                <w:vertAlign w:val="subscript"/>
              </w:rPr>
              <w:t>3</w:t>
            </w:r>
            <w:r>
              <w:rPr>
                <w:color w:val="auto"/>
                <w:sz w:val="21"/>
                <w:szCs w:val="21"/>
              </w:rPr>
              <w:t>-N</w:t>
            </w:r>
          </w:p>
        </w:tc>
        <w:tc>
          <w:tcPr>
            <w:tcW w:w="1735" w:type="dxa"/>
            <w:noWrap w:val="0"/>
            <w:vAlign w:val="center"/>
          </w:tcPr>
          <w:p w14:paraId="4DEBB8D6">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default" w:eastAsia="宋体"/>
                <w:snapToGrid w:val="0"/>
                <w:color w:val="auto"/>
                <w:kern w:val="21"/>
                <w:szCs w:val="21"/>
                <w:lang w:val="en-US" w:eastAsia="zh-CN"/>
              </w:rPr>
            </w:pPr>
            <w:r>
              <w:rPr>
                <w:rFonts w:hint="eastAsia"/>
                <w:snapToGrid w:val="0"/>
                <w:color w:val="auto"/>
                <w:kern w:val="21"/>
                <w:szCs w:val="21"/>
                <w:lang w:val="en-US" w:eastAsia="zh-CN"/>
              </w:rPr>
              <w:t>0.019t/a</w:t>
            </w:r>
          </w:p>
        </w:tc>
        <w:tc>
          <w:tcPr>
            <w:tcW w:w="1301" w:type="dxa"/>
            <w:noWrap w:val="0"/>
            <w:vAlign w:val="center"/>
          </w:tcPr>
          <w:p w14:paraId="63998F9E">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snapToGrid w:val="0"/>
                <w:color w:val="auto"/>
                <w:kern w:val="21"/>
                <w:szCs w:val="21"/>
              </w:rPr>
            </w:pPr>
            <w:r>
              <w:rPr>
                <w:snapToGrid w:val="0"/>
                <w:color w:val="auto"/>
                <w:kern w:val="21"/>
                <w:szCs w:val="21"/>
              </w:rPr>
              <w:t>/</w:t>
            </w:r>
          </w:p>
        </w:tc>
        <w:tc>
          <w:tcPr>
            <w:tcW w:w="1735" w:type="dxa"/>
            <w:noWrap w:val="0"/>
            <w:vAlign w:val="center"/>
          </w:tcPr>
          <w:p w14:paraId="5AA7B72E">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590" w:type="dxa"/>
            <w:noWrap w:val="0"/>
            <w:vAlign w:val="center"/>
          </w:tcPr>
          <w:p w14:paraId="214B1039">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651" w:type="dxa"/>
            <w:noWrap w:val="0"/>
            <w:vAlign w:val="center"/>
          </w:tcPr>
          <w:p w14:paraId="029DEDB6">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ascii="Times New Roman"/>
                <w:snapToGrid w:val="0"/>
                <w:color w:val="auto"/>
                <w:kern w:val="21"/>
                <w:szCs w:val="21"/>
              </w:rPr>
            </w:pPr>
            <w:r>
              <w:rPr>
                <w:snapToGrid w:val="0"/>
                <w:color w:val="auto"/>
                <w:kern w:val="21"/>
                <w:szCs w:val="21"/>
              </w:rPr>
              <w:t>/</w:t>
            </w:r>
          </w:p>
        </w:tc>
        <w:tc>
          <w:tcPr>
            <w:tcW w:w="1592" w:type="dxa"/>
            <w:noWrap w:val="0"/>
            <w:vAlign w:val="center"/>
          </w:tcPr>
          <w:p w14:paraId="16C639BB">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rFonts w:hint="eastAsia"/>
                <w:snapToGrid w:val="0"/>
                <w:color w:val="auto"/>
                <w:kern w:val="21"/>
                <w:szCs w:val="21"/>
                <w:lang w:val="en-US" w:eastAsia="zh-CN"/>
              </w:rPr>
              <w:t>0.019t/a</w:t>
            </w:r>
          </w:p>
        </w:tc>
        <w:tc>
          <w:tcPr>
            <w:tcW w:w="1393" w:type="dxa"/>
            <w:noWrap w:val="0"/>
            <w:vAlign w:val="center"/>
          </w:tcPr>
          <w:p w14:paraId="05870D92">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snapToGrid w:val="0"/>
                <w:color w:val="auto"/>
                <w:kern w:val="21"/>
                <w:szCs w:val="21"/>
              </w:rPr>
            </w:pPr>
            <w:r>
              <w:rPr>
                <w:rFonts w:hint="eastAsia" w:ascii="Times New Roman"/>
                <w:snapToGrid w:val="0"/>
                <w:color w:val="auto"/>
                <w:kern w:val="21"/>
                <w:szCs w:val="21"/>
              </w:rPr>
              <w:t>0</w:t>
            </w:r>
          </w:p>
        </w:tc>
      </w:tr>
      <w:tr w14:paraId="5F978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restart"/>
            <w:noWrap w:val="0"/>
            <w:vAlign w:val="center"/>
          </w:tcPr>
          <w:p w14:paraId="4F72C759">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r>
              <w:rPr>
                <w:rFonts w:ascii="Times New Roman"/>
                <w:snapToGrid w:val="0"/>
                <w:color w:val="auto"/>
                <w:kern w:val="21"/>
                <w:szCs w:val="21"/>
              </w:rPr>
              <w:t>一般工业</w:t>
            </w:r>
          </w:p>
          <w:p w14:paraId="09DC3D22">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r>
              <w:rPr>
                <w:rFonts w:ascii="Times New Roman"/>
                <w:snapToGrid w:val="0"/>
                <w:color w:val="auto"/>
                <w:kern w:val="21"/>
                <w:szCs w:val="21"/>
              </w:rPr>
              <w:t>固体废物</w:t>
            </w:r>
          </w:p>
        </w:tc>
        <w:tc>
          <w:tcPr>
            <w:tcW w:w="1445" w:type="dxa"/>
            <w:noWrap w:val="0"/>
            <w:vAlign w:val="center"/>
          </w:tcPr>
          <w:p w14:paraId="2B41F7C8">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w:t>
            </w:r>
            <w:r>
              <w:rPr>
                <w:rFonts w:hint="eastAsia" w:ascii="Times New Roman" w:hAnsi="Times New Roman" w:cs="Times New Roman"/>
                <w:color w:val="auto"/>
                <w:kern w:val="2"/>
                <w:sz w:val="21"/>
                <w:szCs w:val="21"/>
                <w:highlight w:val="none"/>
                <w:lang w:val="en-US" w:eastAsia="zh-CN" w:bidi="ar-SA"/>
              </w:rPr>
              <w:t>材料</w:t>
            </w:r>
          </w:p>
        </w:tc>
        <w:tc>
          <w:tcPr>
            <w:tcW w:w="1735" w:type="dxa"/>
            <w:noWrap w:val="0"/>
            <w:vAlign w:val="center"/>
          </w:tcPr>
          <w:p w14:paraId="4D052698">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default" w:eastAsia="宋体"/>
                <w:snapToGrid w:val="0"/>
                <w:color w:val="auto"/>
                <w:kern w:val="21"/>
                <w:sz w:val="21"/>
                <w:szCs w:val="21"/>
                <w:lang w:val="en-US" w:eastAsia="zh-CN"/>
              </w:rPr>
            </w:pPr>
            <w:r>
              <w:rPr>
                <w:rFonts w:hint="eastAsia"/>
                <w:snapToGrid w:val="0"/>
                <w:color w:val="auto"/>
                <w:kern w:val="21"/>
                <w:szCs w:val="21"/>
                <w:lang w:val="en-US" w:eastAsia="zh-CN"/>
              </w:rPr>
              <w:t>0.2t/a</w:t>
            </w:r>
          </w:p>
        </w:tc>
        <w:tc>
          <w:tcPr>
            <w:tcW w:w="1301" w:type="dxa"/>
            <w:noWrap w:val="0"/>
            <w:vAlign w:val="center"/>
          </w:tcPr>
          <w:p w14:paraId="19357EAE">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735" w:type="dxa"/>
            <w:noWrap w:val="0"/>
            <w:vAlign w:val="center"/>
          </w:tcPr>
          <w:p w14:paraId="163B8B54">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590" w:type="dxa"/>
            <w:noWrap w:val="0"/>
            <w:vAlign w:val="center"/>
          </w:tcPr>
          <w:p w14:paraId="34CABACA">
            <w:pPr>
              <w:pStyle w:val="86"/>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textAlignment w:val="auto"/>
              <w:rPr>
                <w:rFonts w:hint="default" w:eastAsia="宋体"/>
                <w:snapToGrid w:val="0"/>
                <w:color w:val="auto"/>
                <w:kern w:val="21"/>
                <w:szCs w:val="21"/>
                <w:lang w:val="en-US" w:eastAsia="zh-CN"/>
              </w:rPr>
            </w:pPr>
            <w:r>
              <w:rPr>
                <w:rFonts w:hint="eastAsia"/>
                <w:color w:val="auto"/>
                <w:szCs w:val="21"/>
                <w:lang w:val="en-US" w:eastAsia="zh-CN"/>
              </w:rPr>
              <w:t>0.3</w:t>
            </w:r>
            <w:r>
              <w:rPr>
                <w:rFonts w:hint="eastAsia" w:cs="Times New Roman"/>
                <w:color w:val="auto"/>
                <w:kern w:val="0"/>
                <w:sz w:val="21"/>
                <w:szCs w:val="21"/>
                <w:highlight w:val="none"/>
                <w:lang w:val="en-US" w:eastAsia="zh-CN"/>
              </w:rPr>
              <w:t>t/a</w:t>
            </w:r>
          </w:p>
        </w:tc>
        <w:tc>
          <w:tcPr>
            <w:tcW w:w="1651" w:type="dxa"/>
            <w:noWrap w:val="0"/>
            <w:vAlign w:val="center"/>
          </w:tcPr>
          <w:p w14:paraId="3FED425F">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ascii="Times New Roman"/>
                <w:snapToGrid w:val="0"/>
                <w:color w:val="auto"/>
                <w:kern w:val="21"/>
                <w:szCs w:val="21"/>
              </w:rPr>
            </w:pPr>
            <w:r>
              <w:rPr>
                <w:snapToGrid w:val="0"/>
                <w:color w:val="auto"/>
                <w:kern w:val="21"/>
                <w:szCs w:val="21"/>
              </w:rPr>
              <w:t>/</w:t>
            </w:r>
          </w:p>
        </w:tc>
        <w:tc>
          <w:tcPr>
            <w:tcW w:w="1592" w:type="dxa"/>
            <w:noWrap w:val="0"/>
            <w:vAlign w:val="center"/>
          </w:tcPr>
          <w:p w14:paraId="4F482D6B">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lang w:val="en-US" w:eastAsia="zh-CN"/>
              </w:rPr>
              <w:t>t/a</w:t>
            </w:r>
          </w:p>
        </w:tc>
        <w:tc>
          <w:tcPr>
            <w:tcW w:w="1393" w:type="dxa"/>
            <w:noWrap w:val="0"/>
            <w:vAlign w:val="center"/>
          </w:tcPr>
          <w:p w14:paraId="287C2E88">
            <w:pPr>
              <w:pStyle w:val="86"/>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textAlignment w:val="auto"/>
              <w:rPr>
                <w:snapToGrid w:val="0"/>
                <w:color w:val="auto"/>
                <w:kern w:val="21"/>
                <w:szCs w:val="21"/>
              </w:rPr>
            </w:pPr>
            <w:r>
              <w:rPr>
                <w:rFonts w:hint="eastAsia"/>
                <w:color w:val="auto"/>
                <w:szCs w:val="21"/>
                <w:lang w:val="en-US" w:eastAsia="zh-CN"/>
              </w:rPr>
              <w:t>+0.3</w:t>
            </w:r>
            <w:r>
              <w:rPr>
                <w:rFonts w:hint="eastAsia" w:cs="Times New Roman"/>
                <w:color w:val="auto"/>
                <w:kern w:val="0"/>
                <w:sz w:val="21"/>
                <w:szCs w:val="21"/>
                <w:highlight w:val="none"/>
                <w:lang w:val="en-US" w:eastAsia="zh-CN"/>
              </w:rPr>
              <w:t>t/a</w:t>
            </w:r>
          </w:p>
        </w:tc>
      </w:tr>
      <w:tr w14:paraId="2A13DC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continue"/>
            <w:noWrap w:val="0"/>
            <w:vAlign w:val="center"/>
          </w:tcPr>
          <w:p w14:paraId="5B2470A9">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p>
        </w:tc>
        <w:tc>
          <w:tcPr>
            <w:tcW w:w="1445" w:type="dxa"/>
            <w:noWrap w:val="0"/>
            <w:vAlign w:val="center"/>
          </w:tcPr>
          <w:p w14:paraId="37C3CA40">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污泥</w:t>
            </w:r>
          </w:p>
        </w:tc>
        <w:tc>
          <w:tcPr>
            <w:tcW w:w="1735" w:type="dxa"/>
            <w:noWrap w:val="0"/>
            <w:vAlign w:val="center"/>
          </w:tcPr>
          <w:p w14:paraId="35302457">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default"/>
                <w:snapToGrid w:val="0"/>
                <w:color w:val="auto"/>
                <w:kern w:val="21"/>
                <w:szCs w:val="21"/>
                <w:lang w:val="en-US" w:eastAsia="zh-CN"/>
              </w:rPr>
            </w:pPr>
            <w:r>
              <w:rPr>
                <w:rFonts w:hint="eastAsia"/>
                <w:snapToGrid w:val="0"/>
                <w:color w:val="auto"/>
                <w:kern w:val="21"/>
                <w:szCs w:val="21"/>
                <w:lang w:val="en-US" w:eastAsia="zh-CN"/>
              </w:rPr>
              <w:t>0</w:t>
            </w:r>
          </w:p>
        </w:tc>
        <w:tc>
          <w:tcPr>
            <w:tcW w:w="1301" w:type="dxa"/>
            <w:noWrap w:val="0"/>
            <w:vAlign w:val="center"/>
          </w:tcPr>
          <w:p w14:paraId="7A2D4241">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735" w:type="dxa"/>
            <w:noWrap w:val="0"/>
            <w:vAlign w:val="center"/>
          </w:tcPr>
          <w:p w14:paraId="3EEAA588">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590" w:type="dxa"/>
            <w:noWrap w:val="0"/>
            <w:vAlign w:val="center"/>
          </w:tcPr>
          <w:p w14:paraId="36EA2151">
            <w:pPr>
              <w:pStyle w:val="86"/>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textAlignment w:val="auto"/>
              <w:rPr>
                <w:rFonts w:hint="eastAsia"/>
                <w:color w:val="auto"/>
                <w:szCs w:val="21"/>
                <w:lang w:val="en-US" w:eastAsia="zh-CN"/>
              </w:rPr>
            </w:pPr>
            <w:r>
              <w:rPr>
                <w:rFonts w:hint="eastAsia" w:cs="Times New Roman"/>
                <w:color w:val="auto"/>
                <w:kern w:val="0"/>
                <w:sz w:val="21"/>
                <w:szCs w:val="21"/>
                <w:highlight w:val="none"/>
                <w:lang w:val="en-US" w:eastAsia="zh-CN"/>
              </w:rPr>
              <w:t>5201.25t/a</w:t>
            </w:r>
          </w:p>
        </w:tc>
        <w:tc>
          <w:tcPr>
            <w:tcW w:w="1651" w:type="dxa"/>
            <w:noWrap w:val="0"/>
            <w:vAlign w:val="center"/>
          </w:tcPr>
          <w:p w14:paraId="194EFE51">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ascii="Times New Roman"/>
                <w:snapToGrid w:val="0"/>
                <w:color w:val="auto"/>
                <w:kern w:val="21"/>
                <w:szCs w:val="21"/>
              </w:rPr>
            </w:pPr>
            <w:r>
              <w:rPr>
                <w:snapToGrid w:val="0"/>
                <w:color w:val="auto"/>
                <w:kern w:val="21"/>
                <w:szCs w:val="21"/>
              </w:rPr>
              <w:t>/</w:t>
            </w:r>
          </w:p>
        </w:tc>
        <w:tc>
          <w:tcPr>
            <w:tcW w:w="1592" w:type="dxa"/>
            <w:noWrap w:val="0"/>
            <w:vAlign w:val="center"/>
          </w:tcPr>
          <w:p w14:paraId="28CBD5C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5201.25t/a</w:t>
            </w:r>
          </w:p>
        </w:tc>
        <w:tc>
          <w:tcPr>
            <w:tcW w:w="1393" w:type="dxa"/>
            <w:noWrap w:val="0"/>
            <w:vAlign w:val="center"/>
          </w:tcPr>
          <w:p w14:paraId="3DD27DBB">
            <w:pPr>
              <w:pStyle w:val="86"/>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textAlignment w:val="auto"/>
              <w:rPr>
                <w:rFonts w:hint="default"/>
                <w:color w:val="auto"/>
                <w:szCs w:val="21"/>
                <w:lang w:val="en-US" w:eastAsia="zh-CN"/>
              </w:rPr>
            </w:pPr>
            <w:r>
              <w:rPr>
                <w:rFonts w:hint="eastAsia"/>
                <w:color w:val="auto"/>
                <w:szCs w:val="21"/>
                <w:lang w:val="en-US" w:eastAsia="zh-CN"/>
              </w:rPr>
              <w:t>+</w:t>
            </w:r>
            <w:r>
              <w:rPr>
                <w:rFonts w:hint="eastAsia" w:cs="Times New Roman"/>
                <w:color w:val="auto"/>
                <w:kern w:val="0"/>
                <w:sz w:val="21"/>
                <w:szCs w:val="21"/>
                <w:highlight w:val="none"/>
                <w:lang w:val="en-US" w:eastAsia="zh-CN"/>
              </w:rPr>
              <w:t>5201.25t/a</w:t>
            </w:r>
          </w:p>
        </w:tc>
      </w:tr>
      <w:tr w14:paraId="127D3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continue"/>
            <w:noWrap w:val="0"/>
            <w:vAlign w:val="center"/>
          </w:tcPr>
          <w:p w14:paraId="46B7E8CF">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p>
        </w:tc>
        <w:tc>
          <w:tcPr>
            <w:tcW w:w="1445" w:type="dxa"/>
            <w:noWrap w:val="0"/>
            <w:vAlign w:val="center"/>
          </w:tcPr>
          <w:p w14:paraId="44DBFF3C">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废培养基</w:t>
            </w:r>
          </w:p>
        </w:tc>
        <w:tc>
          <w:tcPr>
            <w:tcW w:w="1735" w:type="dxa"/>
            <w:noWrap w:val="0"/>
            <w:vAlign w:val="center"/>
          </w:tcPr>
          <w:p w14:paraId="0C58231A">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snapToGrid w:val="0"/>
                <w:color w:val="auto"/>
                <w:kern w:val="21"/>
                <w:szCs w:val="21"/>
                <w:lang w:val="en-US" w:eastAsia="zh-CN"/>
              </w:rPr>
            </w:pPr>
            <w:r>
              <w:rPr>
                <w:rFonts w:hint="eastAsia"/>
                <w:color w:val="auto"/>
                <w:szCs w:val="21"/>
                <w:lang w:val="en-US" w:eastAsia="zh-CN"/>
              </w:rPr>
              <w:t>0.005</w:t>
            </w:r>
            <w:r>
              <w:rPr>
                <w:rFonts w:hint="default" w:ascii="Times New Roman" w:hAnsi="Times New Roman" w:eastAsia="宋体" w:cs="Times New Roman"/>
                <w:color w:val="auto"/>
                <w:kern w:val="0"/>
                <w:sz w:val="21"/>
                <w:szCs w:val="21"/>
                <w:highlight w:val="none"/>
                <w:lang w:val="en-US" w:eastAsia="zh-CN"/>
              </w:rPr>
              <w:t>t/a</w:t>
            </w:r>
          </w:p>
        </w:tc>
        <w:tc>
          <w:tcPr>
            <w:tcW w:w="1301" w:type="dxa"/>
            <w:noWrap w:val="0"/>
            <w:vAlign w:val="center"/>
          </w:tcPr>
          <w:p w14:paraId="27836425">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735" w:type="dxa"/>
            <w:noWrap w:val="0"/>
            <w:vAlign w:val="center"/>
          </w:tcPr>
          <w:p w14:paraId="72CDC7D5">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590" w:type="dxa"/>
            <w:noWrap w:val="0"/>
            <w:vAlign w:val="center"/>
          </w:tcPr>
          <w:p w14:paraId="6C3DEBB2">
            <w:pPr>
              <w:pStyle w:val="86"/>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textAlignment w:val="auto"/>
              <w:rPr>
                <w:rFonts w:hint="default"/>
                <w:color w:val="auto"/>
                <w:szCs w:val="21"/>
                <w:lang w:val="en-US" w:eastAsia="zh-CN"/>
              </w:rPr>
            </w:pPr>
            <w:r>
              <w:rPr>
                <w:rFonts w:hint="eastAsia"/>
                <w:color w:val="auto"/>
                <w:szCs w:val="21"/>
                <w:lang w:val="en-US" w:eastAsia="zh-CN"/>
              </w:rPr>
              <w:t>0.005</w:t>
            </w:r>
            <w:r>
              <w:rPr>
                <w:rFonts w:hint="default" w:ascii="Times New Roman" w:hAnsi="Times New Roman" w:eastAsia="宋体" w:cs="Times New Roman"/>
                <w:color w:val="auto"/>
                <w:kern w:val="0"/>
                <w:sz w:val="21"/>
                <w:szCs w:val="21"/>
                <w:highlight w:val="none"/>
                <w:lang w:val="en-US" w:eastAsia="zh-CN"/>
              </w:rPr>
              <w:t>t/a</w:t>
            </w:r>
          </w:p>
        </w:tc>
        <w:tc>
          <w:tcPr>
            <w:tcW w:w="1651" w:type="dxa"/>
            <w:noWrap w:val="0"/>
            <w:vAlign w:val="center"/>
          </w:tcPr>
          <w:p w14:paraId="64AAA342">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ascii="Times New Roman"/>
                <w:snapToGrid w:val="0"/>
                <w:color w:val="auto"/>
                <w:kern w:val="21"/>
                <w:szCs w:val="21"/>
              </w:rPr>
            </w:pPr>
            <w:r>
              <w:rPr>
                <w:snapToGrid w:val="0"/>
                <w:color w:val="auto"/>
                <w:kern w:val="21"/>
                <w:szCs w:val="21"/>
              </w:rPr>
              <w:t>/</w:t>
            </w:r>
          </w:p>
        </w:tc>
        <w:tc>
          <w:tcPr>
            <w:tcW w:w="1592" w:type="dxa"/>
            <w:noWrap w:val="0"/>
            <w:vAlign w:val="center"/>
          </w:tcPr>
          <w:p w14:paraId="69AC4FE2">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0.01t/a</w:t>
            </w:r>
          </w:p>
        </w:tc>
        <w:tc>
          <w:tcPr>
            <w:tcW w:w="1393" w:type="dxa"/>
            <w:noWrap w:val="0"/>
            <w:vAlign w:val="center"/>
          </w:tcPr>
          <w:p w14:paraId="26ABA09D">
            <w:pPr>
              <w:pStyle w:val="86"/>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textAlignment w:val="auto"/>
              <w:rPr>
                <w:rFonts w:hint="default"/>
                <w:color w:val="auto"/>
                <w:szCs w:val="21"/>
                <w:lang w:val="en-US" w:eastAsia="zh-CN"/>
              </w:rPr>
            </w:pPr>
            <w:r>
              <w:rPr>
                <w:rFonts w:hint="eastAsia"/>
                <w:color w:val="auto"/>
                <w:szCs w:val="21"/>
                <w:lang w:val="en-US" w:eastAsia="zh-CN"/>
              </w:rPr>
              <w:t>+0.005</w:t>
            </w:r>
            <w:r>
              <w:rPr>
                <w:rFonts w:hint="default" w:ascii="Times New Roman" w:hAnsi="Times New Roman" w:eastAsia="宋体" w:cs="Times New Roman"/>
                <w:color w:val="auto"/>
                <w:kern w:val="0"/>
                <w:sz w:val="21"/>
                <w:szCs w:val="21"/>
                <w:highlight w:val="none"/>
                <w:lang w:val="en-US" w:eastAsia="zh-CN"/>
              </w:rPr>
              <w:t>t/a</w:t>
            </w:r>
          </w:p>
        </w:tc>
      </w:tr>
      <w:tr w14:paraId="69EE4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restart"/>
            <w:noWrap w:val="0"/>
            <w:vAlign w:val="center"/>
          </w:tcPr>
          <w:p w14:paraId="729E5B9D">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r>
              <w:rPr>
                <w:rFonts w:ascii="Times New Roman"/>
                <w:snapToGrid w:val="0"/>
                <w:color w:val="auto"/>
                <w:kern w:val="21"/>
                <w:szCs w:val="21"/>
              </w:rPr>
              <w:t>危险废物</w:t>
            </w:r>
          </w:p>
        </w:tc>
        <w:tc>
          <w:tcPr>
            <w:tcW w:w="1445" w:type="dxa"/>
            <w:noWrap w:val="0"/>
            <w:vAlign w:val="center"/>
          </w:tcPr>
          <w:p w14:paraId="4BE39294">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实验废液</w:t>
            </w:r>
          </w:p>
        </w:tc>
        <w:tc>
          <w:tcPr>
            <w:tcW w:w="1735" w:type="dxa"/>
            <w:noWrap w:val="0"/>
            <w:vAlign w:val="center"/>
          </w:tcPr>
          <w:p w14:paraId="72A6232A">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default" w:eastAsia="宋体"/>
                <w:snapToGrid w:val="0"/>
                <w:color w:val="auto"/>
                <w:kern w:val="21"/>
                <w:sz w:val="21"/>
                <w:szCs w:val="21"/>
                <w:lang w:val="en-US" w:eastAsia="zh-CN"/>
              </w:rPr>
            </w:pPr>
            <w:r>
              <w:rPr>
                <w:rFonts w:hint="eastAsia"/>
                <w:snapToGrid w:val="0"/>
                <w:color w:val="auto"/>
                <w:kern w:val="21"/>
                <w:szCs w:val="21"/>
                <w:lang w:val="en-US" w:eastAsia="zh-CN"/>
              </w:rPr>
              <w:t>0.025</w:t>
            </w:r>
            <w:r>
              <w:rPr>
                <w:rFonts w:hint="default" w:ascii="Times New Roman" w:hAnsi="Times New Roman" w:eastAsia="宋体" w:cs="Times New Roman"/>
                <w:color w:val="auto"/>
                <w:kern w:val="0"/>
                <w:sz w:val="21"/>
                <w:szCs w:val="21"/>
                <w:highlight w:val="none"/>
                <w:lang w:val="en-US" w:eastAsia="zh-CN"/>
              </w:rPr>
              <w:t>t/a</w:t>
            </w:r>
          </w:p>
        </w:tc>
        <w:tc>
          <w:tcPr>
            <w:tcW w:w="1301" w:type="dxa"/>
            <w:noWrap w:val="0"/>
            <w:vAlign w:val="center"/>
          </w:tcPr>
          <w:p w14:paraId="1D496988">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735" w:type="dxa"/>
            <w:noWrap w:val="0"/>
            <w:vAlign w:val="center"/>
          </w:tcPr>
          <w:p w14:paraId="32CAD781">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590" w:type="dxa"/>
            <w:noWrap w:val="0"/>
            <w:vAlign w:val="center"/>
          </w:tcPr>
          <w:p w14:paraId="6C55780F">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eastAsia="宋体"/>
                <w:snapToGrid w:val="0"/>
                <w:color w:val="auto"/>
                <w:kern w:val="21"/>
                <w:szCs w:val="21"/>
                <w:lang w:val="en-US" w:eastAsia="zh-CN"/>
              </w:rPr>
            </w:pPr>
            <w:r>
              <w:rPr>
                <w:rFonts w:hint="eastAsia" w:cs="Times New Roman"/>
                <w:color w:val="auto"/>
                <w:kern w:val="0"/>
                <w:sz w:val="21"/>
                <w:szCs w:val="21"/>
                <w:highlight w:val="none"/>
                <w:lang w:val="en-US" w:eastAsia="zh-CN"/>
              </w:rPr>
              <w:t>0.025</w:t>
            </w:r>
            <w:r>
              <w:rPr>
                <w:rFonts w:hint="default" w:ascii="Times New Roman" w:hAnsi="Times New Roman" w:eastAsia="宋体" w:cs="Times New Roman"/>
                <w:color w:val="auto"/>
                <w:kern w:val="0"/>
                <w:sz w:val="21"/>
                <w:szCs w:val="21"/>
                <w:highlight w:val="none"/>
                <w:lang w:val="en-US" w:eastAsia="zh-CN"/>
              </w:rPr>
              <w:t>t/a</w:t>
            </w:r>
          </w:p>
        </w:tc>
        <w:tc>
          <w:tcPr>
            <w:tcW w:w="1651" w:type="dxa"/>
            <w:noWrap w:val="0"/>
            <w:vAlign w:val="center"/>
          </w:tcPr>
          <w:p w14:paraId="1008FC48">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ascii="Times New Roman"/>
                <w:snapToGrid w:val="0"/>
                <w:color w:val="auto"/>
                <w:kern w:val="21"/>
                <w:szCs w:val="21"/>
              </w:rPr>
            </w:pPr>
            <w:r>
              <w:rPr>
                <w:snapToGrid w:val="0"/>
                <w:color w:val="auto"/>
                <w:kern w:val="21"/>
                <w:szCs w:val="21"/>
              </w:rPr>
              <w:t>/</w:t>
            </w:r>
          </w:p>
        </w:tc>
        <w:tc>
          <w:tcPr>
            <w:tcW w:w="1592" w:type="dxa"/>
            <w:noWrap w:val="0"/>
            <w:vAlign w:val="center"/>
          </w:tcPr>
          <w:p w14:paraId="726F725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0.05</w:t>
            </w:r>
            <w:r>
              <w:rPr>
                <w:rFonts w:hint="default" w:ascii="Times New Roman" w:hAnsi="Times New Roman" w:eastAsia="宋体" w:cs="Times New Roman"/>
                <w:color w:val="auto"/>
                <w:kern w:val="0"/>
                <w:sz w:val="21"/>
                <w:szCs w:val="21"/>
                <w:highlight w:val="none"/>
                <w:lang w:val="en-US" w:eastAsia="zh-CN"/>
              </w:rPr>
              <w:t>t/a</w:t>
            </w:r>
          </w:p>
        </w:tc>
        <w:tc>
          <w:tcPr>
            <w:tcW w:w="1393" w:type="dxa"/>
            <w:noWrap w:val="0"/>
            <w:vAlign w:val="center"/>
          </w:tcPr>
          <w:p w14:paraId="5B2A8F7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snapToGrid w:val="0"/>
                <w:color w:val="auto"/>
                <w:kern w:val="21"/>
                <w:szCs w:val="21"/>
              </w:rPr>
            </w:pPr>
            <w:r>
              <w:rPr>
                <w:rFonts w:hint="eastAsia" w:cs="Times New Roman"/>
                <w:color w:val="auto"/>
                <w:kern w:val="0"/>
                <w:sz w:val="21"/>
                <w:szCs w:val="21"/>
                <w:highlight w:val="none"/>
                <w:lang w:val="en-US" w:eastAsia="zh-CN"/>
              </w:rPr>
              <w:t>+0.025</w:t>
            </w:r>
            <w:r>
              <w:rPr>
                <w:rFonts w:hint="default" w:ascii="Times New Roman" w:hAnsi="Times New Roman" w:eastAsia="宋体" w:cs="Times New Roman"/>
                <w:color w:val="auto"/>
                <w:kern w:val="0"/>
                <w:sz w:val="21"/>
                <w:szCs w:val="21"/>
                <w:highlight w:val="none"/>
                <w:lang w:val="en-US" w:eastAsia="zh-CN"/>
              </w:rPr>
              <w:t>t/a</w:t>
            </w:r>
          </w:p>
        </w:tc>
      </w:tr>
      <w:tr w14:paraId="444A2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continue"/>
            <w:noWrap w:val="0"/>
            <w:vAlign w:val="center"/>
          </w:tcPr>
          <w:p w14:paraId="7DB4EDDD">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p>
        </w:tc>
        <w:tc>
          <w:tcPr>
            <w:tcW w:w="1445" w:type="dxa"/>
            <w:noWrap w:val="0"/>
            <w:vAlign w:val="center"/>
          </w:tcPr>
          <w:p w14:paraId="4F9040EC">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废润滑油</w:t>
            </w:r>
          </w:p>
        </w:tc>
        <w:tc>
          <w:tcPr>
            <w:tcW w:w="1735" w:type="dxa"/>
            <w:noWrap w:val="0"/>
            <w:vAlign w:val="center"/>
          </w:tcPr>
          <w:p w14:paraId="478BCE03">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default" w:eastAsia="宋体"/>
                <w:snapToGrid w:val="0"/>
                <w:color w:val="auto"/>
                <w:kern w:val="21"/>
                <w:szCs w:val="21"/>
                <w:lang w:val="en-US" w:eastAsia="zh-CN"/>
              </w:rPr>
            </w:pPr>
            <w:r>
              <w:rPr>
                <w:rFonts w:hint="eastAsia"/>
                <w:snapToGrid w:val="0"/>
                <w:color w:val="auto"/>
                <w:kern w:val="21"/>
                <w:szCs w:val="21"/>
                <w:lang w:val="en-US" w:eastAsia="zh-CN"/>
              </w:rPr>
              <w:t>0.08</w:t>
            </w:r>
            <w:r>
              <w:rPr>
                <w:rFonts w:hint="default" w:ascii="Times New Roman" w:hAnsi="Times New Roman" w:eastAsia="宋体" w:cs="Times New Roman"/>
                <w:color w:val="auto"/>
                <w:kern w:val="0"/>
                <w:sz w:val="21"/>
                <w:szCs w:val="21"/>
                <w:highlight w:val="none"/>
                <w:lang w:val="en-US" w:eastAsia="zh-CN"/>
              </w:rPr>
              <w:t>t/a</w:t>
            </w:r>
          </w:p>
        </w:tc>
        <w:tc>
          <w:tcPr>
            <w:tcW w:w="1301" w:type="dxa"/>
            <w:noWrap w:val="0"/>
            <w:vAlign w:val="center"/>
          </w:tcPr>
          <w:p w14:paraId="60ACC169">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735" w:type="dxa"/>
            <w:noWrap w:val="0"/>
            <w:vAlign w:val="center"/>
          </w:tcPr>
          <w:p w14:paraId="5F788E9D">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590" w:type="dxa"/>
            <w:noWrap w:val="0"/>
            <w:vAlign w:val="center"/>
          </w:tcPr>
          <w:p w14:paraId="3BFE680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0.12</w:t>
            </w:r>
            <w:r>
              <w:rPr>
                <w:rFonts w:hint="default" w:ascii="Times New Roman" w:hAnsi="Times New Roman" w:eastAsia="宋体" w:cs="Times New Roman"/>
                <w:color w:val="auto"/>
                <w:kern w:val="0"/>
                <w:sz w:val="21"/>
                <w:szCs w:val="21"/>
                <w:highlight w:val="none"/>
                <w:lang w:val="en-US" w:eastAsia="zh-CN"/>
              </w:rPr>
              <w:t>t/a</w:t>
            </w:r>
          </w:p>
        </w:tc>
        <w:tc>
          <w:tcPr>
            <w:tcW w:w="1651" w:type="dxa"/>
            <w:noWrap w:val="0"/>
            <w:vAlign w:val="center"/>
          </w:tcPr>
          <w:p w14:paraId="5AB9D710">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ascii="Times New Roman"/>
                <w:snapToGrid w:val="0"/>
                <w:color w:val="auto"/>
                <w:kern w:val="21"/>
                <w:szCs w:val="21"/>
              </w:rPr>
            </w:pPr>
            <w:r>
              <w:rPr>
                <w:snapToGrid w:val="0"/>
                <w:color w:val="auto"/>
                <w:kern w:val="21"/>
                <w:szCs w:val="21"/>
              </w:rPr>
              <w:t>/</w:t>
            </w:r>
          </w:p>
        </w:tc>
        <w:tc>
          <w:tcPr>
            <w:tcW w:w="1592" w:type="dxa"/>
            <w:noWrap w:val="0"/>
            <w:vAlign w:val="center"/>
          </w:tcPr>
          <w:p w14:paraId="479A2D71">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t/a</w:t>
            </w:r>
          </w:p>
        </w:tc>
        <w:tc>
          <w:tcPr>
            <w:tcW w:w="1393" w:type="dxa"/>
            <w:noWrap w:val="0"/>
            <w:vAlign w:val="center"/>
          </w:tcPr>
          <w:p w14:paraId="40B516B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+0.12</w:t>
            </w:r>
            <w:r>
              <w:rPr>
                <w:rFonts w:hint="default" w:ascii="Times New Roman" w:hAnsi="Times New Roman" w:eastAsia="宋体" w:cs="Times New Roman"/>
                <w:color w:val="auto"/>
                <w:kern w:val="0"/>
                <w:sz w:val="21"/>
                <w:szCs w:val="21"/>
                <w:highlight w:val="none"/>
                <w:lang w:val="en-US" w:eastAsia="zh-CN"/>
              </w:rPr>
              <w:t>t/a</w:t>
            </w:r>
          </w:p>
        </w:tc>
      </w:tr>
      <w:tr w14:paraId="31725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8" w:type="dxa"/>
            <w:vMerge w:val="continue"/>
            <w:noWrap w:val="0"/>
            <w:vAlign w:val="center"/>
          </w:tcPr>
          <w:p w14:paraId="5A06AA26">
            <w:pPr>
              <w:pStyle w:val="38"/>
              <w:keepNext w:val="0"/>
              <w:keepLines w:val="0"/>
              <w:pageBreakBefore w:val="0"/>
              <w:widowControl w:val="0"/>
              <w:kinsoku/>
              <w:wordWrap/>
              <w:overflowPunct/>
              <w:topLinePunct w:val="0"/>
              <w:autoSpaceDE/>
              <w:autoSpaceDN/>
              <w:bidi w:val="0"/>
              <w:spacing w:beforeLines="0" w:beforeAutospacing="0" w:afterLines="0" w:afterAutospacing="0" w:line="240" w:lineRule="auto"/>
              <w:ind w:left="0" w:leftChars="0" w:firstLine="0" w:firstLineChars="0"/>
              <w:textAlignment w:val="auto"/>
              <w:rPr>
                <w:rFonts w:ascii="Times New Roman"/>
                <w:snapToGrid w:val="0"/>
                <w:color w:val="auto"/>
                <w:kern w:val="21"/>
                <w:szCs w:val="21"/>
              </w:rPr>
            </w:pPr>
          </w:p>
        </w:tc>
        <w:tc>
          <w:tcPr>
            <w:tcW w:w="1445" w:type="dxa"/>
            <w:noWrap w:val="0"/>
            <w:vAlign w:val="center"/>
          </w:tcPr>
          <w:p w14:paraId="2BAB12FD">
            <w:pPr>
              <w:keepNext w:val="0"/>
              <w:keepLines w:val="0"/>
              <w:pageBreakBefore w:val="0"/>
              <w:widowControl w:val="0"/>
              <w:suppressLineNumbers w:val="0"/>
              <w:kinsoku/>
              <w:wordWrap/>
              <w:overflowPunct/>
              <w:topLinePunct w:val="0"/>
              <w:autoSpaceDE/>
              <w:autoSpaceDN/>
              <w:bidi w:val="0"/>
              <w:snapToGrid/>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废包装瓶/桶</w:t>
            </w:r>
          </w:p>
        </w:tc>
        <w:tc>
          <w:tcPr>
            <w:tcW w:w="1735" w:type="dxa"/>
            <w:noWrap w:val="0"/>
            <w:vAlign w:val="center"/>
          </w:tcPr>
          <w:p w14:paraId="5021D878">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default" w:eastAsia="宋体"/>
                <w:snapToGrid w:val="0"/>
                <w:color w:val="auto"/>
                <w:kern w:val="21"/>
                <w:sz w:val="21"/>
                <w:szCs w:val="21"/>
                <w:lang w:val="en-US" w:eastAsia="zh-CN"/>
              </w:rPr>
            </w:pPr>
            <w:r>
              <w:rPr>
                <w:rFonts w:hint="eastAsia"/>
                <w:snapToGrid w:val="0"/>
                <w:color w:val="auto"/>
                <w:kern w:val="21"/>
                <w:szCs w:val="21"/>
                <w:lang w:val="en-US" w:eastAsia="zh-CN"/>
              </w:rPr>
              <w:t>0.008</w:t>
            </w:r>
            <w:r>
              <w:rPr>
                <w:rFonts w:hint="default" w:ascii="Times New Roman" w:hAnsi="Times New Roman" w:eastAsia="宋体" w:cs="Times New Roman"/>
                <w:color w:val="auto"/>
                <w:kern w:val="0"/>
                <w:sz w:val="21"/>
                <w:szCs w:val="21"/>
                <w:highlight w:val="none"/>
                <w:lang w:val="en-US" w:eastAsia="zh-CN"/>
              </w:rPr>
              <w:t>t/a</w:t>
            </w:r>
          </w:p>
        </w:tc>
        <w:tc>
          <w:tcPr>
            <w:tcW w:w="1301" w:type="dxa"/>
            <w:noWrap w:val="0"/>
            <w:vAlign w:val="center"/>
          </w:tcPr>
          <w:p w14:paraId="452A741C">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735" w:type="dxa"/>
            <w:noWrap w:val="0"/>
            <w:vAlign w:val="center"/>
          </w:tcPr>
          <w:p w14:paraId="3B0C1CF3">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snapToGrid w:val="0"/>
                <w:color w:val="auto"/>
                <w:kern w:val="21"/>
                <w:szCs w:val="21"/>
              </w:rPr>
            </w:pPr>
            <w:r>
              <w:rPr>
                <w:snapToGrid w:val="0"/>
                <w:color w:val="auto"/>
                <w:kern w:val="21"/>
                <w:szCs w:val="21"/>
              </w:rPr>
              <w:t>/</w:t>
            </w:r>
          </w:p>
        </w:tc>
        <w:tc>
          <w:tcPr>
            <w:tcW w:w="1590" w:type="dxa"/>
            <w:noWrap w:val="0"/>
            <w:vAlign w:val="center"/>
          </w:tcPr>
          <w:p w14:paraId="0F138778">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eastAsia="宋体"/>
                <w:snapToGrid w:val="0"/>
                <w:color w:val="auto"/>
                <w:kern w:val="21"/>
                <w:szCs w:val="21"/>
                <w:lang w:val="en-US" w:eastAsia="zh-CN"/>
              </w:rPr>
            </w:pPr>
            <w:r>
              <w:rPr>
                <w:rFonts w:hint="eastAsia" w:cs="Times New Roman"/>
                <w:color w:val="auto"/>
                <w:sz w:val="21"/>
                <w:szCs w:val="21"/>
                <w:highlight w:val="none"/>
                <w:lang w:val="en-US" w:eastAsia="zh-CN"/>
              </w:rPr>
              <w:t>0.012</w:t>
            </w:r>
            <w:r>
              <w:rPr>
                <w:rFonts w:hint="default" w:ascii="Times New Roman" w:hAnsi="Times New Roman" w:eastAsia="宋体" w:cs="Times New Roman"/>
                <w:color w:val="auto"/>
                <w:kern w:val="0"/>
                <w:sz w:val="21"/>
                <w:szCs w:val="21"/>
                <w:highlight w:val="none"/>
                <w:lang w:val="en-US" w:eastAsia="zh-CN"/>
              </w:rPr>
              <w:t>t/a</w:t>
            </w:r>
          </w:p>
        </w:tc>
        <w:tc>
          <w:tcPr>
            <w:tcW w:w="1651" w:type="dxa"/>
            <w:noWrap w:val="0"/>
            <w:vAlign w:val="center"/>
          </w:tcPr>
          <w:p w14:paraId="45A8A977">
            <w:pPr>
              <w:keepNext w:val="0"/>
              <w:keepLines w:val="0"/>
              <w:pageBreakBefore w:val="0"/>
              <w:widowControl w:val="0"/>
              <w:kinsoku/>
              <w:wordWrap/>
              <w:overflowPunct/>
              <w:topLinePunct w:val="0"/>
              <w:autoSpaceDE/>
              <w:autoSpaceDN/>
              <w:bidi w:val="0"/>
              <w:spacing w:beforeAutospacing="0" w:afterAutospacing="0" w:line="240" w:lineRule="auto"/>
              <w:ind w:left="0" w:leftChars="0" w:firstLine="0" w:firstLineChars="0"/>
              <w:jc w:val="center"/>
              <w:textAlignment w:val="auto"/>
              <w:rPr>
                <w:rFonts w:hint="eastAsia" w:ascii="Times New Roman"/>
                <w:snapToGrid w:val="0"/>
                <w:color w:val="auto"/>
                <w:kern w:val="21"/>
                <w:szCs w:val="21"/>
              </w:rPr>
            </w:pPr>
            <w:r>
              <w:rPr>
                <w:snapToGrid w:val="0"/>
                <w:color w:val="auto"/>
                <w:kern w:val="21"/>
                <w:szCs w:val="21"/>
              </w:rPr>
              <w:t>/</w:t>
            </w:r>
          </w:p>
        </w:tc>
        <w:tc>
          <w:tcPr>
            <w:tcW w:w="1592" w:type="dxa"/>
            <w:noWrap w:val="0"/>
            <w:vAlign w:val="center"/>
          </w:tcPr>
          <w:p w14:paraId="744360F6">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r>
              <w:rPr>
                <w:rFonts w:hint="default" w:ascii="Times New Roman" w:hAnsi="Times New Roman" w:eastAsia="宋体" w:cs="Times New Roman"/>
                <w:color w:val="auto"/>
                <w:kern w:val="0"/>
                <w:sz w:val="21"/>
                <w:szCs w:val="21"/>
                <w:highlight w:val="none"/>
                <w:lang w:val="en-US" w:eastAsia="zh-CN"/>
              </w:rPr>
              <w:t>t/a</w:t>
            </w:r>
          </w:p>
        </w:tc>
        <w:tc>
          <w:tcPr>
            <w:tcW w:w="1393" w:type="dxa"/>
            <w:noWrap w:val="0"/>
            <w:vAlign w:val="center"/>
          </w:tcPr>
          <w:p w14:paraId="2F8A7854">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rPr>
                <w:snapToGrid w:val="0"/>
                <w:color w:val="auto"/>
                <w:kern w:val="21"/>
                <w:szCs w:val="21"/>
              </w:rPr>
            </w:pPr>
            <w:r>
              <w:rPr>
                <w:rFonts w:hint="eastAsia" w:cs="Times New Roman"/>
                <w:color w:val="auto"/>
                <w:sz w:val="21"/>
                <w:szCs w:val="21"/>
                <w:highlight w:val="none"/>
                <w:lang w:val="en-US" w:eastAsia="zh-CN"/>
              </w:rPr>
              <w:t>+0.012</w:t>
            </w:r>
            <w:r>
              <w:rPr>
                <w:rFonts w:hint="default" w:ascii="Times New Roman" w:hAnsi="Times New Roman" w:eastAsia="宋体" w:cs="Times New Roman"/>
                <w:color w:val="auto"/>
                <w:kern w:val="0"/>
                <w:sz w:val="21"/>
                <w:szCs w:val="21"/>
                <w:highlight w:val="none"/>
                <w:lang w:val="en-US" w:eastAsia="zh-CN"/>
              </w:rPr>
              <w:t>t/a</w:t>
            </w:r>
          </w:p>
        </w:tc>
      </w:tr>
    </w:tbl>
    <w:p w14:paraId="772F77A4">
      <w:pPr>
        <w:pStyle w:val="38"/>
        <w:keepNext w:val="0"/>
        <w:keepLines w:val="0"/>
        <w:pageBreakBefore w:val="0"/>
        <w:widowControl w:val="0"/>
        <w:kinsoku/>
        <w:overflowPunct/>
        <w:bidi w:val="0"/>
        <w:spacing w:beforeLines="0" w:beforeAutospacing="0" w:afterLines="0" w:afterAutospacing="0"/>
        <w:ind w:left="420" w:leftChars="0"/>
        <w:jc w:val="left"/>
        <w:rPr>
          <w:rFonts w:ascii="宋体" w:hAnsi="宋体"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6" w:type="default"/>
      <w:pgSz w:w="16838" w:h="11906" w:orient="landscape"/>
      <w:pgMar w:top="1417" w:right="1417" w:bottom="1417" w:left="1417" w:header="851" w:footer="851" w:gutter="0"/>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Y" w:date="2024-08-26T16:47:10Z" w:initials="">
    <w:p w14:paraId="10ACFC03">
      <w:pPr>
        <w:pStyle w:val="9"/>
        <w:rPr>
          <w:rFonts w:hint="default" w:eastAsia="宋体"/>
          <w:lang w:val="en-US" w:eastAsia="zh-CN"/>
        </w:rPr>
      </w:pPr>
      <w:r>
        <w:rPr>
          <w:rFonts w:hint="eastAsia"/>
          <w:lang w:val="en-US" w:eastAsia="zh-CN"/>
        </w:rPr>
        <w:t>把取水和输水工程的建设地址和路线也考虑到</w:t>
      </w:r>
    </w:p>
  </w:comment>
  <w:comment w:id="1" w:author="YY" w:date="2024-08-26T13:38:31Z" w:initials="">
    <w:p w14:paraId="17088053">
      <w:pPr>
        <w:pStyle w:val="9"/>
        <w:rPr>
          <w:rFonts w:hint="eastAsia" w:eastAsia="宋体"/>
          <w:lang w:val="en-US" w:eastAsia="zh-CN"/>
        </w:rPr>
      </w:pPr>
      <w:r>
        <w:rPr>
          <w:rFonts w:hint="eastAsia"/>
          <w:lang w:val="en-US" w:eastAsia="zh-CN"/>
        </w:rPr>
        <w:t>原</w:t>
      </w:r>
    </w:p>
  </w:comment>
  <w:comment w:id="2" w:author="YY" w:date="2024-08-26T17:01:20Z" w:initials="">
    <w:p w14:paraId="3C835C16">
      <w:pPr>
        <w:pStyle w:val="9"/>
        <w:rPr>
          <w:rFonts w:hint="default" w:eastAsia="宋体"/>
          <w:lang w:val="en-US" w:eastAsia="zh-CN"/>
        </w:rPr>
      </w:pPr>
      <w:r>
        <w:rPr>
          <w:rFonts w:hint="eastAsia"/>
          <w:lang w:val="en-US" w:eastAsia="zh-CN"/>
        </w:rPr>
        <w:t>排泥水、污泥浓缩后的上清液的处理工艺呢</w:t>
      </w:r>
    </w:p>
  </w:comment>
  <w:comment w:id="3" w:author="N" w:date="2024-08-27T16:28:42Z" w:initials="">
    <w:p w14:paraId="17260AD0">
      <w:pPr>
        <w:pStyle w:val="9"/>
        <w:rPr>
          <w:rFonts w:hint="eastAsia" w:eastAsia="宋体"/>
          <w:lang w:eastAsia="zh-CN"/>
        </w:rPr>
      </w:pPr>
      <w:r>
        <w:rPr>
          <w:rFonts w:hint="eastAsia"/>
          <w:lang w:eastAsia="zh-CN"/>
        </w:rPr>
        <w:t>已修改净水工程工艺流程图</w:t>
      </w:r>
    </w:p>
  </w:comment>
  <w:comment w:id="4" w:author="YY" w:date="2024-08-26T16:50:10Z" w:initials="">
    <w:p w14:paraId="27D41D28">
      <w:pPr>
        <w:pStyle w:val="9"/>
        <w:rPr>
          <w:rFonts w:hint="default" w:eastAsia="宋体"/>
          <w:lang w:val="en-US" w:eastAsia="zh-CN"/>
        </w:rPr>
      </w:pPr>
      <w:r>
        <w:rPr>
          <w:rFonts w:hint="eastAsia"/>
          <w:lang w:val="en-US" w:eastAsia="zh-CN"/>
        </w:rPr>
        <w:t>监测报告没有吗？应该有自己的监测也他们</w:t>
      </w:r>
    </w:p>
  </w:comment>
  <w:comment w:id="5" w:author="N" w:date="2024-08-27T16:34:44Z" w:initials="">
    <w:p w14:paraId="17A7464B">
      <w:pPr>
        <w:pStyle w:val="9"/>
        <w:rPr>
          <w:rFonts w:hint="eastAsia" w:eastAsia="宋体"/>
          <w:lang w:eastAsia="zh-CN"/>
        </w:rPr>
      </w:pPr>
      <w:r>
        <w:rPr>
          <w:rFonts w:hint="eastAsia"/>
          <w:lang w:eastAsia="zh-CN"/>
        </w:rPr>
        <w:t>废水没有安排日常检测，只有供水出水有检测</w:t>
      </w:r>
    </w:p>
  </w:comment>
  <w:comment w:id="6" w:author="YY" w:date="2024-08-26T16:53:32Z" w:initials="">
    <w:p w14:paraId="79A13DB0">
      <w:pPr>
        <w:pStyle w:val="9"/>
        <w:rPr>
          <w:rFonts w:hint="default" w:eastAsia="宋体"/>
          <w:lang w:val="en-US" w:eastAsia="zh-CN"/>
        </w:rPr>
      </w:pPr>
      <w:r>
        <w:rPr>
          <w:rFonts w:hint="eastAsia"/>
          <w:lang w:val="en-US" w:eastAsia="zh-CN"/>
        </w:rPr>
        <w:t>污泥处理系统不考虑吗氨硫化氢臭气，源强内容里可以定性分析，不需要上设施</w:t>
      </w:r>
    </w:p>
  </w:comment>
  <w:comment w:id="7" w:author="N" w:date="2024-08-27T16:46:02Z" w:initials="">
    <w:p w14:paraId="2333543D">
      <w:pPr>
        <w:pStyle w:val="9"/>
        <w:rPr>
          <w:rFonts w:hint="eastAsia" w:eastAsia="宋体"/>
          <w:lang w:eastAsia="zh-CN"/>
        </w:rPr>
      </w:pPr>
      <w:r>
        <w:rPr>
          <w:rFonts w:hint="eastAsia"/>
          <w:lang w:eastAsia="zh-CN"/>
        </w:rPr>
        <w:t>已修改</w:t>
      </w:r>
    </w:p>
  </w:comment>
  <w:comment w:id="8" w:author="YY" w:date="2024-08-26T16:58:47Z" w:initials="">
    <w:p w14:paraId="174BA907">
      <w:pPr>
        <w:pStyle w:val="9"/>
        <w:rPr>
          <w:rFonts w:hint="default" w:eastAsia="宋体"/>
          <w:lang w:val="en-US" w:eastAsia="zh-CN"/>
        </w:rPr>
      </w:pPr>
      <w:r>
        <w:rPr>
          <w:rFonts w:hint="eastAsia"/>
          <w:lang w:val="en-US" w:eastAsia="zh-CN"/>
        </w:rPr>
        <w:t>我们这个项目现在有排泥水监测吗问业主</w:t>
      </w:r>
    </w:p>
  </w:comment>
  <w:comment w:id="9" w:author="N" w:date="2024-08-27T16:41:01Z" w:initials="">
    <w:p w14:paraId="223D1A9F">
      <w:pPr>
        <w:pStyle w:val="9"/>
        <w:rPr>
          <w:rFonts w:hint="eastAsia" w:eastAsia="宋体"/>
          <w:lang w:eastAsia="zh-CN"/>
        </w:rPr>
      </w:pPr>
      <w:r>
        <w:rPr>
          <w:rFonts w:hint="eastAsia"/>
          <w:lang w:eastAsia="zh-CN"/>
        </w:rPr>
        <w:t>没有日常检测</w:t>
      </w:r>
    </w:p>
  </w:comment>
  <w:comment w:id="10" w:author="YY" w:date="2024-08-26T17:30:13Z" w:initials="">
    <w:p w14:paraId="76E54055">
      <w:pPr>
        <w:pStyle w:val="9"/>
        <w:rPr>
          <w:rFonts w:hint="default" w:eastAsia="宋体"/>
          <w:lang w:val="en-US" w:eastAsia="zh-CN"/>
        </w:rPr>
      </w:pPr>
      <w:r>
        <w:rPr>
          <w:rFonts w:hint="eastAsia"/>
          <w:lang w:val="en-US" w:eastAsia="zh-CN"/>
        </w:rPr>
        <w:t>这些用量和原料表不一致</w:t>
      </w:r>
    </w:p>
  </w:comment>
  <w:comment w:id="11" w:author="YY" w:date="2024-08-26T17:30:00Z" w:initials="">
    <w:p w14:paraId="66C11F59">
      <w:pPr>
        <w:pStyle w:val="9"/>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0ACFC03" w15:done="0"/>
  <w15:commentEx w15:paraId="17088053" w15:done="0"/>
  <w15:commentEx w15:paraId="3C835C16" w15:done="0"/>
  <w15:commentEx w15:paraId="17260AD0" w15:done="0" w15:paraIdParent="3C835C16"/>
  <w15:commentEx w15:paraId="27D41D28" w15:done="0"/>
  <w15:commentEx w15:paraId="17A7464B" w15:done="0" w15:paraIdParent="27D41D28"/>
  <w15:commentEx w15:paraId="79A13DB0" w15:done="0"/>
  <w15:commentEx w15:paraId="2333543D" w15:done="0" w15:paraIdParent="79A13DB0"/>
  <w15:commentEx w15:paraId="174BA907" w15:done="0"/>
  <w15:commentEx w15:paraId="223D1A9F" w15:done="0" w15:paraIdParent="174BA907"/>
  <w15:commentEx w15:paraId="76E54055" w15:done="0"/>
  <w15:commentEx w15:paraId="66C11F5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04B80AD-E24D-4FC6-87C5-D938BABF46E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D7CA8B9-32E8-4B62-8E99-5E48F48EF56D}"/>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3" w:fontKey="{7CA217EE-3553-41E8-AA82-4A5CA3DECF4B}"/>
  </w:font>
  <w:font w:name="等线">
    <w:panose1 w:val="02010600030101010101"/>
    <w:charset w:val="86"/>
    <w:family w:val="auto"/>
    <w:pitch w:val="default"/>
    <w:sig w:usb0="A00002BF" w:usb1="38CF7CFA" w:usb2="00000016" w:usb3="00000000" w:csb0="0004000F" w:csb1="00000000"/>
    <w:embedRegular r:id="rId4" w:fontKey="{CB7C77DF-6ED3-40B4-AAB8-CD78E2DB69CF}"/>
  </w:font>
  <w:font w:name="MS Gothic">
    <w:panose1 w:val="020B0609070205080204"/>
    <w:charset w:val="80"/>
    <w:family w:val="modern"/>
    <w:pitch w:val="default"/>
    <w:sig w:usb0="E00002FF" w:usb1="6AC7FDFB" w:usb2="00000012" w:usb3="00000000" w:csb0="4002009F" w:csb1="DFD70000"/>
    <w:embedRegular r:id="rId5" w:fontKey="{EF6CF976-55EF-4DA9-964E-89B14489E8F6}"/>
  </w:font>
  <w:font w:name="方正小标宋_GBK">
    <w:panose1 w:val="02000000000000000000"/>
    <w:charset w:val="86"/>
    <w:family w:val="script"/>
    <w:pitch w:val="default"/>
    <w:sig w:usb0="00000001" w:usb1="080E0000" w:usb2="00000000" w:usb3="00000000" w:csb0="00040000" w:csb1="00000000"/>
    <w:embedRegular r:id="rId6" w:fontKey="{47F6FD82-4E3F-4186-AB18-DB23D90DC47C}"/>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ABDD5">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775CDA">
                          <w:pPr>
                            <w:pStyle w:val="19"/>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54</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fSsMsBAACd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PWSEsctTvzy4/vl5+/Lr29k&#10;Wa1uskR9gBoz7wPmpuGtH3BxZj+gMzMfVLT5i5wIxlHg81VgOSQi8qP1ar2uMCQwNl8Qnz08DxHS&#10;O+ktyUZDI06wCMtPHyCNqXNKrub8nTamTNG4vxyImT0s9z72mK007IeJ0N63Z+TT4/Ab6nDXKTHv&#10;HWqb92Q24mzsZ+MYoj50ZZFyPQhvjgmbKL3lCiPsVBinVthNG5bX4vG9ZD38Vd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30rDLAQAAnQMAAA4AAAAAAAAAAQAgAAAAHgEAAGRycy9lMm9E&#10;b2MueG1sUEsFBgAAAAAGAAYAWQEAAFsFAAAAAA==&#10;">
              <v:fill on="f" focussize="0,0"/>
              <v:stroke on="f"/>
              <v:imagedata o:title=""/>
              <o:lock v:ext="edit" aspectratio="f"/>
              <v:textbox inset="0mm,0mm,0mm,0mm" style="mso-fit-shape-to-text:t;">
                <w:txbxContent>
                  <w:p w14:paraId="2B775CDA">
                    <w:pPr>
                      <w:pStyle w:val="19"/>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54</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4A112">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B14FC1">
                          <w:pPr>
                            <w:pStyle w:val="19"/>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73</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i2ohswBAACdAwAADgAAAGRycy9lMm9Eb2MueG1srVPNjtMwEL4j7TtY&#10;vm+dRlq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elNSYnlBid+/v7t/OPX+edX&#10;sizKN0mi3kOFmQ8ec+Pwzg24OLMf0JmYD20w6YucCMZR4NNFYDlEItKjVblaFR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iLaiGzAEAAJ0DAAAOAAAAAAAAAAEAIAAAAB4BAABkcnMvZTJv&#10;RG9jLnhtbFBLBQYAAAAABgAGAFkBAABcBQAAAAA=&#10;">
              <v:fill on="f" focussize="0,0"/>
              <v:stroke on="f"/>
              <v:imagedata o:title=""/>
              <o:lock v:ext="edit" aspectratio="f"/>
              <v:textbox inset="0mm,0mm,0mm,0mm" style="mso-fit-shape-to-text:t;">
                <w:txbxContent>
                  <w:p w14:paraId="4FB14FC1">
                    <w:pPr>
                      <w:pStyle w:val="19"/>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73</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873D7D"/>
    <w:multiLevelType w:val="singleLevel"/>
    <w:tmpl w:val="B5873D7D"/>
    <w:lvl w:ilvl="0" w:tentative="0">
      <w:start w:val="1"/>
      <w:numFmt w:val="decimal"/>
      <w:suff w:val="space"/>
      <w:lvlText w:val="%1)"/>
      <w:lvlJc w:val="left"/>
    </w:lvl>
  </w:abstractNum>
  <w:abstractNum w:abstractNumId="1">
    <w:nsid w:val="132D6115"/>
    <w:multiLevelType w:val="multilevel"/>
    <w:tmpl w:val="132D6115"/>
    <w:lvl w:ilvl="0" w:tentative="0">
      <w:start w:val="1"/>
      <w:numFmt w:val="chineseCountingThousand"/>
      <w:lvlText w:val="第%1章"/>
      <w:lvlJc w:val="left"/>
      <w:pPr>
        <w:ind w:left="425" w:hanging="425"/>
      </w:pPr>
      <w:rPr>
        <w:rFonts w:hint="eastAsia"/>
      </w:rPr>
    </w:lvl>
    <w:lvl w:ilvl="1" w:tentative="0">
      <w:start w:val="1"/>
      <w:numFmt w:val="decimal"/>
      <w:isLgl/>
      <w:lvlText w:val="%1.%2"/>
      <w:lvlJc w:val="left"/>
      <w:pPr>
        <w:ind w:left="992" w:hanging="567"/>
      </w:pPr>
      <w:rPr>
        <w:rFonts w:hint="eastAsia"/>
      </w:rPr>
    </w:lvl>
    <w:lvl w:ilvl="2" w:tentative="0">
      <w:start w:val="1"/>
      <w:numFmt w:val="decimal"/>
      <w:isLgl/>
      <w:lvlText w:val="%1.%2.%3"/>
      <w:lvlJc w:val="left"/>
      <w:pPr>
        <w:ind w:left="0" w:firstLine="510"/>
      </w:pPr>
      <w:rPr>
        <w:rFonts w:hint="eastAsia"/>
      </w:rPr>
    </w:lvl>
    <w:lvl w:ilvl="3" w:tentative="0">
      <w:start w:val="1"/>
      <w:numFmt w:val="decimal"/>
      <w:isLgl/>
      <w:lvlText w:val="%1.%2.%3.%4"/>
      <w:lvlJc w:val="left"/>
      <w:pPr>
        <w:ind w:left="0" w:firstLine="482"/>
      </w:pPr>
      <w:rPr>
        <w:rFonts w:hint="eastAsia"/>
      </w:rPr>
    </w:lvl>
    <w:lvl w:ilvl="4" w:tentative="0">
      <w:start w:val="1"/>
      <w:numFmt w:val="decimal"/>
      <w:pStyle w:val="6"/>
      <w:lvlText w:val="%5"/>
      <w:lvlJc w:val="left"/>
      <w:pPr>
        <w:ind w:left="0" w:firstLine="624"/>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66"/>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7B4A2615"/>
    <w:multiLevelType w:val="multilevel"/>
    <w:tmpl w:val="7B4A2615"/>
    <w:lvl w:ilvl="0" w:tentative="0">
      <w:start w:val="0"/>
      <w:numFmt w:val="chineseCountingThousand"/>
      <w:lvlText w:val="第%1章"/>
      <w:lvlJc w:val="left"/>
      <w:pPr>
        <w:ind w:left="420" w:hanging="420"/>
      </w:pPr>
      <w:rPr>
        <w:rFonts w:hint="default"/>
        <w:sz w:val="44"/>
        <w:szCs w:val="44"/>
      </w:rPr>
    </w:lvl>
    <w:lvl w:ilvl="1" w:tentative="0">
      <w:start w:val="1"/>
      <w:numFmt w:val="decimal"/>
      <w:isLgl/>
      <w:lvlText w:val="%1.%2"/>
      <w:lvlJc w:val="left"/>
      <w:pPr>
        <w:ind w:left="0" w:firstLine="0"/>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0" w:firstLine="0"/>
      </w:pPr>
      <w:rPr>
        <w:rFonts w:hint="eastAsia"/>
      </w:rPr>
    </w:lvl>
    <w:lvl w:ilvl="4" w:tentative="0">
      <w:start w:val="1"/>
      <w:numFmt w:val="decimal"/>
      <w:lvlRestart w:val="2"/>
      <w:pStyle w:val="28"/>
      <w:isLgl/>
      <w:lvlText w:val="表%1.%2-%5"/>
      <w:lvlJc w:val="center"/>
      <w:pPr>
        <w:ind w:left="0" w:firstLine="0"/>
      </w:pPr>
      <w:rPr>
        <w:rFonts w:hint="default" w:ascii="Times New Roman" w:hAnsi="Times New Roman" w:cs="Times New Roman"/>
        <w:b/>
        <w:i w:val="0"/>
        <w:color w:val="auto"/>
        <w:lang w:val="en-US"/>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Y">
    <w15:presenceInfo w15:providerId="WPS Office" w15:userId="4031004022"/>
  </w15:person>
  <w15:person w15:author="N">
    <w15:presenceInfo w15:providerId="WPS Office" w15:userId="67330408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kY2MwY2YyMjI5Y2Q1ZDE1MTdlZDEyMGFjN2IyYzgifQ=="/>
  </w:docVars>
  <w:rsids>
    <w:rsidRoot w:val="00A14947"/>
    <w:rsid w:val="000060B3"/>
    <w:rsid w:val="00020939"/>
    <w:rsid w:val="0004364B"/>
    <w:rsid w:val="00061B1F"/>
    <w:rsid w:val="00062461"/>
    <w:rsid w:val="000733C4"/>
    <w:rsid w:val="00074783"/>
    <w:rsid w:val="0008070B"/>
    <w:rsid w:val="000810AC"/>
    <w:rsid w:val="00081A02"/>
    <w:rsid w:val="00082231"/>
    <w:rsid w:val="00092D38"/>
    <w:rsid w:val="0009377B"/>
    <w:rsid w:val="000A20C9"/>
    <w:rsid w:val="000B058F"/>
    <w:rsid w:val="000B38EA"/>
    <w:rsid w:val="000B4467"/>
    <w:rsid w:val="000B4DB9"/>
    <w:rsid w:val="000C09AC"/>
    <w:rsid w:val="000C767F"/>
    <w:rsid w:val="000D5A44"/>
    <w:rsid w:val="000E3ED2"/>
    <w:rsid w:val="000E53B1"/>
    <w:rsid w:val="000F21BD"/>
    <w:rsid w:val="000F7D2E"/>
    <w:rsid w:val="00131F42"/>
    <w:rsid w:val="001357F1"/>
    <w:rsid w:val="00140FA8"/>
    <w:rsid w:val="00142FEB"/>
    <w:rsid w:val="00143A2D"/>
    <w:rsid w:val="00145A41"/>
    <w:rsid w:val="00151675"/>
    <w:rsid w:val="001520F6"/>
    <w:rsid w:val="00157435"/>
    <w:rsid w:val="0017504D"/>
    <w:rsid w:val="0017671A"/>
    <w:rsid w:val="00177422"/>
    <w:rsid w:val="00184590"/>
    <w:rsid w:val="001870D1"/>
    <w:rsid w:val="0018781E"/>
    <w:rsid w:val="0019262D"/>
    <w:rsid w:val="001A1B35"/>
    <w:rsid w:val="001A48A2"/>
    <w:rsid w:val="001A50A5"/>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96D7C"/>
    <w:rsid w:val="002A168C"/>
    <w:rsid w:val="002A3DC7"/>
    <w:rsid w:val="002B49E2"/>
    <w:rsid w:val="002B7B00"/>
    <w:rsid w:val="002B7C44"/>
    <w:rsid w:val="002C2B17"/>
    <w:rsid w:val="002D3DD0"/>
    <w:rsid w:val="002E1F3A"/>
    <w:rsid w:val="002E298A"/>
    <w:rsid w:val="00300250"/>
    <w:rsid w:val="00301978"/>
    <w:rsid w:val="0030332C"/>
    <w:rsid w:val="003051C2"/>
    <w:rsid w:val="00312296"/>
    <w:rsid w:val="00314F0E"/>
    <w:rsid w:val="00321D8E"/>
    <w:rsid w:val="00325928"/>
    <w:rsid w:val="00332863"/>
    <w:rsid w:val="0033684D"/>
    <w:rsid w:val="00337B42"/>
    <w:rsid w:val="00341B42"/>
    <w:rsid w:val="0034348F"/>
    <w:rsid w:val="003535D2"/>
    <w:rsid w:val="00356653"/>
    <w:rsid w:val="0035743F"/>
    <w:rsid w:val="00357BE2"/>
    <w:rsid w:val="0036170C"/>
    <w:rsid w:val="00366E0F"/>
    <w:rsid w:val="00381A72"/>
    <w:rsid w:val="00384676"/>
    <w:rsid w:val="00387218"/>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177A"/>
    <w:rsid w:val="00484B9B"/>
    <w:rsid w:val="004855F6"/>
    <w:rsid w:val="0048661E"/>
    <w:rsid w:val="00494670"/>
    <w:rsid w:val="004A3823"/>
    <w:rsid w:val="004C3C2C"/>
    <w:rsid w:val="004E6946"/>
    <w:rsid w:val="004E78B0"/>
    <w:rsid w:val="004F1AD8"/>
    <w:rsid w:val="004F1D71"/>
    <w:rsid w:val="005039CB"/>
    <w:rsid w:val="0050558F"/>
    <w:rsid w:val="00506286"/>
    <w:rsid w:val="00510813"/>
    <w:rsid w:val="00511990"/>
    <w:rsid w:val="00511DE0"/>
    <w:rsid w:val="00514870"/>
    <w:rsid w:val="00514B9B"/>
    <w:rsid w:val="0051720F"/>
    <w:rsid w:val="00517F02"/>
    <w:rsid w:val="005224ED"/>
    <w:rsid w:val="00524303"/>
    <w:rsid w:val="005258A2"/>
    <w:rsid w:val="005304F9"/>
    <w:rsid w:val="005401AE"/>
    <w:rsid w:val="00542E07"/>
    <w:rsid w:val="00545424"/>
    <w:rsid w:val="00554A7B"/>
    <w:rsid w:val="00555294"/>
    <w:rsid w:val="0055572C"/>
    <w:rsid w:val="0056106A"/>
    <w:rsid w:val="005720AE"/>
    <w:rsid w:val="00594D77"/>
    <w:rsid w:val="005969E4"/>
    <w:rsid w:val="005A06B7"/>
    <w:rsid w:val="005A1759"/>
    <w:rsid w:val="005A68A7"/>
    <w:rsid w:val="005C07FA"/>
    <w:rsid w:val="005C7ECD"/>
    <w:rsid w:val="005D36AB"/>
    <w:rsid w:val="005F2842"/>
    <w:rsid w:val="00617CC3"/>
    <w:rsid w:val="006377A6"/>
    <w:rsid w:val="006378E4"/>
    <w:rsid w:val="00637A3D"/>
    <w:rsid w:val="006411EF"/>
    <w:rsid w:val="006420EC"/>
    <w:rsid w:val="0065702C"/>
    <w:rsid w:val="006748B8"/>
    <w:rsid w:val="006775C3"/>
    <w:rsid w:val="0069290A"/>
    <w:rsid w:val="0069775A"/>
    <w:rsid w:val="00697813"/>
    <w:rsid w:val="006A3EE8"/>
    <w:rsid w:val="006A72BF"/>
    <w:rsid w:val="006B03F2"/>
    <w:rsid w:val="006B37DC"/>
    <w:rsid w:val="006B4F68"/>
    <w:rsid w:val="006B689B"/>
    <w:rsid w:val="006C0592"/>
    <w:rsid w:val="006C272E"/>
    <w:rsid w:val="006C5479"/>
    <w:rsid w:val="006D13B5"/>
    <w:rsid w:val="006E12FF"/>
    <w:rsid w:val="006E607E"/>
    <w:rsid w:val="007057BA"/>
    <w:rsid w:val="00706C5D"/>
    <w:rsid w:val="00732922"/>
    <w:rsid w:val="0075162E"/>
    <w:rsid w:val="00754034"/>
    <w:rsid w:val="00756556"/>
    <w:rsid w:val="007618C4"/>
    <w:rsid w:val="00767980"/>
    <w:rsid w:val="00770B19"/>
    <w:rsid w:val="0077463F"/>
    <w:rsid w:val="007836EA"/>
    <w:rsid w:val="00784CDA"/>
    <w:rsid w:val="007906C4"/>
    <w:rsid w:val="00791927"/>
    <w:rsid w:val="007940EA"/>
    <w:rsid w:val="007967E8"/>
    <w:rsid w:val="0079782D"/>
    <w:rsid w:val="007A2170"/>
    <w:rsid w:val="007A22BF"/>
    <w:rsid w:val="007A3323"/>
    <w:rsid w:val="007B72B8"/>
    <w:rsid w:val="007B7A58"/>
    <w:rsid w:val="007C21B5"/>
    <w:rsid w:val="007C272A"/>
    <w:rsid w:val="007E4BD2"/>
    <w:rsid w:val="007F2C2A"/>
    <w:rsid w:val="00801393"/>
    <w:rsid w:val="00802F88"/>
    <w:rsid w:val="0081293E"/>
    <w:rsid w:val="00815465"/>
    <w:rsid w:val="00817E9A"/>
    <w:rsid w:val="00825B76"/>
    <w:rsid w:val="008306BD"/>
    <w:rsid w:val="00831A80"/>
    <w:rsid w:val="00831FC7"/>
    <w:rsid w:val="00833743"/>
    <w:rsid w:val="008340A4"/>
    <w:rsid w:val="0087135F"/>
    <w:rsid w:val="00872D94"/>
    <w:rsid w:val="00880364"/>
    <w:rsid w:val="00891592"/>
    <w:rsid w:val="00891E9E"/>
    <w:rsid w:val="008A244B"/>
    <w:rsid w:val="008A2F68"/>
    <w:rsid w:val="008B1880"/>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3B56"/>
    <w:rsid w:val="00911849"/>
    <w:rsid w:val="0091736D"/>
    <w:rsid w:val="0093037A"/>
    <w:rsid w:val="00935E57"/>
    <w:rsid w:val="0094154D"/>
    <w:rsid w:val="0095155F"/>
    <w:rsid w:val="00954429"/>
    <w:rsid w:val="009563CE"/>
    <w:rsid w:val="00976328"/>
    <w:rsid w:val="0097680D"/>
    <w:rsid w:val="00982438"/>
    <w:rsid w:val="0098404C"/>
    <w:rsid w:val="00985283"/>
    <w:rsid w:val="00994310"/>
    <w:rsid w:val="00995992"/>
    <w:rsid w:val="009A03E5"/>
    <w:rsid w:val="009A0F3B"/>
    <w:rsid w:val="009A1BB4"/>
    <w:rsid w:val="009A2628"/>
    <w:rsid w:val="009A3200"/>
    <w:rsid w:val="009B0897"/>
    <w:rsid w:val="009B776F"/>
    <w:rsid w:val="009B7A38"/>
    <w:rsid w:val="009B7BD9"/>
    <w:rsid w:val="009C7DD5"/>
    <w:rsid w:val="009D0EA3"/>
    <w:rsid w:val="009E227D"/>
    <w:rsid w:val="009E5019"/>
    <w:rsid w:val="009F5D24"/>
    <w:rsid w:val="00A04F1B"/>
    <w:rsid w:val="00A0501B"/>
    <w:rsid w:val="00A14947"/>
    <w:rsid w:val="00A32A83"/>
    <w:rsid w:val="00A368DB"/>
    <w:rsid w:val="00A405BA"/>
    <w:rsid w:val="00A42109"/>
    <w:rsid w:val="00A423AA"/>
    <w:rsid w:val="00A53EC6"/>
    <w:rsid w:val="00A55C0F"/>
    <w:rsid w:val="00A65113"/>
    <w:rsid w:val="00A732CD"/>
    <w:rsid w:val="00A748E6"/>
    <w:rsid w:val="00A766A5"/>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15FE"/>
    <w:rsid w:val="00B22C5C"/>
    <w:rsid w:val="00B24F30"/>
    <w:rsid w:val="00B31ABF"/>
    <w:rsid w:val="00B33BE3"/>
    <w:rsid w:val="00B53B5D"/>
    <w:rsid w:val="00B6055E"/>
    <w:rsid w:val="00B6110D"/>
    <w:rsid w:val="00B6317D"/>
    <w:rsid w:val="00B741E1"/>
    <w:rsid w:val="00B7723F"/>
    <w:rsid w:val="00B80534"/>
    <w:rsid w:val="00B8433C"/>
    <w:rsid w:val="00B87491"/>
    <w:rsid w:val="00BA29E9"/>
    <w:rsid w:val="00BA695A"/>
    <w:rsid w:val="00BA7142"/>
    <w:rsid w:val="00BB237C"/>
    <w:rsid w:val="00BB41A3"/>
    <w:rsid w:val="00BC32DC"/>
    <w:rsid w:val="00BC35B6"/>
    <w:rsid w:val="00BD1B51"/>
    <w:rsid w:val="00BD33C7"/>
    <w:rsid w:val="00BD4596"/>
    <w:rsid w:val="00BE1405"/>
    <w:rsid w:val="00BE312D"/>
    <w:rsid w:val="00BE68BF"/>
    <w:rsid w:val="00BE7797"/>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4667"/>
    <w:rsid w:val="00C972B1"/>
    <w:rsid w:val="00CA2CCE"/>
    <w:rsid w:val="00CA43FD"/>
    <w:rsid w:val="00CA7EF8"/>
    <w:rsid w:val="00CC489B"/>
    <w:rsid w:val="00CD2BCD"/>
    <w:rsid w:val="00CD3A4C"/>
    <w:rsid w:val="00CE0B0C"/>
    <w:rsid w:val="00CE10E9"/>
    <w:rsid w:val="00CE1892"/>
    <w:rsid w:val="00CE2910"/>
    <w:rsid w:val="00CE5393"/>
    <w:rsid w:val="00CF36BE"/>
    <w:rsid w:val="00CF6000"/>
    <w:rsid w:val="00D003F3"/>
    <w:rsid w:val="00D0364F"/>
    <w:rsid w:val="00D06834"/>
    <w:rsid w:val="00D21D6C"/>
    <w:rsid w:val="00D308ED"/>
    <w:rsid w:val="00D36D86"/>
    <w:rsid w:val="00D428AA"/>
    <w:rsid w:val="00D50A34"/>
    <w:rsid w:val="00D53EFA"/>
    <w:rsid w:val="00D94A7C"/>
    <w:rsid w:val="00D95896"/>
    <w:rsid w:val="00DB2983"/>
    <w:rsid w:val="00DC1257"/>
    <w:rsid w:val="00DC3DC0"/>
    <w:rsid w:val="00DC5B2B"/>
    <w:rsid w:val="00DD318D"/>
    <w:rsid w:val="00DE635F"/>
    <w:rsid w:val="00DF2E12"/>
    <w:rsid w:val="00DF514A"/>
    <w:rsid w:val="00DF6690"/>
    <w:rsid w:val="00DF6804"/>
    <w:rsid w:val="00E0358D"/>
    <w:rsid w:val="00E04323"/>
    <w:rsid w:val="00E070A2"/>
    <w:rsid w:val="00E12AC0"/>
    <w:rsid w:val="00E2656A"/>
    <w:rsid w:val="00E412D0"/>
    <w:rsid w:val="00E56322"/>
    <w:rsid w:val="00E60290"/>
    <w:rsid w:val="00E60982"/>
    <w:rsid w:val="00E62C62"/>
    <w:rsid w:val="00E654C1"/>
    <w:rsid w:val="00E65D97"/>
    <w:rsid w:val="00E65F21"/>
    <w:rsid w:val="00E72A5A"/>
    <w:rsid w:val="00E73354"/>
    <w:rsid w:val="00E9242D"/>
    <w:rsid w:val="00E964B7"/>
    <w:rsid w:val="00EA4154"/>
    <w:rsid w:val="00EB5255"/>
    <w:rsid w:val="00EB5C47"/>
    <w:rsid w:val="00EB710C"/>
    <w:rsid w:val="00ED0639"/>
    <w:rsid w:val="00EF4755"/>
    <w:rsid w:val="00EF670C"/>
    <w:rsid w:val="00EF7135"/>
    <w:rsid w:val="00F027DB"/>
    <w:rsid w:val="00F14A7A"/>
    <w:rsid w:val="00F22985"/>
    <w:rsid w:val="00F3383E"/>
    <w:rsid w:val="00F44431"/>
    <w:rsid w:val="00F465A7"/>
    <w:rsid w:val="00F475F8"/>
    <w:rsid w:val="00F50B7C"/>
    <w:rsid w:val="00F550E6"/>
    <w:rsid w:val="00F74345"/>
    <w:rsid w:val="00F80A0A"/>
    <w:rsid w:val="00F82B19"/>
    <w:rsid w:val="00F9212D"/>
    <w:rsid w:val="00F965DA"/>
    <w:rsid w:val="00FA406A"/>
    <w:rsid w:val="00FB503A"/>
    <w:rsid w:val="00FB516C"/>
    <w:rsid w:val="00FB6CAE"/>
    <w:rsid w:val="00FD0236"/>
    <w:rsid w:val="00FD18F4"/>
    <w:rsid w:val="00FD54DB"/>
    <w:rsid w:val="00FD619F"/>
    <w:rsid w:val="011040C2"/>
    <w:rsid w:val="011572BA"/>
    <w:rsid w:val="01290F7E"/>
    <w:rsid w:val="013B7FED"/>
    <w:rsid w:val="015956FE"/>
    <w:rsid w:val="015D1E09"/>
    <w:rsid w:val="017901D4"/>
    <w:rsid w:val="018C6DA7"/>
    <w:rsid w:val="019E6753"/>
    <w:rsid w:val="019F4535"/>
    <w:rsid w:val="01A542A4"/>
    <w:rsid w:val="01BB482E"/>
    <w:rsid w:val="01DB4087"/>
    <w:rsid w:val="02107534"/>
    <w:rsid w:val="022856BF"/>
    <w:rsid w:val="02400916"/>
    <w:rsid w:val="025D6487"/>
    <w:rsid w:val="02697903"/>
    <w:rsid w:val="028D19BD"/>
    <w:rsid w:val="028E3CEC"/>
    <w:rsid w:val="02A527EB"/>
    <w:rsid w:val="02C65AAB"/>
    <w:rsid w:val="02E03530"/>
    <w:rsid w:val="02F96569"/>
    <w:rsid w:val="032156BB"/>
    <w:rsid w:val="032A3DCE"/>
    <w:rsid w:val="03521C71"/>
    <w:rsid w:val="03637BF6"/>
    <w:rsid w:val="039D2DB9"/>
    <w:rsid w:val="03B02D91"/>
    <w:rsid w:val="03B978B9"/>
    <w:rsid w:val="03BC4152"/>
    <w:rsid w:val="03CB0268"/>
    <w:rsid w:val="03D71155"/>
    <w:rsid w:val="03EA7B21"/>
    <w:rsid w:val="03FC006E"/>
    <w:rsid w:val="04080E4C"/>
    <w:rsid w:val="040E7E52"/>
    <w:rsid w:val="043E4CBB"/>
    <w:rsid w:val="044A77B8"/>
    <w:rsid w:val="04797892"/>
    <w:rsid w:val="04D116D5"/>
    <w:rsid w:val="055F3490"/>
    <w:rsid w:val="056C65A0"/>
    <w:rsid w:val="05751746"/>
    <w:rsid w:val="05846E78"/>
    <w:rsid w:val="05944FC0"/>
    <w:rsid w:val="05A30B5E"/>
    <w:rsid w:val="05AF3BE5"/>
    <w:rsid w:val="05B11B1F"/>
    <w:rsid w:val="05F35081"/>
    <w:rsid w:val="05F356D1"/>
    <w:rsid w:val="05F83EAE"/>
    <w:rsid w:val="061C1C36"/>
    <w:rsid w:val="063E7D85"/>
    <w:rsid w:val="06572CC9"/>
    <w:rsid w:val="065A2999"/>
    <w:rsid w:val="066137C9"/>
    <w:rsid w:val="066C4FAC"/>
    <w:rsid w:val="06783F44"/>
    <w:rsid w:val="068F44A0"/>
    <w:rsid w:val="06DD4179"/>
    <w:rsid w:val="06EA0324"/>
    <w:rsid w:val="06EE06AA"/>
    <w:rsid w:val="06F1184F"/>
    <w:rsid w:val="07064767"/>
    <w:rsid w:val="0716726C"/>
    <w:rsid w:val="07293586"/>
    <w:rsid w:val="07295285"/>
    <w:rsid w:val="07312B31"/>
    <w:rsid w:val="07382137"/>
    <w:rsid w:val="07472B48"/>
    <w:rsid w:val="07636392"/>
    <w:rsid w:val="0764239D"/>
    <w:rsid w:val="07770C56"/>
    <w:rsid w:val="07845A7B"/>
    <w:rsid w:val="078C01DD"/>
    <w:rsid w:val="07986438"/>
    <w:rsid w:val="07A347FB"/>
    <w:rsid w:val="07A4757A"/>
    <w:rsid w:val="07BC1917"/>
    <w:rsid w:val="07C25150"/>
    <w:rsid w:val="07FF5CD7"/>
    <w:rsid w:val="08444BA1"/>
    <w:rsid w:val="08545D2C"/>
    <w:rsid w:val="08731938"/>
    <w:rsid w:val="08932F88"/>
    <w:rsid w:val="089616EA"/>
    <w:rsid w:val="08B35707"/>
    <w:rsid w:val="08B460D6"/>
    <w:rsid w:val="08CB0F1F"/>
    <w:rsid w:val="090F464B"/>
    <w:rsid w:val="09186814"/>
    <w:rsid w:val="092217DD"/>
    <w:rsid w:val="093A7294"/>
    <w:rsid w:val="09436A8B"/>
    <w:rsid w:val="09490476"/>
    <w:rsid w:val="0955298C"/>
    <w:rsid w:val="09564828"/>
    <w:rsid w:val="09B8405E"/>
    <w:rsid w:val="09BB69D2"/>
    <w:rsid w:val="09DE78CE"/>
    <w:rsid w:val="0A0E7321"/>
    <w:rsid w:val="0A1E4E03"/>
    <w:rsid w:val="0A263993"/>
    <w:rsid w:val="0A2D3AC2"/>
    <w:rsid w:val="0AA30951"/>
    <w:rsid w:val="0AA755DF"/>
    <w:rsid w:val="0ACF1529"/>
    <w:rsid w:val="0AE90537"/>
    <w:rsid w:val="0B022976"/>
    <w:rsid w:val="0B120D44"/>
    <w:rsid w:val="0B304703"/>
    <w:rsid w:val="0B563E2F"/>
    <w:rsid w:val="0B5D42D1"/>
    <w:rsid w:val="0B5F3AC8"/>
    <w:rsid w:val="0B747CEB"/>
    <w:rsid w:val="0BA5191D"/>
    <w:rsid w:val="0BB12181"/>
    <w:rsid w:val="0BC067AC"/>
    <w:rsid w:val="0BD116F9"/>
    <w:rsid w:val="0BD17594"/>
    <w:rsid w:val="0BD27BF6"/>
    <w:rsid w:val="0C1464BD"/>
    <w:rsid w:val="0C3B3C7D"/>
    <w:rsid w:val="0C6D7841"/>
    <w:rsid w:val="0C73394D"/>
    <w:rsid w:val="0C983846"/>
    <w:rsid w:val="0C9E6F30"/>
    <w:rsid w:val="0C9F2173"/>
    <w:rsid w:val="0CAB2EAE"/>
    <w:rsid w:val="0CBA7FC1"/>
    <w:rsid w:val="0CDA43CD"/>
    <w:rsid w:val="0CDE0899"/>
    <w:rsid w:val="0CE818D5"/>
    <w:rsid w:val="0D046419"/>
    <w:rsid w:val="0D190E1B"/>
    <w:rsid w:val="0D2703C9"/>
    <w:rsid w:val="0D621C7D"/>
    <w:rsid w:val="0D704B97"/>
    <w:rsid w:val="0D863C47"/>
    <w:rsid w:val="0DB81064"/>
    <w:rsid w:val="0DBF6330"/>
    <w:rsid w:val="0E0613A2"/>
    <w:rsid w:val="0E13003E"/>
    <w:rsid w:val="0E2A4195"/>
    <w:rsid w:val="0E32140E"/>
    <w:rsid w:val="0E3E3CC5"/>
    <w:rsid w:val="0E3F5923"/>
    <w:rsid w:val="0E6B4961"/>
    <w:rsid w:val="0E6C3FD2"/>
    <w:rsid w:val="0E73034D"/>
    <w:rsid w:val="0E973524"/>
    <w:rsid w:val="0EC00573"/>
    <w:rsid w:val="0EC749CA"/>
    <w:rsid w:val="0F0B209A"/>
    <w:rsid w:val="0F13775A"/>
    <w:rsid w:val="0F151EF0"/>
    <w:rsid w:val="0F213965"/>
    <w:rsid w:val="0F360E40"/>
    <w:rsid w:val="0F3C5F34"/>
    <w:rsid w:val="0F4E652C"/>
    <w:rsid w:val="0F5F45FE"/>
    <w:rsid w:val="0F7A39C6"/>
    <w:rsid w:val="0F9A112B"/>
    <w:rsid w:val="0F9B0CA3"/>
    <w:rsid w:val="0FD650F3"/>
    <w:rsid w:val="10013781"/>
    <w:rsid w:val="102D0195"/>
    <w:rsid w:val="102E2A24"/>
    <w:rsid w:val="1034207E"/>
    <w:rsid w:val="10495407"/>
    <w:rsid w:val="104E18E9"/>
    <w:rsid w:val="106D2F64"/>
    <w:rsid w:val="106E211C"/>
    <w:rsid w:val="107734BD"/>
    <w:rsid w:val="10900AB5"/>
    <w:rsid w:val="10A74413"/>
    <w:rsid w:val="10B63710"/>
    <w:rsid w:val="10C83FAA"/>
    <w:rsid w:val="10CE3E2D"/>
    <w:rsid w:val="10F10820"/>
    <w:rsid w:val="111C2F7A"/>
    <w:rsid w:val="115C391A"/>
    <w:rsid w:val="11665CA1"/>
    <w:rsid w:val="116F49F7"/>
    <w:rsid w:val="118904BE"/>
    <w:rsid w:val="118E4972"/>
    <w:rsid w:val="11B934E8"/>
    <w:rsid w:val="12056AA3"/>
    <w:rsid w:val="121471B9"/>
    <w:rsid w:val="121B78CA"/>
    <w:rsid w:val="122B62C4"/>
    <w:rsid w:val="1238183C"/>
    <w:rsid w:val="12864774"/>
    <w:rsid w:val="129B3992"/>
    <w:rsid w:val="12BA3BA4"/>
    <w:rsid w:val="130857C5"/>
    <w:rsid w:val="13164D26"/>
    <w:rsid w:val="1337314B"/>
    <w:rsid w:val="134C59C0"/>
    <w:rsid w:val="13700D51"/>
    <w:rsid w:val="137B1FAA"/>
    <w:rsid w:val="137E4DB5"/>
    <w:rsid w:val="13951726"/>
    <w:rsid w:val="13AC685C"/>
    <w:rsid w:val="13C07276"/>
    <w:rsid w:val="13E07C9A"/>
    <w:rsid w:val="14061EBC"/>
    <w:rsid w:val="14250618"/>
    <w:rsid w:val="14396509"/>
    <w:rsid w:val="145A643D"/>
    <w:rsid w:val="145F6B26"/>
    <w:rsid w:val="149A5D06"/>
    <w:rsid w:val="14A26068"/>
    <w:rsid w:val="14A62ACD"/>
    <w:rsid w:val="14C440C5"/>
    <w:rsid w:val="14DB0796"/>
    <w:rsid w:val="14DD2C3C"/>
    <w:rsid w:val="14E603DE"/>
    <w:rsid w:val="14E925BD"/>
    <w:rsid w:val="14F808ED"/>
    <w:rsid w:val="150141BB"/>
    <w:rsid w:val="1505641E"/>
    <w:rsid w:val="153F10BD"/>
    <w:rsid w:val="154C69D1"/>
    <w:rsid w:val="158635E4"/>
    <w:rsid w:val="15A13265"/>
    <w:rsid w:val="15BD405A"/>
    <w:rsid w:val="15C479C0"/>
    <w:rsid w:val="15D346A7"/>
    <w:rsid w:val="16087E1D"/>
    <w:rsid w:val="16510BD4"/>
    <w:rsid w:val="16A10D55"/>
    <w:rsid w:val="16A35302"/>
    <w:rsid w:val="16A53E3A"/>
    <w:rsid w:val="16A64E1D"/>
    <w:rsid w:val="16A853DE"/>
    <w:rsid w:val="16C45641"/>
    <w:rsid w:val="16DC7376"/>
    <w:rsid w:val="16EB6BBE"/>
    <w:rsid w:val="172159B0"/>
    <w:rsid w:val="1726284B"/>
    <w:rsid w:val="17397720"/>
    <w:rsid w:val="17464E2F"/>
    <w:rsid w:val="174F447D"/>
    <w:rsid w:val="17701D14"/>
    <w:rsid w:val="17735226"/>
    <w:rsid w:val="17876278"/>
    <w:rsid w:val="17A62093"/>
    <w:rsid w:val="17B47202"/>
    <w:rsid w:val="17C65A1E"/>
    <w:rsid w:val="17CA3693"/>
    <w:rsid w:val="17E27AD1"/>
    <w:rsid w:val="18055854"/>
    <w:rsid w:val="18187335"/>
    <w:rsid w:val="182137C0"/>
    <w:rsid w:val="18232697"/>
    <w:rsid w:val="1839217F"/>
    <w:rsid w:val="18521F71"/>
    <w:rsid w:val="18650EDA"/>
    <w:rsid w:val="189F624C"/>
    <w:rsid w:val="18B07432"/>
    <w:rsid w:val="18B65F6B"/>
    <w:rsid w:val="18B800A1"/>
    <w:rsid w:val="18C3565C"/>
    <w:rsid w:val="18D81990"/>
    <w:rsid w:val="18DC0363"/>
    <w:rsid w:val="192B753D"/>
    <w:rsid w:val="197D3D85"/>
    <w:rsid w:val="19CB2645"/>
    <w:rsid w:val="19F20952"/>
    <w:rsid w:val="1A1C66C0"/>
    <w:rsid w:val="1A42393B"/>
    <w:rsid w:val="1A58328D"/>
    <w:rsid w:val="1A6952DE"/>
    <w:rsid w:val="1A766A8F"/>
    <w:rsid w:val="1A845B35"/>
    <w:rsid w:val="1AAD45DE"/>
    <w:rsid w:val="1AE0380C"/>
    <w:rsid w:val="1B046F80"/>
    <w:rsid w:val="1B124765"/>
    <w:rsid w:val="1B160AA0"/>
    <w:rsid w:val="1B2A38E1"/>
    <w:rsid w:val="1B3267B5"/>
    <w:rsid w:val="1B3A70DB"/>
    <w:rsid w:val="1B40161D"/>
    <w:rsid w:val="1B441859"/>
    <w:rsid w:val="1B477176"/>
    <w:rsid w:val="1B641B62"/>
    <w:rsid w:val="1B6606B1"/>
    <w:rsid w:val="1B844638"/>
    <w:rsid w:val="1B8F4C8D"/>
    <w:rsid w:val="1BC507A4"/>
    <w:rsid w:val="1BF4040F"/>
    <w:rsid w:val="1C1954D6"/>
    <w:rsid w:val="1C2427E5"/>
    <w:rsid w:val="1C367417"/>
    <w:rsid w:val="1C452058"/>
    <w:rsid w:val="1C4E31F6"/>
    <w:rsid w:val="1C5E7925"/>
    <w:rsid w:val="1C612174"/>
    <w:rsid w:val="1C746B56"/>
    <w:rsid w:val="1C812C26"/>
    <w:rsid w:val="1C857FF6"/>
    <w:rsid w:val="1CBB7746"/>
    <w:rsid w:val="1CDE03D6"/>
    <w:rsid w:val="1CE666A9"/>
    <w:rsid w:val="1CF97F30"/>
    <w:rsid w:val="1CFB4859"/>
    <w:rsid w:val="1CFD070F"/>
    <w:rsid w:val="1CFE7ACE"/>
    <w:rsid w:val="1D045B29"/>
    <w:rsid w:val="1D0E10E9"/>
    <w:rsid w:val="1D2D0FBC"/>
    <w:rsid w:val="1D5C173A"/>
    <w:rsid w:val="1D5F6196"/>
    <w:rsid w:val="1D6132A5"/>
    <w:rsid w:val="1D7F0315"/>
    <w:rsid w:val="1D8E56D5"/>
    <w:rsid w:val="1D90647E"/>
    <w:rsid w:val="1DB652FA"/>
    <w:rsid w:val="1DC80C3C"/>
    <w:rsid w:val="1DD127FC"/>
    <w:rsid w:val="1DF64E80"/>
    <w:rsid w:val="1E3F0CF0"/>
    <w:rsid w:val="1E577EE4"/>
    <w:rsid w:val="1E627550"/>
    <w:rsid w:val="1E7A43DA"/>
    <w:rsid w:val="1E8753D7"/>
    <w:rsid w:val="1EC40588"/>
    <w:rsid w:val="1EE80FF0"/>
    <w:rsid w:val="1EEE6A14"/>
    <w:rsid w:val="1EF74A04"/>
    <w:rsid w:val="1F1F3B71"/>
    <w:rsid w:val="1F252C41"/>
    <w:rsid w:val="1F330EF8"/>
    <w:rsid w:val="1F616F42"/>
    <w:rsid w:val="1F63002C"/>
    <w:rsid w:val="1F6A7FEC"/>
    <w:rsid w:val="1F7B7170"/>
    <w:rsid w:val="1F8A2475"/>
    <w:rsid w:val="1FC7469A"/>
    <w:rsid w:val="1FE7539E"/>
    <w:rsid w:val="202A674C"/>
    <w:rsid w:val="204415CE"/>
    <w:rsid w:val="205C4589"/>
    <w:rsid w:val="20671BE0"/>
    <w:rsid w:val="207211A9"/>
    <w:rsid w:val="20963CB8"/>
    <w:rsid w:val="20A531D6"/>
    <w:rsid w:val="20A76384"/>
    <w:rsid w:val="20A81A1B"/>
    <w:rsid w:val="20B07FB6"/>
    <w:rsid w:val="20B646FB"/>
    <w:rsid w:val="20C01E33"/>
    <w:rsid w:val="20C1459D"/>
    <w:rsid w:val="20F16E63"/>
    <w:rsid w:val="212140B3"/>
    <w:rsid w:val="21231C50"/>
    <w:rsid w:val="213B74B1"/>
    <w:rsid w:val="214B1ADB"/>
    <w:rsid w:val="2151563B"/>
    <w:rsid w:val="2156131D"/>
    <w:rsid w:val="215A2310"/>
    <w:rsid w:val="216059F4"/>
    <w:rsid w:val="21950B5B"/>
    <w:rsid w:val="219B5B32"/>
    <w:rsid w:val="21BF77B6"/>
    <w:rsid w:val="21C3129A"/>
    <w:rsid w:val="21C53860"/>
    <w:rsid w:val="21D674B1"/>
    <w:rsid w:val="21DE318A"/>
    <w:rsid w:val="21E86323"/>
    <w:rsid w:val="21EC3869"/>
    <w:rsid w:val="21EF5B80"/>
    <w:rsid w:val="220E0990"/>
    <w:rsid w:val="223D4E92"/>
    <w:rsid w:val="22576990"/>
    <w:rsid w:val="227A6BA1"/>
    <w:rsid w:val="22873149"/>
    <w:rsid w:val="229323DA"/>
    <w:rsid w:val="22943190"/>
    <w:rsid w:val="22981640"/>
    <w:rsid w:val="22B22CA1"/>
    <w:rsid w:val="22CF00F1"/>
    <w:rsid w:val="22DE456A"/>
    <w:rsid w:val="22F47480"/>
    <w:rsid w:val="22F5350C"/>
    <w:rsid w:val="23262C59"/>
    <w:rsid w:val="236857CF"/>
    <w:rsid w:val="238C2C99"/>
    <w:rsid w:val="238C7E59"/>
    <w:rsid w:val="23BA005D"/>
    <w:rsid w:val="23BA1F9F"/>
    <w:rsid w:val="23DE1C48"/>
    <w:rsid w:val="240210CD"/>
    <w:rsid w:val="24731B38"/>
    <w:rsid w:val="248E586B"/>
    <w:rsid w:val="24977862"/>
    <w:rsid w:val="24AA00F8"/>
    <w:rsid w:val="24BD60C5"/>
    <w:rsid w:val="24BF09F7"/>
    <w:rsid w:val="24D40C9F"/>
    <w:rsid w:val="24E14A25"/>
    <w:rsid w:val="24E260EC"/>
    <w:rsid w:val="24FF6AA2"/>
    <w:rsid w:val="25106D76"/>
    <w:rsid w:val="25120E0E"/>
    <w:rsid w:val="2512337A"/>
    <w:rsid w:val="25174145"/>
    <w:rsid w:val="2520478D"/>
    <w:rsid w:val="252D53FE"/>
    <w:rsid w:val="252D7C9D"/>
    <w:rsid w:val="253E1F57"/>
    <w:rsid w:val="254C28E1"/>
    <w:rsid w:val="257A63F2"/>
    <w:rsid w:val="25802283"/>
    <w:rsid w:val="25A538F7"/>
    <w:rsid w:val="25AB7200"/>
    <w:rsid w:val="25C7238F"/>
    <w:rsid w:val="25EC2D81"/>
    <w:rsid w:val="25EC3819"/>
    <w:rsid w:val="25F25CCF"/>
    <w:rsid w:val="26160CF1"/>
    <w:rsid w:val="262B0DCC"/>
    <w:rsid w:val="262C3165"/>
    <w:rsid w:val="26346AE8"/>
    <w:rsid w:val="265377F4"/>
    <w:rsid w:val="265A05A4"/>
    <w:rsid w:val="265A233B"/>
    <w:rsid w:val="267D3CE1"/>
    <w:rsid w:val="26AB5961"/>
    <w:rsid w:val="26B50EE9"/>
    <w:rsid w:val="26D12BCB"/>
    <w:rsid w:val="26DC62AF"/>
    <w:rsid w:val="270765BE"/>
    <w:rsid w:val="270D202F"/>
    <w:rsid w:val="27481ECB"/>
    <w:rsid w:val="27674C48"/>
    <w:rsid w:val="277057A2"/>
    <w:rsid w:val="277B4EC7"/>
    <w:rsid w:val="2781360E"/>
    <w:rsid w:val="27835527"/>
    <w:rsid w:val="278519EE"/>
    <w:rsid w:val="27AD31D7"/>
    <w:rsid w:val="27BE43CF"/>
    <w:rsid w:val="2804245F"/>
    <w:rsid w:val="280F2F65"/>
    <w:rsid w:val="282038BF"/>
    <w:rsid w:val="288821C7"/>
    <w:rsid w:val="289D0327"/>
    <w:rsid w:val="28A6061E"/>
    <w:rsid w:val="28D306F0"/>
    <w:rsid w:val="28F2186C"/>
    <w:rsid w:val="28FC49D5"/>
    <w:rsid w:val="28FD6F52"/>
    <w:rsid w:val="29206EB8"/>
    <w:rsid w:val="29284883"/>
    <w:rsid w:val="293C40AA"/>
    <w:rsid w:val="29595666"/>
    <w:rsid w:val="295A682D"/>
    <w:rsid w:val="29617C22"/>
    <w:rsid w:val="296B3970"/>
    <w:rsid w:val="29833DCA"/>
    <w:rsid w:val="29874881"/>
    <w:rsid w:val="29874D98"/>
    <w:rsid w:val="29943847"/>
    <w:rsid w:val="29B15175"/>
    <w:rsid w:val="29CD4ED2"/>
    <w:rsid w:val="29DD0085"/>
    <w:rsid w:val="29E325E0"/>
    <w:rsid w:val="29EF123C"/>
    <w:rsid w:val="2A3B7D89"/>
    <w:rsid w:val="2A452503"/>
    <w:rsid w:val="2A47447C"/>
    <w:rsid w:val="2A490670"/>
    <w:rsid w:val="2A494F1D"/>
    <w:rsid w:val="2A784057"/>
    <w:rsid w:val="2A8E3BD2"/>
    <w:rsid w:val="2A9068E4"/>
    <w:rsid w:val="2ACB3B4E"/>
    <w:rsid w:val="2ACE4F19"/>
    <w:rsid w:val="2AD6629E"/>
    <w:rsid w:val="2ADC4A14"/>
    <w:rsid w:val="2AEE7B4B"/>
    <w:rsid w:val="2B052AE0"/>
    <w:rsid w:val="2B111C0F"/>
    <w:rsid w:val="2B127FE2"/>
    <w:rsid w:val="2B1F4BD1"/>
    <w:rsid w:val="2B384968"/>
    <w:rsid w:val="2B8B74EB"/>
    <w:rsid w:val="2B937287"/>
    <w:rsid w:val="2B9F599D"/>
    <w:rsid w:val="2BA936A8"/>
    <w:rsid w:val="2BD36B23"/>
    <w:rsid w:val="2BD40798"/>
    <w:rsid w:val="2C0475AC"/>
    <w:rsid w:val="2C146392"/>
    <w:rsid w:val="2C1B2A3D"/>
    <w:rsid w:val="2C1D22D7"/>
    <w:rsid w:val="2C27766B"/>
    <w:rsid w:val="2C291A8A"/>
    <w:rsid w:val="2C315A5A"/>
    <w:rsid w:val="2C4B1C25"/>
    <w:rsid w:val="2C874FDD"/>
    <w:rsid w:val="2C907766"/>
    <w:rsid w:val="2CC0496B"/>
    <w:rsid w:val="2D1A36A7"/>
    <w:rsid w:val="2D3358F5"/>
    <w:rsid w:val="2D4711F0"/>
    <w:rsid w:val="2D573EB0"/>
    <w:rsid w:val="2D681B72"/>
    <w:rsid w:val="2D9E56F5"/>
    <w:rsid w:val="2DE96A35"/>
    <w:rsid w:val="2E356BFB"/>
    <w:rsid w:val="2E633F3F"/>
    <w:rsid w:val="2E667F96"/>
    <w:rsid w:val="2E8226AB"/>
    <w:rsid w:val="2E885ED7"/>
    <w:rsid w:val="2E941FC0"/>
    <w:rsid w:val="2EBA2A9C"/>
    <w:rsid w:val="2EC83874"/>
    <w:rsid w:val="2EEB7386"/>
    <w:rsid w:val="2EF50521"/>
    <w:rsid w:val="2F0455AD"/>
    <w:rsid w:val="2F3C11EC"/>
    <w:rsid w:val="2F4F4BE0"/>
    <w:rsid w:val="2F6D0EE2"/>
    <w:rsid w:val="2F8315BD"/>
    <w:rsid w:val="2F8F5A48"/>
    <w:rsid w:val="2FAB5FFD"/>
    <w:rsid w:val="2FC72DB1"/>
    <w:rsid w:val="2FD065E6"/>
    <w:rsid w:val="2FD31C8F"/>
    <w:rsid w:val="2FD96870"/>
    <w:rsid w:val="2FDC6A42"/>
    <w:rsid w:val="2FF9182F"/>
    <w:rsid w:val="30214E8D"/>
    <w:rsid w:val="30245BB1"/>
    <w:rsid w:val="302862F0"/>
    <w:rsid w:val="30514BEB"/>
    <w:rsid w:val="30580BC9"/>
    <w:rsid w:val="30B05DCD"/>
    <w:rsid w:val="30CA2B9D"/>
    <w:rsid w:val="311E2ED7"/>
    <w:rsid w:val="315619EE"/>
    <w:rsid w:val="315C449C"/>
    <w:rsid w:val="316A3E19"/>
    <w:rsid w:val="316D3050"/>
    <w:rsid w:val="317C672F"/>
    <w:rsid w:val="31B82709"/>
    <w:rsid w:val="31CA02A4"/>
    <w:rsid w:val="31D05482"/>
    <w:rsid w:val="31D55FAB"/>
    <w:rsid w:val="31EF511D"/>
    <w:rsid w:val="31F7411D"/>
    <w:rsid w:val="32400B34"/>
    <w:rsid w:val="32545449"/>
    <w:rsid w:val="32844BAF"/>
    <w:rsid w:val="328E04CD"/>
    <w:rsid w:val="329E6876"/>
    <w:rsid w:val="32B1065A"/>
    <w:rsid w:val="32C82598"/>
    <w:rsid w:val="32E344E7"/>
    <w:rsid w:val="33012F64"/>
    <w:rsid w:val="332C7357"/>
    <w:rsid w:val="333015F2"/>
    <w:rsid w:val="334B6320"/>
    <w:rsid w:val="33653FED"/>
    <w:rsid w:val="33661445"/>
    <w:rsid w:val="338A7D93"/>
    <w:rsid w:val="339230B5"/>
    <w:rsid w:val="33AF144C"/>
    <w:rsid w:val="33B16C7F"/>
    <w:rsid w:val="33B46213"/>
    <w:rsid w:val="33B65E2A"/>
    <w:rsid w:val="33B82418"/>
    <w:rsid w:val="33BE791B"/>
    <w:rsid w:val="33D661D4"/>
    <w:rsid w:val="33D934D4"/>
    <w:rsid w:val="33E571A9"/>
    <w:rsid w:val="33FE2F6A"/>
    <w:rsid w:val="34046622"/>
    <w:rsid w:val="340E07E5"/>
    <w:rsid w:val="34235BF7"/>
    <w:rsid w:val="34584C76"/>
    <w:rsid w:val="345D2848"/>
    <w:rsid w:val="34C50180"/>
    <w:rsid w:val="34DA37AC"/>
    <w:rsid w:val="34FC2592"/>
    <w:rsid w:val="35161969"/>
    <w:rsid w:val="351F6350"/>
    <w:rsid w:val="3543289B"/>
    <w:rsid w:val="355D5A8F"/>
    <w:rsid w:val="35766BF2"/>
    <w:rsid w:val="357D480B"/>
    <w:rsid w:val="358C5FA8"/>
    <w:rsid w:val="35AB313F"/>
    <w:rsid w:val="35AD11A3"/>
    <w:rsid w:val="35B01EDE"/>
    <w:rsid w:val="35B36B05"/>
    <w:rsid w:val="35B64B86"/>
    <w:rsid w:val="35C15DF1"/>
    <w:rsid w:val="35EA7773"/>
    <w:rsid w:val="36074A7F"/>
    <w:rsid w:val="364E29F8"/>
    <w:rsid w:val="36694BF5"/>
    <w:rsid w:val="36867D15"/>
    <w:rsid w:val="36923549"/>
    <w:rsid w:val="369F323C"/>
    <w:rsid w:val="36B75FBF"/>
    <w:rsid w:val="36BD0C45"/>
    <w:rsid w:val="36BD6E47"/>
    <w:rsid w:val="37070849"/>
    <w:rsid w:val="371035AB"/>
    <w:rsid w:val="372F0FA1"/>
    <w:rsid w:val="374C2CE1"/>
    <w:rsid w:val="37873333"/>
    <w:rsid w:val="37A50505"/>
    <w:rsid w:val="37C40659"/>
    <w:rsid w:val="37D83EBD"/>
    <w:rsid w:val="37E00298"/>
    <w:rsid w:val="38501D72"/>
    <w:rsid w:val="38502424"/>
    <w:rsid w:val="385D624B"/>
    <w:rsid w:val="387D324E"/>
    <w:rsid w:val="388F4646"/>
    <w:rsid w:val="38B302F9"/>
    <w:rsid w:val="38CB7310"/>
    <w:rsid w:val="38F12CD3"/>
    <w:rsid w:val="38F94775"/>
    <w:rsid w:val="392971ED"/>
    <w:rsid w:val="39325651"/>
    <w:rsid w:val="39361836"/>
    <w:rsid w:val="39456EBC"/>
    <w:rsid w:val="396B11DE"/>
    <w:rsid w:val="399E32AD"/>
    <w:rsid w:val="39A11D5A"/>
    <w:rsid w:val="39F01391"/>
    <w:rsid w:val="3A0E28C5"/>
    <w:rsid w:val="3A430DC5"/>
    <w:rsid w:val="3A5677C1"/>
    <w:rsid w:val="3A601648"/>
    <w:rsid w:val="3A6D30A6"/>
    <w:rsid w:val="3A872856"/>
    <w:rsid w:val="3AAF70F0"/>
    <w:rsid w:val="3AC833C1"/>
    <w:rsid w:val="3AF350E0"/>
    <w:rsid w:val="3AF92B9E"/>
    <w:rsid w:val="3AFB3C72"/>
    <w:rsid w:val="3B1C261B"/>
    <w:rsid w:val="3B313DF3"/>
    <w:rsid w:val="3B3473DC"/>
    <w:rsid w:val="3B3763D1"/>
    <w:rsid w:val="3B544745"/>
    <w:rsid w:val="3B675019"/>
    <w:rsid w:val="3B767EE7"/>
    <w:rsid w:val="3B787A61"/>
    <w:rsid w:val="3B865FBD"/>
    <w:rsid w:val="3B923C42"/>
    <w:rsid w:val="3BBC26B3"/>
    <w:rsid w:val="3BBD3F9C"/>
    <w:rsid w:val="3BBE417F"/>
    <w:rsid w:val="3BCB797F"/>
    <w:rsid w:val="3BE41F5F"/>
    <w:rsid w:val="3BF147A3"/>
    <w:rsid w:val="3BFB2522"/>
    <w:rsid w:val="3C0E61D6"/>
    <w:rsid w:val="3C2201B2"/>
    <w:rsid w:val="3C261FF7"/>
    <w:rsid w:val="3C2F6E1E"/>
    <w:rsid w:val="3C37035D"/>
    <w:rsid w:val="3C467CB6"/>
    <w:rsid w:val="3C4F64BA"/>
    <w:rsid w:val="3C6138CF"/>
    <w:rsid w:val="3C977EC2"/>
    <w:rsid w:val="3C985507"/>
    <w:rsid w:val="3CA94192"/>
    <w:rsid w:val="3CC257BB"/>
    <w:rsid w:val="3CC2622E"/>
    <w:rsid w:val="3CDA245A"/>
    <w:rsid w:val="3CFD35EC"/>
    <w:rsid w:val="3CFF2045"/>
    <w:rsid w:val="3CFF6333"/>
    <w:rsid w:val="3D1E06B7"/>
    <w:rsid w:val="3D435284"/>
    <w:rsid w:val="3D791D75"/>
    <w:rsid w:val="3D9E1E0E"/>
    <w:rsid w:val="3DB62F97"/>
    <w:rsid w:val="3DB63D49"/>
    <w:rsid w:val="3DBB56FF"/>
    <w:rsid w:val="3DC4168B"/>
    <w:rsid w:val="3DC55A7F"/>
    <w:rsid w:val="3DFC5822"/>
    <w:rsid w:val="3E1453CC"/>
    <w:rsid w:val="3E1508D7"/>
    <w:rsid w:val="3E6A63C6"/>
    <w:rsid w:val="3E6C5EAC"/>
    <w:rsid w:val="3E791760"/>
    <w:rsid w:val="3ED26F54"/>
    <w:rsid w:val="3EDA0523"/>
    <w:rsid w:val="3EF93025"/>
    <w:rsid w:val="3F3D2E0F"/>
    <w:rsid w:val="3F5021C2"/>
    <w:rsid w:val="3F67063D"/>
    <w:rsid w:val="3F694BC7"/>
    <w:rsid w:val="3F7D3752"/>
    <w:rsid w:val="3F843560"/>
    <w:rsid w:val="3FAA5E4F"/>
    <w:rsid w:val="3FCB344E"/>
    <w:rsid w:val="3FEB3F44"/>
    <w:rsid w:val="3FF94AA0"/>
    <w:rsid w:val="400B5A9F"/>
    <w:rsid w:val="401727D5"/>
    <w:rsid w:val="40381330"/>
    <w:rsid w:val="4050667A"/>
    <w:rsid w:val="40532269"/>
    <w:rsid w:val="40603245"/>
    <w:rsid w:val="407A6407"/>
    <w:rsid w:val="40907B01"/>
    <w:rsid w:val="40A14FED"/>
    <w:rsid w:val="40B97EE0"/>
    <w:rsid w:val="40E52337"/>
    <w:rsid w:val="40E909FF"/>
    <w:rsid w:val="410F4145"/>
    <w:rsid w:val="41137CAF"/>
    <w:rsid w:val="416D721C"/>
    <w:rsid w:val="41783DD3"/>
    <w:rsid w:val="417866C4"/>
    <w:rsid w:val="418B4499"/>
    <w:rsid w:val="41905630"/>
    <w:rsid w:val="41B84E2A"/>
    <w:rsid w:val="41C77986"/>
    <w:rsid w:val="41D021A7"/>
    <w:rsid w:val="41D031AE"/>
    <w:rsid w:val="41D41C6F"/>
    <w:rsid w:val="41E722DD"/>
    <w:rsid w:val="41F177C2"/>
    <w:rsid w:val="41F24072"/>
    <w:rsid w:val="41F96EF8"/>
    <w:rsid w:val="41FB03AC"/>
    <w:rsid w:val="4200449D"/>
    <w:rsid w:val="423639F2"/>
    <w:rsid w:val="423A3BCC"/>
    <w:rsid w:val="42443965"/>
    <w:rsid w:val="424E57D2"/>
    <w:rsid w:val="42704CE2"/>
    <w:rsid w:val="427F2948"/>
    <w:rsid w:val="42AD6975"/>
    <w:rsid w:val="42B10936"/>
    <w:rsid w:val="42B26C49"/>
    <w:rsid w:val="42BD4AD7"/>
    <w:rsid w:val="42C83582"/>
    <w:rsid w:val="42D03D8E"/>
    <w:rsid w:val="42D73479"/>
    <w:rsid w:val="430F058D"/>
    <w:rsid w:val="43236A0A"/>
    <w:rsid w:val="43276F09"/>
    <w:rsid w:val="433A6FE6"/>
    <w:rsid w:val="43480868"/>
    <w:rsid w:val="4350713C"/>
    <w:rsid w:val="435B735B"/>
    <w:rsid w:val="436653E0"/>
    <w:rsid w:val="437D3681"/>
    <w:rsid w:val="43964BEC"/>
    <w:rsid w:val="43B26DF1"/>
    <w:rsid w:val="43B53C7B"/>
    <w:rsid w:val="43B93CD9"/>
    <w:rsid w:val="43C401ED"/>
    <w:rsid w:val="43C4431A"/>
    <w:rsid w:val="43D95533"/>
    <w:rsid w:val="43F12682"/>
    <w:rsid w:val="43F5302E"/>
    <w:rsid w:val="43F56834"/>
    <w:rsid w:val="43F74212"/>
    <w:rsid w:val="443A5909"/>
    <w:rsid w:val="44426BC1"/>
    <w:rsid w:val="446A4F6A"/>
    <w:rsid w:val="446B2187"/>
    <w:rsid w:val="44994BF5"/>
    <w:rsid w:val="44A318B4"/>
    <w:rsid w:val="44B951CC"/>
    <w:rsid w:val="44C91F46"/>
    <w:rsid w:val="44CB05E5"/>
    <w:rsid w:val="44CD14E0"/>
    <w:rsid w:val="44F20B0B"/>
    <w:rsid w:val="450B7A67"/>
    <w:rsid w:val="45215BA6"/>
    <w:rsid w:val="4523271E"/>
    <w:rsid w:val="452E5F4C"/>
    <w:rsid w:val="4553521C"/>
    <w:rsid w:val="455810AA"/>
    <w:rsid w:val="45612018"/>
    <w:rsid w:val="4574086D"/>
    <w:rsid w:val="458946E9"/>
    <w:rsid w:val="45A47C0E"/>
    <w:rsid w:val="45B864E1"/>
    <w:rsid w:val="45BC7331"/>
    <w:rsid w:val="45CD6E91"/>
    <w:rsid w:val="45D31EA8"/>
    <w:rsid w:val="45EB7677"/>
    <w:rsid w:val="461E0119"/>
    <w:rsid w:val="461E2D31"/>
    <w:rsid w:val="4651292C"/>
    <w:rsid w:val="46577FD6"/>
    <w:rsid w:val="4664520D"/>
    <w:rsid w:val="46903726"/>
    <w:rsid w:val="469B5058"/>
    <w:rsid w:val="46BE4BCA"/>
    <w:rsid w:val="46D955A7"/>
    <w:rsid w:val="47133957"/>
    <w:rsid w:val="4717070D"/>
    <w:rsid w:val="476633A9"/>
    <w:rsid w:val="47A07E0C"/>
    <w:rsid w:val="47BC1C5B"/>
    <w:rsid w:val="47CE4C07"/>
    <w:rsid w:val="47E4503A"/>
    <w:rsid w:val="48420052"/>
    <w:rsid w:val="484D0627"/>
    <w:rsid w:val="484F06A2"/>
    <w:rsid w:val="4870272E"/>
    <w:rsid w:val="48735A5A"/>
    <w:rsid w:val="48936402"/>
    <w:rsid w:val="48A61155"/>
    <w:rsid w:val="48BE71C7"/>
    <w:rsid w:val="48DC2306"/>
    <w:rsid w:val="48E05517"/>
    <w:rsid w:val="48FA638C"/>
    <w:rsid w:val="49040EDA"/>
    <w:rsid w:val="491254D6"/>
    <w:rsid w:val="49176BD0"/>
    <w:rsid w:val="4933150F"/>
    <w:rsid w:val="496458A3"/>
    <w:rsid w:val="49657C78"/>
    <w:rsid w:val="49663980"/>
    <w:rsid w:val="498F1D75"/>
    <w:rsid w:val="49A219B6"/>
    <w:rsid w:val="49A345F9"/>
    <w:rsid w:val="49B82082"/>
    <w:rsid w:val="49BA2707"/>
    <w:rsid w:val="49DC7715"/>
    <w:rsid w:val="49F645AD"/>
    <w:rsid w:val="4A023139"/>
    <w:rsid w:val="4A1C3430"/>
    <w:rsid w:val="4A362A01"/>
    <w:rsid w:val="4A6B4C7B"/>
    <w:rsid w:val="4A734802"/>
    <w:rsid w:val="4A7B576F"/>
    <w:rsid w:val="4A8B7275"/>
    <w:rsid w:val="4AC03325"/>
    <w:rsid w:val="4ACA6C4D"/>
    <w:rsid w:val="4AD81D3C"/>
    <w:rsid w:val="4AF561A9"/>
    <w:rsid w:val="4B0341D0"/>
    <w:rsid w:val="4B26020E"/>
    <w:rsid w:val="4B375E57"/>
    <w:rsid w:val="4B4E1122"/>
    <w:rsid w:val="4B834368"/>
    <w:rsid w:val="4BB141B7"/>
    <w:rsid w:val="4BC92BCB"/>
    <w:rsid w:val="4BE160BC"/>
    <w:rsid w:val="4C1B1B78"/>
    <w:rsid w:val="4C355112"/>
    <w:rsid w:val="4C4A0649"/>
    <w:rsid w:val="4C7C700D"/>
    <w:rsid w:val="4C7E5ECA"/>
    <w:rsid w:val="4C822EFD"/>
    <w:rsid w:val="4C832533"/>
    <w:rsid w:val="4C876AA5"/>
    <w:rsid w:val="4C966E60"/>
    <w:rsid w:val="4C9F54CF"/>
    <w:rsid w:val="4CBD2DC0"/>
    <w:rsid w:val="4CC11002"/>
    <w:rsid w:val="4CCD25D9"/>
    <w:rsid w:val="4CD27C61"/>
    <w:rsid w:val="4CD44B29"/>
    <w:rsid w:val="4CEA4513"/>
    <w:rsid w:val="4CED610D"/>
    <w:rsid w:val="4D0E00FB"/>
    <w:rsid w:val="4D176606"/>
    <w:rsid w:val="4D1E7B8F"/>
    <w:rsid w:val="4D590A20"/>
    <w:rsid w:val="4D6700D7"/>
    <w:rsid w:val="4DEC4FB0"/>
    <w:rsid w:val="4E075D8A"/>
    <w:rsid w:val="4E100842"/>
    <w:rsid w:val="4E1D7786"/>
    <w:rsid w:val="4E2A0FAD"/>
    <w:rsid w:val="4E6E627B"/>
    <w:rsid w:val="4E801EE0"/>
    <w:rsid w:val="4EBE1E2C"/>
    <w:rsid w:val="4EC00FAD"/>
    <w:rsid w:val="4EC0483C"/>
    <w:rsid w:val="4EC76DDF"/>
    <w:rsid w:val="4EDB29B9"/>
    <w:rsid w:val="4EE72AB4"/>
    <w:rsid w:val="4EE86626"/>
    <w:rsid w:val="4EF641B6"/>
    <w:rsid w:val="4F0532C0"/>
    <w:rsid w:val="4F190D64"/>
    <w:rsid w:val="4F4A3090"/>
    <w:rsid w:val="4F666805"/>
    <w:rsid w:val="4F6D7187"/>
    <w:rsid w:val="4F9843DC"/>
    <w:rsid w:val="4FAB332D"/>
    <w:rsid w:val="4FC62A8C"/>
    <w:rsid w:val="4FE20F0D"/>
    <w:rsid w:val="4FE51552"/>
    <w:rsid w:val="4FE60DE2"/>
    <w:rsid w:val="4FF375CC"/>
    <w:rsid w:val="4FF879F0"/>
    <w:rsid w:val="501355E5"/>
    <w:rsid w:val="50450DD2"/>
    <w:rsid w:val="50504C4B"/>
    <w:rsid w:val="509C6E7C"/>
    <w:rsid w:val="50BD287A"/>
    <w:rsid w:val="50E27A87"/>
    <w:rsid w:val="50EB0F19"/>
    <w:rsid w:val="50F8262C"/>
    <w:rsid w:val="510C1C00"/>
    <w:rsid w:val="5154400F"/>
    <w:rsid w:val="51602461"/>
    <w:rsid w:val="5162104E"/>
    <w:rsid w:val="518A2593"/>
    <w:rsid w:val="51BA0F63"/>
    <w:rsid w:val="51DC2BA6"/>
    <w:rsid w:val="51F059F1"/>
    <w:rsid w:val="521A3E4A"/>
    <w:rsid w:val="523027A6"/>
    <w:rsid w:val="524471F3"/>
    <w:rsid w:val="526D0024"/>
    <w:rsid w:val="52A344B7"/>
    <w:rsid w:val="52A40382"/>
    <w:rsid w:val="52AA6FDE"/>
    <w:rsid w:val="52AE394A"/>
    <w:rsid w:val="52D0727A"/>
    <w:rsid w:val="531F517B"/>
    <w:rsid w:val="535253D0"/>
    <w:rsid w:val="537A58F7"/>
    <w:rsid w:val="538407EF"/>
    <w:rsid w:val="5386187B"/>
    <w:rsid w:val="538A6EF7"/>
    <w:rsid w:val="53A039CC"/>
    <w:rsid w:val="53A1505A"/>
    <w:rsid w:val="53A90DE0"/>
    <w:rsid w:val="53E478AF"/>
    <w:rsid w:val="54063E08"/>
    <w:rsid w:val="543437E8"/>
    <w:rsid w:val="544C0FA3"/>
    <w:rsid w:val="544F0D3E"/>
    <w:rsid w:val="54572D3E"/>
    <w:rsid w:val="547A4148"/>
    <w:rsid w:val="547B2AB3"/>
    <w:rsid w:val="549765F0"/>
    <w:rsid w:val="549E1AEB"/>
    <w:rsid w:val="54BD70DA"/>
    <w:rsid w:val="54E658DC"/>
    <w:rsid w:val="54EB0B7C"/>
    <w:rsid w:val="54F73313"/>
    <w:rsid w:val="54F74EFC"/>
    <w:rsid w:val="54F80955"/>
    <w:rsid w:val="552D31F3"/>
    <w:rsid w:val="553D51D5"/>
    <w:rsid w:val="555170A7"/>
    <w:rsid w:val="55674F5D"/>
    <w:rsid w:val="5587536D"/>
    <w:rsid w:val="558F03ED"/>
    <w:rsid w:val="559A7D9F"/>
    <w:rsid w:val="559B174B"/>
    <w:rsid w:val="55A275EB"/>
    <w:rsid w:val="55A838C2"/>
    <w:rsid w:val="55B145E3"/>
    <w:rsid w:val="55CE0CF4"/>
    <w:rsid w:val="55CE45EF"/>
    <w:rsid w:val="55F4626E"/>
    <w:rsid w:val="563516E2"/>
    <w:rsid w:val="566117BE"/>
    <w:rsid w:val="568E0F03"/>
    <w:rsid w:val="56907B63"/>
    <w:rsid w:val="569F36D2"/>
    <w:rsid w:val="56AC16B4"/>
    <w:rsid w:val="56B22A9C"/>
    <w:rsid w:val="56BA266A"/>
    <w:rsid w:val="56BF40EE"/>
    <w:rsid w:val="56CB5174"/>
    <w:rsid w:val="56E758AC"/>
    <w:rsid w:val="5722593E"/>
    <w:rsid w:val="574B0DFF"/>
    <w:rsid w:val="574E4D36"/>
    <w:rsid w:val="57571471"/>
    <w:rsid w:val="57601B83"/>
    <w:rsid w:val="576C29F4"/>
    <w:rsid w:val="5776516F"/>
    <w:rsid w:val="579646C5"/>
    <w:rsid w:val="57B72A76"/>
    <w:rsid w:val="57C3426C"/>
    <w:rsid w:val="57C96A09"/>
    <w:rsid w:val="57CE1F93"/>
    <w:rsid w:val="57D070FE"/>
    <w:rsid w:val="57E11105"/>
    <w:rsid w:val="58046582"/>
    <w:rsid w:val="582149E2"/>
    <w:rsid w:val="58337F07"/>
    <w:rsid w:val="58463958"/>
    <w:rsid w:val="585F4CB3"/>
    <w:rsid w:val="588743D1"/>
    <w:rsid w:val="5887701A"/>
    <w:rsid w:val="58A466F8"/>
    <w:rsid w:val="58A75590"/>
    <w:rsid w:val="58CB4C23"/>
    <w:rsid w:val="58D41F89"/>
    <w:rsid w:val="58DD75D4"/>
    <w:rsid w:val="59001EE5"/>
    <w:rsid w:val="594A4F61"/>
    <w:rsid w:val="5952698B"/>
    <w:rsid w:val="597E690F"/>
    <w:rsid w:val="59B32157"/>
    <w:rsid w:val="59C0439F"/>
    <w:rsid w:val="59D5405F"/>
    <w:rsid w:val="59E223A6"/>
    <w:rsid w:val="59F14E9E"/>
    <w:rsid w:val="5A121BA1"/>
    <w:rsid w:val="5A316150"/>
    <w:rsid w:val="5A3F21C2"/>
    <w:rsid w:val="5A490776"/>
    <w:rsid w:val="5A656428"/>
    <w:rsid w:val="5A683C27"/>
    <w:rsid w:val="5AA14DC5"/>
    <w:rsid w:val="5AB37E4D"/>
    <w:rsid w:val="5ABE2233"/>
    <w:rsid w:val="5AE52C90"/>
    <w:rsid w:val="5AE81B4E"/>
    <w:rsid w:val="5B444C2F"/>
    <w:rsid w:val="5B5153E8"/>
    <w:rsid w:val="5B525C87"/>
    <w:rsid w:val="5B744E15"/>
    <w:rsid w:val="5B9721A8"/>
    <w:rsid w:val="5B9C26DA"/>
    <w:rsid w:val="5BB713B4"/>
    <w:rsid w:val="5BD9559B"/>
    <w:rsid w:val="5BDD6A89"/>
    <w:rsid w:val="5BDF5D95"/>
    <w:rsid w:val="5BF1372F"/>
    <w:rsid w:val="5BFE7528"/>
    <w:rsid w:val="5C571A13"/>
    <w:rsid w:val="5C5E37D4"/>
    <w:rsid w:val="5C694C55"/>
    <w:rsid w:val="5C941547"/>
    <w:rsid w:val="5C9741A5"/>
    <w:rsid w:val="5CAB6955"/>
    <w:rsid w:val="5CDC6EC7"/>
    <w:rsid w:val="5CF00B5D"/>
    <w:rsid w:val="5CF039A9"/>
    <w:rsid w:val="5CF112C6"/>
    <w:rsid w:val="5D176C40"/>
    <w:rsid w:val="5D272163"/>
    <w:rsid w:val="5D304968"/>
    <w:rsid w:val="5D71216B"/>
    <w:rsid w:val="5D817829"/>
    <w:rsid w:val="5D8F5D56"/>
    <w:rsid w:val="5D965F75"/>
    <w:rsid w:val="5DB743B7"/>
    <w:rsid w:val="5DC95FC7"/>
    <w:rsid w:val="5DF74B2E"/>
    <w:rsid w:val="5DFF453D"/>
    <w:rsid w:val="5E1B2BDE"/>
    <w:rsid w:val="5E2467F1"/>
    <w:rsid w:val="5E541904"/>
    <w:rsid w:val="5E73376D"/>
    <w:rsid w:val="5E7E2777"/>
    <w:rsid w:val="5EB0623A"/>
    <w:rsid w:val="5EB35013"/>
    <w:rsid w:val="5EC23457"/>
    <w:rsid w:val="5EDB151A"/>
    <w:rsid w:val="5EDF75F0"/>
    <w:rsid w:val="5F015023"/>
    <w:rsid w:val="5F0A5D94"/>
    <w:rsid w:val="5F1A2B43"/>
    <w:rsid w:val="5F2047D6"/>
    <w:rsid w:val="5F490238"/>
    <w:rsid w:val="5F9117A0"/>
    <w:rsid w:val="5F991044"/>
    <w:rsid w:val="5FA60F6E"/>
    <w:rsid w:val="5FB01916"/>
    <w:rsid w:val="5FB837BB"/>
    <w:rsid w:val="5FE35641"/>
    <w:rsid w:val="5FF5183A"/>
    <w:rsid w:val="60000659"/>
    <w:rsid w:val="60062AA8"/>
    <w:rsid w:val="601E25DC"/>
    <w:rsid w:val="602A6CFE"/>
    <w:rsid w:val="60473692"/>
    <w:rsid w:val="608B732E"/>
    <w:rsid w:val="60A659E4"/>
    <w:rsid w:val="60A800F7"/>
    <w:rsid w:val="60B7245C"/>
    <w:rsid w:val="60C3622E"/>
    <w:rsid w:val="60CC405A"/>
    <w:rsid w:val="60F72DC8"/>
    <w:rsid w:val="6106342E"/>
    <w:rsid w:val="61412A26"/>
    <w:rsid w:val="61565194"/>
    <w:rsid w:val="618F7B59"/>
    <w:rsid w:val="61927B6A"/>
    <w:rsid w:val="61C047E4"/>
    <w:rsid w:val="61CE5D83"/>
    <w:rsid w:val="61E215D8"/>
    <w:rsid w:val="62011E3B"/>
    <w:rsid w:val="621B3775"/>
    <w:rsid w:val="62364782"/>
    <w:rsid w:val="62425709"/>
    <w:rsid w:val="6270550D"/>
    <w:rsid w:val="62756AB1"/>
    <w:rsid w:val="62A842C7"/>
    <w:rsid w:val="62C40903"/>
    <w:rsid w:val="62C94A3E"/>
    <w:rsid w:val="62C97FE7"/>
    <w:rsid w:val="62DE1DC1"/>
    <w:rsid w:val="630D3B25"/>
    <w:rsid w:val="6313235F"/>
    <w:rsid w:val="632B15E9"/>
    <w:rsid w:val="633D2ABC"/>
    <w:rsid w:val="63613DE6"/>
    <w:rsid w:val="63666773"/>
    <w:rsid w:val="636E5604"/>
    <w:rsid w:val="636F2815"/>
    <w:rsid w:val="638A5AE9"/>
    <w:rsid w:val="6394356A"/>
    <w:rsid w:val="63C61B2C"/>
    <w:rsid w:val="63D24207"/>
    <w:rsid w:val="63D40BE9"/>
    <w:rsid w:val="64102431"/>
    <w:rsid w:val="647B481B"/>
    <w:rsid w:val="647E29DD"/>
    <w:rsid w:val="64A254FD"/>
    <w:rsid w:val="64A5243A"/>
    <w:rsid w:val="64E02F5E"/>
    <w:rsid w:val="64F531DE"/>
    <w:rsid w:val="64F62BEF"/>
    <w:rsid w:val="65373578"/>
    <w:rsid w:val="653A3079"/>
    <w:rsid w:val="654B7BFE"/>
    <w:rsid w:val="65CB6E4D"/>
    <w:rsid w:val="65EE75E5"/>
    <w:rsid w:val="66100E06"/>
    <w:rsid w:val="66231403"/>
    <w:rsid w:val="662B429C"/>
    <w:rsid w:val="6658587F"/>
    <w:rsid w:val="666965AB"/>
    <w:rsid w:val="66796BC2"/>
    <w:rsid w:val="66920EED"/>
    <w:rsid w:val="66C66227"/>
    <w:rsid w:val="66E3537F"/>
    <w:rsid w:val="66ED26D8"/>
    <w:rsid w:val="67001569"/>
    <w:rsid w:val="671D7991"/>
    <w:rsid w:val="671F124A"/>
    <w:rsid w:val="67314706"/>
    <w:rsid w:val="67532838"/>
    <w:rsid w:val="677A33C6"/>
    <w:rsid w:val="677E19C8"/>
    <w:rsid w:val="67923BB0"/>
    <w:rsid w:val="681F6961"/>
    <w:rsid w:val="682A1E4C"/>
    <w:rsid w:val="683C45FC"/>
    <w:rsid w:val="6842721E"/>
    <w:rsid w:val="68610A2F"/>
    <w:rsid w:val="68805514"/>
    <w:rsid w:val="68A447E0"/>
    <w:rsid w:val="68A74F49"/>
    <w:rsid w:val="68B91617"/>
    <w:rsid w:val="68E060F0"/>
    <w:rsid w:val="69316E2F"/>
    <w:rsid w:val="69424295"/>
    <w:rsid w:val="694E2071"/>
    <w:rsid w:val="694F56E1"/>
    <w:rsid w:val="69526988"/>
    <w:rsid w:val="695E6C2D"/>
    <w:rsid w:val="69766163"/>
    <w:rsid w:val="697A3B33"/>
    <w:rsid w:val="69876168"/>
    <w:rsid w:val="69996680"/>
    <w:rsid w:val="69B52A86"/>
    <w:rsid w:val="69D44760"/>
    <w:rsid w:val="69D94E24"/>
    <w:rsid w:val="69DC5BB4"/>
    <w:rsid w:val="69E04C32"/>
    <w:rsid w:val="69E14DA6"/>
    <w:rsid w:val="69FA32D6"/>
    <w:rsid w:val="6A520EC7"/>
    <w:rsid w:val="6A701B44"/>
    <w:rsid w:val="6A77289C"/>
    <w:rsid w:val="6A9D7C43"/>
    <w:rsid w:val="6AA35BBE"/>
    <w:rsid w:val="6AB15551"/>
    <w:rsid w:val="6ABF6706"/>
    <w:rsid w:val="6AC40055"/>
    <w:rsid w:val="6AE6440D"/>
    <w:rsid w:val="6AF87E20"/>
    <w:rsid w:val="6B31566F"/>
    <w:rsid w:val="6B322639"/>
    <w:rsid w:val="6B360C56"/>
    <w:rsid w:val="6B5775CD"/>
    <w:rsid w:val="6B577DD2"/>
    <w:rsid w:val="6B5F1F56"/>
    <w:rsid w:val="6B651781"/>
    <w:rsid w:val="6B7F1559"/>
    <w:rsid w:val="6B882FFF"/>
    <w:rsid w:val="6BA95436"/>
    <w:rsid w:val="6BCA7995"/>
    <w:rsid w:val="6BD615FE"/>
    <w:rsid w:val="6BD779E9"/>
    <w:rsid w:val="6BE44AF5"/>
    <w:rsid w:val="6C0528A2"/>
    <w:rsid w:val="6C141854"/>
    <w:rsid w:val="6C1E67C0"/>
    <w:rsid w:val="6C41589D"/>
    <w:rsid w:val="6C581DD9"/>
    <w:rsid w:val="6C636C38"/>
    <w:rsid w:val="6C654D9C"/>
    <w:rsid w:val="6C706C3C"/>
    <w:rsid w:val="6C765539"/>
    <w:rsid w:val="6C824B24"/>
    <w:rsid w:val="6C8A64B5"/>
    <w:rsid w:val="6CB258EF"/>
    <w:rsid w:val="6D18541E"/>
    <w:rsid w:val="6D255F0D"/>
    <w:rsid w:val="6D3F3121"/>
    <w:rsid w:val="6D5D4A47"/>
    <w:rsid w:val="6D863D94"/>
    <w:rsid w:val="6D8C6DA5"/>
    <w:rsid w:val="6D8D729E"/>
    <w:rsid w:val="6DB34098"/>
    <w:rsid w:val="6DB545B6"/>
    <w:rsid w:val="6DDA095F"/>
    <w:rsid w:val="6DE02FB4"/>
    <w:rsid w:val="6DF1359C"/>
    <w:rsid w:val="6E1979A2"/>
    <w:rsid w:val="6E416D72"/>
    <w:rsid w:val="6E443B55"/>
    <w:rsid w:val="6E514CED"/>
    <w:rsid w:val="6E523A6B"/>
    <w:rsid w:val="6E771DA1"/>
    <w:rsid w:val="6EB563D5"/>
    <w:rsid w:val="6EBE5593"/>
    <w:rsid w:val="6ED64550"/>
    <w:rsid w:val="6ED92677"/>
    <w:rsid w:val="6F055C5A"/>
    <w:rsid w:val="6F0848C8"/>
    <w:rsid w:val="6F150268"/>
    <w:rsid w:val="6F225983"/>
    <w:rsid w:val="6F3703CD"/>
    <w:rsid w:val="6F4C18ED"/>
    <w:rsid w:val="6F4E0853"/>
    <w:rsid w:val="6F8B638E"/>
    <w:rsid w:val="6F8D4F9F"/>
    <w:rsid w:val="6F957ED4"/>
    <w:rsid w:val="6F996056"/>
    <w:rsid w:val="6FB61BED"/>
    <w:rsid w:val="6FBC689B"/>
    <w:rsid w:val="6FCA3867"/>
    <w:rsid w:val="6FE65401"/>
    <w:rsid w:val="6FFC5590"/>
    <w:rsid w:val="706D1DD0"/>
    <w:rsid w:val="70820958"/>
    <w:rsid w:val="70856B87"/>
    <w:rsid w:val="70A95EF1"/>
    <w:rsid w:val="70BF4FA8"/>
    <w:rsid w:val="70C753EB"/>
    <w:rsid w:val="70D527EE"/>
    <w:rsid w:val="70E26ECD"/>
    <w:rsid w:val="70E615AD"/>
    <w:rsid w:val="70EA497B"/>
    <w:rsid w:val="712F5CDC"/>
    <w:rsid w:val="715B5300"/>
    <w:rsid w:val="7164006A"/>
    <w:rsid w:val="71667801"/>
    <w:rsid w:val="716813FC"/>
    <w:rsid w:val="71702AED"/>
    <w:rsid w:val="71AE1554"/>
    <w:rsid w:val="71B257E8"/>
    <w:rsid w:val="71B813B5"/>
    <w:rsid w:val="71C951A8"/>
    <w:rsid w:val="71CF647D"/>
    <w:rsid w:val="71D27F8A"/>
    <w:rsid w:val="71D41577"/>
    <w:rsid w:val="71D773DD"/>
    <w:rsid w:val="720C2C37"/>
    <w:rsid w:val="721859EC"/>
    <w:rsid w:val="72221950"/>
    <w:rsid w:val="72553024"/>
    <w:rsid w:val="72587035"/>
    <w:rsid w:val="725F3326"/>
    <w:rsid w:val="7290452A"/>
    <w:rsid w:val="72BD4813"/>
    <w:rsid w:val="72BD5BB9"/>
    <w:rsid w:val="72C61FB9"/>
    <w:rsid w:val="72EB074B"/>
    <w:rsid w:val="7306587D"/>
    <w:rsid w:val="730D10DD"/>
    <w:rsid w:val="73122968"/>
    <w:rsid w:val="731F5D5E"/>
    <w:rsid w:val="732301E9"/>
    <w:rsid w:val="73624F9D"/>
    <w:rsid w:val="736C1E72"/>
    <w:rsid w:val="737C0B2C"/>
    <w:rsid w:val="73813E29"/>
    <w:rsid w:val="73A84F0B"/>
    <w:rsid w:val="73C1623C"/>
    <w:rsid w:val="73C51AD5"/>
    <w:rsid w:val="73FD02E8"/>
    <w:rsid w:val="740D596F"/>
    <w:rsid w:val="740F42BD"/>
    <w:rsid w:val="741E793C"/>
    <w:rsid w:val="742B51A2"/>
    <w:rsid w:val="74325B71"/>
    <w:rsid w:val="743F4EBC"/>
    <w:rsid w:val="7454075F"/>
    <w:rsid w:val="745E3944"/>
    <w:rsid w:val="74BB3234"/>
    <w:rsid w:val="74C93714"/>
    <w:rsid w:val="74D22E98"/>
    <w:rsid w:val="74E93E39"/>
    <w:rsid w:val="7528047C"/>
    <w:rsid w:val="7556718C"/>
    <w:rsid w:val="758449AE"/>
    <w:rsid w:val="759C2E2D"/>
    <w:rsid w:val="75A45BC7"/>
    <w:rsid w:val="75B76D1A"/>
    <w:rsid w:val="75BC5ACD"/>
    <w:rsid w:val="75C36D2B"/>
    <w:rsid w:val="75CE5852"/>
    <w:rsid w:val="75D352D0"/>
    <w:rsid w:val="75D91F21"/>
    <w:rsid w:val="75DE66E6"/>
    <w:rsid w:val="75E758DE"/>
    <w:rsid w:val="76324A44"/>
    <w:rsid w:val="7635099D"/>
    <w:rsid w:val="76356ED0"/>
    <w:rsid w:val="764B3D2F"/>
    <w:rsid w:val="764E1031"/>
    <w:rsid w:val="76620187"/>
    <w:rsid w:val="76891052"/>
    <w:rsid w:val="76A673B7"/>
    <w:rsid w:val="76C4479B"/>
    <w:rsid w:val="76CA39B7"/>
    <w:rsid w:val="76E10389"/>
    <w:rsid w:val="76EA45E0"/>
    <w:rsid w:val="770716F0"/>
    <w:rsid w:val="771C4EC1"/>
    <w:rsid w:val="775A0210"/>
    <w:rsid w:val="775C22B8"/>
    <w:rsid w:val="77762421"/>
    <w:rsid w:val="779D7E32"/>
    <w:rsid w:val="77B56B1F"/>
    <w:rsid w:val="77B6231A"/>
    <w:rsid w:val="77BF5B7A"/>
    <w:rsid w:val="77CD6969"/>
    <w:rsid w:val="77EB23A1"/>
    <w:rsid w:val="77FD05BD"/>
    <w:rsid w:val="780F09F4"/>
    <w:rsid w:val="781233A2"/>
    <w:rsid w:val="784A5501"/>
    <w:rsid w:val="78561BA0"/>
    <w:rsid w:val="78725BAF"/>
    <w:rsid w:val="788C257B"/>
    <w:rsid w:val="788C2811"/>
    <w:rsid w:val="788F2E11"/>
    <w:rsid w:val="78A90480"/>
    <w:rsid w:val="78F3127E"/>
    <w:rsid w:val="78FA46E9"/>
    <w:rsid w:val="78FB19B4"/>
    <w:rsid w:val="79080220"/>
    <w:rsid w:val="79355A2A"/>
    <w:rsid w:val="797A7CC8"/>
    <w:rsid w:val="79834698"/>
    <w:rsid w:val="799B4DA4"/>
    <w:rsid w:val="79B33D98"/>
    <w:rsid w:val="79F0440D"/>
    <w:rsid w:val="7A10149F"/>
    <w:rsid w:val="7A1D0481"/>
    <w:rsid w:val="7A1E6A68"/>
    <w:rsid w:val="7A364017"/>
    <w:rsid w:val="7A3D6A9C"/>
    <w:rsid w:val="7A5F1696"/>
    <w:rsid w:val="7A643752"/>
    <w:rsid w:val="7A694DAF"/>
    <w:rsid w:val="7A6F5AB6"/>
    <w:rsid w:val="7A8265E1"/>
    <w:rsid w:val="7AED4C33"/>
    <w:rsid w:val="7B1841F1"/>
    <w:rsid w:val="7B1B3E90"/>
    <w:rsid w:val="7B330DC6"/>
    <w:rsid w:val="7B3B7426"/>
    <w:rsid w:val="7B6354AA"/>
    <w:rsid w:val="7B686D42"/>
    <w:rsid w:val="7B841746"/>
    <w:rsid w:val="7BB6003B"/>
    <w:rsid w:val="7BDE68B1"/>
    <w:rsid w:val="7C097906"/>
    <w:rsid w:val="7C5A7AB7"/>
    <w:rsid w:val="7C6C5AC7"/>
    <w:rsid w:val="7C7509CD"/>
    <w:rsid w:val="7C9E3C0F"/>
    <w:rsid w:val="7CC6544B"/>
    <w:rsid w:val="7CDD73E7"/>
    <w:rsid w:val="7CF722B1"/>
    <w:rsid w:val="7D0239FF"/>
    <w:rsid w:val="7D1069C5"/>
    <w:rsid w:val="7D142945"/>
    <w:rsid w:val="7D20250E"/>
    <w:rsid w:val="7D2D5753"/>
    <w:rsid w:val="7D5073E5"/>
    <w:rsid w:val="7D5E40CD"/>
    <w:rsid w:val="7D7A5599"/>
    <w:rsid w:val="7D7B39A6"/>
    <w:rsid w:val="7D9D5A11"/>
    <w:rsid w:val="7DB4187A"/>
    <w:rsid w:val="7DCC4AAD"/>
    <w:rsid w:val="7DCD56F2"/>
    <w:rsid w:val="7DD97CC4"/>
    <w:rsid w:val="7DF935F1"/>
    <w:rsid w:val="7E183928"/>
    <w:rsid w:val="7E257A79"/>
    <w:rsid w:val="7E47743A"/>
    <w:rsid w:val="7E5E3F53"/>
    <w:rsid w:val="7EB52590"/>
    <w:rsid w:val="7EC530FC"/>
    <w:rsid w:val="7EDD5043"/>
    <w:rsid w:val="7F001CE7"/>
    <w:rsid w:val="7F104075"/>
    <w:rsid w:val="7F116331"/>
    <w:rsid w:val="7F154A70"/>
    <w:rsid w:val="7F1B7944"/>
    <w:rsid w:val="7F295B62"/>
    <w:rsid w:val="7F363046"/>
    <w:rsid w:val="7F397846"/>
    <w:rsid w:val="7F422D11"/>
    <w:rsid w:val="7F6912F4"/>
    <w:rsid w:val="7F78446A"/>
    <w:rsid w:val="7F9A2677"/>
    <w:rsid w:val="7FA57B50"/>
    <w:rsid w:val="7FAB73AF"/>
    <w:rsid w:val="7FC12870"/>
    <w:rsid w:val="7FC14CC5"/>
    <w:rsid w:val="7FDA2902"/>
    <w:rsid w:val="7FE47E50"/>
    <w:rsid w:val="7FF2011B"/>
    <w:rsid w:val="7FF51D0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nhideWhenUsed="0" w:uiPriority="0" w:semiHidden="0" w:name="heading 3" w:locked="1"/>
    <w:lsdException w:qFormat="1" w:unhideWhenUsed="0"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locked/>
    <w:uiPriority w:val="1"/>
    <w:pPr>
      <w:ind w:left="1290"/>
      <w:outlineLvl w:val="1"/>
    </w:pPr>
    <w:rPr>
      <w:rFonts w:ascii="宋体" w:hAnsi="宋体" w:eastAsia="宋体" w:cs="宋体"/>
      <w:b/>
      <w:bCs/>
      <w:sz w:val="21"/>
      <w:szCs w:val="21"/>
      <w:lang w:val="zh-CN" w:eastAsia="zh-CN" w:bidi="zh-CN"/>
    </w:rPr>
  </w:style>
  <w:style w:type="paragraph" w:styleId="5">
    <w:name w:val="heading 3"/>
    <w:basedOn w:val="1"/>
    <w:next w:val="1"/>
    <w:autoRedefine/>
    <w:qFormat/>
    <w:locked/>
    <w:uiPriority w:val="0"/>
    <w:pPr>
      <w:keepNext/>
      <w:keepLines/>
      <w:widowControl w:val="0"/>
      <w:tabs>
        <w:tab w:val="left" w:pos="720"/>
      </w:tabs>
      <w:spacing w:before="260" w:after="260" w:line="416" w:lineRule="auto"/>
      <w:ind w:left="720" w:hanging="720"/>
      <w:jc w:val="both"/>
      <w:outlineLvl w:val="2"/>
    </w:pPr>
    <w:rPr>
      <w:rFonts w:eastAsia="宋体"/>
      <w:b/>
      <w:bCs/>
      <w:kern w:val="2"/>
      <w:sz w:val="32"/>
      <w:szCs w:val="32"/>
    </w:rPr>
  </w:style>
  <w:style w:type="paragraph" w:styleId="2">
    <w:name w:val="heading 4"/>
    <w:basedOn w:val="1"/>
    <w:next w:val="1"/>
    <w:autoRedefine/>
    <w:qFormat/>
    <w:locked/>
    <w:uiPriority w:val="0"/>
    <w:pPr>
      <w:keepNext/>
      <w:keepLines/>
      <w:spacing w:before="76" w:beforeLines="20" w:line="360" w:lineRule="auto"/>
      <w:jc w:val="left"/>
      <w:outlineLvl w:val="3"/>
    </w:pPr>
    <w:rPr>
      <w:rFonts w:eastAsia="黑体"/>
      <w:b/>
      <w:bCs/>
      <w:sz w:val="28"/>
      <w:szCs w:val="28"/>
      <w:lang w:val="zh-CN"/>
    </w:rPr>
  </w:style>
  <w:style w:type="paragraph" w:styleId="6">
    <w:name w:val="heading 5"/>
    <w:basedOn w:val="1"/>
    <w:next w:val="1"/>
    <w:unhideWhenUsed/>
    <w:qFormat/>
    <w:locked/>
    <w:uiPriority w:val="0"/>
    <w:pPr>
      <w:keepNext/>
      <w:keepLines/>
      <w:numPr>
        <w:ilvl w:val="4"/>
        <w:numId w:val="1"/>
      </w:numPr>
      <w:ind w:firstLine="200"/>
      <w:outlineLvl w:val="4"/>
    </w:pPr>
    <w:rPr>
      <w:b/>
      <w:bCs/>
      <w:szCs w:val="28"/>
    </w:rPr>
  </w:style>
  <w:style w:type="character" w:default="1" w:styleId="33">
    <w:name w:val="Default Paragraph Font"/>
    <w:autoRedefine/>
    <w:semiHidden/>
    <w:qFormat/>
    <w:uiPriority w:val="0"/>
  </w:style>
  <w:style w:type="table" w:default="1" w:styleId="31">
    <w:name w:val="Normal Table"/>
    <w:autoRedefine/>
    <w:semiHidden/>
    <w:qFormat/>
    <w:uiPriority w:val="0"/>
    <w:tblPr>
      <w:tblCellMar>
        <w:top w:w="0" w:type="dxa"/>
        <w:left w:w="108" w:type="dxa"/>
        <w:bottom w:w="0" w:type="dxa"/>
        <w:right w:w="108" w:type="dxa"/>
      </w:tblCellMar>
    </w:tblPr>
  </w:style>
  <w:style w:type="paragraph" w:styleId="7">
    <w:name w:val="Normal Indent"/>
    <w:basedOn w:val="1"/>
    <w:next w:val="1"/>
    <w:autoRedefine/>
    <w:qFormat/>
    <w:locked/>
    <w:uiPriority w:val="0"/>
    <w:pPr>
      <w:adjustRightInd w:val="0"/>
      <w:ind w:firstLine="420" w:firstLineChars="200"/>
      <w:jc w:val="left"/>
    </w:pPr>
    <w:rPr>
      <w:sz w:val="24"/>
      <w:szCs w:val="20"/>
    </w:rPr>
  </w:style>
  <w:style w:type="paragraph" w:styleId="8">
    <w:name w:val="caption"/>
    <w:basedOn w:val="1"/>
    <w:next w:val="1"/>
    <w:autoRedefine/>
    <w:qFormat/>
    <w:locked/>
    <w:uiPriority w:val="0"/>
    <w:pPr>
      <w:widowControl/>
      <w:spacing w:before="152" w:after="160"/>
      <w:jc w:val="left"/>
    </w:pPr>
    <w:rPr>
      <w:rFonts w:ascii="Arial" w:hAnsi="Arial" w:eastAsia="黑体"/>
      <w:w w:val="90"/>
      <w:kern w:val="0"/>
      <w:sz w:val="28"/>
      <w:szCs w:val="20"/>
    </w:rPr>
  </w:style>
  <w:style w:type="paragraph" w:styleId="9">
    <w:name w:val="annotation text"/>
    <w:basedOn w:val="1"/>
    <w:link w:val="41"/>
    <w:autoRedefine/>
    <w:semiHidden/>
    <w:qFormat/>
    <w:uiPriority w:val="0"/>
    <w:pPr>
      <w:jc w:val="left"/>
    </w:pPr>
    <w:rPr>
      <w:kern w:val="0"/>
      <w:sz w:val="24"/>
      <w:szCs w:val="20"/>
    </w:rPr>
  </w:style>
  <w:style w:type="paragraph" w:styleId="10">
    <w:name w:val="Salutation"/>
    <w:basedOn w:val="1"/>
    <w:next w:val="1"/>
    <w:autoRedefine/>
    <w:unhideWhenUsed/>
    <w:qFormat/>
    <w:locked/>
    <w:uiPriority w:val="99"/>
  </w:style>
  <w:style w:type="paragraph" w:styleId="11">
    <w:name w:val="Body Text"/>
    <w:basedOn w:val="1"/>
    <w:next w:val="1"/>
    <w:link w:val="42"/>
    <w:autoRedefine/>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0"/>
    <w:autoRedefine/>
    <w:qFormat/>
    <w:uiPriority w:val="0"/>
    <w:pPr>
      <w:spacing w:after="120"/>
      <w:ind w:left="420" w:leftChars="200"/>
    </w:pPr>
    <w:rPr>
      <w:kern w:val="0"/>
      <w:sz w:val="24"/>
      <w:szCs w:val="20"/>
    </w:rPr>
  </w:style>
  <w:style w:type="paragraph" w:styleId="13">
    <w:name w:val="envelope return"/>
    <w:basedOn w:val="1"/>
    <w:qFormat/>
    <w:locked/>
    <w:uiPriority w:val="0"/>
    <w:pPr>
      <w:snapToGrid w:val="0"/>
    </w:pPr>
    <w:rPr>
      <w:rFonts w:ascii="Arial" w:hAnsi="Arial"/>
    </w:rPr>
  </w:style>
  <w:style w:type="paragraph" w:styleId="14">
    <w:name w:val="Block Text"/>
    <w:basedOn w:val="1"/>
    <w:autoRedefine/>
    <w:unhideWhenUsed/>
    <w:qFormat/>
    <w:locked/>
    <w:uiPriority w:val="0"/>
    <w:pPr>
      <w:adjustRightInd w:val="0"/>
      <w:spacing w:line="500" w:lineRule="exact"/>
      <w:ind w:left="147" w:leftChars="70" w:right="160" w:rightChars="76"/>
    </w:pPr>
    <w:rPr>
      <w:rFonts w:ascii="宋体" w:hAnsi="宋体"/>
    </w:rPr>
  </w:style>
  <w:style w:type="paragraph" w:styleId="15">
    <w:name w:val="Plain Text"/>
    <w:basedOn w:val="1"/>
    <w:autoRedefine/>
    <w:qFormat/>
    <w:locked/>
    <w:uiPriority w:val="0"/>
    <w:rPr>
      <w:rFonts w:ascii="宋体" w:hAnsi="Courier New"/>
      <w:kern w:val="0"/>
      <w:sz w:val="20"/>
      <w:szCs w:val="21"/>
    </w:rPr>
  </w:style>
  <w:style w:type="paragraph" w:styleId="16">
    <w:name w:val="Date"/>
    <w:basedOn w:val="1"/>
    <w:next w:val="1"/>
    <w:link w:val="43"/>
    <w:autoRedefine/>
    <w:qFormat/>
    <w:uiPriority w:val="0"/>
    <w:pPr>
      <w:ind w:left="100" w:leftChars="2500"/>
    </w:pPr>
    <w:rPr>
      <w:kern w:val="0"/>
      <w:sz w:val="24"/>
      <w:szCs w:val="20"/>
    </w:rPr>
  </w:style>
  <w:style w:type="paragraph" w:styleId="17">
    <w:name w:val="Body Text Indent 2"/>
    <w:basedOn w:val="1"/>
    <w:autoRedefine/>
    <w:qFormat/>
    <w:locked/>
    <w:uiPriority w:val="0"/>
    <w:pPr>
      <w:spacing w:line="400" w:lineRule="exact"/>
      <w:ind w:firstLine="570"/>
    </w:pPr>
    <w:rPr>
      <w:color w:val="000000"/>
      <w:sz w:val="28"/>
    </w:rPr>
  </w:style>
  <w:style w:type="paragraph" w:styleId="18">
    <w:name w:val="Balloon Text"/>
    <w:basedOn w:val="1"/>
    <w:link w:val="44"/>
    <w:autoRedefine/>
    <w:semiHidden/>
    <w:qFormat/>
    <w:uiPriority w:val="0"/>
    <w:rPr>
      <w:kern w:val="0"/>
      <w:sz w:val="18"/>
      <w:szCs w:val="20"/>
    </w:rPr>
  </w:style>
  <w:style w:type="paragraph" w:styleId="19">
    <w:name w:val="footer"/>
    <w:basedOn w:val="1"/>
    <w:link w:val="45"/>
    <w:autoRedefine/>
    <w:qFormat/>
    <w:uiPriority w:val="99"/>
    <w:pPr>
      <w:tabs>
        <w:tab w:val="center" w:pos="4153"/>
        <w:tab w:val="right" w:pos="8306"/>
      </w:tabs>
      <w:snapToGrid w:val="0"/>
      <w:jc w:val="left"/>
    </w:pPr>
    <w:rPr>
      <w:kern w:val="0"/>
      <w:sz w:val="18"/>
      <w:szCs w:val="20"/>
    </w:rPr>
  </w:style>
  <w:style w:type="paragraph" w:styleId="20">
    <w:name w:val="header"/>
    <w:basedOn w:val="1"/>
    <w:link w:val="4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index heading"/>
    <w:basedOn w:val="1"/>
    <w:next w:val="22"/>
    <w:autoRedefine/>
    <w:semiHidden/>
    <w:qFormat/>
    <w:locked/>
    <w:uiPriority w:val="0"/>
    <w:rPr>
      <w:rFonts w:ascii="Arial" w:hAnsi="Arial" w:cs="Arial"/>
      <w:b/>
      <w:bCs/>
    </w:rPr>
  </w:style>
  <w:style w:type="paragraph" w:styleId="22">
    <w:name w:val="index 1"/>
    <w:basedOn w:val="1"/>
    <w:next w:val="1"/>
    <w:autoRedefine/>
    <w:qFormat/>
    <w:locked/>
    <w:uiPriority w:val="0"/>
    <w:rPr>
      <w:b/>
      <w:spacing w:val="-6"/>
      <w:sz w:val="28"/>
      <w:szCs w:val="28"/>
    </w:rPr>
  </w:style>
  <w:style w:type="paragraph" w:styleId="23">
    <w:name w:val="table of figures"/>
    <w:basedOn w:val="1"/>
    <w:next w:val="1"/>
    <w:autoRedefine/>
    <w:qFormat/>
    <w:locked/>
    <w:uiPriority w:val="0"/>
    <w:pPr>
      <w:ind w:left="200" w:leftChars="200" w:hanging="200" w:hangingChars="200"/>
    </w:pPr>
  </w:style>
  <w:style w:type="paragraph" w:styleId="24">
    <w:name w:val="toc 9"/>
    <w:basedOn w:val="1"/>
    <w:next w:val="1"/>
    <w:autoRedefine/>
    <w:qFormat/>
    <w:locked/>
    <w:uiPriority w:val="0"/>
    <w:pPr>
      <w:ind w:left="3360" w:leftChars="1600"/>
    </w:pPr>
  </w:style>
  <w:style w:type="paragraph" w:styleId="25">
    <w:name w:val="Body Text 2"/>
    <w:basedOn w:val="1"/>
    <w:autoRedefine/>
    <w:qFormat/>
    <w:locked/>
    <w:uiPriority w:val="0"/>
    <w:pPr>
      <w:spacing w:after="120" w:line="480" w:lineRule="auto"/>
    </w:pPr>
  </w:style>
  <w:style w:type="paragraph" w:styleId="26">
    <w:name w:val="HTML Preformatted"/>
    <w:basedOn w:val="1"/>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7">
    <w:name w:val="Normal (Web)"/>
    <w:basedOn w:val="1"/>
    <w:link w:val="47"/>
    <w:autoRedefine/>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1"/>
    <w:next w:val="1"/>
    <w:autoRedefine/>
    <w:qFormat/>
    <w:locked/>
    <w:uiPriority w:val="0"/>
    <w:pPr>
      <w:numPr>
        <w:ilvl w:val="4"/>
        <w:numId w:val="2"/>
      </w:numPr>
      <w:jc w:val="center"/>
      <w:outlineLvl w:val="4"/>
    </w:pPr>
    <w:rPr>
      <w:rFonts w:ascii="Cambria" w:hAnsi="Cambria" w:eastAsia="Times New Roman" w:cs="Times New Roman"/>
      <w:b/>
      <w:bCs/>
      <w:snapToGrid w:val="0"/>
      <w:sz w:val="24"/>
      <w:szCs w:val="32"/>
    </w:rPr>
  </w:style>
  <w:style w:type="paragraph" w:styleId="29">
    <w:name w:val="annotation subject"/>
    <w:basedOn w:val="9"/>
    <w:next w:val="9"/>
    <w:link w:val="48"/>
    <w:autoRedefine/>
    <w:semiHidden/>
    <w:qFormat/>
    <w:uiPriority w:val="0"/>
    <w:rPr>
      <w:b/>
      <w:sz w:val="24"/>
      <w:szCs w:val="20"/>
    </w:rPr>
  </w:style>
  <w:style w:type="paragraph" w:styleId="30">
    <w:name w:val="Body Text First Indent 2"/>
    <w:basedOn w:val="12"/>
    <w:autoRedefine/>
    <w:qFormat/>
    <w:locked/>
    <w:uiPriority w:val="0"/>
    <w:pPr>
      <w:spacing w:after="120" w:line="240" w:lineRule="auto"/>
      <w:ind w:left="420" w:leftChars="200" w:firstLine="420"/>
    </w:pPr>
    <w:rPr>
      <w:rFonts w:ascii="Times New Roman" w:hAnsi="Times New Roman" w:cs="Times New Roman"/>
      <w:sz w:val="21"/>
      <w:szCs w:val="20"/>
    </w:rPr>
  </w:style>
  <w:style w:type="table" w:styleId="32">
    <w:name w:val="Table Grid"/>
    <w:basedOn w:val="31"/>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autoRedefine/>
    <w:qFormat/>
    <w:locked/>
    <w:uiPriority w:val="0"/>
  </w:style>
  <w:style w:type="character" w:styleId="35">
    <w:name w:val="Emphasis"/>
    <w:autoRedefine/>
    <w:qFormat/>
    <w:locked/>
    <w:uiPriority w:val="0"/>
  </w:style>
  <w:style w:type="character" w:styleId="36">
    <w:name w:val="annotation reference"/>
    <w:autoRedefine/>
    <w:semiHidden/>
    <w:qFormat/>
    <w:uiPriority w:val="0"/>
    <w:rPr>
      <w:sz w:val="21"/>
    </w:rPr>
  </w:style>
  <w:style w:type="paragraph" w:customStyle="1" w:styleId="37">
    <w:name w:val="样式1"/>
    <w:basedOn w:val="21"/>
    <w:next w:val="14"/>
    <w:autoRedefine/>
    <w:qFormat/>
    <w:uiPriority w:val="0"/>
    <w:pPr>
      <w:keepLines w:val="0"/>
      <w:tabs>
        <w:tab w:val="right" w:leader="dot" w:pos="9061"/>
        <w:tab w:val="right" w:leader="dot" w:pos="9459"/>
      </w:tabs>
      <w:adjustRightInd w:val="0"/>
      <w:spacing w:line="360" w:lineRule="auto"/>
      <w:ind w:firstLine="0" w:firstLineChars="0"/>
      <w:outlineLvl w:val="0"/>
    </w:pPr>
    <w:rPr>
      <w:sz w:val="28"/>
      <w:szCs w:val="18"/>
    </w:rPr>
  </w:style>
  <w:style w:type="paragraph" w:customStyle="1" w:styleId="38">
    <w:name w:val="表格"/>
    <w:basedOn w:val="23"/>
    <w:next w:val="1"/>
    <w:link w:val="49"/>
    <w:autoRedefine/>
    <w:qFormat/>
    <w:uiPriority w:val="0"/>
    <w:pPr>
      <w:adjustRightInd w:val="0"/>
      <w:snapToGrid w:val="0"/>
      <w:spacing w:beforeLines="10" w:afterLines="10" w:line="259" w:lineRule="auto"/>
      <w:jc w:val="center"/>
    </w:pPr>
    <w:rPr>
      <w:rFonts w:ascii="宋体"/>
      <w:kern w:val="0"/>
      <w:szCs w:val="20"/>
    </w:rPr>
  </w:style>
  <w:style w:type="paragraph" w:customStyle="1" w:styleId="39">
    <w:name w:val="xl27"/>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_GB2312" w:hAnsi="宋体" w:eastAsia="仿宋_GB2312" w:cs="宋体"/>
      <w:color w:val="FF0000"/>
      <w:kern w:val="0"/>
      <w:szCs w:val="21"/>
    </w:rPr>
  </w:style>
  <w:style w:type="character" w:customStyle="1" w:styleId="40">
    <w:name w:val="正文文本缩进 Char"/>
    <w:link w:val="12"/>
    <w:autoRedefine/>
    <w:semiHidden/>
    <w:qFormat/>
    <w:locked/>
    <w:uiPriority w:val="0"/>
    <w:rPr>
      <w:rFonts w:ascii="Times New Roman" w:hAnsi="Times New Roman" w:eastAsia="宋体"/>
      <w:sz w:val="24"/>
    </w:rPr>
  </w:style>
  <w:style w:type="character" w:customStyle="1" w:styleId="41">
    <w:name w:val="批注文字 Char"/>
    <w:link w:val="9"/>
    <w:autoRedefine/>
    <w:qFormat/>
    <w:locked/>
    <w:uiPriority w:val="0"/>
    <w:rPr>
      <w:rFonts w:ascii="Times New Roman" w:hAnsi="Times New Roman" w:eastAsia="宋体"/>
      <w:sz w:val="24"/>
    </w:rPr>
  </w:style>
  <w:style w:type="character" w:customStyle="1" w:styleId="42">
    <w:name w:val="正文文本 Char"/>
    <w:link w:val="11"/>
    <w:autoRedefine/>
    <w:qFormat/>
    <w:locked/>
    <w:uiPriority w:val="0"/>
    <w:rPr>
      <w:sz w:val="18"/>
    </w:rPr>
  </w:style>
  <w:style w:type="character" w:customStyle="1" w:styleId="43">
    <w:name w:val="日期 Char"/>
    <w:link w:val="16"/>
    <w:autoRedefine/>
    <w:qFormat/>
    <w:locked/>
    <w:uiPriority w:val="0"/>
    <w:rPr>
      <w:rFonts w:ascii="Times New Roman" w:hAnsi="Times New Roman" w:eastAsia="宋体"/>
      <w:sz w:val="24"/>
    </w:rPr>
  </w:style>
  <w:style w:type="character" w:customStyle="1" w:styleId="44">
    <w:name w:val="批注框文本 Char"/>
    <w:link w:val="18"/>
    <w:autoRedefine/>
    <w:semiHidden/>
    <w:qFormat/>
    <w:locked/>
    <w:uiPriority w:val="0"/>
    <w:rPr>
      <w:rFonts w:ascii="Times New Roman" w:hAnsi="Times New Roman" w:eastAsia="宋体"/>
      <w:sz w:val="18"/>
    </w:rPr>
  </w:style>
  <w:style w:type="character" w:customStyle="1" w:styleId="45">
    <w:name w:val="页脚 Char"/>
    <w:link w:val="19"/>
    <w:autoRedefine/>
    <w:qFormat/>
    <w:locked/>
    <w:uiPriority w:val="99"/>
    <w:rPr>
      <w:sz w:val="18"/>
    </w:rPr>
  </w:style>
  <w:style w:type="character" w:customStyle="1" w:styleId="46">
    <w:name w:val="页眉 Char"/>
    <w:link w:val="20"/>
    <w:autoRedefine/>
    <w:qFormat/>
    <w:locked/>
    <w:uiPriority w:val="0"/>
    <w:rPr>
      <w:sz w:val="18"/>
    </w:rPr>
  </w:style>
  <w:style w:type="character" w:customStyle="1" w:styleId="47">
    <w:name w:val="普通(网站) Char"/>
    <w:link w:val="27"/>
    <w:autoRedefine/>
    <w:qFormat/>
    <w:locked/>
    <w:uiPriority w:val="0"/>
    <w:rPr>
      <w:rFonts w:ascii="宋体" w:hAnsi="宋体" w:eastAsia="宋体"/>
      <w:sz w:val="24"/>
    </w:rPr>
  </w:style>
  <w:style w:type="character" w:customStyle="1" w:styleId="48">
    <w:name w:val="批注主题 Char"/>
    <w:link w:val="29"/>
    <w:autoRedefine/>
    <w:semiHidden/>
    <w:qFormat/>
    <w:locked/>
    <w:uiPriority w:val="0"/>
    <w:rPr>
      <w:rFonts w:ascii="Times New Roman" w:hAnsi="Times New Roman" w:eastAsia="宋体"/>
      <w:b/>
      <w:kern w:val="2"/>
      <w:sz w:val="24"/>
    </w:rPr>
  </w:style>
  <w:style w:type="character" w:customStyle="1" w:styleId="49">
    <w:name w:val="表格 Char"/>
    <w:link w:val="38"/>
    <w:autoRedefine/>
    <w:qFormat/>
    <w:locked/>
    <w:uiPriority w:val="0"/>
    <w:rPr>
      <w:rFonts w:ascii="宋体"/>
      <w:sz w:val="21"/>
    </w:rPr>
  </w:style>
  <w:style w:type="character" w:customStyle="1" w:styleId="50">
    <w:name w:val="font11"/>
    <w:basedOn w:val="33"/>
    <w:autoRedefine/>
    <w:qFormat/>
    <w:uiPriority w:val="0"/>
    <w:rPr>
      <w:rFonts w:hint="default" w:ascii="Times New Roman" w:hAnsi="Times New Roman" w:cs="Times New Roman"/>
      <w:i/>
      <w:color w:val="000000"/>
      <w:sz w:val="22"/>
      <w:szCs w:val="22"/>
      <w:u w:val="none"/>
    </w:rPr>
  </w:style>
  <w:style w:type="character" w:customStyle="1" w:styleId="51">
    <w:name w:val="font31"/>
    <w:basedOn w:val="33"/>
    <w:autoRedefine/>
    <w:qFormat/>
    <w:uiPriority w:val="0"/>
    <w:rPr>
      <w:rFonts w:hint="default" w:ascii="Times New Roman" w:hAnsi="Times New Roman" w:cs="Times New Roman"/>
      <w:color w:val="000000"/>
      <w:sz w:val="22"/>
      <w:szCs w:val="22"/>
      <w:u w:val="none"/>
      <w:vertAlign w:val="subscript"/>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font51"/>
    <w:autoRedefine/>
    <w:qFormat/>
    <w:uiPriority w:val="0"/>
    <w:rPr>
      <w:rFonts w:hint="default" w:ascii="Times New Roman" w:hAnsi="Times New Roman" w:cs="Times New Roman"/>
      <w:color w:val="000000"/>
      <w:sz w:val="22"/>
      <w:szCs w:val="22"/>
      <w:u w:val="none"/>
    </w:rPr>
  </w:style>
  <w:style w:type="character" w:customStyle="1" w:styleId="54">
    <w:name w:val="正文文本 字符1"/>
    <w:autoRedefine/>
    <w:semiHidden/>
    <w:qFormat/>
    <w:uiPriority w:val="0"/>
    <w:rPr>
      <w:rFonts w:ascii="Times New Roman" w:hAnsi="Times New Roman" w:eastAsia="宋体"/>
      <w:sz w:val="24"/>
    </w:rPr>
  </w:style>
  <w:style w:type="character" w:customStyle="1" w:styleId="55">
    <w:name w:val="页脚 字符"/>
    <w:autoRedefine/>
    <w:qFormat/>
    <w:uiPriority w:val="99"/>
  </w:style>
  <w:style w:type="character" w:customStyle="1" w:styleId="56">
    <w:name w:val="font01"/>
    <w:autoRedefine/>
    <w:qFormat/>
    <w:uiPriority w:val="0"/>
    <w:rPr>
      <w:rFonts w:hint="eastAsia" w:ascii="宋体" w:hAnsi="宋体" w:eastAsia="宋体" w:cs="宋体"/>
      <w:color w:val="000000"/>
      <w:sz w:val="22"/>
      <w:szCs w:val="22"/>
      <w:u w:val="none"/>
    </w:rPr>
  </w:style>
  <w:style w:type="character" w:customStyle="1" w:styleId="57">
    <w:name w:val="font41"/>
    <w:basedOn w:val="33"/>
    <w:autoRedefine/>
    <w:qFormat/>
    <w:uiPriority w:val="0"/>
    <w:rPr>
      <w:rFonts w:hint="default" w:ascii="Times New Roman" w:hAnsi="Times New Roman" w:cs="Times New Roman"/>
      <w:color w:val="000000"/>
      <w:sz w:val="24"/>
      <w:szCs w:val="24"/>
      <w:u w:val="none"/>
      <w:vertAlign w:val="superscript"/>
    </w:rPr>
  </w:style>
  <w:style w:type="character" w:customStyle="1" w:styleId="58">
    <w:name w:val="日期 字符"/>
    <w:autoRedefine/>
    <w:semiHidden/>
    <w:qFormat/>
    <w:uiPriority w:val="0"/>
    <w:rPr>
      <w:rFonts w:ascii="Times New Roman" w:hAnsi="Times New Roman" w:eastAsia="宋体"/>
      <w:sz w:val="24"/>
    </w:rPr>
  </w:style>
  <w:style w:type="character" w:customStyle="1" w:styleId="59">
    <w:name w:val="font21"/>
    <w:autoRedefine/>
    <w:qFormat/>
    <w:uiPriority w:val="0"/>
    <w:rPr>
      <w:rFonts w:hint="eastAsia" w:ascii="宋体" w:hAnsi="宋体" w:eastAsia="宋体" w:cs="宋体"/>
      <w:color w:val="000000"/>
      <w:sz w:val="22"/>
      <w:szCs w:val="22"/>
      <w:u w:val="none"/>
      <w:vertAlign w:val="subscript"/>
    </w:rPr>
  </w:style>
  <w:style w:type="character" w:customStyle="1" w:styleId="60">
    <w:name w:val="3项目由来 Char"/>
    <w:link w:val="61"/>
    <w:autoRedefine/>
    <w:qFormat/>
    <w:uiPriority w:val="0"/>
    <w:rPr>
      <w:b/>
      <w:bCs/>
      <w:sz w:val="24"/>
    </w:rPr>
  </w:style>
  <w:style w:type="paragraph" w:customStyle="1" w:styleId="61">
    <w:name w:val="3项目由来"/>
    <w:basedOn w:val="1"/>
    <w:link w:val="60"/>
    <w:autoRedefine/>
    <w:qFormat/>
    <w:uiPriority w:val="0"/>
    <w:pPr>
      <w:spacing w:line="360" w:lineRule="auto"/>
      <w:ind w:firstLine="840" w:firstLineChars="200"/>
      <w:outlineLvl w:val="2"/>
    </w:pPr>
    <w:rPr>
      <w:b/>
      <w:bCs/>
      <w:sz w:val="24"/>
    </w:rPr>
  </w:style>
  <w:style w:type="paragraph" w:customStyle="1" w:styleId="62">
    <w:name w:val="List Paragraph"/>
    <w:basedOn w:val="1"/>
    <w:autoRedefine/>
    <w:qFormat/>
    <w:uiPriority w:val="34"/>
    <w:pPr>
      <w:ind w:firstLine="420" w:firstLineChars="200"/>
    </w:pPr>
  </w:style>
  <w:style w:type="paragraph" w:customStyle="1" w:styleId="63">
    <w:name w:val="2工程内容及规模"/>
    <w:basedOn w:val="1"/>
    <w:autoRedefine/>
    <w:qFormat/>
    <w:uiPriority w:val="0"/>
    <w:pPr>
      <w:spacing w:line="360" w:lineRule="auto"/>
      <w:jc w:val="left"/>
      <w:outlineLvl w:val="1"/>
    </w:pPr>
    <w:rPr>
      <w:b/>
      <w:sz w:val="28"/>
      <w:szCs w:val="28"/>
    </w:rPr>
  </w:style>
  <w:style w:type="paragraph" w:customStyle="1" w:styleId="64">
    <w:name w:val="style74"/>
    <w:basedOn w:val="1"/>
    <w:autoRedefine/>
    <w:qFormat/>
    <w:uiPriority w:val="0"/>
    <w:pPr>
      <w:widowControl/>
      <w:spacing w:before="100" w:beforeAutospacing="1" w:after="100" w:afterAutospacing="1" w:line="560" w:lineRule="atLeast"/>
      <w:ind w:firstLine="600"/>
      <w:jc w:val="left"/>
    </w:pPr>
    <w:rPr>
      <w:rFonts w:ascii="宋体" w:hAnsi="宋体"/>
      <w:kern w:val="0"/>
      <w:sz w:val="21"/>
      <w:szCs w:val="21"/>
    </w:rPr>
  </w:style>
  <w:style w:type="paragraph" w:customStyle="1" w:styleId="65">
    <w:name w:val="Default"/>
    <w:basedOn w:val="66"/>
    <w:next w:val="17"/>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标题2"/>
    <w:basedOn w:val="4"/>
    <w:next w:val="1"/>
    <w:autoRedefine/>
    <w:qFormat/>
    <w:uiPriority w:val="0"/>
    <w:pPr>
      <w:numPr>
        <w:ilvl w:val="1"/>
        <w:numId w:val="3"/>
      </w:numPr>
      <w:spacing w:before="0" w:after="0" w:line="440" w:lineRule="exact"/>
    </w:pPr>
    <w:rPr>
      <w:kern w:val="0"/>
      <w:sz w:val="28"/>
    </w:rPr>
  </w:style>
  <w:style w:type="paragraph" w:customStyle="1" w:styleId="67">
    <w:name w:val="标号正文"/>
    <w:basedOn w:val="1"/>
    <w:next w:val="1"/>
    <w:autoRedefine/>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68">
    <w:name w:val="外婆的标题之标题"/>
    <w:basedOn w:val="69"/>
    <w:autoRedefine/>
    <w:qFormat/>
    <w:uiPriority w:val="0"/>
    <w:pPr>
      <w:spacing w:line="360" w:lineRule="auto"/>
      <w:jc w:val="left"/>
    </w:pPr>
    <w:rPr>
      <w:rFonts w:eastAsia="宋体"/>
      <w:sz w:val="24"/>
    </w:rPr>
  </w:style>
  <w:style w:type="paragraph" w:customStyle="1" w:styleId="69">
    <w:name w:val="外婆的标题之大标题"/>
    <w:basedOn w:val="1"/>
    <w:autoRedefine/>
    <w:qFormat/>
    <w:uiPriority w:val="0"/>
    <w:rPr>
      <w:rFonts w:eastAsia="黑体"/>
      <w:b/>
      <w:sz w:val="28"/>
    </w:rPr>
  </w:style>
  <w:style w:type="paragraph" w:customStyle="1" w:styleId="70">
    <w:name w:val="样式35"/>
    <w:basedOn w:val="1"/>
    <w:autoRedefine/>
    <w:qFormat/>
    <w:uiPriority w:val="0"/>
    <w:pPr>
      <w:adjustRightInd w:val="0"/>
      <w:spacing w:line="312" w:lineRule="auto"/>
      <w:ind w:firstLine="567"/>
    </w:pPr>
    <w:rPr>
      <w:rFonts w:ascii="宋体" w:hAnsi="Times New Roman"/>
      <w:kern w:val="0"/>
      <w:sz w:val="28"/>
      <w:szCs w:val="24"/>
    </w:rPr>
  </w:style>
  <w:style w:type="paragraph" w:customStyle="1" w:styleId="71">
    <w:name w:val="表格标题"/>
    <w:basedOn w:val="11"/>
    <w:next w:val="72"/>
    <w:autoRedefine/>
    <w:qFormat/>
    <w:uiPriority w:val="0"/>
    <w:pPr>
      <w:spacing w:line="240" w:lineRule="auto"/>
      <w:ind w:firstLine="0" w:firstLineChars="0"/>
      <w:jc w:val="center"/>
    </w:pPr>
    <w:rPr>
      <w:b/>
      <w:sz w:val="21"/>
    </w:rPr>
  </w:style>
  <w:style w:type="paragraph" w:customStyle="1" w:styleId="72">
    <w:name w:val="表格内容"/>
    <w:basedOn w:val="71"/>
    <w:next w:val="1"/>
    <w:autoRedefine/>
    <w:qFormat/>
    <w:uiPriority w:val="0"/>
    <w:pPr>
      <w:adjustRightInd w:val="0"/>
      <w:snapToGrid w:val="0"/>
      <w:spacing w:line="240" w:lineRule="auto"/>
      <w:ind w:firstLine="0" w:firstLineChars="0"/>
      <w:jc w:val="center"/>
    </w:pPr>
    <w:rPr>
      <w:rFonts w:ascii="Times New Roman" w:hAnsi="Times New Roman"/>
      <w:b w:val="0"/>
    </w:rPr>
  </w:style>
  <w:style w:type="paragraph" w:customStyle="1" w:styleId="73">
    <w:name w:val="A标准格式"/>
    <w:basedOn w:val="1"/>
    <w:autoRedefine/>
    <w:qFormat/>
    <w:uiPriority w:val="0"/>
    <w:pPr>
      <w:spacing w:line="440" w:lineRule="exact"/>
      <w:ind w:firstLine="480" w:firstLineChars="200"/>
    </w:pPr>
    <w:rPr>
      <w:sz w:val="24"/>
      <w:szCs w:val="22"/>
    </w:rPr>
  </w:style>
  <w:style w:type="paragraph" w:customStyle="1" w:styleId="7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5">
    <w:name w:val="报告正文"/>
    <w:autoRedefine/>
    <w:qFormat/>
    <w:uiPriority w:val="0"/>
    <w:pPr>
      <w:spacing w:line="360" w:lineRule="auto"/>
      <w:ind w:firstLine="723" w:firstLineChars="200"/>
    </w:pPr>
    <w:rPr>
      <w:rFonts w:ascii="Times New Roman" w:hAnsi="Times New Roman" w:eastAsia="宋体" w:cs="宋体"/>
      <w:sz w:val="24"/>
      <w:szCs w:val="24"/>
      <w:lang w:val="en-US" w:eastAsia="zh-CN" w:bidi="ar-SA"/>
    </w:rPr>
  </w:style>
  <w:style w:type="paragraph" w:customStyle="1" w:styleId="76">
    <w:name w:val="外婆的标题之小标题"/>
    <w:basedOn w:val="68"/>
    <w:autoRedefine/>
    <w:qFormat/>
    <w:uiPriority w:val="0"/>
    <w:pPr>
      <w:ind w:firstLine="560" w:firstLineChars="200"/>
      <w:outlineLvl w:val="0"/>
    </w:pPr>
  </w:style>
  <w:style w:type="paragraph" w:customStyle="1" w:styleId="7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8">
    <w:name w:val="表格内容自定"/>
    <w:basedOn w:val="1"/>
    <w:autoRedefine/>
    <w:qFormat/>
    <w:uiPriority w:val="0"/>
    <w:pPr>
      <w:spacing w:line="280" w:lineRule="exact"/>
      <w:ind w:firstLine="0" w:firstLineChars="0"/>
      <w:jc w:val="center"/>
    </w:pPr>
    <w:rPr>
      <w:kern w:val="0"/>
      <w:sz w:val="18"/>
      <w:szCs w:val="21"/>
    </w:rPr>
  </w:style>
  <w:style w:type="paragraph" w:customStyle="1" w:styleId="79">
    <w:name w:val="正文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24磅正文"/>
    <w:basedOn w:val="1"/>
    <w:autoRedefine/>
    <w:qFormat/>
    <w:uiPriority w:val="0"/>
    <w:pPr>
      <w:topLinePunct/>
      <w:autoSpaceDE w:val="0"/>
      <w:adjustRightInd/>
      <w:snapToGrid/>
      <w:ind w:firstLine="480"/>
      <w:jc w:val="both"/>
    </w:pPr>
    <w:rPr>
      <w:sz w:val="24"/>
      <w:szCs w:val="24"/>
    </w:rPr>
  </w:style>
  <w:style w:type="paragraph" w:customStyle="1" w:styleId="81">
    <w:name w:val="报告表正文"/>
    <w:basedOn w:val="1"/>
    <w:autoRedefine/>
    <w:qFormat/>
    <w:uiPriority w:val="99"/>
    <w:pPr>
      <w:spacing w:line="360" w:lineRule="auto"/>
      <w:ind w:firstLine="200"/>
    </w:pPr>
    <w:rPr>
      <w:szCs w:val="20"/>
      <w:lang w:val="zh-CN"/>
    </w:rPr>
  </w:style>
  <w:style w:type="paragraph" w:customStyle="1" w:styleId="82">
    <w:name w:val="Table Paragraph"/>
    <w:basedOn w:val="1"/>
    <w:autoRedefine/>
    <w:qFormat/>
    <w:uiPriority w:val="1"/>
    <w:rPr>
      <w:rFonts w:ascii="宋体" w:hAnsi="宋体" w:cs="宋体"/>
    </w:rPr>
  </w:style>
  <w:style w:type="paragraph" w:customStyle="1" w:styleId="83">
    <w:name w:val="吴表格"/>
    <w:basedOn w:val="1"/>
    <w:autoRedefine/>
    <w:qFormat/>
    <w:uiPriority w:val="0"/>
    <w:pPr>
      <w:jc w:val="center"/>
    </w:pPr>
    <w:rPr>
      <w:rFonts w:ascii="Times New Roman" w:hAnsi="Times New Roman" w:eastAsia="宋体" w:cs="Times New Roman"/>
      <w:szCs w:val="21"/>
    </w:rPr>
  </w:style>
  <w:style w:type="paragraph" w:customStyle="1" w:styleId="84">
    <w:name w:val=" Char"/>
    <w:basedOn w:val="1"/>
    <w:autoRedefine/>
    <w:qFormat/>
    <w:uiPriority w:val="0"/>
    <w:pPr>
      <w:spacing w:line="360" w:lineRule="auto"/>
      <w:ind w:firstLine="200" w:firstLineChars="200"/>
    </w:pPr>
    <w:rPr>
      <w:rFonts w:ascii="宋体" w:hAnsi="宋体" w:cs="宋体"/>
      <w:sz w:val="24"/>
    </w:rPr>
  </w:style>
  <w:style w:type="paragraph" w:customStyle="1" w:styleId="85">
    <w:name w:val="吴正文"/>
    <w:basedOn w:val="1"/>
    <w:autoRedefine/>
    <w:qFormat/>
    <w:uiPriority w:val="0"/>
    <w:pPr>
      <w:widowControl/>
      <w:adjustRightInd w:val="0"/>
      <w:snapToGrid w:val="0"/>
      <w:spacing w:line="360" w:lineRule="auto"/>
      <w:ind w:firstLine="200" w:firstLineChars="200"/>
    </w:pPr>
    <w:rPr>
      <w:rFonts w:ascii="Calibri" w:hAnsi="Calibri" w:eastAsia="宋体" w:cs="Times New Roman"/>
      <w:sz w:val="24"/>
    </w:rPr>
  </w:style>
  <w:style w:type="paragraph" w:customStyle="1" w:styleId="86">
    <w:name w:val="6表格小"/>
    <w:basedOn w:val="1"/>
    <w:autoRedefine/>
    <w:qFormat/>
    <w:uiPriority w:val="99"/>
    <w:pPr>
      <w:snapToGrid w:val="0"/>
      <w:jc w:val="center"/>
    </w:pPr>
    <w:rPr>
      <w:spacing w:val="2"/>
      <w:szCs w:val="20"/>
    </w:rPr>
  </w:style>
  <w:style w:type="paragraph" w:customStyle="1" w:styleId="87">
    <w:name w:val="4正文文本"/>
    <w:basedOn w:val="1"/>
    <w:autoRedefine/>
    <w:qFormat/>
    <w:uiPriority w:val="0"/>
    <w:pPr>
      <w:spacing w:line="360" w:lineRule="auto"/>
      <w:ind w:firstLine="840" w:firstLineChars="200"/>
      <w:jc w:val="left"/>
    </w:pPr>
    <w:rPr>
      <w:sz w:val="24"/>
    </w:rPr>
  </w:style>
  <w:style w:type="paragraph" w:customStyle="1" w:styleId="88">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9">
    <w:name w:val="环评报告表新版-正文"/>
    <w:basedOn w:val="1"/>
    <w:autoRedefine/>
    <w:qFormat/>
    <w:uiPriority w:val="0"/>
    <w:pPr>
      <w:autoSpaceDE w:val="0"/>
      <w:autoSpaceDN w:val="0"/>
      <w:adjustRightInd w:val="0"/>
      <w:snapToGrid w:val="0"/>
      <w:spacing w:line="360" w:lineRule="exact"/>
      <w:ind w:firstLine="200" w:firstLineChars="200"/>
    </w:pPr>
    <w:rPr>
      <w:rFonts w:cs="宋体"/>
      <w:kern w:val="0"/>
      <w:sz w:val="24"/>
      <w:szCs w:val="21"/>
    </w:rPr>
  </w:style>
  <w:style w:type="paragraph" w:customStyle="1" w:styleId="90">
    <w:name w:val="环评表名"/>
    <w:basedOn w:val="15"/>
    <w:autoRedefine/>
    <w:qFormat/>
    <w:uiPriority w:val="0"/>
    <w:pPr>
      <w:adjustRightInd w:val="0"/>
      <w:spacing w:line="400" w:lineRule="exact"/>
      <w:jc w:val="center"/>
    </w:pPr>
    <w:rPr>
      <w:rFonts w:ascii="Times New Roman" w:hAnsi="Times New Roman" w:eastAsia="黑体" w:cs="Times New Roman"/>
      <w:sz w:val="24"/>
    </w:rPr>
  </w:style>
  <w:style w:type="paragraph" w:customStyle="1" w:styleId="91">
    <w:name w:val="样式2"/>
    <w:basedOn w:val="1"/>
    <w:autoRedefine/>
    <w:qFormat/>
    <w:uiPriority w:val="0"/>
    <w:pPr>
      <w:adjustRightInd w:val="0"/>
      <w:ind w:left="170"/>
      <w:jc w:val="left"/>
      <w:textAlignment w:val="baseline"/>
    </w:pPr>
    <w:rPr>
      <w:b/>
      <w:kern w:val="0"/>
      <w:sz w:val="24"/>
      <w:szCs w:val="20"/>
    </w:rPr>
  </w:style>
  <w:style w:type="paragraph" w:customStyle="1" w:styleId="92">
    <w:name w:val="A常用文字"/>
    <w:basedOn w:val="1"/>
    <w:autoRedefine/>
    <w:qFormat/>
    <w:uiPriority w:val="0"/>
    <w:pPr>
      <w:adjustRightInd w:val="0"/>
      <w:snapToGrid w:val="0"/>
      <w:spacing w:line="440" w:lineRule="exact"/>
      <w:ind w:firstLine="567"/>
    </w:pPr>
    <w:rPr>
      <w:sz w:val="24"/>
      <w:szCs w:val="20"/>
    </w:rPr>
  </w:style>
  <w:style w:type="paragraph" w:customStyle="1" w:styleId="93">
    <w:name w:val="表格内正文"/>
    <w:basedOn w:val="1"/>
    <w:autoRedefine/>
    <w:qFormat/>
    <w:uiPriority w:val="0"/>
    <w:pPr>
      <w:spacing w:line="360" w:lineRule="auto"/>
      <w:ind w:firstLine="720" w:firstLineChars="200"/>
      <w:jc w:val="left"/>
    </w:pPr>
    <w:rPr>
      <w:sz w:val="21"/>
    </w:rPr>
  </w:style>
  <w:style w:type="paragraph" w:customStyle="1" w:styleId="94">
    <w:name w:val="5表头"/>
    <w:basedOn w:val="87"/>
    <w:autoRedefine/>
    <w:qFormat/>
    <w:uiPriority w:val="0"/>
    <w:pPr>
      <w:ind w:firstLine="0" w:firstLineChars="0"/>
      <w:jc w:val="center"/>
    </w:pPr>
    <w:rPr>
      <w:b/>
    </w:rPr>
  </w:style>
  <w:style w:type="paragraph" w:customStyle="1" w:styleId="95">
    <w:name w:val="正  文"/>
    <w:basedOn w:val="1"/>
    <w:autoRedefine/>
    <w:qFormat/>
    <w:uiPriority w:val="0"/>
    <w:pPr>
      <w:spacing w:line="360" w:lineRule="auto"/>
      <w:ind w:firstLine="200" w:firstLineChars="200"/>
      <w:textAlignment w:val="baseline"/>
    </w:pPr>
    <w:rPr>
      <w:rFonts w:ascii="Calibri" w:hAnsi="Calibri" w:eastAsia="宋体" w:cs="Times New Roman"/>
      <w:kern w:val="0"/>
      <w:sz w:val="24"/>
      <w:szCs w:val="28"/>
    </w:rPr>
  </w:style>
  <w:style w:type="paragraph" w:customStyle="1" w:styleId="96">
    <w:name w:val="表格编号"/>
    <w:basedOn w:val="1"/>
    <w:next w:val="97"/>
    <w:autoRedefine/>
    <w:qFormat/>
    <w:uiPriority w:val="0"/>
    <w:pPr>
      <w:spacing w:line="60" w:lineRule="atLeast"/>
      <w:jc w:val="left"/>
    </w:pPr>
    <w:rPr>
      <w:spacing w:val="10"/>
      <w:kern w:val="0"/>
      <w:szCs w:val="21"/>
    </w:rPr>
  </w:style>
  <w:style w:type="paragraph" w:customStyle="1" w:styleId="97">
    <w:name w:val="表格文字"/>
    <w:basedOn w:val="7"/>
    <w:next w:val="1"/>
    <w:autoRedefine/>
    <w:qFormat/>
    <w:uiPriority w:val="0"/>
    <w:pPr>
      <w:spacing w:after="0" w:line="320" w:lineRule="exact"/>
      <w:jc w:val="center"/>
    </w:pPr>
    <w:rPr>
      <w:rFonts w:ascii="宋体"/>
      <w:kern w:val="2"/>
    </w:rPr>
  </w:style>
  <w:style w:type="paragraph" w:customStyle="1" w:styleId="98">
    <w:name w:val="表内式样"/>
    <w:autoRedefine/>
    <w:qFormat/>
    <w:uiPriority w:val="0"/>
    <w:pPr>
      <w:widowControl w:val="0"/>
      <w:jc w:val="center"/>
    </w:pPr>
    <w:rPr>
      <w:rFonts w:ascii="Times New Roman" w:hAnsi="Times New Roman" w:eastAsia="宋体" w:cs="Times New Roman"/>
      <w:sz w:val="21"/>
      <w:szCs w:val="24"/>
      <w:lang w:val="en-US" w:eastAsia="zh-CN" w:bidi="ar-SA"/>
    </w:rPr>
  </w:style>
  <w:style w:type="paragraph" w:customStyle="1" w:styleId="99">
    <w:name w:val="表格内文字"/>
    <w:basedOn w:val="1"/>
    <w:autoRedefine/>
    <w:qFormat/>
    <w:uiPriority w:val="0"/>
    <w:pPr>
      <w:adjustRightInd w:val="0"/>
      <w:snapToGrid w:val="0"/>
      <w:spacing w:line="240" w:lineRule="auto"/>
      <w:ind w:firstLine="0" w:firstLineChars="0"/>
      <w:jc w:val="center"/>
    </w:pPr>
    <w:rPr>
      <w:rFonts w:hint="eastAsia"/>
      <w:color w:val="auto"/>
      <w:sz w:val="21"/>
    </w:rPr>
  </w:style>
  <w:style w:type="paragraph" w:customStyle="1" w:styleId="100">
    <w:name w:val="纯文本1"/>
    <w:basedOn w:val="1"/>
    <w:autoRedefine/>
    <w:qFormat/>
    <w:uiPriority w:val="99"/>
    <w:pPr>
      <w:adjustRightInd w:val="0"/>
      <w:jc w:val="center"/>
      <w:textAlignment w:val="baseline"/>
    </w:pPr>
    <w:rPr>
      <w:rFonts w:ascii="宋体" w:hAnsi="Courier New" w:cs="宋体"/>
      <w:sz w:val="24"/>
      <w:szCs w:val="24"/>
    </w:rPr>
  </w:style>
  <w:style w:type="character" w:customStyle="1" w:styleId="101">
    <w:name w:val="font61"/>
    <w:basedOn w:val="33"/>
    <w:autoRedefine/>
    <w:qFormat/>
    <w:uiPriority w:val="0"/>
    <w:rPr>
      <w:rFonts w:hint="eastAsia" w:ascii="宋体" w:hAnsi="宋体" w:eastAsia="宋体" w:cs="宋体"/>
      <w:color w:val="000000"/>
      <w:sz w:val="21"/>
      <w:szCs w:val="21"/>
      <w:u w:val="none"/>
    </w:rPr>
  </w:style>
  <w:style w:type="character" w:customStyle="1" w:styleId="102">
    <w:name w:val="font71"/>
    <w:basedOn w:val="33"/>
    <w:autoRedefine/>
    <w:qFormat/>
    <w:uiPriority w:val="0"/>
    <w:rPr>
      <w:rFonts w:hint="default" w:ascii="Times New Roman" w:hAnsi="Times New Roman" w:cs="Times New Roman"/>
      <w:color w:val="000000"/>
      <w:sz w:val="21"/>
      <w:szCs w:val="21"/>
      <w:u w:val="none"/>
    </w:rPr>
  </w:style>
  <w:style w:type="paragraph" w:customStyle="1" w:styleId="103">
    <w:name w:val="正文4号"/>
    <w:autoRedefine/>
    <w:qFormat/>
    <w:uiPriority w:val="0"/>
    <w:pPr>
      <w:widowControl w:val="0"/>
      <w:adjustRightInd w:val="0"/>
      <w:snapToGrid w:val="0"/>
      <w:spacing w:line="360" w:lineRule="auto"/>
      <w:ind w:firstLine="200" w:firstLineChars="200"/>
      <w:jc w:val="both"/>
    </w:pPr>
    <w:rPr>
      <w:rFonts w:ascii="Times New Roman" w:hAnsi="Times New Roman" w:eastAsia="Times New Roman" w:cs="Times New Roman"/>
      <w:kern w:val="2"/>
      <w:sz w:val="24"/>
      <w:szCs w:val="24"/>
      <w:lang w:val="en-US" w:eastAsia="zh-CN" w:bidi="ar-SA"/>
    </w:rPr>
  </w:style>
  <w:style w:type="paragraph" w:customStyle="1" w:styleId="104">
    <w:name w:val="正文2 Char"/>
    <w:basedOn w:val="1"/>
    <w:autoRedefine/>
    <w:qFormat/>
    <w:uiPriority w:val="0"/>
    <w:pPr>
      <w:spacing w:line="500" w:lineRule="exact"/>
      <w:ind w:firstLine="560" w:firstLineChars="200"/>
    </w:pPr>
    <w:rPr>
      <w:rFonts w:ascii="楷体_GB2312" w:eastAsia="楷体_GB2312" w:cs="宋体"/>
      <w:sz w:val="28"/>
    </w:rPr>
  </w:style>
  <w:style w:type="character" w:customStyle="1" w:styleId="105">
    <w:name w:val="font111"/>
    <w:basedOn w:val="33"/>
    <w:qFormat/>
    <w:uiPriority w:val="0"/>
    <w:rPr>
      <w:rFonts w:hint="eastAsia" w:ascii="宋体" w:hAnsi="宋体" w:eastAsia="宋体" w:cs="宋体"/>
      <w:b/>
      <w:bCs/>
      <w:color w:val="FF0000"/>
      <w:sz w:val="24"/>
      <w:szCs w:val="24"/>
      <w:u w:val="none"/>
    </w:rPr>
  </w:style>
  <w:style w:type="character" w:customStyle="1" w:styleId="106">
    <w:name w:val="font122"/>
    <w:basedOn w:val="33"/>
    <w:qFormat/>
    <w:uiPriority w:val="0"/>
    <w:rPr>
      <w:rFonts w:hint="eastAsia" w:ascii="宋体" w:hAnsi="宋体" w:eastAsia="宋体" w:cs="宋体"/>
      <w:color w:val="000000"/>
      <w:sz w:val="24"/>
      <w:szCs w:val="24"/>
      <w:u w:val="none"/>
    </w:rPr>
  </w:style>
  <w:style w:type="paragraph" w:customStyle="1" w:styleId="107">
    <w:name w:val="表格内内容"/>
    <w:basedOn w:val="1"/>
    <w:qFormat/>
    <w:uiPriority w:val="0"/>
    <w:pPr>
      <w:adjustRightInd w:val="0"/>
      <w:snapToGrid w:val="0"/>
      <w:spacing w:line="240" w:lineRule="auto"/>
      <w:ind w:firstLine="0" w:firstLineChars="0"/>
      <w:jc w:val="center"/>
    </w:pPr>
    <w:rPr>
      <w:rFonts w:cstheme="minorBidi"/>
      <w:color w:val="000000" w:themeColor="text1"/>
      <w:sz w:val="21"/>
      <w:szCs w:val="21"/>
      <w14:textFill>
        <w14:solidFill>
          <w14:schemeClr w14:val="tx1"/>
        </w14:solidFill>
      </w14:textFill>
    </w:rPr>
  </w:style>
  <w:style w:type="table" w:customStyle="1" w:styleId="108">
    <w:name w:val="网格型1"/>
    <w:basedOn w:val="31"/>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9">
    <w:name w:val="font112"/>
    <w:basedOn w:val="33"/>
    <w:qFormat/>
    <w:uiPriority w:val="0"/>
    <w:rPr>
      <w:rFonts w:hint="eastAsia" w:ascii="宋体" w:hAnsi="宋体" w:eastAsia="宋体" w:cs="宋体"/>
      <w:b/>
      <w:bCs/>
      <w:color w:val="000000"/>
      <w:sz w:val="24"/>
      <w:szCs w:val="24"/>
      <w:u w:val="none"/>
    </w:rPr>
  </w:style>
  <w:style w:type="paragraph" w:customStyle="1" w:styleId="110">
    <w:name w:val="表头"/>
    <w:basedOn w:val="7"/>
    <w:next w:val="1"/>
    <w:qFormat/>
    <w:uiPriority w:val="0"/>
    <w:pPr>
      <w:keepNext/>
      <w:keepLines/>
      <w:spacing w:beforeLines="0" w:afterLines="0" w:line="240" w:lineRule="auto"/>
      <w:ind w:firstLine="0" w:firstLineChars="0"/>
      <w:jc w:val="center"/>
      <w:outlineLvl w:val="3"/>
    </w:pPr>
    <w:rPr>
      <w:rFonts w:ascii="Times New Roman" w:hAnsi="Times New Roman" w:eastAsia="宋体"/>
      <w:b/>
      <w:sz w:val="24"/>
    </w:rPr>
  </w:style>
  <w:style w:type="paragraph" w:customStyle="1" w:styleId="111">
    <w:name w:val="正文 首行缩进:  2 字符"/>
    <w:basedOn w:val="1"/>
    <w:autoRedefine/>
    <w:qFormat/>
    <w:uiPriority w:val="0"/>
    <w:pPr>
      <w:spacing w:line="360" w:lineRule="auto"/>
      <w:ind w:firstLine="1040" w:firstLineChars="200"/>
      <w:jc w:val="left"/>
    </w:pPr>
    <w:rPr>
      <w:rFonts w:cs="宋体"/>
    </w:rPr>
  </w:style>
  <w:style w:type="paragraph" w:customStyle="1" w:styleId="112">
    <w:name w:val="■ 正文 ⑴"/>
    <w:basedOn w:val="1"/>
    <w:next w:val="1"/>
    <w:qFormat/>
    <w:uiPriority w:val="0"/>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comments" Target="comment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MzIzNjUwNTE3ODA1IiwKCSJHcm91cElkIiA6ICIxMDc2OTE4NDUyIiwKCSJJbWFnZSIgOiAiaVZCT1J3MEtHZ29BQUFBTlNVaEVVZ0FBQnNFQUFBS3RDQVlBQUFCMlhzRFhBQUFBQVhOU1IwSUFyczRjNlFBQUlBQkpSRUZVZUp6czNYbDRYR1hkLy9IUGZXYlNMRTNTdlJSb0lVQktTNWZKbkJOQkVGQlJiTUVpcUlnZzYwT1JSUUdsQllzUFB0UUxGQVZVRUZRcUZBV1V4WTFGUWFEOEZPc2paWlBNVEtadGFxVklvSUd1ZEYrU1p1WjhmMzgweVpPbVNadXUwMHpmcjM4NjU5N085eHoxdW5KZEgrLzdT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BMy9nL0QwVGVXcFo4UC9R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42647</Words>
  <Characters>48640</Characters>
  <Lines>376</Lines>
  <Paragraphs>105</Paragraphs>
  <TotalTime>23</TotalTime>
  <ScaleCrop>false</ScaleCrop>
  <LinksUpToDate>false</LinksUpToDate>
  <CharactersWithSpaces>48865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N</cp:lastModifiedBy>
  <cp:lastPrinted>2020-12-29T02:43:00Z</cp:lastPrinted>
  <dcterms:modified xsi:type="dcterms:W3CDTF">2024-08-28T01:08:35Z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EA721F3F0B1B4DACB1AC3605A3ECECDD_13</vt:lpwstr>
  </property>
</Properties>
</file>