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8C059E">
      <w:pPr>
        <w:rPr>
          <w:rFonts w:ascii="Times New Roman" w:hAnsi="Times New Roman" w:cs="Times New Roman"/>
          <w:sz w:val="32"/>
          <w:szCs w:val="32"/>
        </w:rPr>
      </w:pPr>
      <w:bookmarkStart w:id="0" w:name="_GoBack"/>
      <w:bookmarkEnd w:id="0"/>
      <w:r>
        <w:rPr>
          <w:rFonts w:ascii="Times New Roman" w:hAnsi="Times New Roman" w:cs="Times New Roman"/>
          <w:sz w:val="32"/>
          <w:szCs w:val="32"/>
        </w:rPr>
        <w:t>附件1：</w:t>
      </w:r>
    </w:p>
    <w:tbl>
      <w:tblPr>
        <w:tblStyle w:val="9"/>
        <w:tblW w:w="485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6"/>
        <w:gridCol w:w="2006"/>
        <w:gridCol w:w="4036"/>
        <w:gridCol w:w="4245"/>
        <w:gridCol w:w="2674"/>
      </w:tblGrid>
      <w:tr w14:paraId="3E272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blHeader/>
          <w:jc w:val="center"/>
        </w:trPr>
        <w:tc>
          <w:tcPr>
            <w:tcW w:w="5000" w:type="pct"/>
            <w:gridSpan w:val="5"/>
            <w:tcBorders>
              <w:top w:val="single" w:color="auto" w:sz="4" w:space="0"/>
              <w:left w:val="single" w:color="auto" w:sz="4" w:space="0"/>
              <w:bottom w:val="single" w:color="auto" w:sz="4" w:space="0"/>
              <w:right w:val="single" w:color="auto" w:sz="4" w:space="0"/>
              <w:tl2br w:val="nil"/>
              <w:tr2bl w:val="nil"/>
            </w:tcBorders>
            <w:vAlign w:val="center"/>
          </w:tcPr>
          <w:p w14:paraId="66146133">
            <w:pPr>
              <w:widowControl/>
              <w:adjustRightInd w:val="0"/>
              <w:snapToGrid w:val="0"/>
              <w:ind w:firstLine="560"/>
              <w:jc w:val="center"/>
              <w:textAlignment w:val="center"/>
              <w:rPr>
                <w:rFonts w:ascii="Times New Roman" w:hAnsi="Times New Roman" w:eastAsia="宋体" w:cs="Times New Roman"/>
                <w:kern w:val="0"/>
                <w:sz w:val="20"/>
                <w:szCs w:val="20"/>
              </w:rPr>
            </w:pPr>
            <w:r>
              <w:rPr>
                <w:rFonts w:ascii="Times New Roman" w:hAnsi="Times New Roman" w:eastAsia="宋体" w:cs="Times New Roman"/>
                <w:sz w:val="20"/>
                <w:szCs w:val="20"/>
              </w:rPr>
              <w:t>淮南中建材腾锋环保科技有限公司挂牌督办问题</w:t>
            </w:r>
            <w:r>
              <w:rPr>
                <w:rFonts w:hint="eastAsia" w:ascii="Times New Roman" w:hAnsi="Times New Roman" w:eastAsia="宋体" w:cs="Times New Roman"/>
                <w:sz w:val="20"/>
                <w:szCs w:val="20"/>
              </w:rPr>
              <w:t>8</w:t>
            </w:r>
            <w:r>
              <w:rPr>
                <w:rFonts w:ascii="Times New Roman" w:hAnsi="Times New Roman" w:eastAsia="宋体" w:cs="Times New Roman"/>
                <w:sz w:val="20"/>
                <w:szCs w:val="20"/>
              </w:rPr>
              <w:t>月份整改进度明细表</w:t>
            </w:r>
          </w:p>
        </w:tc>
      </w:tr>
      <w:tr w14:paraId="688C7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blHeader/>
          <w:jc w:val="center"/>
        </w:trPr>
        <w:tc>
          <w:tcPr>
            <w:tcW w:w="289" w:type="pct"/>
            <w:tcBorders>
              <w:top w:val="single" w:color="auto" w:sz="4" w:space="0"/>
              <w:tl2br w:val="nil"/>
              <w:tr2bl w:val="nil"/>
            </w:tcBorders>
            <w:vAlign w:val="center"/>
          </w:tcPr>
          <w:p w14:paraId="618405C5">
            <w:pPr>
              <w:widowControl/>
              <w:adjustRightInd w:val="0"/>
              <w:snapToGrid w:val="0"/>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序号</w:t>
            </w:r>
          </w:p>
        </w:tc>
        <w:tc>
          <w:tcPr>
            <w:tcW w:w="729" w:type="pct"/>
            <w:tcBorders>
              <w:top w:val="single" w:color="auto" w:sz="4" w:space="0"/>
              <w:tl2br w:val="nil"/>
              <w:tr2bl w:val="nil"/>
            </w:tcBorders>
            <w:shd w:val="clear" w:color="auto" w:fill="auto"/>
            <w:noWrap/>
            <w:vAlign w:val="center"/>
          </w:tcPr>
          <w:p w14:paraId="5D1D18AF">
            <w:pPr>
              <w:widowControl/>
              <w:adjustRightInd w:val="0"/>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问题清单内容</w:t>
            </w:r>
          </w:p>
        </w:tc>
        <w:tc>
          <w:tcPr>
            <w:tcW w:w="1467" w:type="pct"/>
            <w:tcBorders>
              <w:top w:val="single" w:color="auto" w:sz="4" w:space="0"/>
              <w:tl2br w:val="nil"/>
              <w:tr2bl w:val="nil"/>
            </w:tcBorders>
            <w:shd w:val="clear" w:color="auto" w:fill="auto"/>
            <w:noWrap/>
            <w:vAlign w:val="center"/>
          </w:tcPr>
          <w:p w14:paraId="57B95EC0">
            <w:pPr>
              <w:widowControl/>
              <w:adjustRightInd w:val="0"/>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问题表述</w:t>
            </w:r>
          </w:p>
        </w:tc>
        <w:tc>
          <w:tcPr>
            <w:tcW w:w="1543" w:type="pct"/>
            <w:tcBorders>
              <w:top w:val="single" w:color="auto" w:sz="4" w:space="0"/>
              <w:tl2br w:val="nil"/>
              <w:tr2bl w:val="nil"/>
            </w:tcBorders>
            <w:shd w:val="clear" w:color="auto" w:fill="auto"/>
            <w:noWrap/>
            <w:vAlign w:val="center"/>
          </w:tcPr>
          <w:p w14:paraId="0202F394">
            <w:pPr>
              <w:widowControl/>
              <w:adjustRightInd w:val="0"/>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整改措施</w:t>
            </w:r>
          </w:p>
        </w:tc>
        <w:tc>
          <w:tcPr>
            <w:tcW w:w="970" w:type="pct"/>
            <w:tcBorders>
              <w:top w:val="single" w:color="auto" w:sz="4" w:space="0"/>
              <w:tl2br w:val="nil"/>
              <w:tr2bl w:val="nil"/>
            </w:tcBorders>
            <w:shd w:val="clear" w:color="auto" w:fill="auto"/>
            <w:noWrap/>
            <w:vAlign w:val="center"/>
          </w:tcPr>
          <w:p w14:paraId="3B7D0C05">
            <w:pPr>
              <w:widowControl/>
              <w:adjustRightInd w:val="0"/>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整改进展</w:t>
            </w:r>
          </w:p>
        </w:tc>
      </w:tr>
      <w:tr w14:paraId="6D6F2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2" w:hRule="atLeast"/>
          <w:jc w:val="center"/>
        </w:trPr>
        <w:tc>
          <w:tcPr>
            <w:tcW w:w="289" w:type="pct"/>
            <w:vMerge w:val="restart"/>
            <w:tcBorders>
              <w:tl2br w:val="nil"/>
              <w:tr2bl w:val="nil"/>
            </w:tcBorders>
            <w:vAlign w:val="center"/>
          </w:tcPr>
          <w:p w14:paraId="0ED10EEB">
            <w:pPr>
              <w:widowControl/>
              <w:adjustRightInd w:val="0"/>
              <w:snapToGrid w:val="0"/>
              <w:textAlignment w:val="center"/>
              <w:rPr>
                <w:rFonts w:ascii="Times New Roman" w:hAnsi="Times New Roman" w:eastAsia="宋体" w:cs="Times New Roman"/>
                <w:b/>
                <w:bCs/>
                <w:kern w:val="0"/>
                <w:sz w:val="20"/>
                <w:szCs w:val="20"/>
              </w:rPr>
            </w:pPr>
            <w:r>
              <w:rPr>
                <w:rFonts w:ascii="Times New Roman" w:hAnsi="Times New Roman" w:eastAsia="宋体" w:cs="Times New Roman"/>
                <w:kern w:val="0"/>
                <w:sz w:val="20"/>
                <w:szCs w:val="20"/>
              </w:rPr>
              <w:t>1</w:t>
            </w:r>
          </w:p>
        </w:tc>
        <w:tc>
          <w:tcPr>
            <w:tcW w:w="729" w:type="pct"/>
            <w:vMerge w:val="restart"/>
            <w:tcBorders>
              <w:tl2br w:val="nil"/>
              <w:tr2bl w:val="nil"/>
            </w:tcBorders>
            <w:shd w:val="clear" w:color="auto" w:fill="auto"/>
            <w:noWrap/>
            <w:vAlign w:val="center"/>
          </w:tcPr>
          <w:p w14:paraId="1863A427">
            <w:pPr>
              <w:widowControl/>
              <w:adjustRightInd w:val="0"/>
              <w:snapToGrid w:val="0"/>
              <w:ind w:firstLine="36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共性问题</w:t>
            </w:r>
          </w:p>
        </w:tc>
        <w:tc>
          <w:tcPr>
            <w:tcW w:w="1467" w:type="pct"/>
            <w:vMerge w:val="restart"/>
            <w:tcBorders>
              <w:tl2br w:val="nil"/>
              <w:tr2bl w:val="nil"/>
            </w:tcBorders>
            <w:shd w:val="clear" w:color="auto" w:fill="auto"/>
            <w:noWrap/>
            <w:vAlign w:val="center"/>
          </w:tcPr>
          <w:p w14:paraId="5C00995B">
            <w:pPr>
              <w:widowControl/>
              <w:adjustRightInd w:val="0"/>
              <w:snapToGrid w:val="0"/>
              <w:textAlignment w:val="center"/>
              <w:rPr>
                <w:rFonts w:ascii="Times New Roman" w:hAnsi="Times New Roman" w:eastAsia="宋体" w:cs="Times New Roman"/>
                <w:b/>
                <w:bCs/>
                <w:kern w:val="0"/>
                <w:sz w:val="20"/>
                <w:szCs w:val="20"/>
              </w:rPr>
            </w:pPr>
            <w:r>
              <w:rPr>
                <w:rFonts w:ascii="Times New Roman" w:hAnsi="Times New Roman" w:eastAsia="宋体" w:cs="Times New Roman"/>
                <w:kern w:val="0"/>
                <w:sz w:val="20"/>
                <w:szCs w:val="20"/>
              </w:rPr>
              <w:t>此次挂牌督办的问题：未按照许可证规定从事处置危险废物经营活动、未执行危险废物转移联单制度、在接受监督检查时弄虚作假、未按照国家环境保护标准处置危险废物、废气污染防治设施不正常运行、自动监测设施不正常运行六项问题。</w:t>
            </w:r>
          </w:p>
          <w:p w14:paraId="52CDF38D">
            <w:pPr>
              <w:widowControl/>
              <w:adjustRightInd w:val="0"/>
              <w:snapToGrid w:val="0"/>
              <w:textAlignment w:val="center"/>
              <w:rPr>
                <w:rFonts w:ascii="Times New Roman" w:hAnsi="Times New Roman" w:eastAsia="宋体" w:cs="Times New Roman"/>
                <w:b/>
                <w:bCs/>
                <w:kern w:val="0"/>
                <w:sz w:val="20"/>
                <w:szCs w:val="20"/>
              </w:rPr>
            </w:pPr>
            <w:r>
              <w:rPr>
                <w:rFonts w:ascii="Times New Roman" w:hAnsi="Times New Roman" w:eastAsia="宋体" w:cs="Times New Roman"/>
                <w:kern w:val="0"/>
                <w:sz w:val="20"/>
                <w:szCs w:val="20"/>
              </w:rPr>
              <w:t>公司内部从总体上进行了深入剖析、研究，深挖问题产生的根本原因，对问题产生的共性方面原因进行了梳理，找准切入点，对症下药，确保问题能够从本质上得到解决。</w:t>
            </w:r>
          </w:p>
          <w:p w14:paraId="5E71C18F">
            <w:pPr>
              <w:widowControl/>
              <w:adjustRightInd w:val="0"/>
              <w:snapToGrid w:val="0"/>
              <w:ind w:firstLine="361"/>
              <w:textAlignment w:val="center"/>
              <w:rPr>
                <w:rFonts w:ascii="Times New Roman" w:hAnsi="Times New Roman" w:eastAsia="宋体" w:cs="Times New Roman"/>
                <w:b/>
                <w:bCs/>
                <w:sz w:val="20"/>
                <w:szCs w:val="20"/>
              </w:rPr>
            </w:pPr>
          </w:p>
        </w:tc>
        <w:tc>
          <w:tcPr>
            <w:tcW w:w="1543" w:type="pct"/>
            <w:tcBorders>
              <w:tl2br w:val="nil"/>
              <w:tr2bl w:val="nil"/>
            </w:tcBorders>
            <w:shd w:val="clear" w:color="auto" w:fill="auto"/>
            <w:vAlign w:val="center"/>
          </w:tcPr>
          <w:p w14:paraId="602425F4">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公司自行停产整顿，暂时停止生产经营活动，全力以赴对问题进行彻底整改。</w:t>
            </w:r>
          </w:p>
        </w:tc>
        <w:tc>
          <w:tcPr>
            <w:tcW w:w="970" w:type="pct"/>
            <w:tcBorders>
              <w:tl2br w:val="nil"/>
              <w:tr2bl w:val="nil"/>
            </w:tcBorders>
            <w:shd w:val="clear" w:color="auto" w:fill="auto"/>
            <w:vAlign w:val="center"/>
          </w:tcPr>
          <w:p w14:paraId="24D10B71">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已完成。</w:t>
            </w:r>
          </w:p>
        </w:tc>
      </w:tr>
      <w:tr w14:paraId="7FF0F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9" w:hRule="atLeast"/>
          <w:jc w:val="center"/>
        </w:trPr>
        <w:tc>
          <w:tcPr>
            <w:tcW w:w="289" w:type="pct"/>
            <w:vMerge w:val="continue"/>
            <w:tcBorders>
              <w:tl2br w:val="nil"/>
              <w:tr2bl w:val="nil"/>
            </w:tcBorders>
            <w:vAlign w:val="center"/>
          </w:tcPr>
          <w:p w14:paraId="5F388804"/>
        </w:tc>
        <w:tc>
          <w:tcPr>
            <w:tcW w:w="729" w:type="pct"/>
            <w:vMerge w:val="continue"/>
            <w:tcBorders>
              <w:tl2br w:val="nil"/>
              <w:tr2bl w:val="nil"/>
            </w:tcBorders>
            <w:shd w:val="clear" w:color="auto" w:fill="auto"/>
            <w:noWrap/>
            <w:vAlign w:val="center"/>
          </w:tcPr>
          <w:p w14:paraId="7A5C2196"/>
        </w:tc>
        <w:tc>
          <w:tcPr>
            <w:tcW w:w="1467" w:type="pct"/>
            <w:vMerge w:val="continue"/>
            <w:tcBorders>
              <w:tl2br w:val="nil"/>
              <w:tr2bl w:val="nil"/>
            </w:tcBorders>
            <w:shd w:val="clear" w:color="auto" w:fill="auto"/>
            <w:noWrap/>
            <w:vAlign w:val="center"/>
          </w:tcPr>
          <w:p w14:paraId="3407875A"/>
        </w:tc>
        <w:tc>
          <w:tcPr>
            <w:tcW w:w="1543" w:type="pct"/>
            <w:tcBorders>
              <w:tl2br w:val="nil"/>
              <w:tr2bl w:val="nil"/>
            </w:tcBorders>
            <w:shd w:val="clear" w:color="auto" w:fill="auto"/>
            <w:vAlign w:val="center"/>
          </w:tcPr>
          <w:p w14:paraId="46FFC6AF">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公司管理层要进行深刻反思，对此次挂牌问题产生的根本原因进行分析，认真深入学习习近平生态文明思想，牢固树立绿水青山就是金山银山的环保理念，建立环保管理红线意识、底线意识。</w:t>
            </w:r>
          </w:p>
        </w:tc>
        <w:tc>
          <w:tcPr>
            <w:tcW w:w="970" w:type="pct"/>
            <w:tcBorders>
              <w:tl2br w:val="nil"/>
              <w:tr2bl w:val="nil"/>
            </w:tcBorders>
            <w:shd w:val="clear" w:color="auto" w:fill="auto"/>
            <w:vAlign w:val="center"/>
          </w:tcPr>
          <w:p w14:paraId="3594EEE1">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已完成。</w:t>
            </w:r>
          </w:p>
        </w:tc>
      </w:tr>
      <w:tr w14:paraId="7911F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289" w:type="pct"/>
            <w:vMerge w:val="continue"/>
            <w:tcBorders>
              <w:tl2br w:val="nil"/>
              <w:tr2bl w:val="nil"/>
            </w:tcBorders>
            <w:vAlign w:val="center"/>
          </w:tcPr>
          <w:p w14:paraId="386EE357"/>
        </w:tc>
        <w:tc>
          <w:tcPr>
            <w:tcW w:w="729" w:type="pct"/>
            <w:vMerge w:val="continue"/>
            <w:tcBorders>
              <w:tl2br w:val="nil"/>
              <w:tr2bl w:val="nil"/>
            </w:tcBorders>
            <w:shd w:val="clear" w:color="auto" w:fill="auto"/>
            <w:noWrap/>
            <w:vAlign w:val="center"/>
          </w:tcPr>
          <w:p w14:paraId="2BEE3684"/>
        </w:tc>
        <w:tc>
          <w:tcPr>
            <w:tcW w:w="1467" w:type="pct"/>
            <w:vMerge w:val="continue"/>
            <w:tcBorders>
              <w:tl2br w:val="nil"/>
              <w:tr2bl w:val="nil"/>
            </w:tcBorders>
            <w:shd w:val="clear" w:color="auto" w:fill="auto"/>
            <w:vAlign w:val="center"/>
          </w:tcPr>
          <w:p w14:paraId="1F9C42B1"/>
        </w:tc>
        <w:tc>
          <w:tcPr>
            <w:tcW w:w="1543" w:type="pct"/>
            <w:tcBorders>
              <w:tl2br w:val="nil"/>
              <w:tr2bl w:val="nil"/>
            </w:tcBorders>
            <w:shd w:val="clear" w:color="auto" w:fill="auto"/>
            <w:vAlign w:val="center"/>
          </w:tcPr>
          <w:p w14:paraId="701CF8CD">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对公司管理层组织开展《中华人民共和国环境保护法》《中华人民共和国固体废物污染环境防治法》《危险废物转移管理办法》等法律法规、技术规范的专项学习，提高管理层人员环保法律意识。</w:t>
            </w:r>
          </w:p>
        </w:tc>
        <w:tc>
          <w:tcPr>
            <w:tcW w:w="970" w:type="pct"/>
            <w:tcBorders>
              <w:tl2br w:val="nil"/>
              <w:tr2bl w:val="nil"/>
            </w:tcBorders>
            <w:shd w:val="clear" w:color="auto" w:fill="auto"/>
            <w:vAlign w:val="center"/>
          </w:tcPr>
          <w:p w14:paraId="1940197B">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已完成。</w:t>
            </w:r>
          </w:p>
        </w:tc>
      </w:tr>
      <w:tr w14:paraId="1FC50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0" w:hRule="atLeast"/>
          <w:jc w:val="center"/>
        </w:trPr>
        <w:tc>
          <w:tcPr>
            <w:tcW w:w="289" w:type="pct"/>
            <w:vMerge w:val="continue"/>
            <w:tcBorders>
              <w:tl2br w:val="nil"/>
              <w:tr2bl w:val="nil"/>
            </w:tcBorders>
            <w:vAlign w:val="center"/>
          </w:tcPr>
          <w:p w14:paraId="2F60D476"/>
        </w:tc>
        <w:tc>
          <w:tcPr>
            <w:tcW w:w="729" w:type="pct"/>
            <w:vMerge w:val="continue"/>
            <w:tcBorders>
              <w:tl2br w:val="nil"/>
              <w:tr2bl w:val="nil"/>
            </w:tcBorders>
            <w:shd w:val="clear" w:color="auto" w:fill="auto"/>
            <w:noWrap/>
            <w:vAlign w:val="center"/>
          </w:tcPr>
          <w:p w14:paraId="1A430336"/>
        </w:tc>
        <w:tc>
          <w:tcPr>
            <w:tcW w:w="1467" w:type="pct"/>
            <w:vMerge w:val="continue"/>
            <w:tcBorders>
              <w:tl2br w:val="nil"/>
              <w:tr2bl w:val="nil"/>
            </w:tcBorders>
            <w:shd w:val="clear" w:color="auto" w:fill="auto"/>
            <w:vAlign w:val="center"/>
          </w:tcPr>
          <w:p w14:paraId="2C38FEDC"/>
        </w:tc>
        <w:tc>
          <w:tcPr>
            <w:tcW w:w="1543" w:type="pct"/>
            <w:tcBorders>
              <w:tl2br w:val="nil"/>
              <w:tr2bl w:val="nil"/>
            </w:tcBorders>
            <w:shd w:val="clear" w:color="auto" w:fill="auto"/>
            <w:vAlign w:val="center"/>
          </w:tcPr>
          <w:p w14:paraId="322745FE">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重新对公司环保管理体系重新梳理，制定公司年度环境管理目标、方针政策，形成有效文件发布实施，对现有环保管理制度按照最新法律法规、技术规范要求重新进行修订，完善对环保违规行为有效的惩处措施，确保制度符合公司实际需要，能够有效执行。</w:t>
            </w:r>
          </w:p>
        </w:tc>
        <w:tc>
          <w:tcPr>
            <w:tcW w:w="970" w:type="pct"/>
            <w:tcBorders>
              <w:tl2br w:val="nil"/>
              <w:tr2bl w:val="nil"/>
            </w:tcBorders>
            <w:shd w:val="clear" w:color="auto" w:fill="auto"/>
            <w:vAlign w:val="center"/>
          </w:tcPr>
          <w:p w14:paraId="775CE165">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已完成。</w:t>
            </w:r>
          </w:p>
        </w:tc>
      </w:tr>
      <w:tr w14:paraId="1D85D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0" w:hRule="atLeast"/>
          <w:jc w:val="center"/>
        </w:trPr>
        <w:tc>
          <w:tcPr>
            <w:tcW w:w="289" w:type="pct"/>
            <w:vMerge w:val="restart"/>
            <w:tcBorders>
              <w:tl2br w:val="nil"/>
              <w:tr2bl w:val="nil"/>
            </w:tcBorders>
            <w:vAlign w:val="center"/>
          </w:tcPr>
          <w:p w14:paraId="6EF69345">
            <w:pPr>
              <w:widowControl/>
              <w:adjustRightInd w:val="0"/>
              <w:snapToGrid w:val="0"/>
              <w:textAlignment w:val="center"/>
              <w:rPr>
                <w:rFonts w:ascii="Times New Roman" w:hAnsi="Times New Roman" w:eastAsia="宋体" w:cs="Times New Roman"/>
                <w:b/>
                <w:bCs/>
                <w:kern w:val="0"/>
                <w:sz w:val="20"/>
                <w:szCs w:val="20"/>
              </w:rPr>
            </w:pPr>
            <w:r>
              <w:rPr>
                <w:rFonts w:ascii="Times New Roman" w:hAnsi="Times New Roman" w:eastAsia="宋体" w:cs="Times New Roman"/>
                <w:kern w:val="0"/>
                <w:sz w:val="20"/>
                <w:szCs w:val="20"/>
              </w:rPr>
              <w:t>2</w:t>
            </w:r>
          </w:p>
        </w:tc>
        <w:tc>
          <w:tcPr>
            <w:tcW w:w="729" w:type="pct"/>
            <w:vMerge w:val="restart"/>
            <w:tcBorders>
              <w:tl2br w:val="nil"/>
              <w:tr2bl w:val="nil"/>
            </w:tcBorders>
            <w:shd w:val="clear" w:color="auto" w:fill="auto"/>
            <w:vAlign w:val="center"/>
          </w:tcPr>
          <w:p w14:paraId="29C8B6AF">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未按照许可证规定从事处置危险废物经营活动</w:t>
            </w:r>
          </w:p>
        </w:tc>
        <w:tc>
          <w:tcPr>
            <w:tcW w:w="1467" w:type="pct"/>
            <w:vMerge w:val="restart"/>
            <w:tcBorders>
              <w:tl2br w:val="nil"/>
              <w:tr2bl w:val="nil"/>
            </w:tcBorders>
            <w:shd w:val="clear" w:color="auto" w:fill="auto"/>
            <w:noWrap/>
            <w:vAlign w:val="center"/>
          </w:tcPr>
          <w:p w14:paraId="4A59366D">
            <w:pPr>
              <w:widowControl/>
              <w:adjustRightInd w:val="0"/>
              <w:snapToGrid w:val="0"/>
              <w:textAlignment w:val="center"/>
              <w:rPr>
                <w:rFonts w:ascii="Times New Roman" w:hAnsi="Times New Roman" w:eastAsia="宋体" w:cs="Times New Roman"/>
                <w:b/>
                <w:bCs/>
                <w:kern w:val="0"/>
                <w:sz w:val="20"/>
                <w:szCs w:val="20"/>
              </w:rPr>
            </w:pPr>
            <w:r>
              <w:rPr>
                <w:rFonts w:ascii="Times New Roman" w:hAnsi="Times New Roman" w:eastAsia="宋体" w:cs="Times New Roman"/>
                <w:kern w:val="0"/>
                <w:sz w:val="20"/>
                <w:szCs w:val="20"/>
              </w:rPr>
              <w:t>经查，该企业危险废物经营许可证载明的经营范围是收集、贮存和利用。2023年11月，该企业未执行危险废物转移联单制度，擅自从安徽沛成医药科技有限公司转移含甲醇和三羟甲基氨基甲烷的危险废物(HW02医药废物)32.97吨，并违法进行焚烧处置。</w:t>
            </w:r>
          </w:p>
          <w:p w14:paraId="53D39436">
            <w:pPr>
              <w:widowControl/>
              <w:adjustRightInd w:val="0"/>
              <w:snapToGrid w:val="0"/>
              <w:ind w:firstLine="361"/>
              <w:textAlignment w:val="center"/>
              <w:rPr>
                <w:rFonts w:ascii="Times New Roman" w:hAnsi="Times New Roman" w:eastAsia="宋体" w:cs="Times New Roman"/>
                <w:b/>
                <w:bCs/>
                <w:sz w:val="20"/>
                <w:szCs w:val="20"/>
              </w:rPr>
            </w:pPr>
          </w:p>
        </w:tc>
        <w:tc>
          <w:tcPr>
            <w:tcW w:w="1543" w:type="pct"/>
            <w:tcBorders>
              <w:tl2br w:val="nil"/>
              <w:tr2bl w:val="nil"/>
            </w:tcBorders>
            <w:shd w:val="clear" w:color="auto" w:fill="auto"/>
            <w:vAlign w:val="center"/>
          </w:tcPr>
          <w:p w14:paraId="0524E7A1">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按照生态环境部《危险废物转移管理办法》要求，严格执行危险废物转移联单制度，危废收集、贮存及时在安徽省固废管理系统填写相关信息，运行危险废物电子转移联单，无相关危废转移信息物料拒绝入厂接收。</w:t>
            </w:r>
            <w:r>
              <w:rPr>
                <w:rFonts w:ascii="Times New Roman" w:hAnsi="Times New Roman" w:eastAsia="宋体" w:cs="Times New Roman"/>
                <w:kern w:val="0"/>
                <w:sz w:val="20"/>
                <w:szCs w:val="20"/>
              </w:rPr>
              <w:br w:type="textWrapping"/>
            </w:r>
          </w:p>
        </w:tc>
        <w:tc>
          <w:tcPr>
            <w:tcW w:w="970" w:type="pct"/>
            <w:tcBorders>
              <w:tl2br w:val="nil"/>
              <w:tr2bl w:val="nil"/>
            </w:tcBorders>
            <w:shd w:val="clear" w:color="auto" w:fill="auto"/>
            <w:vAlign w:val="center"/>
          </w:tcPr>
          <w:p w14:paraId="6EBBF642">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14:paraId="18714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jc w:val="center"/>
        </w:trPr>
        <w:tc>
          <w:tcPr>
            <w:tcW w:w="289" w:type="pct"/>
            <w:vMerge w:val="continue"/>
            <w:tcBorders>
              <w:tl2br w:val="nil"/>
              <w:tr2bl w:val="nil"/>
            </w:tcBorders>
            <w:vAlign w:val="center"/>
          </w:tcPr>
          <w:p w14:paraId="6DE935C4"/>
        </w:tc>
        <w:tc>
          <w:tcPr>
            <w:tcW w:w="729" w:type="pct"/>
            <w:vMerge w:val="continue"/>
            <w:tcBorders>
              <w:tl2br w:val="nil"/>
              <w:tr2bl w:val="nil"/>
            </w:tcBorders>
            <w:shd w:val="clear" w:color="auto" w:fill="auto"/>
            <w:vAlign w:val="center"/>
          </w:tcPr>
          <w:p w14:paraId="6482C713"/>
        </w:tc>
        <w:tc>
          <w:tcPr>
            <w:tcW w:w="1467" w:type="pct"/>
            <w:vMerge w:val="continue"/>
            <w:tcBorders>
              <w:tl2br w:val="nil"/>
              <w:tr2bl w:val="nil"/>
            </w:tcBorders>
            <w:shd w:val="clear" w:color="auto" w:fill="auto"/>
            <w:vAlign w:val="center"/>
          </w:tcPr>
          <w:p w14:paraId="5B28878F"/>
        </w:tc>
        <w:tc>
          <w:tcPr>
            <w:tcW w:w="1543" w:type="pct"/>
            <w:tcBorders>
              <w:tl2br w:val="nil"/>
              <w:tr2bl w:val="nil"/>
            </w:tcBorders>
            <w:shd w:val="clear" w:color="auto" w:fill="auto"/>
            <w:vAlign w:val="center"/>
          </w:tcPr>
          <w:p w14:paraId="33831CF1">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开展内部自查，对签订的合同重新进行合规性评估，对不符合环评要求的品种物料由安环部门进行确认禁止入厂，严格按照规定开展生产经营活动。</w:t>
            </w:r>
          </w:p>
        </w:tc>
        <w:tc>
          <w:tcPr>
            <w:tcW w:w="970" w:type="pct"/>
            <w:tcBorders>
              <w:tl2br w:val="nil"/>
              <w:tr2bl w:val="nil"/>
            </w:tcBorders>
            <w:shd w:val="clear" w:color="auto" w:fill="auto"/>
            <w:noWrap/>
            <w:vAlign w:val="center"/>
          </w:tcPr>
          <w:p w14:paraId="65DE0537">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14:paraId="0270B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2" w:hRule="atLeast"/>
          <w:jc w:val="center"/>
        </w:trPr>
        <w:tc>
          <w:tcPr>
            <w:tcW w:w="289" w:type="pct"/>
            <w:vMerge w:val="continue"/>
            <w:tcBorders>
              <w:tl2br w:val="nil"/>
              <w:tr2bl w:val="nil"/>
            </w:tcBorders>
            <w:vAlign w:val="center"/>
          </w:tcPr>
          <w:p w14:paraId="7A38A094"/>
        </w:tc>
        <w:tc>
          <w:tcPr>
            <w:tcW w:w="729" w:type="pct"/>
            <w:vMerge w:val="continue"/>
            <w:tcBorders>
              <w:tl2br w:val="nil"/>
              <w:tr2bl w:val="nil"/>
            </w:tcBorders>
            <w:shd w:val="clear" w:color="auto" w:fill="auto"/>
            <w:vAlign w:val="center"/>
          </w:tcPr>
          <w:p w14:paraId="14BE0D04"/>
        </w:tc>
        <w:tc>
          <w:tcPr>
            <w:tcW w:w="1467" w:type="pct"/>
            <w:vMerge w:val="continue"/>
            <w:tcBorders>
              <w:tl2br w:val="nil"/>
              <w:tr2bl w:val="nil"/>
            </w:tcBorders>
            <w:shd w:val="clear" w:color="auto" w:fill="auto"/>
            <w:noWrap/>
            <w:vAlign w:val="center"/>
          </w:tcPr>
          <w:p w14:paraId="22232F3B"/>
        </w:tc>
        <w:tc>
          <w:tcPr>
            <w:tcW w:w="1543" w:type="pct"/>
            <w:tcBorders>
              <w:tl2br w:val="nil"/>
              <w:tr2bl w:val="nil"/>
            </w:tcBorders>
            <w:shd w:val="clear" w:color="auto" w:fill="auto"/>
            <w:vAlign w:val="center"/>
          </w:tcPr>
          <w:p w14:paraId="15F547AB">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加强业务能力培训学习，除管理层外还要组织市场部人员对《中华人民共和国固体废物污染环境防治法》《危险废物转移管理办法》等法律法规认真学习，强化业务部门对危险废物知识掌握、了解，从源头进行把控。</w:t>
            </w:r>
          </w:p>
        </w:tc>
        <w:tc>
          <w:tcPr>
            <w:tcW w:w="970" w:type="pct"/>
            <w:tcBorders>
              <w:tl2br w:val="nil"/>
              <w:tr2bl w:val="nil"/>
            </w:tcBorders>
            <w:shd w:val="clear" w:color="auto" w:fill="auto"/>
            <w:vAlign w:val="center"/>
          </w:tcPr>
          <w:p w14:paraId="7FE042DD">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14:paraId="61A40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0" w:hRule="atLeast"/>
          <w:jc w:val="center"/>
        </w:trPr>
        <w:tc>
          <w:tcPr>
            <w:tcW w:w="289" w:type="pct"/>
            <w:vMerge w:val="continue"/>
            <w:tcBorders>
              <w:tl2br w:val="nil"/>
              <w:tr2bl w:val="nil"/>
            </w:tcBorders>
            <w:vAlign w:val="center"/>
          </w:tcPr>
          <w:p w14:paraId="40899FCF"/>
        </w:tc>
        <w:tc>
          <w:tcPr>
            <w:tcW w:w="729" w:type="pct"/>
            <w:vMerge w:val="continue"/>
            <w:tcBorders>
              <w:tl2br w:val="nil"/>
              <w:tr2bl w:val="nil"/>
            </w:tcBorders>
            <w:shd w:val="clear" w:color="auto" w:fill="auto"/>
            <w:vAlign w:val="center"/>
          </w:tcPr>
          <w:p w14:paraId="355AA3DF"/>
        </w:tc>
        <w:tc>
          <w:tcPr>
            <w:tcW w:w="1467" w:type="pct"/>
            <w:vMerge w:val="continue"/>
            <w:tcBorders>
              <w:tl2br w:val="nil"/>
              <w:tr2bl w:val="nil"/>
            </w:tcBorders>
            <w:shd w:val="clear" w:color="auto" w:fill="auto"/>
            <w:noWrap/>
            <w:vAlign w:val="center"/>
          </w:tcPr>
          <w:p w14:paraId="65C94726"/>
        </w:tc>
        <w:tc>
          <w:tcPr>
            <w:tcW w:w="1543" w:type="pct"/>
            <w:tcBorders>
              <w:tl2br w:val="nil"/>
              <w:tr2bl w:val="nil"/>
            </w:tcBorders>
            <w:shd w:val="clear" w:color="auto" w:fill="auto"/>
            <w:vAlign w:val="center"/>
          </w:tcPr>
          <w:p w14:paraId="23958B0F">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加强内部管理，建立完善《物料入厂管理制度》，对物料入厂后各环节进行把关，严格按照公司《危险废物经营许可证》载明的范围，利用精馏工艺对危险废物进行综合利用，对入厂检测无综合利用价值的危废，与产废单位联系退货（不再接收入厂），不得随意焚烧处置。</w:t>
            </w:r>
          </w:p>
        </w:tc>
        <w:tc>
          <w:tcPr>
            <w:tcW w:w="970" w:type="pct"/>
            <w:tcBorders>
              <w:tl2br w:val="nil"/>
              <w:tr2bl w:val="nil"/>
            </w:tcBorders>
            <w:shd w:val="clear" w:color="auto" w:fill="auto"/>
            <w:vAlign w:val="center"/>
          </w:tcPr>
          <w:p w14:paraId="1A5B137F">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14:paraId="43C05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2" w:hRule="atLeast"/>
          <w:jc w:val="center"/>
        </w:trPr>
        <w:tc>
          <w:tcPr>
            <w:tcW w:w="289" w:type="pct"/>
            <w:vMerge w:val="continue"/>
            <w:tcBorders>
              <w:tl2br w:val="nil"/>
              <w:tr2bl w:val="nil"/>
            </w:tcBorders>
            <w:vAlign w:val="center"/>
          </w:tcPr>
          <w:p w14:paraId="017E4C8F"/>
        </w:tc>
        <w:tc>
          <w:tcPr>
            <w:tcW w:w="729" w:type="pct"/>
            <w:vMerge w:val="continue"/>
            <w:tcBorders>
              <w:tl2br w:val="nil"/>
              <w:tr2bl w:val="nil"/>
            </w:tcBorders>
            <w:shd w:val="clear" w:color="auto" w:fill="auto"/>
            <w:vAlign w:val="center"/>
          </w:tcPr>
          <w:p w14:paraId="0710FF31"/>
        </w:tc>
        <w:tc>
          <w:tcPr>
            <w:tcW w:w="1467" w:type="pct"/>
            <w:vMerge w:val="continue"/>
            <w:tcBorders>
              <w:tl2br w:val="nil"/>
              <w:tr2bl w:val="nil"/>
            </w:tcBorders>
            <w:shd w:val="clear" w:color="auto" w:fill="auto"/>
            <w:vAlign w:val="center"/>
          </w:tcPr>
          <w:p w14:paraId="4B4D3523"/>
        </w:tc>
        <w:tc>
          <w:tcPr>
            <w:tcW w:w="1543" w:type="pct"/>
            <w:tcBorders>
              <w:tl2br w:val="nil"/>
              <w:tr2bl w:val="nil"/>
            </w:tcBorders>
            <w:shd w:val="clear" w:color="auto" w:fill="auto"/>
            <w:vAlign w:val="center"/>
          </w:tcPr>
          <w:p w14:paraId="266A92A4">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焚烧车间建立相关物料接收审批制度，由生产车间发起，经焚烧车间、生产保障部、分管领导审批后，方可接收物料进行焚烧处置，否则不予处置，避免类似事件再次发生。</w:t>
            </w:r>
          </w:p>
        </w:tc>
        <w:tc>
          <w:tcPr>
            <w:tcW w:w="970" w:type="pct"/>
            <w:tcBorders>
              <w:tl2br w:val="nil"/>
              <w:tr2bl w:val="nil"/>
            </w:tcBorders>
            <w:shd w:val="clear" w:color="auto" w:fill="auto"/>
            <w:vAlign w:val="center"/>
          </w:tcPr>
          <w:p w14:paraId="2BE53500">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14:paraId="340E9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289" w:type="pct"/>
            <w:vMerge w:val="continue"/>
            <w:tcBorders>
              <w:tl2br w:val="nil"/>
              <w:tr2bl w:val="nil"/>
            </w:tcBorders>
            <w:vAlign w:val="center"/>
          </w:tcPr>
          <w:p w14:paraId="74AAD200"/>
        </w:tc>
        <w:tc>
          <w:tcPr>
            <w:tcW w:w="729" w:type="pct"/>
            <w:vMerge w:val="continue"/>
            <w:tcBorders>
              <w:tl2br w:val="nil"/>
              <w:tr2bl w:val="nil"/>
            </w:tcBorders>
            <w:shd w:val="clear" w:color="auto" w:fill="auto"/>
            <w:vAlign w:val="center"/>
          </w:tcPr>
          <w:p w14:paraId="6646AD73"/>
        </w:tc>
        <w:tc>
          <w:tcPr>
            <w:tcW w:w="1467" w:type="pct"/>
            <w:vMerge w:val="continue"/>
            <w:tcBorders>
              <w:tl2br w:val="nil"/>
              <w:tr2bl w:val="nil"/>
            </w:tcBorders>
            <w:shd w:val="clear" w:color="auto" w:fill="auto"/>
            <w:vAlign w:val="center"/>
          </w:tcPr>
          <w:p w14:paraId="064BCA12"/>
        </w:tc>
        <w:tc>
          <w:tcPr>
            <w:tcW w:w="1543" w:type="pct"/>
            <w:tcBorders>
              <w:tl2br w:val="nil"/>
              <w:tr2bl w:val="nil"/>
            </w:tcBorders>
            <w:shd w:val="clear" w:color="auto" w:fill="auto"/>
            <w:vAlign w:val="center"/>
          </w:tcPr>
          <w:p w14:paraId="53005F7D">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对相关责任人予以考核。</w:t>
            </w:r>
          </w:p>
        </w:tc>
        <w:tc>
          <w:tcPr>
            <w:tcW w:w="970" w:type="pct"/>
            <w:tcBorders>
              <w:tl2br w:val="nil"/>
              <w:tr2bl w:val="nil"/>
            </w:tcBorders>
            <w:shd w:val="clear" w:color="auto" w:fill="auto"/>
            <w:vAlign w:val="center"/>
          </w:tcPr>
          <w:p w14:paraId="0FD8D9D2">
            <w:pPr>
              <w:widowControl/>
              <w:adjustRightInd w:val="0"/>
              <w:snapToGrid w:val="0"/>
              <w:textAlignment w:val="center"/>
              <w:rPr>
                <w:rFonts w:ascii="Times New Roman" w:hAnsi="Times New Roman" w:eastAsia="宋体" w:cs="Times New Roman"/>
                <w:b/>
                <w:bCs/>
                <w:sz w:val="20"/>
                <w:szCs w:val="20"/>
              </w:rPr>
            </w:pPr>
            <w:r>
              <w:rPr>
                <w:rFonts w:hint="eastAsia" w:ascii="Times New Roman" w:hAnsi="Times New Roman" w:eastAsia="宋体" w:cs="Times New Roman"/>
                <w:sz w:val="20"/>
                <w:szCs w:val="20"/>
              </w:rPr>
              <w:t>已完成</w:t>
            </w:r>
            <w:r>
              <w:rPr>
                <w:rFonts w:ascii="Times New Roman" w:hAnsi="Times New Roman" w:eastAsia="宋体" w:cs="Times New Roman"/>
                <w:sz w:val="20"/>
                <w:szCs w:val="20"/>
              </w:rPr>
              <w:t>。</w:t>
            </w:r>
          </w:p>
        </w:tc>
      </w:tr>
      <w:tr w14:paraId="306D7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2" w:hRule="atLeast"/>
          <w:jc w:val="center"/>
        </w:trPr>
        <w:tc>
          <w:tcPr>
            <w:tcW w:w="289" w:type="pct"/>
            <w:vMerge w:val="restart"/>
            <w:tcBorders>
              <w:tl2br w:val="nil"/>
              <w:tr2bl w:val="nil"/>
            </w:tcBorders>
            <w:vAlign w:val="center"/>
          </w:tcPr>
          <w:p w14:paraId="64E80A7A">
            <w:pPr>
              <w:widowControl/>
              <w:adjustRightInd w:val="0"/>
              <w:snapToGrid w:val="0"/>
              <w:textAlignment w:val="center"/>
              <w:rPr>
                <w:rFonts w:ascii="Times New Roman" w:hAnsi="Times New Roman" w:eastAsia="宋体" w:cs="Times New Roman"/>
                <w:b/>
                <w:bCs/>
                <w:kern w:val="0"/>
                <w:sz w:val="20"/>
                <w:szCs w:val="20"/>
              </w:rPr>
            </w:pPr>
            <w:r>
              <w:rPr>
                <w:rFonts w:ascii="Times New Roman" w:hAnsi="Times New Roman" w:eastAsia="宋体" w:cs="Times New Roman"/>
                <w:kern w:val="0"/>
                <w:sz w:val="20"/>
                <w:szCs w:val="20"/>
              </w:rPr>
              <w:t>3</w:t>
            </w:r>
          </w:p>
        </w:tc>
        <w:tc>
          <w:tcPr>
            <w:tcW w:w="729" w:type="pct"/>
            <w:vMerge w:val="restart"/>
            <w:tcBorders>
              <w:tl2br w:val="nil"/>
              <w:tr2bl w:val="nil"/>
            </w:tcBorders>
            <w:shd w:val="clear" w:color="auto" w:fill="auto"/>
            <w:vAlign w:val="center"/>
          </w:tcPr>
          <w:p w14:paraId="68370875">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未执行危险废物转移联单制度</w:t>
            </w:r>
          </w:p>
        </w:tc>
        <w:tc>
          <w:tcPr>
            <w:tcW w:w="1467" w:type="pct"/>
            <w:vMerge w:val="restart"/>
            <w:tcBorders>
              <w:tl2br w:val="nil"/>
              <w:tr2bl w:val="nil"/>
            </w:tcBorders>
            <w:shd w:val="clear" w:color="auto" w:fill="auto"/>
            <w:vAlign w:val="center"/>
          </w:tcPr>
          <w:p w14:paraId="1D0619CD">
            <w:pPr>
              <w:widowControl/>
              <w:adjustRightInd w:val="0"/>
              <w:snapToGrid w:val="0"/>
              <w:textAlignment w:val="center"/>
              <w:rPr>
                <w:rFonts w:ascii="Times New Roman" w:hAnsi="Times New Roman" w:eastAsia="宋体" w:cs="Times New Roman"/>
                <w:b/>
                <w:bCs/>
                <w:kern w:val="0"/>
                <w:sz w:val="20"/>
                <w:szCs w:val="20"/>
              </w:rPr>
            </w:pPr>
            <w:r>
              <w:rPr>
                <w:rFonts w:ascii="Times New Roman" w:hAnsi="Times New Roman" w:eastAsia="宋体" w:cs="Times New Roman"/>
                <w:kern w:val="0"/>
                <w:sz w:val="20"/>
                <w:szCs w:val="20"/>
              </w:rPr>
              <w:t>经查，2023年8月，该企业未执行危险废物转移联单制度,擅自从淮北龙溪生物科技有限公司转移含甲基叔丁基醚危险废物(HWO6废有机溶剂与含有机溶剂废物)79.35吨。</w:t>
            </w:r>
          </w:p>
          <w:p w14:paraId="6ED96656">
            <w:pPr>
              <w:widowControl/>
              <w:adjustRightInd w:val="0"/>
              <w:snapToGrid w:val="0"/>
              <w:ind w:firstLine="361"/>
              <w:textAlignment w:val="center"/>
              <w:rPr>
                <w:rFonts w:ascii="Times New Roman" w:hAnsi="Times New Roman" w:eastAsia="宋体" w:cs="Times New Roman"/>
                <w:b/>
                <w:bCs/>
                <w:sz w:val="20"/>
                <w:szCs w:val="20"/>
              </w:rPr>
            </w:pPr>
          </w:p>
        </w:tc>
        <w:tc>
          <w:tcPr>
            <w:tcW w:w="1543" w:type="pct"/>
            <w:tcBorders>
              <w:tl2br w:val="nil"/>
              <w:tr2bl w:val="nil"/>
            </w:tcBorders>
            <w:shd w:val="clear" w:color="auto" w:fill="auto"/>
            <w:vAlign w:val="center"/>
          </w:tcPr>
          <w:p w14:paraId="10C51E43">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按照生态环境部《危险废物转移管理办法》要求，严格执行危险废物转移联单制度，危废收集、贮存及时在安徽省固废管理系统填写相关信息，运行危险废物电子转移联单，无相关危废转移信息物料拒绝入厂接收。</w:t>
            </w:r>
          </w:p>
        </w:tc>
        <w:tc>
          <w:tcPr>
            <w:tcW w:w="970" w:type="pct"/>
            <w:tcBorders>
              <w:tl2br w:val="nil"/>
              <w:tr2bl w:val="nil"/>
            </w:tcBorders>
            <w:shd w:val="clear" w:color="auto" w:fill="auto"/>
            <w:vAlign w:val="center"/>
          </w:tcPr>
          <w:p w14:paraId="120CF16E">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14:paraId="41107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jc w:val="center"/>
        </w:trPr>
        <w:tc>
          <w:tcPr>
            <w:tcW w:w="289" w:type="pct"/>
            <w:vMerge w:val="continue"/>
            <w:tcBorders>
              <w:tl2br w:val="nil"/>
              <w:tr2bl w:val="nil"/>
            </w:tcBorders>
            <w:vAlign w:val="center"/>
          </w:tcPr>
          <w:p w14:paraId="147474EE"/>
        </w:tc>
        <w:tc>
          <w:tcPr>
            <w:tcW w:w="729" w:type="pct"/>
            <w:vMerge w:val="continue"/>
            <w:tcBorders>
              <w:tl2br w:val="nil"/>
              <w:tr2bl w:val="nil"/>
            </w:tcBorders>
            <w:shd w:val="clear" w:color="auto" w:fill="auto"/>
            <w:vAlign w:val="center"/>
          </w:tcPr>
          <w:p w14:paraId="199B4C8C"/>
        </w:tc>
        <w:tc>
          <w:tcPr>
            <w:tcW w:w="1467" w:type="pct"/>
            <w:vMerge w:val="continue"/>
            <w:tcBorders>
              <w:tl2br w:val="nil"/>
              <w:tr2bl w:val="nil"/>
            </w:tcBorders>
            <w:shd w:val="clear" w:color="auto" w:fill="auto"/>
            <w:vAlign w:val="center"/>
          </w:tcPr>
          <w:p w14:paraId="25AC05B0"/>
        </w:tc>
        <w:tc>
          <w:tcPr>
            <w:tcW w:w="1543" w:type="pct"/>
            <w:tcBorders>
              <w:tl2br w:val="nil"/>
              <w:tr2bl w:val="nil"/>
            </w:tcBorders>
            <w:shd w:val="clear" w:color="auto" w:fill="auto"/>
            <w:vAlign w:val="center"/>
          </w:tcPr>
          <w:p w14:paraId="67D16108">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加强业务能力培训学习，除管理层外还要组织市场部人员对《中华人民共和国固体废物污染环境防治法》《危险废物转移管理办法》等法律法规认真学习，强化业务部门对危险废物知识掌握、了解，从源头进行把控。</w:t>
            </w:r>
          </w:p>
        </w:tc>
        <w:tc>
          <w:tcPr>
            <w:tcW w:w="970" w:type="pct"/>
            <w:tcBorders>
              <w:tl2br w:val="nil"/>
              <w:tr2bl w:val="nil"/>
            </w:tcBorders>
            <w:shd w:val="clear" w:color="auto" w:fill="auto"/>
            <w:vAlign w:val="center"/>
          </w:tcPr>
          <w:p w14:paraId="1CCED5CE">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14:paraId="3846A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0" w:hRule="atLeast"/>
          <w:jc w:val="center"/>
        </w:trPr>
        <w:tc>
          <w:tcPr>
            <w:tcW w:w="289" w:type="pct"/>
            <w:vMerge w:val="continue"/>
            <w:tcBorders>
              <w:tl2br w:val="nil"/>
              <w:tr2bl w:val="nil"/>
            </w:tcBorders>
            <w:vAlign w:val="center"/>
          </w:tcPr>
          <w:p w14:paraId="2FA9A9B3"/>
        </w:tc>
        <w:tc>
          <w:tcPr>
            <w:tcW w:w="729" w:type="pct"/>
            <w:vMerge w:val="continue"/>
            <w:tcBorders>
              <w:tl2br w:val="nil"/>
              <w:tr2bl w:val="nil"/>
            </w:tcBorders>
            <w:shd w:val="clear" w:color="auto" w:fill="auto"/>
            <w:vAlign w:val="center"/>
          </w:tcPr>
          <w:p w14:paraId="194851D0"/>
        </w:tc>
        <w:tc>
          <w:tcPr>
            <w:tcW w:w="1467" w:type="pct"/>
            <w:vMerge w:val="continue"/>
            <w:tcBorders>
              <w:tl2br w:val="nil"/>
              <w:tr2bl w:val="nil"/>
            </w:tcBorders>
            <w:shd w:val="clear" w:color="auto" w:fill="auto"/>
            <w:vAlign w:val="center"/>
          </w:tcPr>
          <w:p w14:paraId="57F9770B"/>
        </w:tc>
        <w:tc>
          <w:tcPr>
            <w:tcW w:w="1543" w:type="pct"/>
            <w:tcBorders>
              <w:tl2br w:val="nil"/>
              <w:tr2bl w:val="nil"/>
            </w:tcBorders>
            <w:shd w:val="clear" w:color="auto" w:fill="auto"/>
            <w:vAlign w:val="center"/>
          </w:tcPr>
          <w:p w14:paraId="5E518BBE">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加强内部管理，建立完善《物料入厂管理制度》，对物料入厂后各环节进行把关，严格按照公司《危险废物经营许可证》载明的范围，利用精馏工艺对危险废物进行综合利用，对入厂检测无综合利用价值的危废，与产废单位联系退货（不再接收入厂），不得随意焚烧处置。</w:t>
            </w:r>
          </w:p>
        </w:tc>
        <w:tc>
          <w:tcPr>
            <w:tcW w:w="970" w:type="pct"/>
            <w:tcBorders>
              <w:tl2br w:val="nil"/>
              <w:tr2bl w:val="nil"/>
            </w:tcBorders>
            <w:shd w:val="clear" w:color="auto" w:fill="auto"/>
            <w:vAlign w:val="center"/>
          </w:tcPr>
          <w:p w14:paraId="4058EDC3">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14:paraId="42B85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289" w:type="pct"/>
            <w:vMerge w:val="continue"/>
            <w:tcBorders>
              <w:tl2br w:val="nil"/>
              <w:tr2bl w:val="nil"/>
            </w:tcBorders>
            <w:vAlign w:val="center"/>
          </w:tcPr>
          <w:p w14:paraId="3A07977C"/>
        </w:tc>
        <w:tc>
          <w:tcPr>
            <w:tcW w:w="729" w:type="pct"/>
            <w:vMerge w:val="continue"/>
            <w:tcBorders>
              <w:tl2br w:val="nil"/>
              <w:tr2bl w:val="nil"/>
            </w:tcBorders>
            <w:shd w:val="clear" w:color="auto" w:fill="auto"/>
            <w:vAlign w:val="center"/>
          </w:tcPr>
          <w:p w14:paraId="4F76CFC7"/>
        </w:tc>
        <w:tc>
          <w:tcPr>
            <w:tcW w:w="1467" w:type="pct"/>
            <w:vMerge w:val="continue"/>
            <w:tcBorders>
              <w:tl2br w:val="nil"/>
              <w:tr2bl w:val="nil"/>
            </w:tcBorders>
            <w:shd w:val="clear" w:color="auto" w:fill="auto"/>
            <w:noWrap/>
            <w:vAlign w:val="center"/>
          </w:tcPr>
          <w:p w14:paraId="68E5E6B7"/>
        </w:tc>
        <w:tc>
          <w:tcPr>
            <w:tcW w:w="1543" w:type="pct"/>
            <w:tcBorders>
              <w:tl2br w:val="nil"/>
              <w:tr2bl w:val="nil"/>
            </w:tcBorders>
            <w:shd w:val="clear" w:color="auto" w:fill="auto"/>
            <w:vAlign w:val="center"/>
          </w:tcPr>
          <w:p w14:paraId="3D7851DB">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对相关责任人予以考核。</w:t>
            </w:r>
          </w:p>
        </w:tc>
        <w:tc>
          <w:tcPr>
            <w:tcW w:w="970" w:type="pct"/>
            <w:tcBorders>
              <w:tl2br w:val="nil"/>
              <w:tr2bl w:val="nil"/>
            </w:tcBorders>
            <w:shd w:val="clear" w:color="auto" w:fill="auto"/>
            <w:vAlign w:val="center"/>
          </w:tcPr>
          <w:p w14:paraId="1AF846A3">
            <w:pPr>
              <w:widowControl/>
              <w:adjustRightInd w:val="0"/>
              <w:snapToGrid w:val="0"/>
              <w:textAlignment w:val="center"/>
              <w:rPr>
                <w:rFonts w:ascii="Times New Roman" w:hAnsi="Times New Roman" w:eastAsia="宋体" w:cs="Times New Roman"/>
                <w:b/>
                <w:bCs/>
                <w:sz w:val="20"/>
                <w:szCs w:val="20"/>
              </w:rPr>
            </w:pPr>
            <w:r>
              <w:rPr>
                <w:rFonts w:hint="eastAsia" w:ascii="Times New Roman" w:hAnsi="Times New Roman" w:eastAsia="宋体" w:cs="Times New Roman"/>
                <w:sz w:val="20"/>
                <w:szCs w:val="20"/>
              </w:rPr>
              <w:t>已完成</w:t>
            </w:r>
            <w:r>
              <w:rPr>
                <w:rFonts w:ascii="Times New Roman" w:hAnsi="Times New Roman" w:eastAsia="宋体" w:cs="Times New Roman"/>
                <w:sz w:val="20"/>
                <w:szCs w:val="20"/>
              </w:rPr>
              <w:t>。</w:t>
            </w:r>
          </w:p>
        </w:tc>
      </w:tr>
      <w:tr w14:paraId="7C918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289" w:type="pct"/>
            <w:vMerge w:val="restart"/>
            <w:tcBorders>
              <w:tl2br w:val="nil"/>
              <w:tr2bl w:val="nil"/>
            </w:tcBorders>
            <w:vAlign w:val="center"/>
          </w:tcPr>
          <w:p w14:paraId="6F3AB3D3">
            <w:pPr>
              <w:widowControl/>
              <w:adjustRightInd w:val="0"/>
              <w:snapToGrid w:val="0"/>
              <w:textAlignment w:val="center"/>
              <w:rPr>
                <w:rFonts w:ascii="Times New Roman" w:hAnsi="Times New Roman" w:eastAsia="宋体" w:cs="Times New Roman"/>
                <w:b/>
                <w:bCs/>
                <w:kern w:val="0"/>
                <w:sz w:val="20"/>
                <w:szCs w:val="20"/>
              </w:rPr>
            </w:pPr>
            <w:r>
              <w:rPr>
                <w:rFonts w:ascii="Times New Roman" w:hAnsi="Times New Roman" w:eastAsia="宋体" w:cs="Times New Roman"/>
                <w:kern w:val="0"/>
                <w:sz w:val="20"/>
                <w:szCs w:val="20"/>
              </w:rPr>
              <w:t>4</w:t>
            </w:r>
          </w:p>
        </w:tc>
        <w:tc>
          <w:tcPr>
            <w:tcW w:w="729" w:type="pct"/>
            <w:vMerge w:val="restart"/>
            <w:tcBorders>
              <w:tl2br w:val="nil"/>
              <w:tr2bl w:val="nil"/>
            </w:tcBorders>
            <w:shd w:val="clear" w:color="auto" w:fill="auto"/>
            <w:vAlign w:val="center"/>
          </w:tcPr>
          <w:p w14:paraId="3EEDF550">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在接受监督检查时弄虚作假</w:t>
            </w:r>
          </w:p>
        </w:tc>
        <w:tc>
          <w:tcPr>
            <w:tcW w:w="1467" w:type="pct"/>
            <w:vMerge w:val="restart"/>
            <w:tcBorders>
              <w:tl2br w:val="nil"/>
              <w:tr2bl w:val="nil"/>
            </w:tcBorders>
            <w:shd w:val="clear" w:color="auto" w:fill="auto"/>
            <w:vAlign w:val="center"/>
          </w:tcPr>
          <w:p w14:paraId="1599BEE1">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经查，该企业为掩盖违法转移处置危险废物等环境违法行为，将实际的物料名称及数量台账，伪造成其他原料名称、数量入库并记录台账。如，将实际入库的DMF、DMAC等溶剂记录为丙三醇、乙二醇等物质，涉嫌伪造篡改台账。</w:t>
            </w:r>
          </w:p>
        </w:tc>
        <w:tc>
          <w:tcPr>
            <w:tcW w:w="1543" w:type="pct"/>
            <w:tcBorders>
              <w:tl2br w:val="nil"/>
              <w:tr2bl w:val="nil"/>
            </w:tcBorders>
            <w:shd w:val="clear" w:color="auto" w:fill="auto"/>
            <w:vAlign w:val="center"/>
          </w:tcPr>
          <w:p w14:paraId="301E8EA2">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严把物料入厂关，严格按照环评批复要求、范围合法经营，从源头杜绝超范围物料入厂。</w:t>
            </w:r>
          </w:p>
        </w:tc>
        <w:tc>
          <w:tcPr>
            <w:tcW w:w="970" w:type="pct"/>
            <w:tcBorders>
              <w:tl2br w:val="nil"/>
              <w:tr2bl w:val="nil"/>
            </w:tcBorders>
            <w:shd w:val="clear" w:color="auto" w:fill="auto"/>
            <w:noWrap/>
            <w:vAlign w:val="center"/>
          </w:tcPr>
          <w:p w14:paraId="22952C8B">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14:paraId="6BCF5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jc w:val="center"/>
        </w:trPr>
        <w:tc>
          <w:tcPr>
            <w:tcW w:w="289" w:type="pct"/>
            <w:vMerge w:val="continue"/>
            <w:tcBorders>
              <w:tl2br w:val="nil"/>
              <w:tr2bl w:val="nil"/>
            </w:tcBorders>
            <w:vAlign w:val="center"/>
          </w:tcPr>
          <w:p w14:paraId="216AB278"/>
        </w:tc>
        <w:tc>
          <w:tcPr>
            <w:tcW w:w="729" w:type="pct"/>
            <w:vMerge w:val="continue"/>
            <w:tcBorders>
              <w:tl2br w:val="nil"/>
              <w:tr2bl w:val="nil"/>
            </w:tcBorders>
            <w:shd w:val="clear" w:color="auto" w:fill="auto"/>
            <w:vAlign w:val="center"/>
          </w:tcPr>
          <w:p w14:paraId="416863FA"/>
        </w:tc>
        <w:tc>
          <w:tcPr>
            <w:tcW w:w="1467" w:type="pct"/>
            <w:vMerge w:val="continue"/>
            <w:tcBorders>
              <w:tl2br w:val="nil"/>
              <w:tr2bl w:val="nil"/>
            </w:tcBorders>
            <w:shd w:val="clear" w:color="auto" w:fill="auto"/>
            <w:vAlign w:val="center"/>
          </w:tcPr>
          <w:p w14:paraId="4F3F81F5"/>
        </w:tc>
        <w:tc>
          <w:tcPr>
            <w:tcW w:w="1543" w:type="pct"/>
            <w:tcBorders>
              <w:tl2br w:val="nil"/>
              <w:tr2bl w:val="nil"/>
            </w:tcBorders>
            <w:shd w:val="clear" w:color="auto" w:fill="auto"/>
            <w:vAlign w:val="center"/>
          </w:tcPr>
          <w:p w14:paraId="139AB543">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根据公司各部门工作职责范围，严格、仔细认真编制物料出入厂各环节台账，按照职责分工重新建立《物料入厂管理制度》，认真、落实执行，杜绝再次出现伪造、篡改台账等行为。</w:t>
            </w:r>
          </w:p>
        </w:tc>
        <w:tc>
          <w:tcPr>
            <w:tcW w:w="970" w:type="pct"/>
            <w:tcBorders>
              <w:tl2br w:val="nil"/>
              <w:tr2bl w:val="nil"/>
            </w:tcBorders>
            <w:shd w:val="clear" w:color="auto" w:fill="auto"/>
            <w:vAlign w:val="center"/>
          </w:tcPr>
          <w:p w14:paraId="3D266F2B">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14:paraId="1074B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289" w:type="pct"/>
            <w:vMerge w:val="continue"/>
            <w:tcBorders>
              <w:tl2br w:val="nil"/>
              <w:tr2bl w:val="nil"/>
            </w:tcBorders>
            <w:vAlign w:val="center"/>
          </w:tcPr>
          <w:p w14:paraId="1FDB3614"/>
        </w:tc>
        <w:tc>
          <w:tcPr>
            <w:tcW w:w="729" w:type="pct"/>
            <w:vMerge w:val="continue"/>
            <w:tcBorders>
              <w:tl2br w:val="nil"/>
              <w:tr2bl w:val="nil"/>
            </w:tcBorders>
            <w:shd w:val="clear" w:color="auto" w:fill="auto"/>
            <w:vAlign w:val="center"/>
          </w:tcPr>
          <w:p w14:paraId="2A6BA696"/>
        </w:tc>
        <w:tc>
          <w:tcPr>
            <w:tcW w:w="1467" w:type="pct"/>
            <w:vMerge w:val="continue"/>
            <w:tcBorders>
              <w:tl2br w:val="nil"/>
              <w:tr2bl w:val="nil"/>
            </w:tcBorders>
            <w:shd w:val="clear" w:color="auto" w:fill="auto"/>
            <w:vAlign w:val="center"/>
          </w:tcPr>
          <w:p w14:paraId="7FB7D508"/>
        </w:tc>
        <w:tc>
          <w:tcPr>
            <w:tcW w:w="1543" w:type="pct"/>
            <w:tcBorders>
              <w:tl2br w:val="nil"/>
              <w:tr2bl w:val="nil"/>
            </w:tcBorders>
            <w:shd w:val="clear" w:color="auto" w:fill="auto"/>
            <w:vAlign w:val="center"/>
          </w:tcPr>
          <w:p w14:paraId="7EDA0BAC">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定期由公司安环部组织开展物料入厂全流程台账专项检查，对物料入厂名称、数量、去向等仔细核对，形成检查记录，发现问题及时纠正、整改。</w:t>
            </w:r>
          </w:p>
        </w:tc>
        <w:tc>
          <w:tcPr>
            <w:tcW w:w="970" w:type="pct"/>
            <w:tcBorders>
              <w:tl2br w:val="nil"/>
              <w:tr2bl w:val="nil"/>
            </w:tcBorders>
            <w:shd w:val="clear" w:color="auto" w:fill="auto"/>
            <w:noWrap/>
            <w:vAlign w:val="center"/>
          </w:tcPr>
          <w:p w14:paraId="7C601787">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14:paraId="0DC13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jc w:val="center"/>
        </w:trPr>
        <w:tc>
          <w:tcPr>
            <w:tcW w:w="289" w:type="pct"/>
            <w:vMerge w:val="continue"/>
            <w:tcBorders>
              <w:tl2br w:val="nil"/>
              <w:tr2bl w:val="nil"/>
            </w:tcBorders>
            <w:vAlign w:val="center"/>
          </w:tcPr>
          <w:p w14:paraId="5BF2E02B"/>
        </w:tc>
        <w:tc>
          <w:tcPr>
            <w:tcW w:w="729" w:type="pct"/>
            <w:vMerge w:val="continue"/>
            <w:tcBorders>
              <w:tl2br w:val="nil"/>
              <w:tr2bl w:val="nil"/>
            </w:tcBorders>
            <w:shd w:val="clear" w:color="auto" w:fill="auto"/>
            <w:vAlign w:val="center"/>
          </w:tcPr>
          <w:p w14:paraId="31BBDF97"/>
        </w:tc>
        <w:tc>
          <w:tcPr>
            <w:tcW w:w="1467" w:type="pct"/>
            <w:vMerge w:val="continue"/>
            <w:tcBorders>
              <w:tl2br w:val="nil"/>
              <w:tr2bl w:val="nil"/>
            </w:tcBorders>
            <w:shd w:val="clear" w:color="auto" w:fill="auto"/>
            <w:vAlign w:val="center"/>
          </w:tcPr>
          <w:p w14:paraId="4C48C2B0"/>
        </w:tc>
        <w:tc>
          <w:tcPr>
            <w:tcW w:w="1543" w:type="pct"/>
            <w:tcBorders>
              <w:tl2br w:val="nil"/>
              <w:tr2bl w:val="nil"/>
            </w:tcBorders>
            <w:shd w:val="clear" w:color="auto" w:fill="auto"/>
            <w:vAlign w:val="center"/>
          </w:tcPr>
          <w:p w14:paraId="152069A8">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对相关责任人予以考核。</w:t>
            </w:r>
          </w:p>
        </w:tc>
        <w:tc>
          <w:tcPr>
            <w:tcW w:w="970" w:type="pct"/>
            <w:tcBorders>
              <w:tl2br w:val="nil"/>
              <w:tr2bl w:val="nil"/>
            </w:tcBorders>
            <w:shd w:val="clear" w:color="auto" w:fill="auto"/>
            <w:vAlign w:val="center"/>
          </w:tcPr>
          <w:p w14:paraId="199951C4">
            <w:pPr>
              <w:widowControl/>
              <w:adjustRightInd w:val="0"/>
              <w:snapToGrid w:val="0"/>
              <w:textAlignment w:val="center"/>
              <w:rPr>
                <w:rFonts w:ascii="Times New Roman" w:hAnsi="Times New Roman" w:eastAsia="宋体" w:cs="Times New Roman"/>
                <w:b/>
                <w:bCs/>
                <w:sz w:val="20"/>
                <w:szCs w:val="20"/>
              </w:rPr>
            </w:pPr>
            <w:r>
              <w:rPr>
                <w:rFonts w:hint="eastAsia" w:ascii="Times New Roman" w:hAnsi="Times New Roman" w:eastAsia="宋体" w:cs="Times New Roman"/>
                <w:sz w:val="20"/>
                <w:szCs w:val="20"/>
              </w:rPr>
              <w:t>已完成</w:t>
            </w:r>
            <w:r>
              <w:rPr>
                <w:rFonts w:ascii="Times New Roman" w:hAnsi="Times New Roman" w:eastAsia="宋体" w:cs="Times New Roman"/>
                <w:sz w:val="20"/>
                <w:szCs w:val="20"/>
              </w:rPr>
              <w:t>。</w:t>
            </w:r>
          </w:p>
        </w:tc>
      </w:tr>
      <w:tr w14:paraId="59C63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289" w:type="pct"/>
            <w:vMerge w:val="restart"/>
            <w:tcBorders>
              <w:tl2br w:val="nil"/>
              <w:tr2bl w:val="nil"/>
            </w:tcBorders>
            <w:vAlign w:val="center"/>
          </w:tcPr>
          <w:p w14:paraId="70BAAA75">
            <w:pPr>
              <w:widowControl/>
              <w:adjustRightInd w:val="0"/>
              <w:snapToGrid w:val="0"/>
              <w:textAlignment w:val="center"/>
              <w:rPr>
                <w:rFonts w:ascii="Times New Roman" w:hAnsi="Times New Roman" w:eastAsia="宋体" w:cs="Times New Roman"/>
                <w:b/>
                <w:bCs/>
                <w:kern w:val="0"/>
                <w:sz w:val="20"/>
                <w:szCs w:val="20"/>
              </w:rPr>
            </w:pPr>
            <w:r>
              <w:rPr>
                <w:rFonts w:ascii="Times New Roman" w:hAnsi="Times New Roman" w:eastAsia="宋体" w:cs="Times New Roman"/>
                <w:kern w:val="0"/>
                <w:sz w:val="20"/>
                <w:szCs w:val="20"/>
              </w:rPr>
              <w:t>5</w:t>
            </w:r>
          </w:p>
        </w:tc>
        <w:tc>
          <w:tcPr>
            <w:tcW w:w="729" w:type="pct"/>
            <w:vMerge w:val="restart"/>
            <w:tcBorders>
              <w:tl2br w:val="nil"/>
              <w:tr2bl w:val="nil"/>
            </w:tcBorders>
            <w:shd w:val="clear" w:color="auto" w:fill="auto"/>
            <w:vAlign w:val="center"/>
          </w:tcPr>
          <w:p w14:paraId="7F00FA6D">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未按照国家环境保护标准处置危险废物</w:t>
            </w:r>
          </w:p>
        </w:tc>
        <w:tc>
          <w:tcPr>
            <w:tcW w:w="1467" w:type="pct"/>
            <w:vMerge w:val="restart"/>
            <w:tcBorders>
              <w:tl2br w:val="nil"/>
              <w:tr2bl w:val="nil"/>
            </w:tcBorders>
            <w:shd w:val="clear" w:color="auto" w:fill="auto"/>
            <w:vAlign w:val="center"/>
          </w:tcPr>
          <w:p w14:paraId="0DE231D7">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经调阅该企业焚烧炉生产运行的记录台账，发现2022年1至10月焚烧炉二燃室(高温段)温度低于1000摄氏度。2024年1月3日，执法人员现场检查发现炉膛内正常燃烧时的二燃室(高温段)测点温度为1040摄氏度，焚烧炉工况不符合《危险废物焚烧污染控制标准》(GB18484-2020)规定的焚烧炉高温段温度≥1100摄氏度的要求</w:t>
            </w:r>
          </w:p>
        </w:tc>
        <w:tc>
          <w:tcPr>
            <w:tcW w:w="1543" w:type="pct"/>
            <w:tcBorders>
              <w:tl2br w:val="nil"/>
              <w:tr2bl w:val="nil"/>
            </w:tcBorders>
            <w:shd w:val="clear" w:color="auto" w:fill="auto"/>
            <w:vAlign w:val="center"/>
          </w:tcPr>
          <w:p w14:paraId="1E588CD1">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对整个焚烧系统进行自查摸排，对查出的问题分析原因，按照相关国家标准进行整改，后续定期开展危险废物焚烧专项检查，排查焚烧车间可能存在的问题，及时消除解决。</w:t>
            </w:r>
          </w:p>
        </w:tc>
        <w:tc>
          <w:tcPr>
            <w:tcW w:w="970" w:type="pct"/>
            <w:tcBorders>
              <w:tl2br w:val="nil"/>
              <w:tr2bl w:val="nil"/>
            </w:tcBorders>
            <w:shd w:val="clear" w:color="auto" w:fill="auto"/>
            <w:noWrap/>
            <w:vAlign w:val="center"/>
          </w:tcPr>
          <w:p w14:paraId="65911186">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14:paraId="390D8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289" w:type="pct"/>
            <w:vMerge w:val="continue"/>
            <w:tcBorders>
              <w:tl2br w:val="nil"/>
              <w:tr2bl w:val="nil"/>
            </w:tcBorders>
            <w:vAlign w:val="center"/>
          </w:tcPr>
          <w:p w14:paraId="195AB06A"/>
        </w:tc>
        <w:tc>
          <w:tcPr>
            <w:tcW w:w="729" w:type="pct"/>
            <w:vMerge w:val="continue"/>
            <w:tcBorders>
              <w:tl2br w:val="nil"/>
              <w:tr2bl w:val="nil"/>
            </w:tcBorders>
            <w:shd w:val="clear" w:color="auto" w:fill="auto"/>
            <w:vAlign w:val="center"/>
          </w:tcPr>
          <w:p w14:paraId="20537EFE"/>
        </w:tc>
        <w:tc>
          <w:tcPr>
            <w:tcW w:w="1467" w:type="pct"/>
            <w:vMerge w:val="continue"/>
            <w:tcBorders>
              <w:tl2br w:val="nil"/>
              <w:tr2bl w:val="nil"/>
            </w:tcBorders>
            <w:shd w:val="clear" w:color="auto" w:fill="auto"/>
            <w:vAlign w:val="center"/>
          </w:tcPr>
          <w:p w14:paraId="3A80DB52"/>
        </w:tc>
        <w:tc>
          <w:tcPr>
            <w:tcW w:w="1543" w:type="pct"/>
            <w:tcBorders>
              <w:tl2br w:val="nil"/>
              <w:tr2bl w:val="nil"/>
            </w:tcBorders>
            <w:shd w:val="clear" w:color="auto" w:fill="auto"/>
            <w:vAlign w:val="center"/>
          </w:tcPr>
          <w:p w14:paraId="37E409A6">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定期对焚烧系统各测温设备进行检查、校正或按照不低于一年一次的频率更换一燃室、二燃室测温设备，保证温度测量准确性</w:t>
            </w:r>
          </w:p>
        </w:tc>
        <w:tc>
          <w:tcPr>
            <w:tcW w:w="970" w:type="pct"/>
            <w:tcBorders>
              <w:tl2br w:val="nil"/>
              <w:tr2bl w:val="nil"/>
            </w:tcBorders>
            <w:shd w:val="clear" w:color="auto" w:fill="auto"/>
            <w:vAlign w:val="center"/>
          </w:tcPr>
          <w:p w14:paraId="70C33A58">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14:paraId="6BF1E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9" w:hRule="atLeast"/>
          <w:jc w:val="center"/>
        </w:trPr>
        <w:tc>
          <w:tcPr>
            <w:tcW w:w="289" w:type="pct"/>
            <w:vMerge w:val="continue"/>
            <w:tcBorders>
              <w:tl2br w:val="nil"/>
              <w:tr2bl w:val="nil"/>
            </w:tcBorders>
            <w:vAlign w:val="center"/>
          </w:tcPr>
          <w:p w14:paraId="5FC8E50B"/>
        </w:tc>
        <w:tc>
          <w:tcPr>
            <w:tcW w:w="729" w:type="pct"/>
            <w:vMerge w:val="continue"/>
            <w:tcBorders>
              <w:tl2br w:val="nil"/>
              <w:tr2bl w:val="nil"/>
            </w:tcBorders>
            <w:shd w:val="clear" w:color="auto" w:fill="auto"/>
            <w:vAlign w:val="center"/>
          </w:tcPr>
          <w:p w14:paraId="4773885B"/>
        </w:tc>
        <w:tc>
          <w:tcPr>
            <w:tcW w:w="1467" w:type="pct"/>
            <w:vMerge w:val="continue"/>
            <w:tcBorders>
              <w:tl2br w:val="nil"/>
              <w:tr2bl w:val="nil"/>
            </w:tcBorders>
            <w:shd w:val="clear" w:color="auto" w:fill="auto"/>
            <w:vAlign w:val="center"/>
          </w:tcPr>
          <w:p w14:paraId="4EA49817"/>
        </w:tc>
        <w:tc>
          <w:tcPr>
            <w:tcW w:w="1543" w:type="pct"/>
            <w:tcBorders>
              <w:tl2br w:val="nil"/>
              <w:tr2bl w:val="nil"/>
            </w:tcBorders>
            <w:shd w:val="clear" w:color="auto" w:fill="auto"/>
            <w:vAlign w:val="center"/>
          </w:tcPr>
          <w:p w14:paraId="086BD429">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加强对焚烧车间管理，强化业务知识培训，对焚烧车间全员开展危险废物焚烧专业知识培训，确保岗位员工具备相应的能力，从而保障整个危废焚烧过程符合《危险废物焚烧污染控制标准》（GB18484-2020）相关要求</w:t>
            </w:r>
          </w:p>
        </w:tc>
        <w:tc>
          <w:tcPr>
            <w:tcW w:w="970" w:type="pct"/>
            <w:tcBorders>
              <w:tl2br w:val="nil"/>
              <w:tr2bl w:val="nil"/>
            </w:tcBorders>
            <w:shd w:val="clear" w:color="auto" w:fill="auto"/>
            <w:vAlign w:val="center"/>
          </w:tcPr>
          <w:p w14:paraId="5B2963C7">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14:paraId="165D9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289" w:type="pct"/>
            <w:vMerge w:val="continue"/>
            <w:tcBorders>
              <w:tl2br w:val="nil"/>
              <w:tr2bl w:val="nil"/>
            </w:tcBorders>
            <w:vAlign w:val="center"/>
          </w:tcPr>
          <w:p w14:paraId="11372945"/>
        </w:tc>
        <w:tc>
          <w:tcPr>
            <w:tcW w:w="729" w:type="pct"/>
            <w:vMerge w:val="continue"/>
            <w:tcBorders>
              <w:tl2br w:val="nil"/>
              <w:tr2bl w:val="nil"/>
            </w:tcBorders>
            <w:shd w:val="clear" w:color="auto" w:fill="auto"/>
            <w:vAlign w:val="center"/>
          </w:tcPr>
          <w:p w14:paraId="2508BA48"/>
        </w:tc>
        <w:tc>
          <w:tcPr>
            <w:tcW w:w="1467" w:type="pct"/>
            <w:vMerge w:val="continue"/>
            <w:tcBorders>
              <w:tl2br w:val="nil"/>
              <w:tr2bl w:val="nil"/>
            </w:tcBorders>
            <w:shd w:val="clear" w:color="auto" w:fill="auto"/>
            <w:vAlign w:val="center"/>
          </w:tcPr>
          <w:p w14:paraId="193CC6C6"/>
        </w:tc>
        <w:tc>
          <w:tcPr>
            <w:tcW w:w="1543" w:type="pct"/>
            <w:tcBorders>
              <w:tl2br w:val="nil"/>
              <w:tr2bl w:val="nil"/>
            </w:tcBorders>
            <w:shd w:val="clear" w:color="auto" w:fill="auto"/>
            <w:vAlign w:val="center"/>
          </w:tcPr>
          <w:p w14:paraId="76B1E37C">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焚烧设备高温段提标管理，在《危险废物焚烧污染控制标准》（GB18484-2020）高温度段基础上将最低温度提高50摄氏度，即控制温度大于1150摄氏度，避免热电偶出现测量漂移或测温失真带来测量误差，导致实际温度低于1100摄氏度。</w:t>
            </w:r>
          </w:p>
        </w:tc>
        <w:tc>
          <w:tcPr>
            <w:tcW w:w="970" w:type="pct"/>
            <w:tcBorders>
              <w:tl2br w:val="nil"/>
              <w:tr2bl w:val="nil"/>
            </w:tcBorders>
            <w:shd w:val="clear" w:color="auto" w:fill="auto"/>
            <w:vAlign w:val="center"/>
          </w:tcPr>
          <w:p w14:paraId="2455EF51">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14:paraId="066B9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9" w:hRule="atLeast"/>
          <w:jc w:val="center"/>
        </w:trPr>
        <w:tc>
          <w:tcPr>
            <w:tcW w:w="289" w:type="pct"/>
            <w:vMerge w:val="restart"/>
            <w:tcBorders>
              <w:tl2br w:val="nil"/>
              <w:tr2bl w:val="nil"/>
            </w:tcBorders>
            <w:vAlign w:val="center"/>
          </w:tcPr>
          <w:p w14:paraId="7133C508">
            <w:pPr>
              <w:widowControl/>
              <w:adjustRightInd w:val="0"/>
              <w:snapToGrid w:val="0"/>
              <w:textAlignment w:val="center"/>
              <w:rPr>
                <w:rFonts w:ascii="Times New Roman" w:hAnsi="Times New Roman" w:eastAsia="宋体" w:cs="Times New Roman"/>
                <w:b/>
                <w:bCs/>
                <w:kern w:val="0"/>
                <w:sz w:val="20"/>
                <w:szCs w:val="20"/>
              </w:rPr>
            </w:pPr>
            <w:r>
              <w:rPr>
                <w:rFonts w:ascii="Times New Roman" w:hAnsi="Times New Roman" w:eastAsia="宋体" w:cs="Times New Roman"/>
                <w:kern w:val="0"/>
                <w:sz w:val="20"/>
                <w:szCs w:val="20"/>
              </w:rPr>
              <w:t>6</w:t>
            </w:r>
          </w:p>
        </w:tc>
        <w:tc>
          <w:tcPr>
            <w:tcW w:w="729" w:type="pct"/>
            <w:vMerge w:val="restart"/>
            <w:tcBorders>
              <w:tl2br w:val="nil"/>
              <w:tr2bl w:val="nil"/>
            </w:tcBorders>
            <w:shd w:val="clear" w:color="auto" w:fill="auto"/>
            <w:vAlign w:val="center"/>
          </w:tcPr>
          <w:p w14:paraId="4D312B89">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废气污染防治设施不正常运行</w:t>
            </w:r>
          </w:p>
        </w:tc>
        <w:tc>
          <w:tcPr>
            <w:tcW w:w="1467" w:type="pct"/>
            <w:vMerge w:val="restart"/>
            <w:tcBorders>
              <w:tl2br w:val="nil"/>
              <w:tr2bl w:val="nil"/>
            </w:tcBorders>
            <w:shd w:val="clear" w:color="auto" w:fill="auto"/>
            <w:vAlign w:val="center"/>
          </w:tcPr>
          <w:p w14:paraId="3F4ABF3B">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经查，该企业脱硝设施长期不运行，未建立脱硝设施运行管理制度，无专用管理台账，涉嫌不正常运行废气污染防治设施</w:t>
            </w:r>
          </w:p>
        </w:tc>
        <w:tc>
          <w:tcPr>
            <w:tcW w:w="1543" w:type="pct"/>
            <w:tcBorders>
              <w:tl2br w:val="nil"/>
              <w:tr2bl w:val="nil"/>
            </w:tcBorders>
            <w:shd w:val="clear" w:color="auto" w:fill="auto"/>
            <w:vAlign w:val="center"/>
          </w:tcPr>
          <w:p w14:paraId="28C3C02E">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对整个脱硝系统进行彻底检查及维护保养，采购补充尿素等脱硝剂，对系统进行试运转调试，保障脱硝系统能够正常运行。</w:t>
            </w:r>
          </w:p>
        </w:tc>
        <w:tc>
          <w:tcPr>
            <w:tcW w:w="970" w:type="pct"/>
            <w:tcBorders>
              <w:tl2br w:val="nil"/>
              <w:tr2bl w:val="nil"/>
            </w:tcBorders>
            <w:shd w:val="clear" w:color="auto" w:fill="auto"/>
            <w:vAlign w:val="center"/>
          </w:tcPr>
          <w:p w14:paraId="4C9B6358">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14:paraId="6B5D1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jc w:val="center"/>
        </w:trPr>
        <w:tc>
          <w:tcPr>
            <w:tcW w:w="289" w:type="pct"/>
            <w:vMerge w:val="continue"/>
            <w:tcBorders>
              <w:tl2br w:val="nil"/>
              <w:tr2bl w:val="nil"/>
            </w:tcBorders>
            <w:vAlign w:val="center"/>
          </w:tcPr>
          <w:p w14:paraId="511E0353"/>
        </w:tc>
        <w:tc>
          <w:tcPr>
            <w:tcW w:w="729" w:type="pct"/>
            <w:vMerge w:val="continue"/>
            <w:tcBorders>
              <w:tl2br w:val="nil"/>
              <w:tr2bl w:val="nil"/>
            </w:tcBorders>
            <w:shd w:val="clear" w:color="auto" w:fill="auto"/>
            <w:vAlign w:val="center"/>
          </w:tcPr>
          <w:p w14:paraId="2EE04072"/>
        </w:tc>
        <w:tc>
          <w:tcPr>
            <w:tcW w:w="1467" w:type="pct"/>
            <w:vMerge w:val="continue"/>
            <w:tcBorders>
              <w:tl2br w:val="nil"/>
              <w:tr2bl w:val="nil"/>
            </w:tcBorders>
            <w:shd w:val="clear" w:color="auto" w:fill="auto"/>
            <w:vAlign w:val="center"/>
          </w:tcPr>
          <w:p w14:paraId="0A5B7B0D"/>
        </w:tc>
        <w:tc>
          <w:tcPr>
            <w:tcW w:w="1543" w:type="pct"/>
            <w:tcBorders>
              <w:tl2br w:val="nil"/>
              <w:tr2bl w:val="nil"/>
            </w:tcBorders>
            <w:shd w:val="clear" w:color="auto" w:fill="auto"/>
            <w:vAlign w:val="center"/>
          </w:tcPr>
          <w:p w14:paraId="4A90D3EB">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建立健全脱硝设施管理制度，经公司内部审核批准后发布实施，安环部定期检查督促落实执行情况。</w:t>
            </w:r>
          </w:p>
        </w:tc>
        <w:tc>
          <w:tcPr>
            <w:tcW w:w="970" w:type="pct"/>
            <w:tcBorders>
              <w:tl2br w:val="nil"/>
              <w:tr2bl w:val="nil"/>
            </w:tcBorders>
            <w:shd w:val="clear" w:color="auto" w:fill="auto"/>
            <w:vAlign w:val="center"/>
          </w:tcPr>
          <w:p w14:paraId="2A8397A8">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14:paraId="2823C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289" w:type="pct"/>
            <w:vMerge w:val="continue"/>
            <w:tcBorders>
              <w:tl2br w:val="nil"/>
              <w:tr2bl w:val="nil"/>
            </w:tcBorders>
            <w:vAlign w:val="center"/>
          </w:tcPr>
          <w:p w14:paraId="19F3ACA3"/>
        </w:tc>
        <w:tc>
          <w:tcPr>
            <w:tcW w:w="729" w:type="pct"/>
            <w:vMerge w:val="continue"/>
            <w:tcBorders>
              <w:tl2br w:val="nil"/>
              <w:tr2bl w:val="nil"/>
            </w:tcBorders>
            <w:shd w:val="clear" w:color="auto" w:fill="auto"/>
            <w:vAlign w:val="center"/>
          </w:tcPr>
          <w:p w14:paraId="6A652147"/>
        </w:tc>
        <w:tc>
          <w:tcPr>
            <w:tcW w:w="1467" w:type="pct"/>
            <w:vMerge w:val="continue"/>
            <w:tcBorders>
              <w:tl2br w:val="nil"/>
              <w:tr2bl w:val="nil"/>
            </w:tcBorders>
            <w:shd w:val="clear" w:color="auto" w:fill="auto"/>
            <w:vAlign w:val="center"/>
          </w:tcPr>
          <w:p w14:paraId="4115BE62"/>
        </w:tc>
        <w:tc>
          <w:tcPr>
            <w:tcW w:w="1543" w:type="pct"/>
            <w:tcBorders>
              <w:tl2br w:val="nil"/>
              <w:tr2bl w:val="nil"/>
            </w:tcBorders>
            <w:shd w:val="clear" w:color="auto" w:fill="auto"/>
            <w:vAlign w:val="center"/>
          </w:tcPr>
          <w:p w14:paraId="5C0B1353">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建立脱硝设施运行管理台账，督促焚烧车间员工认真规范、填写，记录定期归档存储。</w:t>
            </w:r>
          </w:p>
        </w:tc>
        <w:tc>
          <w:tcPr>
            <w:tcW w:w="970" w:type="pct"/>
            <w:tcBorders>
              <w:tl2br w:val="nil"/>
              <w:tr2bl w:val="nil"/>
            </w:tcBorders>
            <w:shd w:val="clear" w:color="auto" w:fill="auto"/>
            <w:vAlign w:val="center"/>
          </w:tcPr>
          <w:p w14:paraId="1AA22CFB">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14:paraId="32E9A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jc w:val="center"/>
        </w:trPr>
        <w:tc>
          <w:tcPr>
            <w:tcW w:w="289" w:type="pct"/>
            <w:vMerge w:val="continue"/>
            <w:tcBorders>
              <w:tl2br w:val="nil"/>
              <w:tr2bl w:val="nil"/>
            </w:tcBorders>
            <w:vAlign w:val="center"/>
          </w:tcPr>
          <w:p w14:paraId="49B54A37"/>
        </w:tc>
        <w:tc>
          <w:tcPr>
            <w:tcW w:w="729" w:type="pct"/>
            <w:vMerge w:val="continue"/>
            <w:tcBorders>
              <w:tl2br w:val="nil"/>
              <w:tr2bl w:val="nil"/>
            </w:tcBorders>
            <w:shd w:val="clear" w:color="auto" w:fill="auto"/>
            <w:vAlign w:val="center"/>
          </w:tcPr>
          <w:p w14:paraId="7FD50BA5"/>
        </w:tc>
        <w:tc>
          <w:tcPr>
            <w:tcW w:w="1467" w:type="pct"/>
            <w:vMerge w:val="continue"/>
            <w:tcBorders>
              <w:tl2br w:val="nil"/>
              <w:tr2bl w:val="nil"/>
            </w:tcBorders>
            <w:shd w:val="clear" w:color="auto" w:fill="auto"/>
            <w:vAlign w:val="center"/>
          </w:tcPr>
          <w:p w14:paraId="4342B394"/>
        </w:tc>
        <w:tc>
          <w:tcPr>
            <w:tcW w:w="1543" w:type="pct"/>
            <w:tcBorders>
              <w:tl2br w:val="nil"/>
              <w:tr2bl w:val="nil"/>
            </w:tcBorders>
            <w:shd w:val="clear" w:color="auto" w:fill="auto"/>
            <w:vAlign w:val="center"/>
          </w:tcPr>
          <w:p w14:paraId="622B6650">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对焚烧车间岗位员工开展脱硝设施运行专业知识培训，加强对环保设施运行的监督管理，定期巡查设施的运行情况，确保环保设施的正常运行。</w:t>
            </w:r>
          </w:p>
        </w:tc>
        <w:tc>
          <w:tcPr>
            <w:tcW w:w="970" w:type="pct"/>
            <w:tcBorders>
              <w:tl2br w:val="nil"/>
              <w:tr2bl w:val="nil"/>
            </w:tcBorders>
            <w:shd w:val="clear" w:color="auto" w:fill="auto"/>
            <w:vAlign w:val="center"/>
          </w:tcPr>
          <w:p w14:paraId="05914422">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14:paraId="52E3B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289" w:type="pct"/>
            <w:vMerge w:val="continue"/>
            <w:tcBorders>
              <w:tl2br w:val="nil"/>
              <w:tr2bl w:val="nil"/>
            </w:tcBorders>
            <w:vAlign w:val="center"/>
          </w:tcPr>
          <w:p w14:paraId="24AC53F3"/>
        </w:tc>
        <w:tc>
          <w:tcPr>
            <w:tcW w:w="729" w:type="pct"/>
            <w:vMerge w:val="continue"/>
            <w:tcBorders>
              <w:tl2br w:val="nil"/>
              <w:tr2bl w:val="nil"/>
            </w:tcBorders>
            <w:shd w:val="clear" w:color="auto" w:fill="auto"/>
            <w:vAlign w:val="center"/>
          </w:tcPr>
          <w:p w14:paraId="6806B13F"/>
        </w:tc>
        <w:tc>
          <w:tcPr>
            <w:tcW w:w="1467" w:type="pct"/>
            <w:vMerge w:val="continue"/>
            <w:tcBorders>
              <w:tl2br w:val="nil"/>
              <w:tr2bl w:val="nil"/>
            </w:tcBorders>
            <w:shd w:val="clear" w:color="auto" w:fill="auto"/>
            <w:vAlign w:val="center"/>
          </w:tcPr>
          <w:p w14:paraId="1C9B6BF5"/>
        </w:tc>
        <w:tc>
          <w:tcPr>
            <w:tcW w:w="1543" w:type="pct"/>
            <w:tcBorders>
              <w:tl2br w:val="nil"/>
              <w:tr2bl w:val="nil"/>
            </w:tcBorders>
            <w:shd w:val="clear" w:color="auto" w:fill="auto"/>
            <w:vAlign w:val="center"/>
          </w:tcPr>
          <w:p w14:paraId="1FF5BA47">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对相关责任人予以考核。</w:t>
            </w:r>
          </w:p>
        </w:tc>
        <w:tc>
          <w:tcPr>
            <w:tcW w:w="970" w:type="pct"/>
            <w:tcBorders>
              <w:tl2br w:val="nil"/>
              <w:tr2bl w:val="nil"/>
            </w:tcBorders>
            <w:shd w:val="clear" w:color="auto" w:fill="auto"/>
            <w:vAlign w:val="center"/>
          </w:tcPr>
          <w:p w14:paraId="28C02D5E">
            <w:pPr>
              <w:widowControl/>
              <w:adjustRightInd w:val="0"/>
              <w:snapToGrid w:val="0"/>
              <w:textAlignment w:val="center"/>
              <w:rPr>
                <w:rFonts w:ascii="Times New Roman" w:hAnsi="Times New Roman" w:eastAsia="宋体" w:cs="Times New Roman"/>
                <w:b/>
                <w:bCs/>
                <w:sz w:val="20"/>
                <w:szCs w:val="20"/>
              </w:rPr>
            </w:pPr>
            <w:r>
              <w:rPr>
                <w:rFonts w:hint="eastAsia" w:ascii="Times New Roman" w:hAnsi="Times New Roman" w:eastAsia="宋体" w:cs="Times New Roman"/>
                <w:sz w:val="20"/>
                <w:szCs w:val="20"/>
              </w:rPr>
              <w:t>已完成</w:t>
            </w:r>
            <w:r>
              <w:rPr>
                <w:rFonts w:ascii="Times New Roman" w:hAnsi="Times New Roman" w:eastAsia="宋体" w:cs="Times New Roman"/>
                <w:sz w:val="20"/>
                <w:szCs w:val="20"/>
              </w:rPr>
              <w:t>。</w:t>
            </w:r>
          </w:p>
        </w:tc>
      </w:tr>
      <w:tr w14:paraId="6B8D0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9" w:hRule="atLeast"/>
          <w:jc w:val="center"/>
        </w:trPr>
        <w:tc>
          <w:tcPr>
            <w:tcW w:w="289" w:type="pct"/>
            <w:vMerge w:val="restart"/>
            <w:tcBorders>
              <w:tl2br w:val="nil"/>
              <w:tr2bl w:val="nil"/>
            </w:tcBorders>
            <w:vAlign w:val="center"/>
          </w:tcPr>
          <w:p w14:paraId="4D252E15">
            <w:pPr>
              <w:widowControl/>
              <w:adjustRightInd w:val="0"/>
              <w:snapToGrid w:val="0"/>
              <w:textAlignment w:val="center"/>
              <w:rPr>
                <w:rFonts w:ascii="Times New Roman" w:hAnsi="Times New Roman" w:eastAsia="宋体" w:cs="Times New Roman"/>
                <w:b/>
                <w:bCs/>
                <w:kern w:val="0"/>
                <w:sz w:val="20"/>
                <w:szCs w:val="20"/>
              </w:rPr>
            </w:pPr>
            <w:r>
              <w:rPr>
                <w:rFonts w:ascii="Times New Roman" w:hAnsi="Times New Roman" w:eastAsia="宋体" w:cs="Times New Roman"/>
                <w:kern w:val="0"/>
                <w:sz w:val="20"/>
                <w:szCs w:val="20"/>
              </w:rPr>
              <w:t>7</w:t>
            </w:r>
          </w:p>
        </w:tc>
        <w:tc>
          <w:tcPr>
            <w:tcW w:w="729" w:type="pct"/>
            <w:vMerge w:val="restart"/>
            <w:tcBorders>
              <w:tl2br w:val="nil"/>
              <w:tr2bl w:val="nil"/>
            </w:tcBorders>
            <w:shd w:val="clear" w:color="auto" w:fill="auto"/>
            <w:vAlign w:val="center"/>
          </w:tcPr>
          <w:p w14:paraId="562478F9">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自动监测设施不正常运行</w:t>
            </w:r>
          </w:p>
        </w:tc>
        <w:tc>
          <w:tcPr>
            <w:tcW w:w="1467" w:type="pct"/>
            <w:vMerge w:val="restart"/>
            <w:tcBorders>
              <w:tl2br w:val="nil"/>
              <w:tr2bl w:val="nil"/>
            </w:tcBorders>
            <w:shd w:val="clear" w:color="auto" w:fill="auto"/>
            <w:vAlign w:val="center"/>
          </w:tcPr>
          <w:p w14:paraId="7E5EA7B8">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经查，该企业焚烧炉配套的烟气自动监测设备采样管长期堵塞,2022年1月26日至2024年1月3日检查时，氮氧化物实测浓度维持在10mg/m³左右。执法人员会同设备厂家技术人员现场对自动监测设备的采样管进行疏通，结果显示氮氧化物排放浓度最高达到150mg/m³，涉嫌自动监测设施不正常运行</w:t>
            </w:r>
          </w:p>
        </w:tc>
        <w:tc>
          <w:tcPr>
            <w:tcW w:w="1543" w:type="pct"/>
            <w:tcBorders>
              <w:tl2br w:val="nil"/>
              <w:tr2bl w:val="nil"/>
            </w:tcBorders>
            <w:shd w:val="clear" w:color="auto" w:fill="auto"/>
            <w:vAlign w:val="center"/>
          </w:tcPr>
          <w:p w14:paraId="733F5C38">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邀请设备厂家和运维单位技术人员到厂对自动监测设备进行全面、细致排查，对于损坏的设备及时进行采购、更换。</w:t>
            </w:r>
          </w:p>
        </w:tc>
        <w:tc>
          <w:tcPr>
            <w:tcW w:w="970" w:type="pct"/>
            <w:tcBorders>
              <w:tl2br w:val="nil"/>
              <w:tr2bl w:val="nil"/>
            </w:tcBorders>
            <w:shd w:val="clear" w:color="auto" w:fill="auto"/>
            <w:vAlign w:val="center"/>
          </w:tcPr>
          <w:p w14:paraId="5BB64AA9">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14:paraId="77B75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289" w:type="pct"/>
            <w:vMerge w:val="continue"/>
            <w:tcBorders>
              <w:tl2br w:val="nil"/>
              <w:tr2bl w:val="nil"/>
            </w:tcBorders>
            <w:vAlign w:val="center"/>
          </w:tcPr>
          <w:p w14:paraId="35491AAD"/>
        </w:tc>
        <w:tc>
          <w:tcPr>
            <w:tcW w:w="729" w:type="pct"/>
            <w:vMerge w:val="continue"/>
            <w:tcBorders>
              <w:tl2br w:val="nil"/>
              <w:tr2bl w:val="nil"/>
            </w:tcBorders>
            <w:shd w:val="clear" w:color="auto" w:fill="auto"/>
            <w:vAlign w:val="center"/>
          </w:tcPr>
          <w:p w14:paraId="222B3F2C"/>
        </w:tc>
        <w:tc>
          <w:tcPr>
            <w:tcW w:w="1467" w:type="pct"/>
            <w:vMerge w:val="continue"/>
            <w:tcBorders>
              <w:tl2br w:val="nil"/>
              <w:tr2bl w:val="nil"/>
            </w:tcBorders>
            <w:shd w:val="clear" w:color="auto" w:fill="auto"/>
            <w:vAlign w:val="center"/>
          </w:tcPr>
          <w:p w14:paraId="33412AE8"/>
        </w:tc>
        <w:tc>
          <w:tcPr>
            <w:tcW w:w="1543" w:type="pct"/>
            <w:tcBorders>
              <w:tl2br w:val="nil"/>
              <w:tr2bl w:val="nil"/>
            </w:tcBorders>
            <w:shd w:val="clear" w:color="auto" w:fill="auto"/>
            <w:vAlign w:val="center"/>
          </w:tcPr>
          <w:p w14:paraId="7FC8A8BC">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加强在线监测设备管理，建立《污染源在线监测设备管理制度》，严格执行落实。</w:t>
            </w:r>
          </w:p>
        </w:tc>
        <w:tc>
          <w:tcPr>
            <w:tcW w:w="970" w:type="pct"/>
            <w:tcBorders>
              <w:tl2br w:val="nil"/>
              <w:tr2bl w:val="nil"/>
            </w:tcBorders>
            <w:shd w:val="clear" w:color="auto" w:fill="auto"/>
            <w:vAlign w:val="center"/>
          </w:tcPr>
          <w:p w14:paraId="456A1CFB">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14:paraId="2BDC3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2" w:hRule="atLeast"/>
          <w:jc w:val="center"/>
        </w:trPr>
        <w:tc>
          <w:tcPr>
            <w:tcW w:w="289" w:type="pct"/>
            <w:vMerge w:val="continue"/>
            <w:tcBorders>
              <w:tl2br w:val="nil"/>
              <w:tr2bl w:val="nil"/>
            </w:tcBorders>
            <w:vAlign w:val="center"/>
          </w:tcPr>
          <w:p w14:paraId="6F763647"/>
        </w:tc>
        <w:tc>
          <w:tcPr>
            <w:tcW w:w="729" w:type="pct"/>
            <w:vMerge w:val="continue"/>
            <w:tcBorders>
              <w:tl2br w:val="nil"/>
              <w:tr2bl w:val="nil"/>
            </w:tcBorders>
            <w:shd w:val="clear" w:color="auto" w:fill="auto"/>
            <w:vAlign w:val="center"/>
          </w:tcPr>
          <w:p w14:paraId="6DC00DB1"/>
        </w:tc>
        <w:tc>
          <w:tcPr>
            <w:tcW w:w="1467" w:type="pct"/>
            <w:vMerge w:val="continue"/>
            <w:tcBorders>
              <w:tl2br w:val="nil"/>
              <w:tr2bl w:val="nil"/>
            </w:tcBorders>
            <w:shd w:val="clear" w:color="auto" w:fill="auto"/>
            <w:vAlign w:val="center"/>
          </w:tcPr>
          <w:p w14:paraId="41D918DB"/>
        </w:tc>
        <w:tc>
          <w:tcPr>
            <w:tcW w:w="1543" w:type="pct"/>
            <w:tcBorders>
              <w:tl2br w:val="nil"/>
              <w:tr2bl w:val="nil"/>
            </w:tcBorders>
            <w:shd w:val="clear" w:color="auto" w:fill="auto"/>
            <w:vAlign w:val="center"/>
          </w:tcPr>
          <w:p w14:paraId="4062C823">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对于烟气监测设备易损、易堵件建立备件库及台账，保障再次出现问题，能够及时进行更换，确保系统正常稳定运行。</w:t>
            </w:r>
          </w:p>
        </w:tc>
        <w:tc>
          <w:tcPr>
            <w:tcW w:w="970" w:type="pct"/>
            <w:tcBorders>
              <w:tl2br w:val="nil"/>
              <w:tr2bl w:val="nil"/>
            </w:tcBorders>
            <w:shd w:val="clear" w:color="auto" w:fill="auto"/>
            <w:noWrap/>
            <w:vAlign w:val="center"/>
          </w:tcPr>
          <w:p w14:paraId="3C123236">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14:paraId="3524B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jc w:val="center"/>
        </w:trPr>
        <w:tc>
          <w:tcPr>
            <w:tcW w:w="289" w:type="pct"/>
            <w:vMerge w:val="continue"/>
            <w:tcBorders>
              <w:tl2br w:val="nil"/>
              <w:tr2bl w:val="nil"/>
            </w:tcBorders>
            <w:vAlign w:val="center"/>
          </w:tcPr>
          <w:p w14:paraId="1BD69D84"/>
        </w:tc>
        <w:tc>
          <w:tcPr>
            <w:tcW w:w="729" w:type="pct"/>
            <w:vMerge w:val="continue"/>
            <w:tcBorders>
              <w:tl2br w:val="nil"/>
              <w:tr2bl w:val="nil"/>
            </w:tcBorders>
            <w:shd w:val="clear" w:color="auto" w:fill="auto"/>
            <w:vAlign w:val="center"/>
          </w:tcPr>
          <w:p w14:paraId="50F3D91E"/>
        </w:tc>
        <w:tc>
          <w:tcPr>
            <w:tcW w:w="1467" w:type="pct"/>
            <w:vMerge w:val="continue"/>
            <w:tcBorders>
              <w:tl2br w:val="nil"/>
              <w:tr2bl w:val="nil"/>
            </w:tcBorders>
            <w:shd w:val="clear" w:color="auto" w:fill="auto"/>
            <w:vAlign w:val="center"/>
          </w:tcPr>
          <w:p w14:paraId="650E6935"/>
        </w:tc>
        <w:tc>
          <w:tcPr>
            <w:tcW w:w="1543" w:type="pct"/>
            <w:tcBorders>
              <w:tl2br w:val="nil"/>
              <w:tr2bl w:val="nil"/>
            </w:tcBorders>
            <w:shd w:val="clear" w:color="auto" w:fill="auto"/>
            <w:vAlign w:val="center"/>
          </w:tcPr>
          <w:p w14:paraId="4FC3CFD8">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加强业务能力培训，对烟气在线监测设备管理人员开展专项培训，提升在线设备管理水平。</w:t>
            </w:r>
          </w:p>
        </w:tc>
        <w:tc>
          <w:tcPr>
            <w:tcW w:w="970" w:type="pct"/>
            <w:tcBorders>
              <w:tl2br w:val="nil"/>
              <w:tr2bl w:val="nil"/>
            </w:tcBorders>
            <w:shd w:val="clear" w:color="auto" w:fill="auto"/>
            <w:vAlign w:val="center"/>
          </w:tcPr>
          <w:p w14:paraId="58B81BBA">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已完成。</w:t>
            </w:r>
          </w:p>
        </w:tc>
      </w:tr>
      <w:tr w14:paraId="0C0D2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2" w:hRule="atLeast"/>
          <w:jc w:val="center"/>
        </w:trPr>
        <w:tc>
          <w:tcPr>
            <w:tcW w:w="289" w:type="pct"/>
            <w:vMerge w:val="continue"/>
            <w:tcBorders>
              <w:tl2br w:val="nil"/>
              <w:tr2bl w:val="nil"/>
            </w:tcBorders>
            <w:vAlign w:val="center"/>
          </w:tcPr>
          <w:p w14:paraId="49756770"/>
        </w:tc>
        <w:tc>
          <w:tcPr>
            <w:tcW w:w="729" w:type="pct"/>
            <w:vMerge w:val="continue"/>
            <w:tcBorders>
              <w:tl2br w:val="nil"/>
              <w:tr2bl w:val="nil"/>
            </w:tcBorders>
            <w:shd w:val="clear" w:color="auto" w:fill="auto"/>
            <w:vAlign w:val="center"/>
          </w:tcPr>
          <w:p w14:paraId="4AA1570C"/>
        </w:tc>
        <w:tc>
          <w:tcPr>
            <w:tcW w:w="1467" w:type="pct"/>
            <w:vMerge w:val="continue"/>
            <w:tcBorders>
              <w:tl2br w:val="nil"/>
              <w:tr2bl w:val="nil"/>
            </w:tcBorders>
            <w:shd w:val="clear" w:color="auto" w:fill="auto"/>
            <w:vAlign w:val="center"/>
          </w:tcPr>
          <w:p w14:paraId="1442E621"/>
        </w:tc>
        <w:tc>
          <w:tcPr>
            <w:tcW w:w="1543" w:type="pct"/>
            <w:tcBorders>
              <w:tl2br w:val="nil"/>
              <w:tr2bl w:val="nil"/>
            </w:tcBorders>
            <w:shd w:val="clear" w:color="auto" w:fill="auto"/>
            <w:vAlign w:val="center"/>
          </w:tcPr>
          <w:p w14:paraId="7026545B">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kern w:val="0"/>
                <w:sz w:val="20"/>
                <w:szCs w:val="20"/>
              </w:rPr>
              <w:t>对相关责任人予以考核。</w:t>
            </w:r>
          </w:p>
        </w:tc>
        <w:tc>
          <w:tcPr>
            <w:tcW w:w="970" w:type="pct"/>
            <w:tcBorders>
              <w:tl2br w:val="nil"/>
              <w:tr2bl w:val="nil"/>
            </w:tcBorders>
            <w:shd w:val="clear" w:color="auto" w:fill="auto"/>
            <w:vAlign w:val="center"/>
          </w:tcPr>
          <w:p w14:paraId="2279D778">
            <w:pPr>
              <w:widowControl/>
              <w:adjustRightInd w:val="0"/>
              <w:snapToGrid w:val="0"/>
              <w:textAlignment w:val="center"/>
              <w:rPr>
                <w:rFonts w:ascii="Times New Roman" w:hAnsi="Times New Roman" w:eastAsia="宋体" w:cs="Times New Roman"/>
                <w:b/>
                <w:bCs/>
                <w:sz w:val="20"/>
                <w:szCs w:val="20"/>
              </w:rPr>
            </w:pPr>
            <w:r>
              <w:rPr>
                <w:rFonts w:hint="eastAsia" w:ascii="Times New Roman" w:hAnsi="Times New Roman" w:eastAsia="宋体" w:cs="Times New Roman"/>
                <w:sz w:val="20"/>
                <w:szCs w:val="20"/>
              </w:rPr>
              <w:t>已完成</w:t>
            </w:r>
            <w:r>
              <w:rPr>
                <w:rFonts w:ascii="Times New Roman" w:hAnsi="Times New Roman" w:eastAsia="宋体" w:cs="Times New Roman"/>
                <w:sz w:val="20"/>
                <w:szCs w:val="20"/>
              </w:rPr>
              <w:t>。</w:t>
            </w:r>
          </w:p>
        </w:tc>
      </w:tr>
    </w:tbl>
    <w:tbl>
      <w:tblPr>
        <w:tblStyle w:val="9"/>
        <w:tblpPr w:leftFromText="180" w:rightFromText="180" w:vertAnchor="text" w:horzAnchor="page" w:tblpX="1641" w:tblpY="86"/>
        <w:tblOverlap w:val="never"/>
        <w:tblW w:w="13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2010"/>
        <w:gridCol w:w="4035"/>
        <w:gridCol w:w="4186"/>
        <w:gridCol w:w="2759"/>
      </w:tblGrid>
      <w:tr w14:paraId="0A513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trPr>
        <w:tc>
          <w:tcPr>
            <w:tcW w:w="13780" w:type="dxa"/>
            <w:gridSpan w:val="5"/>
            <w:vAlign w:val="center"/>
          </w:tcPr>
          <w:p w14:paraId="03087CAF">
            <w:pPr>
              <w:widowControl/>
              <w:adjustRightInd w:val="0"/>
              <w:snapToGrid w:val="0"/>
              <w:ind w:firstLine="56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淮南中建材腾锋环保科技有限公司举一反三问题</w:t>
            </w:r>
            <w:r>
              <w:rPr>
                <w:rFonts w:hint="eastAsia" w:ascii="Times New Roman" w:hAnsi="Times New Roman" w:eastAsia="宋体" w:cs="Times New Roman"/>
                <w:sz w:val="20"/>
                <w:szCs w:val="20"/>
              </w:rPr>
              <w:t>8</w:t>
            </w:r>
            <w:r>
              <w:rPr>
                <w:rFonts w:ascii="Times New Roman" w:hAnsi="Times New Roman" w:eastAsia="宋体" w:cs="Times New Roman"/>
                <w:sz w:val="20"/>
                <w:szCs w:val="20"/>
              </w:rPr>
              <w:t>月份整改进度明细表</w:t>
            </w:r>
          </w:p>
        </w:tc>
      </w:tr>
      <w:tr w14:paraId="60D78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trPr>
        <w:tc>
          <w:tcPr>
            <w:tcW w:w="790" w:type="dxa"/>
            <w:vAlign w:val="center"/>
          </w:tcPr>
          <w:p w14:paraId="27AED69B">
            <w:pPr>
              <w:widowControl/>
              <w:adjustRightInd w:val="0"/>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序号</w:t>
            </w:r>
          </w:p>
        </w:tc>
        <w:tc>
          <w:tcPr>
            <w:tcW w:w="2010" w:type="dxa"/>
            <w:tcBorders>
              <w:top w:val="single" w:color="auto" w:sz="4" w:space="0"/>
              <w:left w:val="single" w:color="auto" w:sz="4" w:space="0"/>
              <w:right w:val="single" w:color="auto" w:sz="4" w:space="0"/>
            </w:tcBorders>
            <w:shd w:val="clear" w:color="auto" w:fill="auto"/>
            <w:noWrap/>
            <w:vAlign w:val="center"/>
          </w:tcPr>
          <w:p w14:paraId="78EE7827">
            <w:pPr>
              <w:widowControl/>
              <w:adjustRightInd w:val="0"/>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问题内容</w:t>
            </w:r>
          </w:p>
        </w:tc>
        <w:tc>
          <w:tcPr>
            <w:tcW w:w="4035" w:type="dxa"/>
            <w:tcBorders>
              <w:top w:val="single" w:color="auto" w:sz="4" w:space="0"/>
              <w:left w:val="single" w:color="auto" w:sz="4" w:space="0"/>
              <w:right w:val="single" w:color="auto" w:sz="4" w:space="0"/>
            </w:tcBorders>
            <w:shd w:val="clear" w:color="auto" w:fill="auto"/>
            <w:noWrap/>
            <w:vAlign w:val="center"/>
          </w:tcPr>
          <w:p w14:paraId="25B1FD40">
            <w:pPr>
              <w:widowControl/>
              <w:adjustRightInd w:val="0"/>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问题表述</w:t>
            </w:r>
          </w:p>
        </w:tc>
        <w:tc>
          <w:tcPr>
            <w:tcW w:w="4186" w:type="dxa"/>
            <w:tcBorders>
              <w:top w:val="single" w:color="auto" w:sz="4" w:space="0"/>
              <w:left w:val="single" w:color="auto" w:sz="4" w:space="0"/>
              <w:right w:val="single" w:color="auto" w:sz="4" w:space="0"/>
            </w:tcBorders>
            <w:shd w:val="clear" w:color="auto" w:fill="auto"/>
            <w:noWrap/>
            <w:vAlign w:val="center"/>
          </w:tcPr>
          <w:p w14:paraId="63EBB52D">
            <w:pPr>
              <w:widowControl/>
              <w:adjustRightInd w:val="0"/>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整改措施</w:t>
            </w:r>
          </w:p>
        </w:tc>
        <w:tc>
          <w:tcPr>
            <w:tcW w:w="2759" w:type="dxa"/>
            <w:tcBorders>
              <w:left w:val="single" w:color="auto" w:sz="4" w:space="0"/>
            </w:tcBorders>
            <w:shd w:val="clear" w:color="auto" w:fill="auto"/>
            <w:noWrap/>
            <w:vAlign w:val="center"/>
          </w:tcPr>
          <w:p w14:paraId="5B1C0711">
            <w:pPr>
              <w:widowControl/>
              <w:adjustRightInd w:val="0"/>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整改进展</w:t>
            </w:r>
          </w:p>
        </w:tc>
      </w:tr>
      <w:tr w14:paraId="036E3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90" w:type="dxa"/>
            <w:vMerge w:val="restart"/>
            <w:vAlign w:val="center"/>
          </w:tcPr>
          <w:p w14:paraId="218276FF">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1</w:t>
            </w:r>
          </w:p>
        </w:tc>
        <w:tc>
          <w:tcPr>
            <w:tcW w:w="2010" w:type="dxa"/>
            <w:vMerge w:val="restart"/>
            <w:tcBorders>
              <w:top w:val="single" w:color="auto" w:sz="4" w:space="0"/>
              <w:left w:val="single" w:color="auto" w:sz="4" w:space="0"/>
              <w:right w:val="single" w:color="auto" w:sz="4" w:space="0"/>
            </w:tcBorders>
            <w:shd w:val="clear" w:color="auto" w:fill="auto"/>
            <w:vAlign w:val="center"/>
          </w:tcPr>
          <w:p w14:paraId="242B268E">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初期雨水池积水未及时处理，池内存在异味。</w:t>
            </w:r>
          </w:p>
        </w:tc>
        <w:tc>
          <w:tcPr>
            <w:tcW w:w="4035" w:type="dxa"/>
            <w:vMerge w:val="restart"/>
            <w:tcBorders>
              <w:top w:val="single" w:color="auto" w:sz="4" w:space="0"/>
              <w:left w:val="single" w:color="auto" w:sz="4" w:space="0"/>
              <w:right w:val="single" w:color="auto" w:sz="4" w:space="0"/>
            </w:tcBorders>
            <w:shd w:val="clear" w:color="auto" w:fill="auto"/>
            <w:noWrap/>
            <w:vAlign w:val="center"/>
          </w:tcPr>
          <w:p w14:paraId="2A169C0B">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初期雨水池积水未及时处理,池内存在异味，易造成异味扩散。</w:t>
            </w:r>
          </w:p>
        </w:tc>
        <w:tc>
          <w:tcPr>
            <w:tcW w:w="4186" w:type="dxa"/>
            <w:tcBorders>
              <w:top w:val="single" w:color="auto" w:sz="4" w:space="0"/>
              <w:left w:val="single" w:color="auto" w:sz="4" w:space="0"/>
              <w:right w:val="single" w:color="auto" w:sz="4" w:space="0"/>
            </w:tcBorders>
            <w:shd w:val="clear" w:color="auto" w:fill="auto"/>
            <w:vAlign w:val="center"/>
          </w:tcPr>
          <w:p w14:paraId="4B7CB4AC">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及时对初期雨水池内积水进行处理，全部抽至污水处理站处理。</w:t>
            </w:r>
          </w:p>
        </w:tc>
        <w:tc>
          <w:tcPr>
            <w:tcW w:w="2759" w:type="dxa"/>
            <w:tcBorders>
              <w:left w:val="single" w:color="auto" w:sz="4" w:space="0"/>
            </w:tcBorders>
            <w:shd w:val="clear" w:color="auto" w:fill="auto"/>
            <w:vAlign w:val="center"/>
          </w:tcPr>
          <w:p w14:paraId="5A3A7CBD">
            <w:pPr>
              <w:widowControl/>
              <w:adjustRightInd w:val="0"/>
              <w:snapToGrid w:val="0"/>
              <w:textAlignment w:val="center"/>
              <w:rPr>
                <w:rFonts w:ascii="Times New Roman" w:hAnsi="Times New Roman" w:eastAsia="宋体" w:cs="Times New Roman"/>
                <w:sz w:val="20"/>
                <w:szCs w:val="20"/>
              </w:rPr>
            </w:pPr>
            <w:r>
              <w:rPr>
                <w:rFonts w:hint="eastAsia" w:ascii="Times New Roman" w:hAnsi="Times New Roman" w:eastAsia="宋体" w:cs="Times New Roman"/>
                <w:sz w:val="20"/>
                <w:szCs w:val="20"/>
              </w:rPr>
              <w:t>已完成。</w:t>
            </w:r>
          </w:p>
        </w:tc>
      </w:tr>
      <w:tr w14:paraId="06630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90" w:type="dxa"/>
            <w:vMerge w:val="continue"/>
            <w:vAlign w:val="center"/>
          </w:tcPr>
          <w:p w14:paraId="42B70E46"/>
        </w:tc>
        <w:tc>
          <w:tcPr>
            <w:tcW w:w="2010" w:type="dxa"/>
            <w:vMerge w:val="continue"/>
            <w:tcBorders>
              <w:top w:val="single" w:color="auto" w:sz="4" w:space="0"/>
              <w:left w:val="single" w:color="auto" w:sz="4" w:space="0"/>
              <w:right w:val="single" w:color="auto" w:sz="4" w:space="0"/>
            </w:tcBorders>
            <w:shd w:val="clear" w:color="auto" w:fill="auto"/>
            <w:vAlign w:val="center"/>
          </w:tcPr>
          <w:p w14:paraId="4222D203"/>
        </w:tc>
        <w:tc>
          <w:tcPr>
            <w:tcW w:w="4035" w:type="dxa"/>
            <w:vMerge w:val="continue"/>
            <w:tcBorders>
              <w:top w:val="single" w:color="auto" w:sz="4" w:space="0"/>
              <w:left w:val="single" w:color="auto" w:sz="4" w:space="0"/>
              <w:right w:val="single" w:color="auto" w:sz="4" w:space="0"/>
            </w:tcBorders>
            <w:shd w:val="clear" w:color="auto" w:fill="auto"/>
            <w:noWrap/>
            <w:vAlign w:val="center"/>
          </w:tcPr>
          <w:p w14:paraId="5214F024"/>
        </w:tc>
        <w:tc>
          <w:tcPr>
            <w:tcW w:w="4186" w:type="dxa"/>
            <w:tcBorders>
              <w:top w:val="single" w:color="auto" w:sz="4" w:space="0"/>
              <w:left w:val="single" w:color="auto" w:sz="4" w:space="0"/>
              <w:right w:val="single" w:color="auto" w:sz="4" w:space="0"/>
            </w:tcBorders>
            <w:shd w:val="clear" w:color="auto" w:fill="auto"/>
            <w:vAlign w:val="center"/>
          </w:tcPr>
          <w:p w14:paraId="04244BAB">
            <w:pPr>
              <w:widowControl/>
              <w:adjustRightInd w:val="0"/>
              <w:snapToGrid w:val="0"/>
              <w:textAlignment w:val="center"/>
              <w:rPr>
                <w:rFonts w:ascii="Times New Roman" w:hAnsi="Times New Roman" w:eastAsia="宋体" w:cs="Times New Roman"/>
                <w:sz w:val="20"/>
                <w:szCs w:val="20"/>
              </w:rPr>
            </w:pPr>
            <w:r>
              <w:rPr>
                <w:rFonts w:ascii="Times New Roman" w:hAnsi="Times New Roman" w:eastAsia="宋体" w:cs="Times New Roman"/>
                <w:sz w:val="20"/>
                <w:szCs w:val="20"/>
              </w:rPr>
              <w:t>对初期雨水池进行清刷，内部积存淤泥清理干净，消除池内异味。</w:t>
            </w:r>
          </w:p>
        </w:tc>
        <w:tc>
          <w:tcPr>
            <w:tcW w:w="2759" w:type="dxa"/>
            <w:tcBorders>
              <w:left w:val="single" w:color="auto" w:sz="4" w:space="0"/>
            </w:tcBorders>
            <w:shd w:val="clear" w:color="auto" w:fill="auto"/>
            <w:vAlign w:val="center"/>
          </w:tcPr>
          <w:p w14:paraId="35E9B9D6">
            <w:pPr>
              <w:widowControl/>
              <w:adjustRightInd w:val="0"/>
              <w:snapToGrid w:val="0"/>
              <w:textAlignment w:val="center"/>
              <w:rPr>
                <w:rFonts w:ascii="Times New Roman" w:hAnsi="Times New Roman" w:eastAsia="宋体" w:cs="Times New Roman"/>
                <w:sz w:val="20"/>
                <w:szCs w:val="20"/>
              </w:rPr>
            </w:pPr>
            <w:r>
              <w:rPr>
                <w:rFonts w:hint="eastAsia" w:ascii="Times New Roman" w:hAnsi="Times New Roman" w:eastAsia="宋体" w:cs="Times New Roman"/>
                <w:sz w:val="20"/>
                <w:szCs w:val="20"/>
              </w:rPr>
              <w:t>已完成。</w:t>
            </w:r>
          </w:p>
        </w:tc>
      </w:tr>
      <w:tr w14:paraId="71C0E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90" w:type="dxa"/>
            <w:vMerge w:val="continue"/>
            <w:vAlign w:val="center"/>
          </w:tcPr>
          <w:p w14:paraId="13529E38"/>
        </w:tc>
        <w:tc>
          <w:tcPr>
            <w:tcW w:w="2010" w:type="dxa"/>
            <w:vMerge w:val="continue"/>
            <w:tcBorders>
              <w:top w:val="single" w:color="auto" w:sz="4" w:space="0"/>
              <w:left w:val="single" w:color="auto" w:sz="4" w:space="0"/>
              <w:right w:val="single" w:color="auto" w:sz="4" w:space="0"/>
            </w:tcBorders>
            <w:shd w:val="clear" w:color="auto" w:fill="auto"/>
            <w:vAlign w:val="center"/>
          </w:tcPr>
          <w:p w14:paraId="453C233A"/>
        </w:tc>
        <w:tc>
          <w:tcPr>
            <w:tcW w:w="4035" w:type="dxa"/>
            <w:vMerge w:val="continue"/>
            <w:tcBorders>
              <w:top w:val="single" w:color="auto" w:sz="4" w:space="0"/>
              <w:left w:val="single" w:color="auto" w:sz="4" w:space="0"/>
              <w:right w:val="single" w:color="auto" w:sz="4" w:space="0"/>
            </w:tcBorders>
            <w:shd w:val="clear" w:color="auto" w:fill="auto"/>
            <w:vAlign w:val="center"/>
          </w:tcPr>
          <w:p w14:paraId="329E01FB"/>
        </w:tc>
        <w:tc>
          <w:tcPr>
            <w:tcW w:w="4186" w:type="dxa"/>
            <w:tcBorders>
              <w:top w:val="single" w:color="auto" w:sz="4" w:space="0"/>
              <w:left w:val="single" w:color="auto" w:sz="4" w:space="0"/>
              <w:right w:val="single" w:color="auto" w:sz="4" w:space="0"/>
            </w:tcBorders>
            <w:shd w:val="clear" w:color="auto" w:fill="auto"/>
            <w:vAlign w:val="center"/>
          </w:tcPr>
          <w:p w14:paraId="69005A30">
            <w:pPr>
              <w:widowControl/>
              <w:adjustRightInd w:val="0"/>
              <w:snapToGrid w:val="0"/>
              <w:textAlignment w:val="center"/>
              <w:rPr>
                <w:rFonts w:ascii="Times New Roman" w:hAnsi="Times New Roman" w:eastAsia="宋体" w:cs="Times New Roman"/>
                <w:sz w:val="20"/>
                <w:szCs w:val="20"/>
              </w:rPr>
            </w:pPr>
            <w:r>
              <w:rPr>
                <w:rFonts w:ascii="Times New Roman" w:hAnsi="Times New Roman" w:eastAsia="宋体" w:cs="Times New Roman"/>
                <w:sz w:val="20"/>
                <w:szCs w:val="20"/>
              </w:rPr>
              <w:t>加强初期雨水池日常监管，每日进行巡查，发现异常情况及时处理，避免类似事件再次发生。</w:t>
            </w:r>
          </w:p>
        </w:tc>
        <w:tc>
          <w:tcPr>
            <w:tcW w:w="2759" w:type="dxa"/>
            <w:tcBorders>
              <w:left w:val="single" w:color="auto" w:sz="4" w:space="0"/>
            </w:tcBorders>
            <w:shd w:val="clear" w:color="auto" w:fill="auto"/>
            <w:vAlign w:val="center"/>
          </w:tcPr>
          <w:p w14:paraId="7A3C0D38">
            <w:pPr>
              <w:widowControl/>
              <w:adjustRightInd w:val="0"/>
              <w:snapToGrid w:val="0"/>
              <w:textAlignment w:val="center"/>
              <w:rPr>
                <w:rFonts w:ascii="Times New Roman" w:hAnsi="Times New Roman" w:eastAsia="宋体" w:cs="Times New Roman"/>
                <w:sz w:val="20"/>
                <w:szCs w:val="20"/>
              </w:rPr>
            </w:pPr>
            <w:r>
              <w:rPr>
                <w:rFonts w:hint="eastAsia" w:ascii="Times New Roman" w:hAnsi="Times New Roman" w:eastAsia="宋体" w:cs="Times New Roman"/>
                <w:sz w:val="20"/>
                <w:szCs w:val="20"/>
              </w:rPr>
              <w:t>已完成。</w:t>
            </w:r>
          </w:p>
        </w:tc>
      </w:tr>
      <w:tr w14:paraId="7CBA4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790" w:type="dxa"/>
            <w:vMerge w:val="restart"/>
            <w:vAlign w:val="center"/>
          </w:tcPr>
          <w:p w14:paraId="29F0BD75">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2</w:t>
            </w:r>
          </w:p>
        </w:tc>
        <w:tc>
          <w:tcPr>
            <w:tcW w:w="2010" w:type="dxa"/>
            <w:vMerge w:val="restart"/>
            <w:tcBorders>
              <w:top w:val="single" w:color="auto" w:sz="4" w:space="0"/>
              <w:left w:val="single" w:color="auto" w:sz="4" w:space="0"/>
              <w:right w:val="single" w:color="auto" w:sz="4" w:space="0"/>
            </w:tcBorders>
            <w:shd w:val="clear" w:color="auto" w:fill="auto"/>
            <w:vAlign w:val="center"/>
          </w:tcPr>
          <w:p w14:paraId="50876A86">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污水处理站存在异味，现有废气治污设施处理效果不佳，容易造成异味扩散。</w:t>
            </w:r>
          </w:p>
        </w:tc>
        <w:tc>
          <w:tcPr>
            <w:tcW w:w="4035" w:type="dxa"/>
            <w:vMerge w:val="restart"/>
            <w:tcBorders>
              <w:top w:val="single" w:color="auto" w:sz="4" w:space="0"/>
              <w:left w:val="single" w:color="auto" w:sz="4" w:space="0"/>
              <w:right w:val="single" w:color="auto" w:sz="4" w:space="0"/>
            </w:tcBorders>
            <w:shd w:val="clear" w:color="auto" w:fill="auto"/>
            <w:vAlign w:val="center"/>
          </w:tcPr>
          <w:p w14:paraId="6CEC0B35">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污水处理站异味，容易造成异味扩散,影响周边环境。</w:t>
            </w:r>
          </w:p>
        </w:tc>
        <w:tc>
          <w:tcPr>
            <w:tcW w:w="4186" w:type="dxa"/>
            <w:tcBorders>
              <w:top w:val="single" w:color="auto" w:sz="4" w:space="0"/>
              <w:left w:val="single" w:color="auto" w:sz="4" w:space="0"/>
              <w:right w:val="single" w:color="auto" w:sz="4" w:space="0"/>
            </w:tcBorders>
            <w:shd w:val="clear" w:color="auto" w:fill="auto"/>
            <w:vAlign w:val="center"/>
          </w:tcPr>
          <w:p w14:paraId="01684C5F">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调整污水处理站臭气处理方式，将污水处理站废气治理分两部分进行，新增一路管线连接至厂区废气管路，将调节池、曝气池等池内高浓度气体引至焚烧炉焚烧处置，污水处理站上部空间低浓气体引至现有废气治理设施处理，将高浓度废气与低浓度废气分开处理，提高废气处理效率，避免废气扩散。</w:t>
            </w:r>
          </w:p>
        </w:tc>
        <w:tc>
          <w:tcPr>
            <w:tcW w:w="2759" w:type="dxa"/>
            <w:tcBorders>
              <w:left w:val="single" w:color="auto" w:sz="4" w:space="0"/>
            </w:tcBorders>
            <w:shd w:val="clear" w:color="auto" w:fill="auto"/>
            <w:vAlign w:val="center"/>
          </w:tcPr>
          <w:p w14:paraId="3AFA151D">
            <w:pPr>
              <w:widowControl/>
              <w:adjustRightInd w:val="0"/>
              <w:snapToGrid w:val="0"/>
              <w:textAlignment w:val="center"/>
              <w:rPr>
                <w:rFonts w:ascii="Times New Roman" w:hAnsi="Times New Roman" w:eastAsia="宋体" w:cs="Times New Roman"/>
                <w:b/>
                <w:bCs/>
                <w:sz w:val="20"/>
                <w:szCs w:val="20"/>
              </w:rPr>
            </w:pPr>
            <w:r>
              <w:rPr>
                <w:rFonts w:hint="eastAsia" w:ascii="Times New Roman" w:hAnsi="Times New Roman" w:eastAsia="宋体" w:cs="Times New Roman"/>
                <w:sz w:val="20"/>
                <w:szCs w:val="20"/>
              </w:rPr>
              <w:t>已完成。</w:t>
            </w:r>
          </w:p>
        </w:tc>
      </w:tr>
      <w:tr w14:paraId="76CB1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90" w:type="dxa"/>
            <w:vMerge w:val="continue"/>
            <w:vAlign w:val="center"/>
          </w:tcPr>
          <w:p w14:paraId="6CD2702D"/>
        </w:tc>
        <w:tc>
          <w:tcPr>
            <w:tcW w:w="2010" w:type="dxa"/>
            <w:vMerge w:val="continue"/>
            <w:tcBorders>
              <w:top w:val="single" w:color="auto" w:sz="4" w:space="0"/>
              <w:left w:val="single" w:color="auto" w:sz="4" w:space="0"/>
              <w:right w:val="single" w:color="auto" w:sz="4" w:space="0"/>
            </w:tcBorders>
            <w:shd w:val="clear" w:color="auto" w:fill="auto"/>
            <w:vAlign w:val="center"/>
          </w:tcPr>
          <w:p w14:paraId="2452D88B"/>
        </w:tc>
        <w:tc>
          <w:tcPr>
            <w:tcW w:w="4035" w:type="dxa"/>
            <w:vMerge w:val="continue"/>
            <w:tcBorders>
              <w:top w:val="single" w:color="auto" w:sz="4" w:space="0"/>
              <w:left w:val="single" w:color="auto" w:sz="4" w:space="0"/>
              <w:right w:val="single" w:color="auto" w:sz="4" w:space="0"/>
            </w:tcBorders>
            <w:shd w:val="clear" w:color="auto" w:fill="auto"/>
            <w:vAlign w:val="center"/>
          </w:tcPr>
          <w:p w14:paraId="0A054B5E"/>
        </w:tc>
        <w:tc>
          <w:tcPr>
            <w:tcW w:w="4186" w:type="dxa"/>
            <w:tcBorders>
              <w:top w:val="single" w:color="auto" w:sz="4" w:space="0"/>
              <w:left w:val="single" w:color="auto" w:sz="4" w:space="0"/>
              <w:right w:val="single" w:color="auto" w:sz="4" w:space="0"/>
            </w:tcBorders>
            <w:shd w:val="clear" w:color="auto" w:fill="auto"/>
            <w:vAlign w:val="center"/>
          </w:tcPr>
          <w:p w14:paraId="7C12A3AF">
            <w:pPr>
              <w:widowControl/>
              <w:adjustRightInd w:val="0"/>
              <w:snapToGrid w:val="0"/>
              <w:textAlignment w:val="center"/>
              <w:rPr>
                <w:rFonts w:ascii="Times New Roman" w:hAnsi="Times New Roman" w:eastAsia="宋体" w:cs="Times New Roman"/>
                <w:sz w:val="20"/>
                <w:szCs w:val="20"/>
              </w:rPr>
            </w:pPr>
            <w:r>
              <w:rPr>
                <w:rFonts w:ascii="Times New Roman" w:hAnsi="Times New Roman" w:eastAsia="宋体" w:cs="Times New Roman"/>
                <w:sz w:val="20"/>
                <w:szCs w:val="20"/>
              </w:rPr>
              <w:t>加强对两处废气治理设施的监管，保证其正常运转。</w:t>
            </w:r>
          </w:p>
        </w:tc>
        <w:tc>
          <w:tcPr>
            <w:tcW w:w="2759" w:type="dxa"/>
            <w:tcBorders>
              <w:left w:val="single" w:color="auto" w:sz="4" w:space="0"/>
            </w:tcBorders>
            <w:shd w:val="clear" w:color="auto" w:fill="auto"/>
            <w:vAlign w:val="center"/>
          </w:tcPr>
          <w:p w14:paraId="38B89102">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已完成。</w:t>
            </w:r>
          </w:p>
        </w:tc>
      </w:tr>
      <w:tr w14:paraId="1E9B4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90" w:type="dxa"/>
            <w:vMerge w:val="continue"/>
            <w:vAlign w:val="center"/>
          </w:tcPr>
          <w:p w14:paraId="3DD0B54F"/>
        </w:tc>
        <w:tc>
          <w:tcPr>
            <w:tcW w:w="2010" w:type="dxa"/>
            <w:vMerge w:val="continue"/>
            <w:tcBorders>
              <w:top w:val="single" w:color="auto" w:sz="4" w:space="0"/>
              <w:left w:val="single" w:color="auto" w:sz="4" w:space="0"/>
              <w:right w:val="single" w:color="auto" w:sz="4" w:space="0"/>
            </w:tcBorders>
            <w:shd w:val="clear" w:color="auto" w:fill="auto"/>
            <w:vAlign w:val="center"/>
          </w:tcPr>
          <w:p w14:paraId="5BD01B97"/>
        </w:tc>
        <w:tc>
          <w:tcPr>
            <w:tcW w:w="4035" w:type="dxa"/>
            <w:vMerge w:val="continue"/>
            <w:tcBorders>
              <w:top w:val="single" w:color="auto" w:sz="4" w:space="0"/>
              <w:left w:val="single" w:color="auto" w:sz="4" w:space="0"/>
              <w:right w:val="single" w:color="auto" w:sz="4" w:space="0"/>
            </w:tcBorders>
            <w:shd w:val="clear" w:color="auto" w:fill="auto"/>
            <w:vAlign w:val="center"/>
          </w:tcPr>
          <w:p w14:paraId="1FA33413"/>
        </w:tc>
        <w:tc>
          <w:tcPr>
            <w:tcW w:w="4186" w:type="dxa"/>
            <w:tcBorders>
              <w:top w:val="single" w:color="auto" w:sz="4" w:space="0"/>
              <w:left w:val="single" w:color="auto" w:sz="4" w:space="0"/>
              <w:right w:val="single" w:color="auto" w:sz="4" w:space="0"/>
            </w:tcBorders>
            <w:shd w:val="clear" w:color="auto" w:fill="auto"/>
            <w:vAlign w:val="center"/>
          </w:tcPr>
          <w:p w14:paraId="37B51970">
            <w:pPr>
              <w:widowControl/>
              <w:adjustRightInd w:val="0"/>
              <w:snapToGrid w:val="0"/>
              <w:textAlignment w:val="center"/>
              <w:rPr>
                <w:rFonts w:ascii="Times New Roman" w:hAnsi="Times New Roman" w:eastAsia="宋体" w:cs="Times New Roman"/>
                <w:sz w:val="20"/>
                <w:szCs w:val="20"/>
              </w:rPr>
            </w:pPr>
            <w:r>
              <w:rPr>
                <w:rFonts w:ascii="Times New Roman" w:hAnsi="Times New Roman" w:eastAsia="宋体" w:cs="Times New Roman"/>
                <w:sz w:val="20"/>
                <w:szCs w:val="20"/>
              </w:rPr>
              <w:t>对污水处理设施加大监管力度，保证污水处理设施时刻正常运转，提高污水处理效率，从源头降低异味产生。</w:t>
            </w:r>
          </w:p>
        </w:tc>
        <w:tc>
          <w:tcPr>
            <w:tcW w:w="2759" w:type="dxa"/>
            <w:tcBorders>
              <w:left w:val="single" w:color="auto" w:sz="4" w:space="0"/>
            </w:tcBorders>
            <w:shd w:val="clear" w:color="auto" w:fill="auto"/>
            <w:vAlign w:val="center"/>
          </w:tcPr>
          <w:p w14:paraId="3E911997">
            <w:pPr>
              <w:widowControl/>
              <w:adjustRightInd w:val="0"/>
              <w:snapToGrid w:val="0"/>
              <w:textAlignment w:val="center"/>
              <w:rPr>
                <w:rFonts w:ascii="Times New Roman" w:hAnsi="Times New Roman" w:eastAsia="宋体" w:cs="Times New Roman"/>
                <w:b/>
                <w:bCs/>
                <w:sz w:val="20"/>
                <w:szCs w:val="20"/>
              </w:rPr>
            </w:pPr>
            <w:r>
              <w:rPr>
                <w:rFonts w:hint="eastAsia" w:ascii="Times New Roman" w:hAnsi="Times New Roman" w:eastAsia="宋体" w:cs="Times New Roman"/>
                <w:sz w:val="20"/>
                <w:szCs w:val="20"/>
              </w:rPr>
              <w:t>已完成。</w:t>
            </w:r>
          </w:p>
        </w:tc>
      </w:tr>
      <w:tr w14:paraId="0FBC5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90" w:type="dxa"/>
            <w:vMerge w:val="continue"/>
            <w:vAlign w:val="center"/>
          </w:tcPr>
          <w:p w14:paraId="227621B5"/>
        </w:tc>
        <w:tc>
          <w:tcPr>
            <w:tcW w:w="2010" w:type="dxa"/>
            <w:vMerge w:val="continue"/>
            <w:tcBorders>
              <w:top w:val="single" w:color="auto" w:sz="4" w:space="0"/>
              <w:left w:val="single" w:color="auto" w:sz="4" w:space="0"/>
              <w:right w:val="single" w:color="auto" w:sz="4" w:space="0"/>
            </w:tcBorders>
            <w:shd w:val="clear" w:color="auto" w:fill="auto"/>
            <w:vAlign w:val="center"/>
          </w:tcPr>
          <w:p w14:paraId="253B8935"/>
        </w:tc>
        <w:tc>
          <w:tcPr>
            <w:tcW w:w="4035" w:type="dxa"/>
            <w:vMerge w:val="continue"/>
            <w:tcBorders>
              <w:top w:val="single" w:color="auto" w:sz="4" w:space="0"/>
              <w:left w:val="single" w:color="auto" w:sz="4" w:space="0"/>
              <w:right w:val="single" w:color="auto" w:sz="4" w:space="0"/>
            </w:tcBorders>
            <w:shd w:val="clear" w:color="auto" w:fill="auto"/>
            <w:vAlign w:val="center"/>
          </w:tcPr>
          <w:p w14:paraId="0657C02E"/>
        </w:tc>
        <w:tc>
          <w:tcPr>
            <w:tcW w:w="4186" w:type="dxa"/>
            <w:tcBorders>
              <w:top w:val="single" w:color="auto" w:sz="4" w:space="0"/>
              <w:left w:val="single" w:color="auto" w:sz="4" w:space="0"/>
              <w:right w:val="single" w:color="auto" w:sz="4" w:space="0"/>
            </w:tcBorders>
            <w:shd w:val="clear" w:color="auto" w:fill="auto"/>
            <w:vAlign w:val="center"/>
          </w:tcPr>
          <w:p w14:paraId="6F8F43D7">
            <w:pPr>
              <w:widowControl/>
              <w:adjustRightInd w:val="0"/>
              <w:snapToGrid w:val="0"/>
              <w:textAlignment w:val="center"/>
              <w:rPr>
                <w:rFonts w:ascii="Times New Roman" w:hAnsi="Times New Roman" w:eastAsia="宋体" w:cs="Times New Roman"/>
                <w:sz w:val="20"/>
                <w:szCs w:val="20"/>
              </w:rPr>
            </w:pPr>
            <w:r>
              <w:rPr>
                <w:rFonts w:ascii="Times New Roman" w:hAnsi="Times New Roman" w:eastAsia="宋体" w:cs="Times New Roman"/>
                <w:sz w:val="20"/>
                <w:szCs w:val="20"/>
              </w:rPr>
              <w:t>避免有恶臭气味的物料入厂生产经营，从物料角度降低控制异味。</w:t>
            </w:r>
          </w:p>
        </w:tc>
        <w:tc>
          <w:tcPr>
            <w:tcW w:w="2759" w:type="dxa"/>
            <w:tcBorders>
              <w:left w:val="single" w:color="auto" w:sz="4" w:space="0"/>
            </w:tcBorders>
            <w:shd w:val="clear" w:color="auto" w:fill="auto"/>
            <w:noWrap/>
            <w:vAlign w:val="center"/>
          </w:tcPr>
          <w:p w14:paraId="1E5A35F5">
            <w:pPr>
              <w:widowControl/>
              <w:adjustRightInd w:val="0"/>
              <w:snapToGrid w:val="0"/>
              <w:textAlignment w:val="center"/>
              <w:rPr>
                <w:rFonts w:ascii="Times New Roman" w:hAnsi="Times New Roman" w:eastAsia="宋体" w:cs="Times New Roman"/>
                <w:b/>
                <w:bCs/>
                <w:sz w:val="20"/>
                <w:szCs w:val="20"/>
              </w:rPr>
            </w:pPr>
            <w:r>
              <w:rPr>
                <w:rFonts w:hint="eastAsia" w:ascii="Times New Roman" w:hAnsi="Times New Roman" w:eastAsia="宋体" w:cs="Times New Roman"/>
                <w:sz w:val="20"/>
                <w:szCs w:val="20"/>
              </w:rPr>
              <w:t>已完成。</w:t>
            </w:r>
          </w:p>
        </w:tc>
      </w:tr>
      <w:tr w14:paraId="397D4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90" w:type="dxa"/>
            <w:vMerge w:val="restart"/>
            <w:vAlign w:val="center"/>
          </w:tcPr>
          <w:p w14:paraId="4D4A5548">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3</w:t>
            </w:r>
          </w:p>
        </w:tc>
        <w:tc>
          <w:tcPr>
            <w:tcW w:w="2010" w:type="dxa"/>
            <w:vMerge w:val="restart"/>
            <w:tcBorders>
              <w:top w:val="single" w:color="auto" w:sz="4" w:space="0"/>
              <w:left w:val="single" w:color="auto" w:sz="4" w:space="0"/>
              <w:right w:val="single" w:color="auto" w:sz="4" w:space="0"/>
            </w:tcBorders>
            <w:shd w:val="clear" w:color="auto" w:fill="auto"/>
            <w:vAlign w:val="center"/>
          </w:tcPr>
          <w:p w14:paraId="1516B466">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焚烧车间布袋除尘器出料时螺旋输送机下料口容易堵塞，需要人工清理，造成飞灰扩散，散落地面。</w:t>
            </w:r>
          </w:p>
        </w:tc>
        <w:tc>
          <w:tcPr>
            <w:tcW w:w="4035" w:type="dxa"/>
            <w:vMerge w:val="restart"/>
            <w:tcBorders>
              <w:top w:val="single" w:color="auto" w:sz="4" w:space="0"/>
              <w:left w:val="single" w:color="auto" w:sz="4" w:space="0"/>
              <w:right w:val="single" w:color="auto" w:sz="4" w:space="0"/>
            </w:tcBorders>
            <w:shd w:val="clear" w:color="auto" w:fill="auto"/>
            <w:vAlign w:val="center"/>
          </w:tcPr>
          <w:p w14:paraId="01596417">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焚烧车间布袋除尘器出料口地面存在飘落飞灰。</w:t>
            </w:r>
          </w:p>
        </w:tc>
        <w:tc>
          <w:tcPr>
            <w:tcW w:w="4186" w:type="dxa"/>
            <w:tcBorders>
              <w:top w:val="single" w:color="auto" w:sz="4" w:space="0"/>
              <w:left w:val="single" w:color="auto" w:sz="4" w:space="0"/>
              <w:right w:val="single" w:color="auto" w:sz="4" w:space="0"/>
            </w:tcBorders>
            <w:shd w:val="clear" w:color="auto" w:fill="auto"/>
            <w:vAlign w:val="center"/>
          </w:tcPr>
          <w:p w14:paraId="49EDB1C3">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联系设备厂家，更换布袋除尘器下方螺旋输送机。</w:t>
            </w:r>
          </w:p>
        </w:tc>
        <w:tc>
          <w:tcPr>
            <w:tcW w:w="2759" w:type="dxa"/>
            <w:tcBorders>
              <w:left w:val="single" w:color="auto" w:sz="4" w:space="0"/>
            </w:tcBorders>
            <w:shd w:val="clear" w:color="auto" w:fill="auto"/>
            <w:vAlign w:val="center"/>
          </w:tcPr>
          <w:p w14:paraId="736861CA">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已完成。</w:t>
            </w:r>
          </w:p>
        </w:tc>
      </w:tr>
      <w:tr w14:paraId="51A4F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90" w:type="dxa"/>
            <w:vMerge w:val="continue"/>
            <w:vAlign w:val="center"/>
          </w:tcPr>
          <w:p w14:paraId="26EF4F18"/>
        </w:tc>
        <w:tc>
          <w:tcPr>
            <w:tcW w:w="2010" w:type="dxa"/>
            <w:vMerge w:val="continue"/>
            <w:tcBorders>
              <w:top w:val="single" w:color="auto" w:sz="4" w:space="0"/>
              <w:left w:val="single" w:color="auto" w:sz="4" w:space="0"/>
              <w:right w:val="single" w:color="auto" w:sz="4" w:space="0"/>
            </w:tcBorders>
            <w:shd w:val="clear" w:color="auto" w:fill="auto"/>
            <w:vAlign w:val="center"/>
          </w:tcPr>
          <w:p w14:paraId="3075252A"/>
        </w:tc>
        <w:tc>
          <w:tcPr>
            <w:tcW w:w="4035" w:type="dxa"/>
            <w:vMerge w:val="continue"/>
            <w:tcBorders>
              <w:top w:val="single" w:color="auto" w:sz="4" w:space="0"/>
              <w:left w:val="single" w:color="auto" w:sz="4" w:space="0"/>
              <w:right w:val="single" w:color="auto" w:sz="4" w:space="0"/>
            </w:tcBorders>
            <w:shd w:val="clear" w:color="auto" w:fill="auto"/>
            <w:vAlign w:val="center"/>
          </w:tcPr>
          <w:p w14:paraId="20981EAB"/>
        </w:tc>
        <w:tc>
          <w:tcPr>
            <w:tcW w:w="4186" w:type="dxa"/>
            <w:tcBorders>
              <w:top w:val="single" w:color="auto" w:sz="4" w:space="0"/>
              <w:left w:val="single" w:color="auto" w:sz="4" w:space="0"/>
              <w:right w:val="single" w:color="auto" w:sz="4" w:space="0"/>
            </w:tcBorders>
            <w:shd w:val="clear" w:color="auto" w:fill="auto"/>
            <w:vAlign w:val="center"/>
          </w:tcPr>
          <w:p w14:paraId="3386E7B1">
            <w:pPr>
              <w:widowControl/>
              <w:adjustRightInd w:val="0"/>
              <w:snapToGrid w:val="0"/>
              <w:textAlignment w:val="center"/>
              <w:rPr>
                <w:rFonts w:ascii="Times New Roman" w:hAnsi="Times New Roman" w:eastAsia="宋体" w:cs="Times New Roman"/>
                <w:sz w:val="20"/>
                <w:szCs w:val="20"/>
              </w:rPr>
            </w:pPr>
            <w:r>
              <w:rPr>
                <w:rFonts w:ascii="Times New Roman" w:hAnsi="Times New Roman" w:eastAsia="宋体" w:cs="Times New Roman"/>
                <w:sz w:val="20"/>
                <w:szCs w:val="20"/>
              </w:rPr>
              <w:t>螺旋输送机外部加装保温措施，保障在其内部表面上附着的飞灰均匀落下，减少堵塞及人工清理现象，有效控制飞灰扩散。</w:t>
            </w:r>
          </w:p>
        </w:tc>
        <w:tc>
          <w:tcPr>
            <w:tcW w:w="2759" w:type="dxa"/>
            <w:tcBorders>
              <w:left w:val="single" w:color="auto" w:sz="4" w:space="0"/>
            </w:tcBorders>
            <w:shd w:val="clear" w:color="auto" w:fill="auto"/>
            <w:vAlign w:val="center"/>
          </w:tcPr>
          <w:p w14:paraId="02721232">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已完成。</w:t>
            </w:r>
          </w:p>
        </w:tc>
      </w:tr>
      <w:tr w14:paraId="457B1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90" w:type="dxa"/>
            <w:vMerge w:val="continue"/>
            <w:vAlign w:val="center"/>
          </w:tcPr>
          <w:p w14:paraId="7CB981BA"/>
        </w:tc>
        <w:tc>
          <w:tcPr>
            <w:tcW w:w="2010" w:type="dxa"/>
            <w:vMerge w:val="continue"/>
            <w:tcBorders>
              <w:top w:val="single" w:color="auto" w:sz="4" w:space="0"/>
              <w:left w:val="single" w:color="auto" w:sz="4" w:space="0"/>
              <w:right w:val="single" w:color="auto" w:sz="4" w:space="0"/>
            </w:tcBorders>
            <w:shd w:val="clear" w:color="auto" w:fill="auto"/>
            <w:vAlign w:val="center"/>
          </w:tcPr>
          <w:p w14:paraId="05FD0824"/>
        </w:tc>
        <w:tc>
          <w:tcPr>
            <w:tcW w:w="4035" w:type="dxa"/>
            <w:vMerge w:val="continue"/>
            <w:tcBorders>
              <w:top w:val="single" w:color="auto" w:sz="4" w:space="0"/>
              <w:left w:val="single" w:color="auto" w:sz="4" w:space="0"/>
              <w:right w:val="single" w:color="auto" w:sz="4" w:space="0"/>
            </w:tcBorders>
            <w:shd w:val="clear" w:color="auto" w:fill="auto"/>
            <w:vAlign w:val="center"/>
          </w:tcPr>
          <w:p w14:paraId="40DFBD5A"/>
        </w:tc>
        <w:tc>
          <w:tcPr>
            <w:tcW w:w="4186" w:type="dxa"/>
            <w:tcBorders>
              <w:top w:val="single" w:color="auto" w:sz="4" w:space="0"/>
              <w:left w:val="single" w:color="auto" w:sz="4" w:space="0"/>
              <w:right w:val="single" w:color="auto" w:sz="4" w:space="0"/>
            </w:tcBorders>
            <w:shd w:val="clear" w:color="auto" w:fill="auto"/>
            <w:vAlign w:val="center"/>
          </w:tcPr>
          <w:p w14:paraId="15BEBFB1">
            <w:pPr>
              <w:widowControl/>
              <w:adjustRightInd w:val="0"/>
              <w:snapToGrid w:val="0"/>
              <w:textAlignment w:val="center"/>
              <w:rPr>
                <w:rFonts w:ascii="Times New Roman" w:hAnsi="Times New Roman" w:eastAsia="宋体" w:cs="Times New Roman"/>
                <w:sz w:val="20"/>
                <w:szCs w:val="20"/>
              </w:rPr>
            </w:pPr>
            <w:r>
              <w:rPr>
                <w:rFonts w:ascii="Times New Roman" w:hAnsi="Times New Roman" w:eastAsia="宋体" w:cs="Times New Roman"/>
                <w:sz w:val="20"/>
                <w:szCs w:val="20"/>
              </w:rPr>
              <w:t>加强对螺旋输送机运行检查及维护保养，发现异常及时解决，保障设备正常运行。</w:t>
            </w:r>
          </w:p>
        </w:tc>
        <w:tc>
          <w:tcPr>
            <w:tcW w:w="2759" w:type="dxa"/>
            <w:tcBorders>
              <w:left w:val="single" w:color="auto" w:sz="4" w:space="0"/>
            </w:tcBorders>
            <w:shd w:val="clear" w:color="auto" w:fill="auto"/>
            <w:vAlign w:val="center"/>
          </w:tcPr>
          <w:p w14:paraId="4DCF9AC3">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已完成。</w:t>
            </w:r>
          </w:p>
        </w:tc>
      </w:tr>
      <w:tr w14:paraId="08B5E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90" w:type="dxa"/>
            <w:vAlign w:val="center"/>
          </w:tcPr>
          <w:p w14:paraId="64A3E847">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4</w:t>
            </w:r>
          </w:p>
        </w:tc>
        <w:tc>
          <w:tcPr>
            <w:tcW w:w="2010" w:type="dxa"/>
            <w:tcBorders>
              <w:top w:val="single" w:color="auto" w:sz="4" w:space="0"/>
              <w:left w:val="single" w:color="auto" w:sz="4" w:space="0"/>
              <w:right w:val="single" w:color="auto" w:sz="4" w:space="0"/>
            </w:tcBorders>
            <w:shd w:val="clear" w:color="auto" w:fill="auto"/>
            <w:vAlign w:val="center"/>
          </w:tcPr>
          <w:p w14:paraId="205F6667">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焚焚烧车间废料计量装置不准确，无法正确计量废料进料量.</w:t>
            </w:r>
          </w:p>
        </w:tc>
        <w:tc>
          <w:tcPr>
            <w:tcW w:w="4035" w:type="dxa"/>
            <w:tcBorders>
              <w:top w:val="single" w:color="auto" w:sz="4" w:space="0"/>
              <w:left w:val="single" w:color="auto" w:sz="4" w:space="0"/>
              <w:right w:val="single" w:color="auto" w:sz="4" w:space="0"/>
            </w:tcBorders>
            <w:shd w:val="clear" w:color="auto" w:fill="auto"/>
            <w:vAlign w:val="center"/>
          </w:tcPr>
          <w:p w14:paraId="5012ADDF">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造成焚烧车间无法正确计量废料进料量。</w:t>
            </w:r>
          </w:p>
        </w:tc>
        <w:tc>
          <w:tcPr>
            <w:tcW w:w="4186" w:type="dxa"/>
            <w:tcBorders>
              <w:top w:val="single" w:color="auto" w:sz="4" w:space="0"/>
              <w:left w:val="single" w:color="auto" w:sz="4" w:space="0"/>
              <w:right w:val="single" w:color="auto" w:sz="4" w:space="0"/>
            </w:tcBorders>
            <w:shd w:val="clear" w:color="auto" w:fill="auto"/>
            <w:vAlign w:val="center"/>
          </w:tcPr>
          <w:p w14:paraId="29E23F73">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选用合适的流量计，对原进料管线安装的流量计进行更换。</w:t>
            </w:r>
          </w:p>
        </w:tc>
        <w:tc>
          <w:tcPr>
            <w:tcW w:w="2759" w:type="dxa"/>
            <w:tcBorders>
              <w:left w:val="single" w:color="auto" w:sz="4" w:space="0"/>
            </w:tcBorders>
            <w:shd w:val="clear" w:color="auto" w:fill="auto"/>
            <w:vAlign w:val="center"/>
          </w:tcPr>
          <w:p w14:paraId="287499DD">
            <w:pPr>
              <w:widowControl/>
              <w:adjustRightInd w:val="0"/>
              <w:snapToGrid w:val="0"/>
              <w:textAlignment w:val="center"/>
              <w:rPr>
                <w:rFonts w:ascii="Times New Roman" w:hAnsi="Times New Roman" w:eastAsia="宋体" w:cs="Times New Roman"/>
                <w:b/>
                <w:bCs/>
                <w:sz w:val="20"/>
                <w:szCs w:val="20"/>
              </w:rPr>
            </w:pPr>
            <w:r>
              <w:rPr>
                <w:rFonts w:hint="eastAsia" w:ascii="Times New Roman" w:hAnsi="Times New Roman" w:eastAsia="宋体" w:cs="Times New Roman"/>
                <w:sz w:val="20"/>
                <w:szCs w:val="20"/>
              </w:rPr>
              <w:t>已完成。</w:t>
            </w:r>
          </w:p>
        </w:tc>
      </w:tr>
      <w:tr w14:paraId="6A0DB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90" w:type="dxa"/>
            <w:vMerge w:val="restart"/>
            <w:vAlign w:val="center"/>
          </w:tcPr>
          <w:p w14:paraId="436D6B32">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5</w:t>
            </w:r>
          </w:p>
        </w:tc>
        <w:tc>
          <w:tcPr>
            <w:tcW w:w="2010" w:type="dxa"/>
            <w:vMerge w:val="restart"/>
            <w:tcBorders>
              <w:top w:val="single" w:color="auto" w:sz="4" w:space="0"/>
              <w:left w:val="single" w:color="auto" w:sz="4" w:space="0"/>
              <w:right w:val="single" w:color="auto" w:sz="4" w:space="0"/>
            </w:tcBorders>
            <w:shd w:val="clear" w:color="auto" w:fill="auto"/>
            <w:vAlign w:val="center"/>
          </w:tcPr>
          <w:p w14:paraId="11DA765D">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生产车间一层原料暂存罐离心泵渗漏。</w:t>
            </w:r>
          </w:p>
        </w:tc>
        <w:tc>
          <w:tcPr>
            <w:tcW w:w="4035" w:type="dxa"/>
            <w:vMerge w:val="restart"/>
            <w:tcBorders>
              <w:top w:val="single" w:color="auto" w:sz="4" w:space="0"/>
              <w:left w:val="single" w:color="auto" w:sz="4" w:space="0"/>
              <w:right w:val="single" w:color="auto" w:sz="4" w:space="0"/>
            </w:tcBorders>
            <w:shd w:val="clear" w:color="auto" w:fill="auto"/>
            <w:vAlign w:val="center"/>
          </w:tcPr>
          <w:p w14:paraId="12CC86DC">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原料暂存罐离心泵渗漏现象,造成异味飘散。</w:t>
            </w:r>
          </w:p>
        </w:tc>
        <w:tc>
          <w:tcPr>
            <w:tcW w:w="4186" w:type="dxa"/>
            <w:tcBorders>
              <w:top w:val="single" w:color="auto" w:sz="4" w:space="0"/>
              <w:left w:val="single" w:color="auto" w:sz="4" w:space="0"/>
              <w:right w:val="single" w:color="auto" w:sz="4" w:space="0"/>
            </w:tcBorders>
            <w:shd w:val="clear" w:color="auto" w:fill="auto"/>
            <w:vAlign w:val="center"/>
          </w:tcPr>
          <w:p w14:paraId="75EF6E0A">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对渗漏离心泵机封进行维修，及时消除渗漏点。</w:t>
            </w:r>
          </w:p>
        </w:tc>
        <w:tc>
          <w:tcPr>
            <w:tcW w:w="2759" w:type="dxa"/>
            <w:tcBorders>
              <w:left w:val="single" w:color="auto" w:sz="4" w:space="0"/>
            </w:tcBorders>
            <w:shd w:val="clear" w:color="auto" w:fill="auto"/>
            <w:vAlign w:val="center"/>
          </w:tcPr>
          <w:p w14:paraId="4F457A0E">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已完成。</w:t>
            </w:r>
          </w:p>
        </w:tc>
      </w:tr>
      <w:tr w14:paraId="443F0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90" w:type="dxa"/>
            <w:vMerge w:val="continue"/>
            <w:vAlign w:val="center"/>
          </w:tcPr>
          <w:p w14:paraId="5E213D55"/>
        </w:tc>
        <w:tc>
          <w:tcPr>
            <w:tcW w:w="2010" w:type="dxa"/>
            <w:vMerge w:val="continue"/>
            <w:tcBorders>
              <w:top w:val="single" w:color="auto" w:sz="4" w:space="0"/>
              <w:left w:val="single" w:color="auto" w:sz="4" w:space="0"/>
              <w:right w:val="single" w:color="auto" w:sz="4" w:space="0"/>
            </w:tcBorders>
            <w:shd w:val="clear" w:color="auto" w:fill="auto"/>
            <w:vAlign w:val="center"/>
          </w:tcPr>
          <w:p w14:paraId="7349B2B2"/>
        </w:tc>
        <w:tc>
          <w:tcPr>
            <w:tcW w:w="4035" w:type="dxa"/>
            <w:vMerge w:val="continue"/>
            <w:tcBorders>
              <w:top w:val="single" w:color="auto" w:sz="4" w:space="0"/>
              <w:left w:val="single" w:color="auto" w:sz="4" w:space="0"/>
              <w:right w:val="single" w:color="auto" w:sz="4" w:space="0"/>
            </w:tcBorders>
            <w:shd w:val="clear" w:color="auto" w:fill="auto"/>
            <w:vAlign w:val="center"/>
          </w:tcPr>
          <w:p w14:paraId="185565BC"/>
        </w:tc>
        <w:tc>
          <w:tcPr>
            <w:tcW w:w="4186" w:type="dxa"/>
            <w:tcBorders>
              <w:top w:val="single" w:color="auto" w:sz="4" w:space="0"/>
              <w:left w:val="single" w:color="auto" w:sz="4" w:space="0"/>
              <w:right w:val="single" w:color="auto" w:sz="4" w:space="0"/>
            </w:tcBorders>
            <w:shd w:val="clear" w:color="auto" w:fill="auto"/>
            <w:vAlign w:val="center"/>
          </w:tcPr>
          <w:p w14:paraId="054FC5AF">
            <w:pPr>
              <w:widowControl/>
              <w:adjustRightInd w:val="0"/>
              <w:snapToGrid w:val="0"/>
              <w:textAlignment w:val="center"/>
              <w:rPr>
                <w:rFonts w:ascii="Times New Roman" w:hAnsi="Times New Roman" w:eastAsia="宋体" w:cs="Times New Roman"/>
                <w:sz w:val="20"/>
                <w:szCs w:val="20"/>
              </w:rPr>
            </w:pPr>
            <w:r>
              <w:rPr>
                <w:rFonts w:ascii="Times New Roman" w:hAnsi="Times New Roman" w:eastAsia="宋体" w:cs="Times New Roman"/>
                <w:sz w:val="20"/>
                <w:szCs w:val="20"/>
              </w:rPr>
              <w:t>加强离心泵维护保养，定期对厂区各部位打料泵易出现渗漏的部位加强巡查。</w:t>
            </w:r>
          </w:p>
        </w:tc>
        <w:tc>
          <w:tcPr>
            <w:tcW w:w="2759" w:type="dxa"/>
            <w:tcBorders>
              <w:left w:val="single" w:color="auto" w:sz="4" w:space="0"/>
            </w:tcBorders>
            <w:shd w:val="clear" w:color="auto" w:fill="auto"/>
            <w:vAlign w:val="center"/>
          </w:tcPr>
          <w:p w14:paraId="1A7BE541">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已完成。</w:t>
            </w:r>
          </w:p>
        </w:tc>
      </w:tr>
      <w:tr w14:paraId="6474B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90" w:type="dxa"/>
            <w:vMerge w:val="restart"/>
            <w:vAlign w:val="center"/>
          </w:tcPr>
          <w:p w14:paraId="05193DE5">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6</w:t>
            </w:r>
          </w:p>
        </w:tc>
        <w:tc>
          <w:tcPr>
            <w:tcW w:w="2010" w:type="dxa"/>
            <w:vMerge w:val="restart"/>
            <w:tcBorders>
              <w:top w:val="single" w:color="auto" w:sz="4" w:space="0"/>
              <w:left w:val="single" w:color="auto" w:sz="4" w:space="0"/>
              <w:right w:val="single" w:color="auto" w:sz="4" w:space="0"/>
            </w:tcBorders>
            <w:shd w:val="clear" w:color="auto" w:fill="auto"/>
            <w:noWrap/>
            <w:vAlign w:val="center"/>
          </w:tcPr>
          <w:p w14:paraId="2A818723">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厂界无组织废气管控不到位</w:t>
            </w:r>
          </w:p>
        </w:tc>
        <w:tc>
          <w:tcPr>
            <w:tcW w:w="4035" w:type="dxa"/>
            <w:vMerge w:val="restart"/>
            <w:tcBorders>
              <w:top w:val="single" w:color="auto" w:sz="4" w:space="0"/>
              <w:left w:val="single" w:color="auto" w:sz="4" w:space="0"/>
              <w:right w:val="single" w:color="auto" w:sz="4" w:space="0"/>
            </w:tcBorders>
            <w:shd w:val="clear" w:color="auto" w:fill="auto"/>
            <w:vAlign w:val="center"/>
          </w:tcPr>
          <w:p w14:paraId="6886AB0B">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一是生产保障部装卸人员，严格按照装卸操作规程要求，按章作业，减少违规操作造成的异味飘散;二是生产保障部现场人员加强对储罐呼吸阀，安全附件及设备管线日常巡检,避免应设备损坏或运行不正常导致的无组织排放;三是甲类车间严格规范操作，避免“跑冒滴漏”现象;四是甲类车间合理安排生产计划，减少倒罐、洗罐作业;五是加强焚烧炉设备日常巡检和维护保养，避免因烟气腐蚀造成设备“跑冒滴漏”，造成异味飘散现象;六是公司加强环保监管，采用定期和不定期方式对罐区、污水处理站等重点区域加强督导检查。</w:t>
            </w:r>
          </w:p>
        </w:tc>
        <w:tc>
          <w:tcPr>
            <w:tcW w:w="4186" w:type="dxa"/>
            <w:tcBorders>
              <w:top w:val="single" w:color="auto" w:sz="4" w:space="0"/>
              <w:left w:val="single" w:color="auto" w:sz="4" w:space="0"/>
              <w:right w:val="single" w:color="auto" w:sz="4" w:space="0"/>
            </w:tcBorders>
            <w:shd w:val="clear" w:color="auto" w:fill="auto"/>
            <w:vAlign w:val="center"/>
          </w:tcPr>
          <w:p w14:paraId="26B8E90F">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生产保障部装卸人员，严格按照装卸操作规程要求，按章作业，减少违规操作造成的异味飘散。</w:t>
            </w:r>
          </w:p>
        </w:tc>
        <w:tc>
          <w:tcPr>
            <w:tcW w:w="2759" w:type="dxa"/>
            <w:tcBorders>
              <w:left w:val="single" w:color="auto" w:sz="4" w:space="0"/>
            </w:tcBorders>
            <w:shd w:val="clear" w:color="auto" w:fill="auto"/>
            <w:noWrap/>
            <w:vAlign w:val="center"/>
          </w:tcPr>
          <w:p w14:paraId="7A5FC941">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已完成。</w:t>
            </w:r>
          </w:p>
        </w:tc>
      </w:tr>
      <w:tr w14:paraId="6E366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90" w:type="dxa"/>
            <w:vMerge w:val="continue"/>
            <w:vAlign w:val="center"/>
          </w:tcPr>
          <w:p w14:paraId="48DE501F"/>
        </w:tc>
        <w:tc>
          <w:tcPr>
            <w:tcW w:w="2010" w:type="dxa"/>
            <w:vMerge w:val="continue"/>
            <w:tcBorders>
              <w:top w:val="single" w:color="auto" w:sz="4" w:space="0"/>
              <w:left w:val="single" w:color="auto" w:sz="4" w:space="0"/>
              <w:right w:val="single" w:color="auto" w:sz="4" w:space="0"/>
            </w:tcBorders>
            <w:shd w:val="clear" w:color="auto" w:fill="auto"/>
            <w:noWrap/>
            <w:vAlign w:val="center"/>
          </w:tcPr>
          <w:p w14:paraId="101E7DBC"/>
        </w:tc>
        <w:tc>
          <w:tcPr>
            <w:tcW w:w="4035" w:type="dxa"/>
            <w:vMerge w:val="continue"/>
            <w:tcBorders>
              <w:top w:val="single" w:color="auto" w:sz="4" w:space="0"/>
              <w:left w:val="single" w:color="auto" w:sz="4" w:space="0"/>
              <w:right w:val="single" w:color="auto" w:sz="4" w:space="0"/>
            </w:tcBorders>
            <w:shd w:val="clear" w:color="auto" w:fill="auto"/>
            <w:vAlign w:val="center"/>
          </w:tcPr>
          <w:p w14:paraId="3328AD83"/>
        </w:tc>
        <w:tc>
          <w:tcPr>
            <w:tcW w:w="4186" w:type="dxa"/>
            <w:tcBorders>
              <w:top w:val="single" w:color="auto" w:sz="4" w:space="0"/>
              <w:left w:val="single" w:color="auto" w:sz="4" w:space="0"/>
              <w:right w:val="single" w:color="auto" w:sz="4" w:space="0"/>
            </w:tcBorders>
            <w:shd w:val="clear" w:color="auto" w:fill="auto"/>
            <w:vAlign w:val="center"/>
          </w:tcPr>
          <w:p w14:paraId="35068D65">
            <w:pPr>
              <w:widowControl/>
              <w:adjustRightInd w:val="0"/>
              <w:snapToGrid w:val="0"/>
              <w:textAlignment w:val="center"/>
              <w:rPr>
                <w:rFonts w:ascii="Times New Roman" w:hAnsi="Times New Roman" w:eastAsia="宋体" w:cs="Times New Roman"/>
                <w:sz w:val="20"/>
                <w:szCs w:val="20"/>
              </w:rPr>
            </w:pPr>
            <w:r>
              <w:rPr>
                <w:rFonts w:ascii="Times New Roman" w:hAnsi="Times New Roman" w:eastAsia="宋体" w:cs="Times New Roman"/>
                <w:sz w:val="20"/>
                <w:szCs w:val="20"/>
              </w:rPr>
              <w:t>生产保障部现场人员加强对储罐呼吸阀、安全附件及设备管线日常巡检，避免应设备损坏或运行不正常导致的无组织排放。</w:t>
            </w:r>
          </w:p>
        </w:tc>
        <w:tc>
          <w:tcPr>
            <w:tcW w:w="2759" w:type="dxa"/>
            <w:tcBorders>
              <w:left w:val="single" w:color="auto" w:sz="4" w:space="0"/>
            </w:tcBorders>
            <w:shd w:val="clear" w:color="auto" w:fill="auto"/>
            <w:noWrap/>
            <w:vAlign w:val="center"/>
          </w:tcPr>
          <w:p w14:paraId="2D2AE536">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已完成。</w:t>
            </w:r>
          </w:p>
        </w:tc>
      </w:tr>
      <w:tr w14:paraId="0EF3C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90" w:type="dxa"/>
            <w:vMerge w:val="continue"/>
            <w:vAlign w:val="center"/>
          </w:tcPr>
          <w:p w14:paraId="57343EBA"/>
        </w:tc>
        <w:tc>
          <w:tcPr>
            <w:tcW w:w="2010" w:type="dxa"/>
            <w:vMerge w:val="continue"/>
            <w:tcBorders>
              <w:top w:val="single" w:color="auto" w:sz="4" w:space="0"/>
              <w:left w:val="single" w:color="auto" w:sz="4" w:space="0"/>
              <w:right w:val="single" w:color="auto" w:sz="4" w:space="0"/>
            </w:tcBorders>
            <w:shd w:val="clear" w:color="auto" w:fill="auto"/>
            <w:noWrap/>
            <w:vAlign w:val="center"/>
          </w:tcPr>
          <w:p w14:paraId="672757AD"/>
        </w:tc>
        <w:tc>
          <w:tcPr>
            <w:tcW w:w="4035" w:type="dxa"/>
            <w:vMerge w:val="continue"/>
            <w:tcBorders>
              <w:top w:val="single" w:color="auto" w:sz="4" w:space="0"/>
              <w:left w:val="single" w:color="auto" w:sz="4" w:space="0"/>
              <w:right w:val="single" w:color="auto" w:sz="4" w:space="0"/>
            </w:tcBorders>
            <w:shd w:val="clear" w:color="auto" w:fill="auto"/>
            <w:vAlign w:val="center"/>
          </w:tcPr>
          <w:p w14:paraId="0A3EDAD8"/>
        </w:tc>
        <w:tc>
          <w:tcPr>
            <w:tcW w:w="4186" w:type="dxa"/>
            <w:tcBorders>
              <w:top w:val="single" w:color="auto" w:sz="4" w:space="0"/>
              <w:left w:val="single" w:color="auto" w:sz="4" w:space="0"/>
              <w:right w:val="single" w:color="auto" w:sz="4" w:space="0"/>
            </w:tcBorders>
            <w:shd w:val="clear" w:color="auto" w:fill="auto"/>
            <w:vAlign w:val="center"/>
          </w:tcPr>
          <w:p w14:paraId="226A1B13">
            <w:pPr>
              <w:widowControl/>
              <w:adjustRightInd w:val="0"/>
              <w:snapToGrid w:val="0"/>
              <w:textAlignment w:val="center"/>
              <w:rPr>
                <w:rFonts w:ascii="Times New Roman" w:hAnsi="Times New Roman" w:eastAsia="宋体" w:cs="Times New Roman"/>
                <w:sz w:val="20"/>
                <w:szCs w:val="20"/>
              </w:rPr>
            </w:pPr>
            <w:r>
              <w:rPr>
                <w:rFonts w:ascii="Times New Roman" w:hAnsi="Times New Roman" w:eastAsia="宋体" w:cs="Times New Roman"/>
                <w:sz w:val="20"/>
                <w:szCs w:val="20"/>
              </w:rPr>
              <w:t>甲类车间严格规范操作，避免“跑冒滴漏现象。</w:t>
            </w:r>
          </w:p>
        </w:tc>
        <w:tc>
          <w:tcPr>
            <w:tcW w:w="2759" w:type="dxa"/>
            <w:tcBorders>
              <w:left w:val="single" w:color="auto" w:sz="4" w:space="0"/>
            </w:tcBorders>
            <w:shd w:val="clear" w:color="auto" w:fill="auto"/>
            <w:noWrap/>
            <w:vAlign w:val="center"/>
          </w:tcPr>
          <w:p w14:paraId="6E86B6B9">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已完成。</w:t>
            </w:r>
          </w:p>
        </w:tc>
      </w:tr>
      <w:tr w14:paraId="7B18B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90" w:type="dxa"/>
            <w:vMerge w:val="continue"/>
            <w:vAlign w:val="center"/>
          </w:tcPr>
          <w:p w14:paraId="7440EDAD"/>
        </w:tc>
        <w:tc>
          <w:tcPr>
            <w:tcW w:w="2010" w:type="dxa"/>
            <w:vMerge w:val="continue"/>
            <w:tcBorders>
              <w:top w:val="single" w:color="auto" w:sz="4" w:space="0"/>
              <w:left w:val="single" w:color="auto" w:sz="4" w:space="0"/>
              <w:right w:val="single" w:color="auto" w:sz="4" w:space="0"/>
            </w:tcBorders>
            <w:shd w:val="clear" w:color="auto" w:fill="auto"/>
            <w:noWrap/>
            <w:vAlign w:val="center"/>
          </w:tcPr>
          <w:p w14:paraId="2CACA1F0"/>
        </w:tc>
        <w:tc>
          <w:tcPr>
            <w:tcW w:w="4035" w:type="dxa"/>
            <w:vMerge w:val="continue"/>
            <w:tcBorders>
              <w:top w:val="single" w:color="auto" w:sz="4" w:space="0"/>
              <w:left w:val="single" w:color="auto" w:sz="4" w:space="0"/>
              <w:right w:val="single" w:color="auto" w:sz="4" w:space="0"/>
            </w:tcBorders>
            <w:shd w:val="clear" w:color="auto" w:fill="auto"/>
            <w:vAlign w:val="center"/>
          </w:tcPr>
          <w:p w14:paraId="33B97D57"/>
        </w:tc>
        <w:tc>
          <w:tcPr>
            <w:tcW w:w="4186" w:type="dxa"/>
            <w:tcBorders>
              <w:top w:val="single" w:color="auto" w:sz="4" w:space="0"/>
              <w:left w:val="single" w:color="auto" w:sz="4" w:space="0"/>
              <w:right w:val="single" w:color="auto" w:sz="4" w:space="0"/>
            </w:tcBorders>
            <w:shd w:val="clear" w:color="auto" w:fill="auto"/>
            <w:vAlign w:val="center"/>
          </w:tcPr>
          <w:p w14:paraId="4AE49634">
            <w:pPr>
              <w:widowControl/>
              <w:adjustRightInd w:val="0"/>
              <w:snapToGrid w:val="0"/>
              <w:textAlignment w:val="center"/>
              <w:rPr>
                <w:rFonts w:ascii="Times New Roman" w:hAnsi="Times New Roman" w:eastAsia="宋体" w:cs="Times New Roman"/>
                <w:sz w:val="20"/>
                <w:szCs w:val="20"/>
              </w:rPr>
            </w:pPr>
            <w:r>
              <w:rPr>
                <w:rFonts w:ascii="Times New Roman" w:hAnsi="Times New Roman" w:eastAsia="宋体" w:cs="Times New Roman"/>
                <w:sz w:val="20"/>
                <w:szCs w:val="20"/>
              </w:rPr>
              <w:t>甲类车间合理安排生产计划，减少倒罐、洗罐作业。</w:t>
            </w:r>
          </w:p>
        </w:tc>
        <w:tc>
          <w:tcPr>
            <w:tcW w:w="2759" w:type="dxa"/>
            <w:tcBorders>
              <w:left w:val="single" w:color="auto" w:sz="4" w:space="0"/>
            </w:tcBorders>
            <w:shd w:val="clear" w:color="auto" w:fill="auto"/>
            <w:noWrap/>
            <w:vAlign w:val="center"/>
          </w:tcPr>
          <w:p w14:paraId="2BE9962C">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已完成。</w:t>
            </w:r>
          </w:p>
        </w:tc>
      </w:tr>
      <w:tr w14:paraId="26349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90" w:type="dxa"/>
            <w:vMerge w:val="continue"/>
            <w:vAlign w:val="center"/>
          </w:tcPr>
          <w:p w14:paraId="21B5E643"/>
        </w:tc>
        <w:tc>
          <w:tcPr>
            <w:tcW w:w="2010" w:type="dxa"/>
            <w:vMerge w:val="continue"/>
            <w:tcBorders>
              <w:top w:val="single" w:color="auto" w:sz="4" w:space="0"/>
              <w:left w:val="single" w:color="auto" w:sz="4" w:space="0"/>
              <w:right w:val="single" w:color="auto" w:sz="4" w:space="0"/>
            </w:tcBorders>
            <w:shd w:val="clear" w:color="auto" w:fill="auto"/>
            <w:noWrap/>
            <w:vAlign w:val="center"/>
          </w:tcPr>
          <w:p w14:paraId="09C4B0AB"/>
        </w:tc>
        <w:tc>
          <w:tcPr>
            <w:tcW w:w="4035" w:type="dxa"/>
            <w:vMerge w:val="continue"/>
            <w:tcBorders>
              <w:top w:val="single" w:color="auto" w:sz="4" w:space="0"/>
              <w:left w:val="single" w:color="auto" w:sz="4" w:space="0"/>
              <w:right w:val="single" w:color="auto" w:sz="4" w:space="0"/>
            </w:tcBorders>
            <w:shd w:val="clear" w:color="auto" w:fill="auto"/>
            <w:vAlign w:val="center"/>
          </w:tcPr>
          <w:p w14:paraId="45E00723"/>
        </w:tc>
        <w:tc>
          <w:tcPr>
            <w:tcW w:w="4186" w:type="dxa"/>
            <w:tcBorders>
              <w:top w:val="single" w:color="auto" w:sz="4" w:space="0"/>
              <w:left w:val="single" w:color="auto" w:sz="4" w:space="0"/>
              <w:right w:val="single" w:color="auto" w:sz="4" w:space="0"/>
            </w:tcBorders>
            <w:shd w:val="clear" w:color="auto" w:fill="auto"/>
            <w:vAlign w:val="center"/>
          </w:tcPr>
          <w:p w14:paraId="1058B49B">
            <w:pPr>
              <w:widowControl/>
              <w:adjustRightInd w:val="0"/>
              <w:snapToGrid w:val="0"/>
              <w:textAlignment w:val="center"/>
              <w:rPr>
                <w:rFonts w:ascii="Times New Roman" w:hAnsi="Times New Roman" w:eastAsia="宋体" w:cs="Times New Roman"/>
                <w:sz w:val="20"/>
                <w:szCs w:val="20"/>
              </w:rPr>
            </w:pPr>
            <w:r>
              <w:rPr>
                <w:rFonts w:ascii="Times New Roman" w:hAnsi="Times New Roman" w:eastAsia="宋体" w:cs="Times New Roman"/>
                <w:sz w:val="20"/>
                <w:szCs w:val="20"/>
              </w:rPr>
              <w:t>加强焚烧炉设备日常巡检和维护保养，避免因烟气腐蚀造成设备“跑冒滴漏”，造成异味飘散现象。</w:t>
            </w:r>
          </w:p>
        </w:tc>
        <w:tc>
          <w:tcPr>
            <w:tcW w:w="2759" w:type="dxa"/>
            <w:tcBorders>
              <w:left w:val="single" w:color="auto" w:sz="4" w:space="0"/>
            </w:tcBorders>
            <w:shd w:val="clear" w:color="auto" w:fill="auto"/>
            <w:noWrap/>
            <w:vAlign w:val="center"/>
          </w:tcPr>
          <w:p w14:paraId="5862C8B8">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已完成。</w:t>
            </w:r>
          </w:p>
        </w:tc>
      </w:tr>
      <w:tr w14:paraId="7EFD3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90" w:type="dxa"/>
            <w:vMerge w:val="continue"/>
            <w:vAlign w:val="center"/>
          </w:tcPr>
          <w:p w14:paraId="46862931"/>
        </w:tc>
        <w:tc>
          <w:tcPr>
            <w:tcW w:w="2010" w:type="dxa"/>
            <w:vMerge w:val="continue"/>
            <w:tcBorders>
              <w:top w:val="single" w:color="auto" w:sz="4" w:space="0"/>
              <w:left w:val="single" w:color="auto" w:sz="4" w:space="0"/>
              <w:right w:val="single" w:color="auto" w:sz="4" w:space="0"/>
            </w:tcBorders>
            <w:shd w:val="clear" w:color="auto" w:fill="auto"/>
            <w:noWrap/>
            <w:vAlign w:val="center"/>
          </w:tcPr>
          <w:p w14:paraId="4A73EA7B"/>
        </w:tc>
        <w:tc>
          <w:tcPr>
            <w:tcW w:w="4035" w:type="dxa"/>
            <w:vMerge w:val="continue"/>
            <w:tcBorders>
              <w:top w:val="single" w:color="auto" w:sz="4" w:space="0"/>
              <w:left w:val="single" w:color="auto" w:sz="4" w:space="0"/>
              <w:right w:val="single" w:color="auto" w:sz="4" w:space="0"/>
            </w:tcBorders>
            <w:shd w:val="clear" w:color="auto" w:fill="auto"/>
            <w:vAlign w:val="center"/>
          </w:tcPr>
          <w:p w14:paraId="1D621DFC"/>
        </w:tc>
        <w:tc>
          <w:tcPr>
            <w:tcW w:w="4186" w:type="dxa"/>
            <w:tcBorders>
              <w:top w:val="single" w:color="auto" w:sz="4" w:space="0"/>
              <w:left w:val="single" w:color="auto" w:sz="4" w:space="0"/>
              <w:right w:val="single" w:color="auto" w:sz="4" w:space="0"/>
            </w:tcBorders>
            <w:shd w:val="clear" w:color="auto" w:fill="auto"/>
            <w:vAlign w:val="center"/>
          </w:tcPr>
          <w:p w14:paraId="71268A3B">
            <w:pPr>
              <w:widowControl/>
              <w:adjustRightInd w:val="0"/>
              <w:snapToGrid w:val="0"/>
              <w:textAlignment w:val="center"/>
              <w:rPr>
                <w:rFonts w:ascii="Times New Roman" w:hAnsi="Times New Roman" w:eastAsia="宋体" w:cs="Times New Roman"/>
                <w:sz w:val="20"/>
                <w:szCs w:val="20"/>
              </w:rPr>
            </w:pPr>
            <w:r>
              <w:rPr>
                <w:rFonts w:ascii="Times New Roman" w:hAnsi="Times New Roman" w:eastAsia="宋体" w:cs="Times New Roman"/>
                <w:sz w:val="20"/>
                <w:szCs w:val="20"/>
              </w:rPr>
              <w:t>公司加强环保监管，采用定期和不定期方式对罐区、污水处理站等重点区域加强督导检查，及时发现隐患、消除隐患。</w:t>
            </w:r>
          </w:p>
        </w:tc>
        <w:tc>
          <w:tcPr>
            <w:tcW w:w="2759" w:type="dxa"/>
            <w:tcBorders>
              <w:left w:val="single" w:color="auto" w:sz="4" w:space="0"/>
            </w:tcBorders>
            <w:shd w:val="clear" w:color="auto" w:fill="auto"/>
            <w:noWrap/>
            <w:vAlign w:val="center"/>
          </w:tcPr>
          <w:p w14:paraId="58CF47B5">
            <w:pPr>
              <w:widowControl/>
              <w:adjustRightInd w:val="0"/>
              <w:snapToGrid w:val="0"/>
              <w:textAlignment w:val="center"/>
              <w:rPr>
                <w:rFonts w:ascii="Times New Roman" w:hAnsi="Times New Roman" w:eastAsia="宋体" w:cs="Times New Roman"/>
                <w:sz w:val="20"/>
                <w:szCs w:val="20"/>
              </w:rPr>
            </w:pPr>
            <w:r>
              <w:rPr>
                <w:rFonts w:hint="eastAsia" w:ascii="Times New Roman" w:hAnsi="Times New Roman" w:eastAsia="宋体" w:cs="Times New Roman"/>
                <w:sz w:val="20"/>
                <w:szCs w:val="20"/>
              </w:rPr>
              <w:t>已完成。</w:t>
            </w:r>
          </w:p>
        </w:tc>
      </w:tr>
      <w:tr w14:paraId="0689C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90" w:type="dxa"/>
            <w:vMerge w:val="continue"/>
            <w:vAlign w:val="center"/>
          </w:tcPr>
          <w:p w14:paraId="26E6448F"/>
        </w:tc>
        <w:tc>
          <w:tcPr>
            <w:tcW w:w="2010" w:type="dxa"/>
            <w:vMerge w:val="continue"/>
            <w:tcBorders>
              <w:top w:val="single" w:color="auto" w:sz="4" w:space="0"/>
              <w:left w:val="single" w:color="auto" w:sz="4" w:space="0"/>
              <w:right w:val="single" w:color="auto" w:sz="4" w:space="0"/>
            </w:tcBorders>
            <w:shd w:val="clear" w:color="auto" w:fill="auto"/>
            <w:noWrap/>
            <w:vAlign w:val="center"/>
          </w:tcPr>
          <w:p w14:paraId="6175B6E5"/>
        </w:tc>
        <w:tc>
          <w:tcPr>
            <w:tcW w:w="4035" w:type="dxa"/>
            <w:vMerge w:val="continue"/>
            <w:tcBorders>
              <w:top w:val="single" w:color="auto" w:sz="4" w:space="0"/>
              <w:left w:val="single" w:color="auto" w:sz="4" w:space="0"/>
              <w:right w:val="single" w:color="auto" w:sz="4" w:space="0"/>
            </w:tcBorders>
            <w:shd w:val="clear" w:color="auto" w:fill="auto"/>
            <w:vAlign w:val="center"/>
          </w:tcPr>
          <w:p w14:paraId="7EC3A8EA"/>
        </w:tc>
        <w:tc>
          <w:tcPr>
            <w:tcW w:w="4186" w:type="dxa"/>
            <w:tcBorders>
              <w:top w:val="single" w:color="auto" w:sz="4" w:space="0"/>
              <w:left w:val="single" w:color="auto" w:sz="4" w:space="0"/>
              <w:right w:val="single" w:color="auto" w:sz="4" w:space="0"/>
            </w:tcBorders>
            <w:shd w:val="clear" w:color="auto" w:fill="auto"/>
            <w:vAlign w:val="center"/>
          </w:tcPr>
          <w:p w14:paraId="51A62994">
            <w:pPr>
              <w:widowControl/>
              <w:adjustRightInd w:val="0"/>
              <w:snapToGrid w:val="0"/>
              <w:textAlignment w:val="center"/>
              <w:rPr>
                <w:rFonts w:ascii="Times New Roman" w:hAnsi="Times New Roman" w:eastAsia="宋体" w:cs="Times New Roman"/>
                <w:sz w:val="20"/>
                <w:szCs w:val="20"/>
              </w:rPr>
            </w:pPr>
            <w:r>
              <w:rPr>
                <w:rFonts w:ascii="Times New Roman" w:hAnsi="Times New Roman" w:eastAsia="宋体" w:cs="Times New Roman"/>
                <w:sz w:val="20"/>
                <w:szCs w:val="20"/>
              </w:rPr>
              <w:t>定期开展泄露检测（LDAR），不断查找泄露源，对无组织排放实施控制。</w:t>
            </w:r>
          </w:p>
        </w:tc>
        <w:tc>
          <w:tcPr>
            <w:tcW w:w="2759" w:type="dxa"/>
            <w:tcBorders>
              <w:left w:val="single" w:color="auto" w:sz="4" w:space="0"/>
            </w:tcBorders>
            <w:shd w:val="clear" w:color="auto" w:fill="auto"/>
            <w:vAlign w:val="center"/>
          </w:tcPr>
          <w:p w14:paraId="43A137C9">
            <w:pPr>
              <w:widowControl/>
              <w:adjustRightInd w:val="0"/>
              <w:snapToGrid w:val="0"/>
              <w:textAlignment w:val="center"/>
              <w:rPr>
                <w:rFonts w:ascii="Times New Roman" w:hAnsi="Times New Roman" w:eastAsia="宋体" w:cs="Times New Roman"/>
                <w:sz w:val="20"/>
                <w:szCs w:val="20"/>
              </w:rPr>
            </w:pPr>
            <w:r>
              <w:rPr>
                <w:rFonts w:ascii="Times New Roman" w:hAnsi="Times New Roman" w:eastAsia="宋体" w:cs="Times New Roman"/>
                <w:sz w:val="20"/>
                <w:szCs w:val="20"/>
              </w:rPr>
              <w:t>已完成。</w:t>
            </w:r>
          </w:p>
        </w:tc>
      </w:tr>
      <w:tr w14:paraId="49827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90" w:type="dxa"/>
            <w:vMerge w:val="continue"/>
            <w:vAlign w:val="center"/>
          </w:tcPr>
          <w:p w14:paraId="4DD4450A"/>
        </w:tc>
        <w:tc>
          <w:tcPr>
            <w:tcW w:w="2010" w:type="dxa"/>
            <w:vMerge w:val="continue"/>
            <w:tcBorders>
              <w:top w:val="single" w:color="auto" w:sz="4" w:space="0"/>
              <w:left w:val="single" w:color="auto" w:sz="4" w:space="0"/>
              <w:right w:val="single" w:color="auto" w:sz="4" w:space="0"/>
            </w:tcBorders>
            <w:shd w:val="clear" w:color="auto" w:fill="auto"/>
            <w:noWrap/>
            <w:vAlign w:val="center"/>
          </w:tcPr>
          <w:p w14:paraId="0C126B3E"/>
        </w:tc>
        <w:tc>
          <w:tcPr>
            <w:tcW w:w="4035" w:type="dxa"/>
            <w:vMerge w:val="continue"/>
            <w:tcBorders>
              <w:top w:val="single" w:color="auto" w:sz="4" w:space="0"/>
              <w:left w:val="single" w:color="auto" w:sz="4" w:space="0"/>
              <w:right w:val="single" w:color="auto" w:sz="4" w:space="0"/>
            </w:tcBorders>
            <w:shd w:val="clear" w:color="auto" w:fill="auto"/>
            <w:vAlign w:val="center"/>
          </w:tcPr>
          <w:p w14:paraId="2BEEA396"/>
        </w:tc>
        <w:tc>
          <w:tcPr>
            <w:tcW w:w="4186" w:type="dxa"/>
            <w:tcBorders>
              <w:top w:val="single" w:color="auto" w:sz="4" w:space="0"/>
              <w:left w:val="single" w:color="auto" w:sz="4" w:space="0"/>
              <w:right w:val="single" w:color="auto" w:sz="4" w:space="0"/>
            </w:tcBorders>
            <w:shd w:val="clear" w:color="auto" w:fill="auto"/>
            <w:vAlign w:val="center"/>
          </w:tcPr>
          <w:p w14:paraId="6A13D082">
            <w:pPr>
              <w:widowControl/>
              <w:adjustRightInd w:val="0"/>
              <w:snapToGrid w:val="0"/>
              <w:textAlignment w:val="center"/>
              <w:rPr>
                <w:rFonts w:ascii="Times New Roman" w:hAnsi="Times New Roman" w:eastAsia="宋体" w:cs="Times New Roman"/>
                <w:sz w:val="20"/>
                <w:szCs w:val="20"/>
              </w:rPr>
            </w:pPr>
            <w:r>
              <w:rPr>
                <w:rFonts w:ascii="Times New Roman" w:hAnsi="Times New Roman" w:eastAsia="宋体" w:cs="Times New Roman"/>
                <w:sz w:val="20"/>
                <w:szCs w:val="20"/>
              </w:rPr>
              <w:t>定期聘请第三方检测机构开展厂区无组织检测，确保排放达标。</w:t>
            </w:r>
          </w:p>
        </w:tc>
        <w:tc>
          <w:tcPr>
            <w:tcW w:w="2759" w:type="dxa"/>
            <w:tcBorders>
              <w:left w:val="single" w:color="auto" w:sz="4" w:space="0"/>
            </w:tcBorders>
            <w:shd w:val="clear" w:color="auto" w:fill="auto"/>
            <w:vAlign w:val="center"/>
          </w:tcPr>
          <w:p w14:paraId="64A91036">
            <w:pPr>
              <w:widowControl/>
              <w:adjustRightInd w:val="0"/>
              <w:snapToGrid w:val="0"/>
              <w:textAlignment w:val="center"/>
              <w:rPr>
                <w:rFonts w:ascii="Times New Roman" w:hAnsi="Times New Roman" w:eastAsia="宋体" w:cs="Times New Roman"/>
                <w:b/>
                <w:bCs/>
                <w:sz w:val="20"/>
                <w:szCs w:val="20"/>
              </w:rPr>
            </w:pPr>
            <w:r>
              <w:rPr>
                <w:rFonts w:ascii="Times New Roman" w:hAnsi="Times New Roman" w:eastAsia="宋体" w:cs="Times New Roman"/>
                <w:sz w:val="20"/>
                <w:szCs w:val="20"/>
              </w:rPr>
              <w:t>已完成。</w:t>
            </w:r>
          </w:p>
        </w:tc>
      </w:tr>
    </w:tbl>
    <w:tbl>
      <w:tblPr>
        <w:tblStyle w:val="9"/>
        <w:tblW w:w="13791" w:type="dxa"/>
        <w:tblInd w:w="2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
        <w:gridCol w:w="1984"/>
        <w:gridCol w:w="4111"/>
        <w:gridCol w:w="4111"/>
        <w:gridCol w:w="2835"/>
      </w:tblGrid>
      <w:tr w14:paraId="5D21F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37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29DEB9">
            <w:pPr>
              <w:pStyle w:val="6"/>
              <w:spacing w:after="0" w:line="240" w:lineRule="auto"/>
              <w:ind w:left="0" w:leftChars="0" w:firstLine="420"/>
              <w:jc w:val="center"/>
              <w:rPr>
                <w:rFonts w:hint="eastAsia" w:ascii="宋体" w:hAnsi="宋体" w:eastAsia="宋体" w:cs="宋体"/>
                <w:color w:val="000000"/>
                <w:kern w:val="0"/>
                <w:sz w:val="21"/>
                <w:szCs w:val="21"/>
              </w:rPr>
            </w:pPr>
            <w:r>
              <w:rPr>
                <w:rFonts w:hint="eastAsia" w:eastAsia="宋体"/>
                <w:b w:val="0"/>
                <w:bCs w:val="0"/>
                <w:sz w:val="20"/>
                <w:szCs w:val="20"/>
              </w:rPr>
              <w:t>淮南中建材腾锋环保科技有限公司环保管理能力提升8</w:t>
            </w:r>
            <w:r>
              <w:rPr>
                <w:rFonts w:eastAsia="宋体"/>
                <w:b w:val="0"/>
                <w:bCs w:val="0"/>
                <w:sz w:val="20"/>
                <w:szCs w:val="20"/>
              </w:rPr>
              <w:t>月份整改进度明细表</w:t>
            </w:r>
          </w:p>
        </w:tc>
      </w:tr>
      <w:tr w14:paraId="31837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960B">
            <w:pPr>
              <w:pStyle w:val="6"/>
              <w:spacing w:after="0" w:line="240" w:lineRule="auto"/>
              <w:ind w:left="0" w:leftChars="0"/>
              <w:rPr>
                <w:rFonts w:eastAsia="宋体"/>
                <w:b w:val="0"/>
                <w:bCs w:val="0"/>
                <w:sz w:val="20"/>
                <w:szCs w:val="20"/>
              </w:rPr>
            </w:pPr>
            <w:r>
              <w:rPr>
                <w:rFonts w:hint="eastAsia" w:eastAsia="宋体"/>
                <w:b w:val="0"/>
                <w:bCs w:val="0"/>
                <w:sz w:val="20"/>
                <w:szCs w:val="20"/>
              </w:rPr>
              <w:t>序号</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B2DEE">
            <w:pPr>
              <w:pStyle w:val="6"/>
              <w:spacing w:after="0" w:line="240" w:lineRule="auto"/>
              <w:ind w:left="0" w:leftChars="0"/>
              <w:jc w:val="center"/>
              <w:rPr>
                <w:rFonts w:eastAsia="宋体"/>
                <w:b w:val="0"/>
                <w:bCs w:val="0"/>
                <w:sz w:val="20"/>
                <w:szCs w:val="20"/>
              </w:rPr>
            </w:pPr>
            <w:r>
              <w:rPr>
                <w:rFonts w:hint="eastAsia" w:eastAsia="宋体"/>
                <w:b w:val="0"/>
                <w:bCs w:val="0"/>
                <w:sz w:val="20"/>
                <w:szCs w:val="20"/>
              </w:rPr>
              <w:t>问题内容</w:t>
            </w:r>
          </w:p>
        </w:tc>
        <w:tc>
          <w:tcPr>
            <w:tcW w:w="4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083F0">
            <w:pPr>
              <w:pStyle w:val="6"/>
              <w:spacing w:after="0" w:line="240" w:lineRule="auto"/>
              <w:ind w:left="0" w:leftChars="0"/>
              <w:jc w:val="center"/>
              <w:rPr>
                <w:rFonts w:eastAsia="宋体"/>
                <w:b w:val="0"/>
                <w:bCs w:val="0"/>
                <w:sz w:val="20"/>
                <w:szCs w:val="20"/>
              </w:rPr>
            </w:pPr>
            <w:r>
              <w:rPr>
                <w:rFonts w:hint="eastAsia" w:eastAsia="宋体"/>
                <w:b w:val="0"/>
                <w:bCs w:val="0"/>
                <w:sz w:val="20"/>
                <w:szCs w:val="20"/>
              </w:rPr>
              <w:t>问题表述</w:t>
            </w:r>
          </w:p>
        </w:tc>
        <w:tc>
          <w:tcPr>
            <w:tcW w:w="4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ED401">
            <w:pPr>
              <w:pStyle w:val="6"/>
              <w:spacing w:after="0" w:line="240" w:lineRule="auto"/>
              <w:ind w:left="0" w:leftChars="0"/>
              <w:jc w:val="center"/>
              <w:rPr>
                <w:rFonts w:eastAsia="宋体"/>
                <w:b w:val="0"/>
                <w:bCs w:val="0"/>
                <w:sz w:val="20"/>
                <w:szCs w:val="20"/>
              </w:rPr>
            </w:pPr>
            <w:r>
              <w:rPr>
                <w:rFonts w:hint="eastAsia" w:eastAsia="宋体"/>
                <w:b w:val="0"/>
                <w:bCs w:val="0"/>
                <w:sz w:val="20"/>
                <w:szCs w:val="20"/>
              </w:rPr>
              <w:t>整改措施</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0FE3">
            <w:pPr>
              <w:pStyle w:val="6"/>
              <w:spacing w:after="0" w:line="240" w:lineRule="auto"/>
              <w:ind w:left="0" w:leftChars="0"/>
              <w:jc w:val="center"/>
              <w:rPr>
                <w:rFonts w:eastAsia="宋体"/>
                <w:b w:val="0"/>
                <w:bCs w:val="0"/>
                <w:sz w:val="20"/>
                <w:szCs w:val="20"/>
              </w:rPr>
            </w:pPr>
            <w:r>
              <w:rPr>
                <w:rFonts w:hint="eastAsia" w:eastAsia="宋体"/>
                <w:b w:val="0"/>
                <w:bCs w:val="0"/>
                <w:sz w:val="20"/>
                <w:szCs w:val="20"/>
              </w:rPr>
              <w:t>整改进展</w:t>
            </w:r>
          </w:p>
        </w:tc>
      </w:tr>
      <w:tr w14:paraId="748D9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4F4A">
            <w:pPr>
              <w:pStyle w:val="6"/>
              <w:spacing w:after="0" w:line="240" w:lineRule="auto"/>
              <w:ind w:left="0" w:leftChars="0" w:firstLine="420"/>
              <w:jc w:val="center"/>
              <w:rPr>
                <w:rFonts w:eastAsia="宋体"/>
                <w:b w:val="0"/>
                <w:bCs w:val="0"/>
                <w:sz w:val="20"/>
                <w:szCs w:val="20"/>
              </w:rPr>
            </w:pPr>
            <w:r>
              <w:rPr>
                <w:rFonts w:eastAsia="宋体"/>
                <w:b w:val="0"/>
                <w:bCs w:val="0"/>
                <w:sz w:val="20"/>
                <w:szCs w:val="20"/>
              </w:rPr>
              <w:t>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C945">
            <w:pPr>
              <w:pStyle w:val="6"/>
              <w:spacing w:after="0" w:line="240" w:lineRule="auto"/>
              <w:ind w:left="0" w:leftChars="0"/>
              <w:rPr>
                <w:rFonts w:eastAsia="宋体"/>
                <w:b w:val="0"/>
                <w:bCs w:val="0"/>
                <w:sz w:val="20"/>
                <w:szCs w:val="20"/>
              </w:rPr>
            </w:pPr>
            <w:r>
              <w:rPr>
                <w:rFonts w:hint="eastAsia" w:eastAsia="宋体"/>
                <w:b w:val="0"/>
                <w:bCs w:val="0"/>
                <w:sz w:val="20"/>
                <w:szCs w:val="20"/>
              </w:rPr>
              <w:t>环保管理合规性审查。</w:t>
            </w:r>
          </w:p>
        </w:tc>
        <w:tc>
          <w:tcPr>
            <w:tcW w:w="4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36D3A">
            <w:pPr>
              <w:pStyle w:val="6"/>
              <w:spacing w:after="0" w:line="240" w:lineRule="auto"/>
              <w:ind w:left="0" w:leftChars="0"/>
              <w:rPr>
                <w:rFonts w:eastAsia="宋体"/>
                <w:b w:val="0"/>
                <w:bCs w:val="0"/>
                <w:sz w:val="20"/>
                <w:szCs w:val="20"/>
              </w:rPr>
            </w:pPr>
            <w:r>
              <w:rPr>
                <w:rFonts w:hint="eastAsia" w:eastAsia="宋体"/>
                <w:b w:val="0"/>
                <w:bCs w:val="0"/>
                <w:sz w:val="20"/>
                <w:szCs w:val="20"/>
              </w:rPr>
              <w:t>统性识别公司生产经营活动涉及的法律法规与标准规范，列出合规性清单，对照清单逐项查验，梳理公司当前可能存在的环境合规性风险，对不符合项彻底进行整改。</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2D91">
            <w:pPr>
              <w:pStyle w:val="6"/>
              <w:spacing w:after="0" w:line="240" w:lineRule="auto"/>
              <w:ind w:left="0" w:leftChars="0"/>
              <w:rPr>
                <w:rFonts w:eastAsia="宋体"/>
                <w:b w:val="0"/>
                <w:bCs w:val="0"/>
                <w:sz w:val="20"/>
                <w:szCs w:val="20"/>
              </w:rPr>
            </w:pPr>
            <w:r>
              <w:rPr>
                <w:rFonts w:hint="eastAsia" w:eastAsia="宋体"/>
                <w:b w:val="0"/>
                <w:bCs w:val="0"/>
                <w:sz w:val="20"/>
                <w:szCs w:val="20"/>
              </w:rPr>
              <w:t>建立合规清单，对照排查不符合项，并落实整改。</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4A6BB">
            <w:pPr>
              <w:pStyle w:val="6"/>
              <w:spacing w:after="0" w:line="240" w:lineRule="auto"/>
              <w:ind w:left="0" w:leftChars="0"/>
              <w:rPr>
                <w:rFonts w:eastAsia="宋体"/>
                <w:b w:val="0"/>
                <w:bCs w:val="0"/>
                <w:sz w:val="20"/>
                <w:szCs w:val="20"/>
              </w:rPr>
            </w:pPr>
            <w:r>
              <w:rPr>
                <w:rFonts w:hint="eastAsia" w:eastAsia="宋体"/>
                <w:b w:val="0"/>
                <w:bCs w:val="0"/>
                <w:sz w:val="20"/>
                <w:szCs w:val="20"/>
              </w:rPr>
              <w:t>已完成。</w:t>
            </w:r>
          </w:p>
        </w:tc>
      </w:tr>
      <w:tr w14:paraId="08C10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4256B7">
            <w:pPr>
              <w:pStyle w:val="6"/>
              <w:spacing w:after="0" w:line="240" w:lineRule="auto"/>
              <w:ind w:left="0" w:leftChars="0" w:firstLine="420"/>
              <w:jc w:val="center"/>
              <w:rPr>
                <w:rFonts w:eastAsia="宋体"/>
                <w:b w:val="0"/>
                <w:bCs w:val="0"/>
                <w:sz w:val="20"/>
                <w:szCs w:val="20"/>
              </w:rPr>
            </w:pPr>
            <w:r>
              <w:rPr>
                <w:rFonts w:eastAsia="宋体"/>
                <w:b w:val="0"/>
                <w:bCs w:val="0"/>
                <w:sz w:val="20"/>
                <w:szCs w:val="20"/>
              </w:rPr>
              <w:t>2</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B90921">
            <w:pPr>
              <w:pStyle w:val="6"/>
              <w:spacing w:after="0" w:line="240" w:lineRule="auto"/>
              <w:ind w:left="0" w:leftChars="0"/>
              <w:rPr>
                <w:rFonts w:eastAsia="宋体"/>
                <w:b w:val="0"/>
                <w:bCs w:val="0"/>
                <w:sz w:val="20"/>
                <w:szCs w:val="20"/>
              </w:rPr>
            </w:pPr>
            <w:r>
              <w:rPr>
                <w:rFonts w:hint="eastAsia" w:eastAsia="宋体"/>
                <w:b w:val="0"/>
                <w:bCs w:val="0"/>
                <w:sz w:val="20"/>
                <w:szCs w:val="20"/>
              </w:rPr>
              <w:t>强化环保管理体系有效运行。</w:t>
            </w:r>
          </w:p>
        </w:tc>
        <w:tc>
          <w:tcPr>
            <w:tcW w:w="4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3FA56C">
            <w:pPr>
              <w:pStyle w:val="6"/>
              <w:spacing w:after="0" w:line="240" w:lineRule="auto"/>
              <w:ind w:left="0" w:leftChars="0"/>
              <w:rPr>
                <w:rFonts w:eastAsia="宋体"/>
                <w:b w:val="0"/>
                <w:bCs w:val="0"/>
                <w:sz w:val="20"/>
                <w:szCs w:val="20"/>
              </w:rPr>
            </w:pPr>
            <w:r>
              <w:rPr>
                <w:rFonts w:hint="eastAsia" w:eastAsia="宋体"/>
                <w:b w:val="0"/>
                <w:bCs w:val="0"/>
                <w:sz w:val="20"/>
                <w:szCs w:val="20"/>
              </w:rPr>
              <w:t>公司根据自身的实际情况，建立一套符合国家环保法律法规和行业标准的环保管理体系，确保环保工作的有序进行。</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FCED">
            <w:pPr>
              <w:pStyle w:val="6"/>
              <w:spacing w:after="0" w:line="240" w:lineRule="auto"/>
              <w:ind w:left="0" w:leftChars="0"/>
              <w:rPr>
                <w:rFonts w:eastAsia="宋体"/>
                <w:b w:val="0"/>
                <w:bCs w:val="0"/>
                <w:sz w:val="20"/>
                <w:szCs w:val="20"/>
              </w:rPr>
            </w:pPr>
            <w:r>
              <w:rPr>
                <w:rFonts w:hint="eastAsia" w:eastAsia="宋体"/>
                <w:b w:val="0"/>
                <w:bCs w:val="0"/>
                <w:sz w:val="20"/>
                <w:szCs w:val="20"/>
              </w:rPr>
              <w:t>完善内部环保管理组织架构，统筹负责公司环保工作的日常管理和监督工作。</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B31E">
            <w:pPr>
              <w:pStyle w:val="6"/>
              <w:spacing w:after="0" w:line="240" w:lineRule="auto"/>
              <w:ind w:left="0" w:leftChars="0"/>
              <w:rPr>
                <w:rFonts w:eastAsia="宋体"/>
                <w:b w:val="0"/>
                <w:bCs w:val="0"/>
                <w:sz w:val="20"/>
                <w:szCs w:val="20"/>
              </w:rPr>
            </w:pPr>
            <w:r>
              <w:rPr>
                <w:rFonts w:hint="eastAsia" w:eastAsia="宋体"/>
                <w:b w:val="0"/>
                <w:bCs w:val="0"/>
                <w:sz w:val="20"/>
                <w:szCs w:val="20"/>
              </w:rPr>
              <w:t>已完成。</w:t>
            </w:r>
          </w:p>
        </w:tc>
      </w:tr>
      <w:tr w14:paraId="4A4AB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3"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6828A"/>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D7677"/>
        </w:tc>
        <w:tc>
          <w:tcPr>
            <w:tcW w:w="4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EC9D8"/>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74CE1">
            <w:pPr>
              <w:pStyle w:val="6"/>
              <w:spacing w:after="0" w:line="240" w:lineRule="auto"/>
              <w:ind w:left="0" w:leftChars="0"/>
              <w:rPr>
                <w:rFonts w:eastAsia="宋体"/>
                <w:b w:val="0"/>
                <w:bCs w:val="0"/>
                <w:sz w:val="20"/>
                <w:szCs w:val="20"/>
              </w:rPr>
            </w:pPr>
            <w:r>
              <w:rPr>
                <w:rFonts w:hint="eastAsia" w:eastAsia="宋体"/>
                <w:b w:val="0"/>
                <w:bCs w:val="0"/>
                <w:sz w:val="20"/>
                <w:szCs w:val="20"/>
              </w:rPr>
              <w:t>根据环保法律法规要求，补充完善公司内部环保管理制度，明确各部门、各岗位的环保职责，确保环保工作能够落实到实处根据环保法律法规要求，补充完善公司内部环保管理制度，明确各部门、各岗位的环保职责，确保环保工作能够落实到实处。</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FA9C">
            <w:pPr>
              <w:pStyle w:val="6"/>
              <w:spacing w:after="0" w:line="240" w:lineRule="auto"/>
              <w:ind w:left="0" w:leftChars="0"/>
              <w:rPr>
                <w:rFonts w:eastAsia="宋体"/>
                <w:b w:val="0"/>
                <w:bCs w:val="0"/>
                <w:sz w:val="20"/>
                <w:szCs w:val="20"/>
              </w:rPr>
            </w:pPr>
            <w:r>
              <w:rPr>
                <w:rFonts w:hint="eastAsia" w:eastAsia="宋体"/>
                <w:b w:val="0"/>
                <w:bCs w:val="0"/>
                <w:sz w:val="20"/>
                <w:szCs w:val="20"/>
              </w:rPr>
              <w:t>已完成。</w:t>
            </w:r>
          </w:p>
        </w:tc>
      </w:tr>
      <w:tr w14:paraId="220C4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6"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DED8E"/>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345AE"/>
        </w:tc>
        <w:tc>
          <w:tcPr>
            <w:tcW w:w="4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5F356"/>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FA26">
            <w:pPr>
              <w:pStyle w:val="6"/>
              <w:spacing w:after="0" w:line="240" w:lineRule="auto"/>
              <w:ind w:left="0" w:leftChars="0"/>
              <w:rPr>
                <w:rFonts w:eastAsia="宋体"/>
                <w:b w:val="0"/>
                <w:bCs w:val="0"/>
                <w:sz w:val="20"/>
                <w:szCs w:val="20"/>
              </w:rPr>
            </w:pPr>
            <w:r>
              <w:rPr>
                <w:rFonts w:hint="eastAsia" w:eastAsia="宋体"/>
                <w:b w:val="0"/>
                <w:bCs w:val="0"/>
                <w:sz w:val="20"/>
                <w:szCs w:val="20"/>
              </w:rPr>
              <w:t>强化环保目标责任制，将环保目标分解到各个部门和员工，并建立相应的考核机制，确保环保目标的实现。</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EF2A">
            <w:pPr>
              <w:pStyle w:val="6"/>
              <w:spacing w:after="0" w:line="240" w:lineRule="auto"/>
              <w:ind w:left="0" w:leftChars="0"/>
              <w:rPr>
                <w:rFonts w:eastAsia="宋体"/>
                <w:b w:val="0"/>
                <w:bCs w:val="0"/>
                <w:sz w:val="20"/>
                <w:szCs w:val="20"/>
              </w:rPr>
            </w:pPr>
            <w:r>
              <w:rPr>
                <w:rFonts w:hint="eastAsia" w:eastAsia="宋体"/>
                <w:b w:val="0"/>
                <w:bCs w:val="0"/>
                <w:sz w:val="20"/>
                <w:szCs w:val="20"/>
              </w:rPr>
              <w:t>已完成。</w:t>
            </w:r>
          </w:p>
        </w:tc>
      </w:tr>
      <w:tr w14:paraId="10ED2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6"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FBAD3"/>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EB5C5"/>
        </w:tc>
        <w:tc>
          <w:tcPr>
            <w:tcW w:w="4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20D3D"/>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AC13">
            <w:pPr>
              <w:pStyle w:val="6"/>
              <w:spacing w:after="0" w:line="240" w:lineRule="auto"/>
              <w:ind w:left="0" w:leftChars="0"/>
              <w:rPr>
                <w:rFonts w:eastAsia="宋体"/>
                <w:b w:val="0"/>
                <w:bCs w:val="0"/>
                <w:sz w:val="20"/>
                <w:szCs w:val="20"/>
              </w:rPr>
            </w:pPr>
            <w:r>
              <w:rPr>
                <w:rFonts w:hint="eastAsia" w:eastAsia="宋体"/>
                <w:b w:val="0"/>
                <w:bCs w:val="0"/>
                <w:sz w:val="20"/>
                <w:szCs w:val="20"/>
              </w:rPr>
              <w:t>建立健全环保档案，对环保工作的各个方面进行详细记录，为环保管理体系的有效运行提供数据支持。</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9E87F">
            <w:pPr>
              <w:pStyle w:val="6"/>
              <w:spacing w:after="0" w:line="240" w:lineRule="auto"/>
              <w:ind w:left="0" w:leftChars="0"/>
              <w:rPr>
                <w:rFonts w:eastAsia="宋体"/>
                <w:b w:val="0"/>
                <w:bCs w:val="0"/>
                <w:sz w:val="20"/>
                <w:szCs w:val="20"/>
              </w:rPr>
            </w:pPr>
            <w:r>
              <w:rPr>
                <w:rFonts w:hint="eastAsia" w:eastAsia="宋体"/>
                <w:b w:val="0"/>
                <w:bCs w:val="0"/>
                <w:sz w:val="20"/>
                <w:szCs w:val="20"/>
              </w:rPr>
              <w:t>已完成。</w:t>
            </w:r>
          </w:p>
        </w:tc>
      </w:tr>
      <w:tr w14:paraId="3D9F2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8"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E0D6C"/>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2D943"/>
        </w:tc>
        <w:tc>
          <w:tcPr>
            <w:tcW w:w="4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22221"/>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D76C">
            <w:pPr>
              <w:pStyle w:val="6"/>
              <w:spacing w:after="0" w:line="240" w:lineRule="auto"/>
              <w:ind w:left="0" w:leftChars="0"/>
              <w:rPr>
                <w:rFonts w:eastAsia="宋体"/>
                <w:b w:val="0"/>
                <w:bCs w:val="0"/>
                <w:sz w:val="20"/>
                <w:szCs w:val="20"/>
              </w:rPr>
            </w:pPr>
            <w:r>
              <w:rPr>
                <w:rFonts w:hint="eastAsia" w:eastAsia="宋体"/>
                <w:b w:val="0"/>
                <w:bCs w:val="0"/>
                <w:sz w:val="20"/>
                <w:szCs w:val="20"/>
              </w:rPr>
              <w:t>加强与政府部门的沟通协调，生态环境保护部门保持密切联系，及时了解国家环保政策的变化，确保企业的环保管理体系符合政策要求。</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B681B">
            <w:pPr>
              <w:pStyle w:val="6"/>
              <w:spacing w:after="0" w:line="240" w:lineRule="auto"/>
              <w:ind w:left="0" w:leftChars="0"/>
              <w:rPr>
                <w:rFonts w:eastAsia="宋体"/>
                <w:b w:val="0"/>
                <w:bCs w:val="0"/>
                <w:sz w:val="20"/>
                <w:szCs w:val="20"/>
              </w:rPr>
            </w:pPr>
            <w:r>
              <w:rPr>
                <w:rFonts w:hint="eastAsia" w:eastAsia="宋体"/>
                <w:b w:val="0"/>
                <w:bCs w:val="0"/>
                <w:sz w:val="20"/>
                <w:szCs w:val="20"/>
              </w:rPr>
              <w:t>已完成并持续保持。</w:t>
            </w:r>
          </w:p>
        </w:tc>
      </w:tr>
      <w:tr w14:paraId="2D088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8"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6D96A"/>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08A10"/>
        </w:tc>
        <w:tc>
          <w:tcPr>
            <w:tcW w:w="4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FB35F"/>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CED2">
            <w:pPr>
              <w:pStyle w:val="6"/>
              <w:spacing w:after="0" w:line="240" w:lineRule="auto"/>
              <w:ind w:left="0" w:leftChars="0"/>
              <w:rPr>
                <w:rFonts w:eastAsia="宋体"/>
                <w:b w:val="0"/>
                <w:bCs w:val="0"/>
                <w:sz w:val="20"/>
                <w:szCs w:val="20"/>
              </w:rPr>
            </w:pPr>
            <w:r>
              <w:rPr>
                <w:rFonts w:hint="eastAsia" w:eastAsia="宋体"/>
                <w:b w:val="0"/>
                <w:bCs w:val="0"/>
                <w:sz w:val="20"/>
                <w:szCs w:val="20"/>
              </w:rPr>
              <w:t>加强内部审计和外部审核，定期对环保管理体系进行内部审计和外部审核，找出管理体系中的不足之处，不断改进和完善，确保环保管理体系的有效运行。</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5C1B3">
            <w:pPr>
              <w:pStyle w:val="6"/>
              <w:spacing w:after="0" w:line="240" w:lineRule="auto"/>
              <w:ind w:left="0" w:leftChars="0"/>
              <w:rPr>
                <w:rFonts w:eastAsia="宋体"/>
                <w:b w:val="0"/>
                <w:bCs w:val="0"/>
                <w:sz w:val="20"/>
                <w:szCs w:val="20"/>
              </w:rPr>
            </w:pPr>
            <w:r>
              <w:rPr>
                <w:rFonts w:hint="eastAsia" w:eastAsia="宋体"/>
                <w:b w:val="0"/>
                <w:bCs w:val="0"/>
                <w:sz w:val="20"/>
                <w:szCs w:val="20"/>
              </w:rPr>
              <w:t>已完成并持续保持。</w:t>
            </w:r>
          </w:p>
        </w:tc>
      </w:tr>
      <w:tr w14:paraId="51C95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6"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1FC643">
            <w:pPr>
              <w:pStyle w:val="6"/>
              <w:spacing w:after="0" w:line="240" w:lineRule="auto"/>
              <w:ind w:left="0" w:leftChars="0" w:firstLine="420"/>
              <w:jc w:val="center"/>
              <w:rPr>
                <w:rFonts w:eastAsia="宋体"/>
                <w:b w:val="0"/>
                <w:bCs w:val="0"/>
                <w:sz w:val="20"/>
                <w:szCs w:val="20"/>
              </w:rPr>
            </w:pPr>
            <w:r>
              <w:rPr>
                <w:rFonts w:eastAsia="宋体"/>
                <w:b w:val="0"/>
                <w:bCs w:val="0"/>
                <w:sz w:val="20"/>
                <w:szCs w:val="20"/>
              </w:rPr>
              <w:t>3</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C5A2DF">
            <w:pPr>
              <w:pStyle w:val="6"/>
              <w:spacing w:after="0" w:line="240" w:lineRule="auto"/>
              <w:ind w:left="0" w:leftChars="0"/>
              <w:rPr>
                <w:rFonts w:eastAsia="宋体"/>
                <w:b w:val="0"/>
                <w:bCs w:val="0"/>
                <w:sz w:val="20"/>
                <w:szCs w:val="20"/>
              </w:rPr>
            </w:pPr>
            <w:r>
              <w:rPr>
                <w:rFonts w:hint="eastAsia" w:eastAsia="宋体"/>
                <w:b w:val="0"/>
                <w:bCs w:val="0"/>
                <w:sz w:val="20"/>
                <w:szCs w:val="20"/>
              </w:rPr>
              <w:t>加强环保设施运行监督管理。</w:t>
            </w:r>
          </w:p>
        </w:tc>
        <w:tc>
          <w:tcPr>
            <w:tcW w:w="4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BB1BBE">
            <w:pPr>
              <w:pStyle w:val="6"/>
              <w:spacing w:after="0" w:line="240" w:lineRule="auto"/>
              <w:ind w:left="0" w:leftChars="0"/>
              <w:rPr>
                <w:rFonts w:eastAsia="宋体"/>
                <w:b w:val="0"/>
                <w:bCs w:val="0"/>
                <w:sz w:val="20"/>
                <w:szCs w:val="20"/>
              </w:rPr>
            </w:pPr>
            <w:r>
              <w:rPr>
                <w:rFonts w:hint="eastAsia" w:eastAsia="宋体"/>
                <w:b w:val="0"/>
                <w:bCs w:val="0"/>
                <w:sz w:val="20"/>
                <w:szCs w:val="20"/>
              </w:rPr>
              <w:t>加强环保设施运行监督管理。</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5C93">
            <w:pPr>
              <w:pStyle w:val="6"/>
              <w:spacing w:after="0" w:line="240" w:lineRule="auto"/>
              <w:ind w:left="0" w:leftChars="0"/>
              <w:rPr>
                <w:rFonts w:eastAsia="宋体"/>
                <w:b w:val="0"/>
                <w:bCs w:val="0"/>
                <w:sz w:val="20"/>
                <w:szCs w:val="20"/>
              </w:rPr>
            </w:pPr>
            <w:r>
              <w:rPr>
                <w:rFonts w:hint="eastAsia" w:eastAsia="宋体"/>
                <w:b w:val="0"/>
                <w:bCs w:val="0"/>
                <w:sz w:val="20"/>
                <w:szCs w:val="20"/>
              </w:rPr>
              <w:t>建立完善的环保设施运行管理制度，确保环保设施管理符合国家环保法律法规和行业标准的管理要求。</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676E0">
            <w:pPr>
              <w:pStyle w:val="6"/>
              <w:spacing w:after="0" w:line="240" w:lineRule="auto"/>
              <w:ind w:left="0" w:leftChars="0"/>
              <w:rPr>
                <w:rFonts w:eastAsia="宋体"/>
                <w:b w:val="0"/>
                <w:bCs w:val="0"/>
                <w:sz w:val="20"/>
                <w:szCs w:val="20"/>
              </w:rPr>
            </w:pPr>
            <w:r>
              <w:rPr>
                <w:rFonts w:hint="eastAsia" w:eastAsia="宋体"/>
                <w:b w:val="0"/>
                <w:bCs w:val="0"/>
                <w:sz w:val="20"/>
                <w:szCs w:val="20"/>
              </w:rPr>
              <w:t>已完成。</w:t>
            </w:r>
          </w:p>
        </w:tc>
      </w:tr>
      <w:tr w14:paraId="1D7DD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6"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A1D72"/>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03D9A"/>
        </w:tc>
        <w:tc>
          <w:tcPr>
            <w:tcW w:w="4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590AE"/>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8F08">
            <w:pPr>
              <w:pStyle w:val="6"/>
              <w:spacing w:after="0" w:line="240" w:lineRule="auto"/>
              <w:ind w:left="0" w:leftChars="0"/>
              <w:rPr>
                <w:rFonts w:eastAsia="宋体"/>
                <w:b w:val="0"/>
                <w:bCs w:val="0"/>
                <w:sz w:val="20"/>
                <w:szCs w:val="20"/>
              </w:rPr>
            </w:pPr>
            <w:r>
              <w:rPr>
                <w:rFonts w:hint="eastAsia" w:eastAsia="宋体"/>
                <w:b w:val="0"/>
                <w:bCs w:val="0"/>
                <w:sz w:val="20"/>
                <w:szCs w:val="20"/>
              </w:rPr>
              <w:t>建立健全环保设施运行档案，对环保设施的运行、维护和检修进行详细记录，为环保设施的监督管理提供数据支持。</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F3883">
            <w:pPr>
              <w:pStyle w:val="6"/>
              <w:spacing w:after="0" w:line="240" w:lineRule="auto"/>
              <w:ind w:left="0" w:leftChars="0"/>
              <w:rPr>
                <w:rFonts w:eastAsia="宋体"/>
                <w:b w:val="0"/>
                <w:bCs w:val="0"/>
                <w:sz w:val="20"/>
                <w:szCs w:val="20"/>
              </w:rPr>
            </w:pPr>
            <w:r>
              <w:rPr>
                <w:rFonts w:hint="eastAsia" w:eastAsia="宋体"/>
                <w:b w:val="0"/>
                <w:bCs w:val="0"/>
                <w:sz w:val="20"/>
                <w:szCs w:val="20"/>
              </w:rPr>
              <w:t>已完成。</w:t>
            </w:r>
          </w:p>
        </w:tc>
      </w:tr>
      <w:tr w14:paraId="6172A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6"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BD610"/>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E9F4E"/>
        </w:tc>
        <w:tc>
          <w:tcPr>
            <w:tcW w:w="4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8876C"/>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7D80">
            <w:pPr>
              <w:pStyle w:val="6"/>
              <w:spacing w:after="0" w:line="240" w:lineRule="auto"/>
              <w:ind w:left="0" w:leftChars="0"/>
              <w:rPr>
                <w:rFonts w:eastAsia="宋体"/>
                <w:b w:val="0"/>
                <w:bCs w:val="0"/>
                <w:sz w:val="20"/>
                <w:szCs w:val="20"/>
              </w:rPr>
            </w:pPr>
            <w:r>
              <w:rPr>
                <w:rFonts w:hint="eastAsia" w:eastAsia="宋体"/>
                <w:b w:val="0"/>
                <w:bCs w:val="0"/>
                <w:sz w:val="20"/>
                <w:szCs w:val="20"/>
              </w:rPr>
              <w:t>定期对环保设施运行进行监测，及时掌握设施运行状况，为环保设施的监督管理提供依据。</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0396">
            <w:pPr>
              <w:pStyle w:val="6"/>
              <w:spacing w:after="0" w:line="240" w:lineRule="auto"/>
              <w:ind w:left="0" w:leftChars="0"/>
              <w:rPr>
                <w:rFonts w:eastAsia="宋体"/>
                <w:b w:val="0"/>
                <w:bCs w:val="0"/>
                <w:sz w:val="20"/>
                <w:szCs w:val="20"/>
              </w:rPr>
            </w:pPr>
            <w:r>
              <w:rPr>
                <w:rFonts w:hint="eastAsia" w:eastAsia="宋体"/>
                <w:b w:val="0"/>
                <w:bCs w:val="0"/>
                <w:sz w:val="20"/>
                <w:szCs w:val="20"/>
              </w:rPr>
              <w:t>已完成并持续保持。</w:t>
            </w:r>
          </w:p>
        </w:tc>
      </w:tr>
      <w:tr w14:paraId="180C0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21D487">
            <w:pPr>
              <w:pStyle w:val="6"/>
              <w:spacing w:after="0" w:line="240" w:lineRule="auto"/>
              <w:ind w:left="0" w:leftChars="0" w:firstLine="420"/>
              <w:jc w:val="center"/>
              <w:rPr>
                <w:rFonts w:eastAsia="宋体"/>
                <w:b w:val="0"/>
                <w:bCs w:val="0"/>
                <w:sz w:val="20"/>
                <w:szCs w:val="20"/>
              </w:rPr>
            </w:pPr>
            <w:r>
              <w:rPr>
                <w:rFonts w:eastAsia="宋体"/>
                <w:b w:val="0"/>
                <w:bCs w:val="0"/>
                <w:sz w:val="20"/>
                <w:szCs w:val="20"/>
              </w:rPr>
              <w:t>4</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C54408">
            <w:pPr>
              <w:pStyle w:val="6"/>
              <w:spacing w:after="0" w:line="240" w:lineRule="auto"/>
              <w:ind w:left="0" w:leftChars="0"/>
              <w:rPr>
                <w:rFonts w:eastAsia="宋体"/>
                <w:b w:val="0"/>
                <w:bCs w:val="0"/>
                <w:sz w:val="20"/>
                <w:szCs w:val="20"/>
              </w:rPr>
            </w:pPr>
            <w:r>
              <w:rPr>
                <w:rFonts w:hint="eastAsia" w:eastAsia="宋体"/>
                <w:b w:val="0"/>
                <w:bCs w:val="0"/>
                <w:sz w:val="20"/>
                <w:szCs w:val="20"/>
              </w:rPr>
              <w:t>加强环保业务能力提升，强化环境隐患排查工作</w:t>
            </w:r>
          </w:p>
        </w:tc>
        <w:tc>
          <w:tcPr>
            <w:tcW w:w="4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56B4F8">
            <w:pPr>
              <w:pStyle w:val="6"/>
              <w:spacing w:after="0" w:line="240" w:lineRule="auto"/>
              <w:ind w:left="0" w:leftChars="0"/>
              <w:rPr>
                <w:rFonts w:eastAsia="宋体"/>
                <w:b w:val="0"/>
                <w:bCs w:val="0"/>
                <w:sz w:val="20"/>
                <w:szCs w:val="20"/>
              </w:rPr>
            </w:pPr>
            <w:r>
              <w:rPr>
                <w:rFonts w:hint="eastAsia" w:eastAsia="宋体"/>
                <w:b w:val="0"/>
                <w:bCs w:val="0"/>
                <w:sz w:val="20"/>
                <w:szCs w:val="20"/>
              </w:rPr>
              <w:t>加强环保业务能力提升，强化环境隐患排查工作</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570A9">
            <w:pPr>
              <w:pStyle w:val="6"/>
              <w:spacing w:after="0" w:line="240" w:lineRule="auto"/>
              <w:ind w:left="0" w:leftChars="0"/>
              <w:rPr>
                <w:rFonts w:eastAsia="宋体"/>
                <w:b w:val="0"/>
                <w:bCs w:val="0"/>
                <w:sz w:val="20"/>
                <w:szCs w:val="20"/>
              </w:rPr>
            </w:pPr>
            <w:r>
              <w:rPr>
                <w:rFonts w:hint="eastAsia" w:eastAsia="宋体"/>
                <w:b w:val="0"/>
                <w:bCs w:val="0"/>
                <w:sz w:val="20"/>
                <w:szCs w:val="20"/>
              </w:rPr>
              <w:t>公司计划聘请第三方环保管家，以驻厂督导方式，指导提升公司环保管理能力。</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D9C4">
            <w:pPr>
              <w:pStyle w:val="6"/>
              <w:spacing w:after="0" w:line="240" w:lineRule="auto"/>
              <w:ind w:left="0" w:leftChars="0"/>
              <w:rPr>
                <w:rFonts w:eastAsia="宋体"/>
                <w:b w:val="0"/>
                <w:bCs w:val="0"/>
                <w:sz w:val="20"/>
                <w:szCs w:val="20"/>
              </w:rPr>
            </w:pPr>
            <w:r>
              <w:rPr>
                <w:rFonts w:hint="eastAsia" w:eastAsia="宋体"/>
                <w:b w:val="0"/>
                <w:bCs w:val="0"/>
                <w:sz w:val="20"/>
                <w:szCs w:val="20"/>
              </w:rPr>
              <w:t>已完成。</w:t>
            </w:r>
          </w:p>
        </w:tc>
      </w:tr>
      <w:tr w14:paraId="02E1A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4"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120C2"/>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B07F9"/>
        </w:tc>
        <w:tc>
          <w:tcPr>
            <w:tcW w:w="4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56D65"/>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E896">
            <w:pPr>
              <w:pStyle w:val="6"/>
              <w:spacing w:after="0" w:line="240" w:lineRule="auto"/>
              <w:ind w:left="0" w:leftChars="0"/>
              <w:rPr>
                <w:rFonts w:eastAsia="宋体"/>
                <w:b w:val="0"/>
                <w:bCs w:val="0"/>
                <w:sz w:val="20"/>
                <w:szCs w:val="20"/>
              </w:rPr>
            </w:pPr>
            <w:r>
              <w:rPr>
                <w:rFonts w:hint="eastAsia" w:eastAsia="宋体"/>
                <w:b w:val="0"/>
                <w:bCs w:val="0"/>
                <w:sz w:val="20"/>
                <w:szCs w:val="20"/>
              </w:rPr>
              <w:t>加大力度开展环境隐患排查治理，采取每月开展环保综合检查、每日实行专职环保员现场巡查，重点部位重点检查的方式，对公司存在的环境隐患问题及时发现及时整改，消除可能存在的环境风险，必要时聘请第三方环保机构或环保专家到厂开展专项检查，消除环保隐患及环保风险。</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B166">
            <w:pPr>
              <w:pStyle w:val="6"/>
              <w:spacing w:after="0" w:line="240" w:lineRule="auto"/>
              <w:ind w:left="0" w:leftChars="0"/>
              <w:rPr>
                <w:rFonts w:eastAsia="宋体"/>
                <w:b w:val="0"/>
                <w:bCs w:val="0"/>
                <w:sz w:val="20"/>
                <w:szCs w:val="20"/>
              </w:rPr>
            </w:pPr>
            <w:r>
              <w:rPr>
                <w:rFonts w:hint="eastAsia" w:eastAsia="宋体"/>
                <w:b w:val="0"/>
                <w:bCs w:val="0"/>
                <w:sz w:val="20"/>
                <w:szCs w:val="20"/>
              </w:rPr>
              <w:t>已完成并持续保持。</w:t>
            </w:r>
          </w:p>
        </w:tc>
      </w:tr>
      <w:tr w14:paraId="18C9F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8"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23E1A7">
            <w:pPr>
              <w:pStyle w:val="6"/>
              <w:spacing w:after="0" w:line="240" w:lineRule="auto"/>
              <w:ind w:left="0" w:leftChars="0" w:firstLine="420"/>
              <w:jc w:val="center"/>
              <w:rPr>
                <w:rFonts w:eastAsia="宋体"/>
                <w:b w:val="0"/>
                <w:bCs w:val="0"/>
                <w:sz w:val="20"/>
                <w:szCs w:val="20"/>
              </w:rPr>
            </w:pPr>
            <w:r>
              <w:rPr>
                <w:rFonts w:eastAsia="宋体"/>
                <w:b w:val="0"/>
                <w:bCs w:val="0"/>
                <w:sz w:val="20"/>
                <w:szCs w:val="20"/>
              </w:rPr>
              <w:t>5</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3768B">
            <w:pPr>
              <w:pStyle w:val="6"/>
              <w:spacing w:after="0" w:line="240" w:lineRule="auto"/>
              <w:ind w:left="0" w:leftChars="0"/>
              <w:rPr>
                <w:rFonts w:eastAsia="宋体"/>
                <w:b w:val="0"/>
                <w:bCs w:val="0"/>
                <w:sz w:val="20"/>
                <w:szCs w:val="20"/>
              </w:rPr>
            </w:pPr>
            <w:r>
              <w:rPr>
                <w:rFonts w:hint="eastAsia" w:eastAsia="宋体"/>
                <w:b w:val="0"/>
                <w:bCs w:val="0"/>
                <w:sz w:val="20"/>
                <w:szCs w:val="20"/>
              </w:rPr>
              <w:t>加强环保培训工作</w:t>
            </w:r>
          </w:p>
        </w:tc>
        <w:tc>
          <w:tcPr>
            <w:tcW w:w="4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1D7B17">
            <w:pPr>
              <w:pStyle w:val="6"/>
              <w:spacing w:after="0" w:line="240" w:lineRule="auto"/>
              <w:ind w:left="0" w:leftChars="0"/>
              <w:rPr>
                <w:rFonts w:eastAsia="宋体"/>
                <w:b w:val="0"/>
                <w:bCs w:val="0"/>
                <w:sz w:val="20"/>
                <w:szCs w:val="20"/>
              </w:rPr>
            </w:pPr>
            <w:r>
              <w:rPr>
                <w:rFonts w:hint="eastAsia" w:eastAsia="宋体"/>
                <w:b w:val="0"/>
                <w:bCs w:val="0"/>
                <w:sz w:val="20"/>
                <w:szCs w:val="20"/>
              </w:rPr>
              <w:t>加强环保培训工作</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4732">
            <w:pPr>
              <w:pStyle w:val="6"/>
              <w:spacing w:after="0" w:line="240" w:lineRule="auto"/>
              <w:ind w:left="0" w:leftChars="0"/>
              <w:rPr>
                <w:rFonts w:eastAsia="宋体"/>
                <w:b w:val="0"/>
                <w:bCs w:val="0"/>
                <w:sz w:val="20"/>
                <w:szCs w:val="20"/>
              </w:rPr>
            </w:pPr>
            <w:r>
              <w:rPr>
                <w:rFonts w:hint="eastAsia" w:eastAsia="宋体"/>
                <w:b w:val="0"/>
                <w:bCs w:val="0"/>
                <w:sz w:val="20"/>
                <w:szCs w:val="20"/>
              </w:rPr>
              <w:t>根据公司实际运营需要，制定培训计划，定期对员工开展环保法律法规及技术规范的培训，让员工能够全面了解和掌握相关环保法律法规及政策。</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51E6B">
            <w:pPr>
              <w:pStyle w:val="6"/>
              <w:spacing w:after="0" w:line="240" w:lineRule="auto"/>
              <w:ind w:left="0" w:leftChars="0"/>
              <w:rPr>
                <w:rFonts w:eastAsia="宋体"/>
                <w:b w:val="0"/>
                <w:bCs w:val="0"/>
                <w:sz w:val="20"/>
                <w:szCs w:val="20"/>
              </w:rPr>
            </w:pPr>
            <w:r>
              <w:rPr>
                <w:rFonts w:hint="eastAsia" w:eastAsia="宋体"/>
                <w:b w:val="0"/>
                <w:bCs w:val="0"/>
                <w:sz w:val="20"/>
                <w:szCs w:val="20"/>
              </w:rPr>
              <w:t>已完成并持续保持。</w:t>
            </w:r>
          </w:p>
        </w:tc>
      </w:tr>
      <w:tr w14:paraId="1AFD6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2"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3B33F"/>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1CFF5"/>
        </w:tc>
        <w:tc>
          <w:tcPr>
            <w:tcW w:w="4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2A13B"/>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9447">
            <w:pPr>
              <w:pStyle w:val="6"/>
              <w:spacing w:after="0" w:line="240" w:lineRule="auto"/>
              <w:ind w:left="0" w:leftChars="0"/>
              <w:rPr>
                <w:rFonts w:eastAsia="宋体"/>
                <w:b w:val="0"/>
                <w:bCs w:val="0"/>
                <w:sz w:val="20"/>
                <w:szCs w:val="20"/>
              </w:rPr>
            </w:pPr>
            <w:r>
              <w:rPr>
                <w:rFonts w:hint="eastAsia" w:eastAsia="宋体"/>
                <w:b w:val="0"/>
                <w:bCs w:val="0"/>
                <w:sz w:val="20"/>
                <w:szCs w:val="20"/>
              </w:rPr>
              <w:t>加强公司中高层管理人员培训，组织相关人员参与政府部门及第三方环保机构组织的培训会议，提高公司管理层人员的环保水平、环保技能。</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C8985">
            <w:pPr>
              <w:pStyle w:val="6"/>
              <w:spacing w:after="0" w:line="240" w:lineRule="auto"/>
              <w:ind w:left="0" w:leftChars="0"/>
              <w:rPr>
                <w:rFonts w:eastAsia="宋体"/>
                <w:b w:val="0"/>
                <w:bCs w:val="0"/>
                <w:sz w:val="20"/>
                <w:szCs w:val="20"/>
              </w:rPr>
            </w:pPr>
            <w:r>
              <w:rPr>
                <w:rFonts w:hint="eastAsia" w:eastAsia="宋体"/>
                <w:b w:val="0"/>
                <w:bCs w:val="0"/>
                <w:sz w:val="20"/>
                <w:szCs w:val="20"/>
              </w:rPr>
              <w:t>已完成并持续保持。</w:t>
            </w:r>
          </w:p>
        </w:tc>
      </w:tr>
    </w:tbl>
    <w:p w14:paraId="52968F8B">
      <w:pPr>
        <w:rPr>
          <w:rFonts w:ascii="Times New Roman" w:hAnsi="Times New Roman" w:cs="Times New Roman"/>
          <w:sz w:val="32"/>
          <w:szCs w:val="32"/>
        </w:rPr>
      </w:pPr>
    </w:p>
    <w:p w14:paraId="5D20DD4F">
      <w:pPr>
        <w:rPr>
          <w:rFonts w:ascii="Times New Roman" w:hAnsi="Times New Roman" w:cs="Times New Roman"/>
          <w:sz w:val="32"/>
          <w:szCs w:val="32"/>
        </w:rPr>
      </w:pPr>
    </w:p>
    <w:p w14:paraId="0ED3B710">
      <w:pPr>
        <w:rPr>
          <w:rFonts w:ascii="Times New Roman" w:hAnsi="Times New Roman" w:cs="Times New Roman"/>
          <w:sz w:val="32"/>
          <w:szCs w:val="32"/>
        </w:rPr>
      </w:pPr>
    </w:p>
    <w:p w14:paraId="2E568555">
      <w:pPr>
        <w:rPr>
          <w:rFonts w:ascii="Times New Roman" w:hAnsi="Times New Roman" w:cs="Times New Roman"/>
          <w:sz w:val="32"/>
          <w:szCs w:val="32"/>
        </w:rPr>
      </w:pPr>
      <w:r>
        <w:rPr>
          <w:rFonts w:ascii="Times New Roman" w:hAnsi="Times New Roman" w:cs="Times New Roman"/>
          <w:sz w:val="32"/>
          <w:szCs w:val="32"/>
        </w:rPr>
        <w:t>附件2：</w:t>
      </w:r>
    </w:p>
    <w:tbl>
      <w:tblPr>
        <w:tblStyle w:val="9"/>
        <w:tblW w:w="13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992"/>
        <w:gridCol w:w="2224"/>
        <w:gridCol w:w="6667"/>
        <w:gridCol w:w="3352"/>
      </w:tblGrid>
      <w:tr w14:paraId="0DA4B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blHeader/>
          <w:jc w:val="center"/>
        </w:trPr>
        <w:tc>
          <w:tcPr>
            <w:tcW w:w="13931" w:type="dxa"/>
            <w:gridSpan w:val="5"/>
            <w:shd w:val="clear" w:color="auto" w:fill="auto"/>
            <w:vAlign w:val="center"/>
          </w:tcPr>
          <w:p w14:paraId="496269D4">
            <w:pPr>
              <w:autoSpaceDE w:val="0"/>
              <w:autoSpaceDN w:val="0"/>
              <w:jc w:val="center"/>
              <w:rPr>
                <w:rFonts w:ascii="Times New Roman" w:hAnsi="Times New Roman" w:eastAsia="宋体" w:cs="Times New Roman"/>
                <w:snapToGrid w:val="0"/>
                <w:kern w:val="0"/>
                <w:sz w:val="20"/>
                <w:szCs w:val="20"/>
                <w:lang w:val="zh-CN" w:bidi="zh-CN"/>
              </w:rPr>
            </w:pPr>
            <w:r>
              <w:rPr>
                <w:rFonts w:ascii="Times New Roman" w:hAnsi="Times New Roman" w:eastAsia="宋体" w:cs="Times New Roman"/>
                <w:sz w:val="20"/>
                <w:szCs w:val="20"/>
              </w:rPr>
              <w:t>安徽东华通源生态科技有限公司挂牌督办问题</w:t>
            </w:r>
            <w:r>
              <w:rPr>
                <w:rFonts w:hint="eastAsia" w:ascii="Times New Roman" w:hAnsi="Times New Roman" w:eastAsia="宋体" w:cs="Times New Roman"/>
                <w:sz w:val="20"/>
                <w:szCs w:val="20"/>
              </w:rPr>
              <w:t>8</w:t>
            </w:r>
            <w:r>
              <w:rPr>
                <w:rFonts w:ascii="Times New Roman" w:hAnsi="Times New Roman" w:eastAsia="宋体" w:cs="Times New Roman"/>
                <w:sz w:val="20"/>
                <w:szCs w:val="20"/>
              </w:rPr>
              <w:t>月份整改进度明细表</w:t>
            </w:r>
          </w:p>
        </w:tc>
      </w:tr>
      <w:tr w14:paraId="7D775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96" w:type="dxa"/>
            <w:shd w:val="clear" w:color="auto" w:fill="auto"/>
            <w:vAlign w:val="center"/>
          </w:tcPr>
          <w:p w14:paraId="3EED446F">
            <w:pPr>
              <w:autoSpaceDE w:val="0"/>
              <w:autoSpaceDN w:val="0"/>
              <w:jc w:val="center"/>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序号</w:t>
            </w:r>
          </w:p>
        </w:tc>
        <w:tc>
          <w:tcPr>
            <w:tcW w:w="992" w:type="dxa"/>
            <w:tcBorders>
              <w:top w:val="single" w:color="auto" w:sz="4" w:space="0"/>
              <w:left w:val="single" w:color="auto" w:sz="4" w:space="0"/>
              <w:right w:val="single" w:color="auto" w:sz="4" w:space="0"/>
            </w:tcBorders>
            <w:shd w:val="clear" w:color="auto" w:fill="auto"/>
            <w:vAlign w:val="center"/>
          </w:tcPr>
          <w:p w14:paraId="248F649E">
            <w:pPr>
              <w:autoSpaceDE w:val="0"/>
              <w:autoSpaceDN w:val="0"/>
              <w:jc w:val="center"/>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问题清单内容</w:t>
            </w:r>
          </w:p>
        </w:tc>
        <w:tc>
          <w:tcPr>
            <w:tcW w:w="2224" w:type="dxa"/>
            <w:tcBorders>
              <w:top w:val="single" w:color="auto" w:sz="4" w:space="0"/>
              <w:left w:val="single" w:color="auto" w:sz="4" w:space="0"/>
              <w:right w:val="single" w:color="auto" w:sz="4" w:space="0"/>
            </w:tcBorders>
            <w:shd w:val="clear" w:color="auto" w:fill="auto"/>
            <w:vAlign w:val="center"/>
          </w:tcPr>
          <w:p w14:paraId="7ECDD7EE">
            <w:pPr>
              <w:autoSpaceDE w:val="0"/>
              <w:autoSpaceDN w:val="0"/>
              <w:jc w:val="center"/>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问题描述</w:t>
            </w:r>
          </w:p>
        </w:tc>
        <w:tc>
          <w:tcPr>
            <w:tcW w:w="6667" w:type="dxa"/>
            <w:tcBorders>
              <w:top w:val="single" w:color="auto" w:sz="4" w:space="0"/>
              <w:left w:val="single" w:color="auto" w:sz="4" w:space="0"/>
              <w:right w:val="single" w:color="auto" w:sz="4" w:space="0"/>
            </w:tcBorders>
            <w:shd w:val="clear" w:color="auto" w:fill="auto"/>
            <w:vAlign w:val="center"/>
          </w:tcPr>
          <w:p w14:paraId="59FD375D">
            <w:pPr>
              <w:autoSpaceDE w:val="0"/>
              <w:autoSpaceDN w:val="0"/>
              <w:jc w:val="center"/>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整改措施</w:t>
            </w:r>
          </w:p>
        </w:tc>
        <w:tc>
          <w:tcPr>
            <w:tcW w:w="3352" w:type="dxa"/>
            <w:tcBorders>
              <w:left w:val="single" w:color="auto" w:sz="4" w:space="0"/>
            </w:tcBorders>
            <w:shd w:val="clear" w:color="auto" w:fill="auto"/>
            <w:vAlign w:val="center"/>
          </w:tcPr>
          <w:p w14:paraId="0C14BAC4">
            <w:pPr>
              <w:autoSpaceDE w:val="0"/>
              <w:autoSpaceDN w:val="0"/>
              <w:jc w:val="center"/>
              <w:rPr>
                <w:rFonts w:ascii="Times New Roman" w:hAnsi="Times New Roman" w:eastAsia="宋体" w:cs="Times New Roman"/>
                <w:snapToGrid w:val="0"/>
                <w:kern w:val="0"/>
                <w:sz w:val="20"/>
                <w:szCs w:val="20"/>
                <w:lang w:bidi="zh-CN"/>
              </w:rPr>
            </w:pPr>
            <w:r>
              <w:rPr>
                <w:rFonts w:ascii="Times New Roman" w:hAnsi="Times New Roman" w:eastAsia="宋体" w:cs="Times New Roman"/>
                <w:snapToGrid w:val="0"/>
                <w:kern w:val="0"/>
                <w:sz w:val="20"/>
                <w:szCs w:val="20"/>
                <w:lang w:bidi="zh-CN"/>
              </w:rPr>
              <w:t>整改进度</w:t>
            </w:r>
          </w:p>
        </w:tc>
      </w:tr>
      <w:tr w14:paraId="63EAB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96" w:type="dxa"/>
            <w:vMerge w:val="restart"/>
            <w:shd w:val="clear" w:color="auto" w:fill="auto"/>
            <w:vAlign w:val="center"/>
          </w:tcPr>
          <w:p w14:paraId="1A7CF6F6">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1</w:t>
            </w:r>
          </w:p>
        </w:tc>
        <w:tc>
          <w:tcPr>
            <w:tcW w:w="992" w:type="dxa"/>
            <w:vMerge w:val="restart"/>
            <w:tcBorders>
              <w:top w:val="single" w:color="auto" w:sz="4" w:space="0"/>
              <w:left w:val="single" w:color="auto" w:sz="4" w:space="0"/>
              <w:right w:val="single" w:color="auto" w:sz="4" w:space="0"/>
            </w:tcBorders>
            <w:shd w:val="clear" w:color="auto" w:fill="auto"/>
            <w:vAlign w:val="center"/>
          </w:tcPr>
          <w:p w14:paraId="7B441B5A">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督办问题一：未按照国家环境保护标准处置危险废物。</w:t>
            </w:r>
          </w:p>
          <w:p w14:paraId="3EE02293">
            <w:pPr>
              <w:autoSpaceDE w:val="0"/>
              <w:autoSpaceDN w:val="0"/>
              <w:ind w:firstLine="480"/>
              <w:rPr>
                <w:rFonts w:ascii="Times New Roman" w:hAnsi="Times New Roman" w:eastAsia="宋体" w:cs="Times New Roman"/>
                <w:snapToGrid w:val="0"/>
                <w:kern w:val="0"/>
                <w:sz w:val="20"/>
                <w:szCs w:val="20"/>
                <w:lang w:val="zh-CN" w:bidi="zh-CN"/>
              </w:rPr>
            </w:pPr>
          </w:p>
        </w:tc>
        <w:tc>
          <w:tcPr>
            <w:tcW w:w="2224" w:type="dxa"/>
            <w:vMerge w:val="restart"/>
            <w:tcBorders>
              <w:top w:val="single" w:color="auto" w:sz="4" w:space="0"/>
              <w:left w:val="single" w:color="auto" w:sz="4" w:space="0"/>
              <w:right w:val="single" w:color="auto" w:sz="4" w:space="0"/>
            </w:tcBorders>
            <w:shd w:val="clear" w:color="auto" w:fill="auto"/>
            <w:vAlign w:val="center"/>
          </w:tcPr>
          <w:p w14:paraId="09DE2305">
            <w:pPr>
              <w:kinsoku w:val="0"/>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经调阅该企业危险废物经营许可证及危险废物出库台账，发现该企业于2023年将液态的192.3吨废母液（企业解释作为螯合剂）与其他危险废物混合固化后填埋，不符合《危险废物填埋污染控制标准》（GB1859-2019）6.1规定的液态废物不得填埋的要求。</w:t>
            </w:r>
          </w:p>
        </w:tc>
        <w:tc>
          <w:tcPr>
            <w:tcW w:w="6667" w:type="dxa"/>
            <w:tcBorders>
              <w:top w:val="single" w:color="auto" w:sz="4" w:space="0"/>
              <w:left w:val="single" w:color="auto" w:sz="4" w:space="0"/>
              <w:right w:val="single" w:color="auto" w:sz="4" w:space="0"/>
            </w:tcBorders>
            <w:shd w:val="clear" w:color="auto" w:fill="auto"/>
            <w:vAlign w:val="center"/>
          </w:tcPr>
          <w:p w14:paraId="4207BD5B">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1.停止将废母液与其他危险废物混合固化后填埋，邀请环保技术和法律专家提供技术指导、优化废母液的处置方式。</w:t>
            </w:r>
          </w:p>
        </w:tc>
        <w:tc>
          <w:tcPr>
            <w:tcW w:w="3352" w:type="dxa"/>
            <w:tcBorders>
              <w:left w:val="single" w:color="auto" w:sz="4" w:space="0"/>
            </w:tcBorders>
            <w:shd w:val="clear" w:color="auto" w:fill="auto"/>
            <w:vAlign w:val="center"/>
          </w:tcPr>
          <w:p w14:paraId="4617806C">
            <w:pPr>
              <w:autoSpaceDE w:val="0"/>
              <w:autoSpaceDN w:val="0"/>
              <w:adjustRightInd w:val="0"/>
              <w:snapToGrid w:val="0"/>
              <w:rPr>
                <w:rFonts w:ascii="Times New Roman" w:hAnsi="Times New Roman" w:eastAsia="宋体" w:cs="Times New Roman"/>
                <w:snapToGrid w:val="0"/>
                <w:kern w:val="0"/>
                <w:sz w:val="20"/>
                <w:szCs w:val="20"/>
                <w:lang w:bidi="zh-CN"/>
              </w:rPr>
            </w:pPr>
            <w:r>
              <w:rPr>
                <w:rFonts w:ascii="Times New Roman" w:hAnsi="Times New Roman" w:eastAsia="宋体" w:cs="Times New Roman"/>
                <w:snapToGrid w:val="0"/>
                <w:kern w:val="0"/>
                <w:sz w:val="20"/>
                <w:szCs w:val="20"/>
                <w:lang w:bidi="zh-CN"/>
              </w:rPr>
              <w:t>已完成。</w:t>
            </w:r>
          </w:p>
        </w:tc>
      </w:tr>
      <w:tr w14:paraId="4819B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696" w:type="dxa"/>
            <w:vMerge w:val="continue"/>
            <w:shd w:val="clear" w:color="auto" w:fill="auto"/>
            <w:vAlign w:val="center"/>
          </w:tcPr>
          <w:p w14:paraId="00B0E5F9"/>
        </w:tc>
        <w:tc>
          <w:tcPr>
            <w:tcW w:w="992" w:type="dxa"/>
            <w:vMerge w:val="continue"/>
            <w:tcBorders>
              <w:top w:val="single" w:color="auto" w:sz="4" w:space="0"/>
              <w:left w:val="single" w:color="auto" w:sz="4" w:space="0"/>
              <w:right w:val="single" w:color="auto" w:sz="4" w:space="0"/>
            </w:tcBorders>
            <w:shd w:val="clear" w:color="auto" w:fill="auto"/>
            <w:vAlign w:val="center"/>
          </w:tcPr>
          <w:p w14:paraId="36C8CBC4"/>
        </w:tc>
        <w:tc>
          <w:tcPr>
            <w:tcW w:w="2224" w:type="dxa"/>
            <w:vMerge w:val="continue"/>
            <w:tcBorders>
              <w:top w:val="single" w:color="auto" w:sz="4" w:space="0"/>
              <w:left w:val="single" w:color="auto" w:sz="4" w:space="0"/>
              <w:right w:val="single" w:color="auto" w:sz="4" w:space="0"/>
            </w:tcBorders>
            <w:shd w:val="clear" w:color="auto" w:fill="auto"/>
            <w:vAlign w:val="center"/>
          </w:tcPr>
          <w:p w14:paraId="348B3AE8"/>
        </w:tc>
        <w:tc>
          <w:tcPr>
            <w:tcW w:w="6667" w:type="dxa"/>
            <w:tcBorders>
              <w:top w:val="single" w:color="auto" w:sz="4" w:space="0"/>
              <w:left w:val="single" w:color="auto" w:sz="4" w:space="0"/>
              <w:right w:val="single" w:color="auto" w:sz="4" w:space="0"/>
            </w:tcBorders>
            <w:shd w:val="clear" w:color="auto" w:fill="auto"/>
            <w:vAlign w:val="center"/>
          </w:tcPr>
          <w:p w14:paraId="3487664B">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2.全面排查公司2023年以来废母液的处置情况，将生产记录和相关检测报告整理完善。</w:t>
            </w:r>
          </w:p>
        </w:tc>
        <w:tc>
          <w:tcPr>
            <w:tcW w:w="3352" w:type="dxa"/>
            <w:tcBorders>
              <w:left w:val="single" w:color="auto" w:sz="4" w:space="0"/>
            </w:tcBorders>
            <w:shd w:val="clear" w:color="auto" w:fill="auto"/>
            <w:vAlign w:val="center"/>
          </w:tcPr>
          <w:p w14:paraId="65C4F1AB">
            <w:pPr>
              <w:autoSpaceDE w:val="0"/>
              <w:autoSpaceDN w:val="0"/>
              <w:adjustRightInd w:val="0"/>
              <w:snapToGrid w:val="0"/>
              <w:rPr>
                <w:rFonts w:ascii="Times New Roman" w:hAnsi="Times New Roman" w:eastAsia="宋体" w:cs="Times New Roman"/>
                <w:snapToGrid w:val="0"/>
                <w:kern w:val="0"/>
                <w:sz w:val="20"/>
                <w:szCs w:val="20"/>
                <w:lang w:bidi="zh-CN"/>
              </w:rPr>
            </w:pPr>
            <w:r>
              <w:rPr>
                <w:rFonts w:hint="eastAsia" w:ascii="Times New Roman" w:hAnsi="Times New Roman" w:eastAsia="宋体" w:cs="Times New Roman"/>
                <w:snapToGrid w:val="0"/>
                <w:kern w:val="0"/>
                <w:sz w:val="20"/>
                <w:szCs w:val="20"/>
                <w:lang w:bidi="zh-CN"/>
              </w:rPr>
              <w:t>已完成。</w:t>
            </w:r>
          </w:p>
        </w:tc>
      </w:tr>
      <w:tr w14:paraId="18D6A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696" w:type="dxa"/>
            <w:vMerge w:val="continue"/>
            <w:shd w:val="clear" w:color="auto" w:fill="auto"/>
            <w:vAlign w:val="center"/>
          </w:tcPr>
          <w:p w14:paraId="11CCC1B8"/>
        </w:tc>
        <w:tc>
          <w:tcPr>
            <w:tcW w:w="992" w:type="dxa"/>
            <w:vMerge w:val="continue"/>
            <w:tcBorders>
              <w:top w:val="single" w:color="auto" w:sz="4" w:space="0"/>
              <w:left w:val="single" w:color="auto" w:sz="4" w:space="0"/>
              <w:right w:val="single" w:color="auto" w:sz="4" w:space="0"/>
            </w:tcBorders>
            <w:shd w:val="clear" w:color="auto" w:fill="auto"/>
            <w:vAlign w:val="center"/>
          </w:tcPr>
          <w:p w14:paraId="79AAE04A"/>
        </w:tc>
        <w:tc>
          <w:tcPr>
            <w:tcW w:w="2224" w:type="dxa"/>
            <w:vMerge w:val="continue"/>
            <w:tcBorders>
              <w:top w:val="single" w:color="auto" w:sz="4" w:space="0"/>
              <w:left w:val="single" w:color="auto" w:sz="4" w:space="0"/>
              <w:right w:val="single" w:color="auto" w:sz="4" w:space="0"/>
            </w:tcBorders>
            <w:shd w:val="clear" w:color="auto" w:fill="auto"/>
            <w:vAlign w:val="center"/>
          </w:tcPr>
          <w:p w14:paraId="69F24A8F"/>
        </w:tc>
        <w:tc>
          <w:tcPr>
            <w:tcW w:w="6667" w:type="dxa"/>
            <w:tcBorders>
              <w:top w:val="single" w:color="auto" w:sz="4" w:space="0"/>
              <w:left w:val="single" w:color="auto" w:sz="4" w:space="0"/>
              <w:right w:val="single" w:color="auto" w:sz="4" w:space="0"/>
            </w:tcBorders>
            <w:shd w:val="clear" w:color="auto" w:fill="auto"/>
            <w:vAlign w:val="center"/>
          </w:tcPr>
          <w:p w14:paraId="4B2E78D1">
            <w:pPr>
              <w:autoSpaceDE w:val="0"/>
              <w:autoSpaceDN w:val="0"/>
              <w:adjustRightInd w:val="0"/>
              <w:snapToGrid w:val="0"/>
              <w:rPr>
                <w:rFonts w:ascii="Times New Roman" w:hAnsi="Times New Roman" w:eastAsia="宋体" w:cs="Times New Roman"/>
                <w:snapToGrid w:val="0"/>
                <w:kern w:val="0"/>
                <w:sz w:val="20"/>
                <w:szCs w:val="20"/>
                <w:lang w:bidi="zh-CN"/>
              </w:rPr>
            </w:pPr>
            <w:r>
              <w:rPr>
                <w:rFonts w:ascii="Times New Roman" w:hAnsi="Times New Roman" w:eastAsia="宋体" w:cs="Times New Roman"/>
                <w:snapToGrid w:val="0"/>
                <w:kern w:val="0"/>
                <w:sz w:val="20"/>
                <w:szCs w:val="20"/>
                <w:lang w:val="zh-CN" w:bidi="zh-CN"/>
              </w:rPr>
              <w:t>3.</w:t>
            </w:r>
            <w:r>
              <w:rPr>
                <w:rFonts w:ascii="Times New Roman" w:hAnsi="Times New Roman" w:eastAsia="宋体" w:cs="Times New Roman"/>
                <w:snapToGrid w:val="0"/>
                <w:kern w:val="0"/>
                <w:sz w:val="20"/>
                <w:szCs w:val="20"/>
                <w:lang w:bidi="zh-CN"/>
              </w:rPr>
              <w:t>根据法律法规和行业标准以及环评文件要求，制定完善的危险废物分类管理、分类处置的操作规程，建立危险废物处置事前审查、事中检查、事后复核的合规管理制度。邀请市、区生态环境主管部门以及环保技术和法律专家对操作规程的可行性、合规性进行论证。</w:t>
            </w:r>
          </w:p>
        </w:tc>
        <w:tc>
          <w:tcPr>
            <w:tcW w:w="3352" w:type="dxa"/>
            <w:tcBorders>
              <w:left w:val="single" w:color="auto" w:sz="4" w:space="0"/>
            </w:tcBorders>
            <w:shd w:val="clear" w:color="auto" w:fill="auto"/>
            <w:vAlign w:val="center"/>
          </w:tcPr>
          <w:p w14:paraId="22916866">
            <w:pPr>
              <w:autoSpaceDE w:val="0"/>
              <w:autoSpaceDN w:val="0"/>
              <w:adjustRightInd w:val="0"/>
              <w:snapToGrid w:val="0"/>
              <w:rPr>
                <w:rFonts w:ascii="Times New Roman" w:hAnsi="Times New Roman" w:eastAsia="宋体" w:cs="Times New Roman"/>
                <w:snapToGrid w:val="0"/>
                <w:kern w:val="0"/>
                <w:sz w:val="20"/>
                <w:szCs w:val="20"/>
                <w:lang w:bidi="zh-CN"/>
              </w:rPr>
            </w:pPr>
            <w:r>
              <w:rPr>
                <w:rFonts w:hint="eastAsia" w:ascii="Times New Roman" w:hAnsi="Times New Roman" w:eastAsia="宋体" w:cs="Times New Roman"/>
                <w:snapToGrid w:val="0"/>
                <w:kern w:val="0"/>
                <w:sz w:val="20"/>
                <w:szCs w:val="20"/>
                <w:lang w:bidi="zh-CN"/>
              </w:rPr>
              <w:t>已完成。</w:t>
            </w:r>
          </w:p>
        </w:tc>
      </w:tr>
      <w:tr w14:paraId="141F6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96" w:type="dxa"/>
            <w:vMerge w:val="continue"/>
            <w:shd w:val="clear" w:color="auto" w:fill="auto"/>
            <w:vAlign w:val="center"/>
          </w:tcPr>
          <w:p w14:paraId="092FDB94"/>
        </w:tc>
        <w:tc>
          <w:tcPr>
            <w:tcW w:w="992" w:type="dxa"/>
            <w:vMerge w:val="continue"/>
            <w:tcBorders>
              <w:top w:val="single" w:color="auto" w:sz="4" w:space="0"/>
              <w:left w:val="single" w:color="auto" w:sz="4" w:space="0"/>
              <w:right w:val="single" w:color="auto" w:sz="4" w:space="0"/>
            </w:tcBorders>
            <w:shd w:val="clear" w:color="auto" w:fill="auto"/>
            <w:vAlign w:val="center"/>
          </w:tcPr>
          <w:p w14:paraId="1DDFB8D0"/>
        </w:tc>
        <w:tc>
          <w:tcPr>
            <w:tcW w:w="2224" w:type="dxa"/>
            <w:vMerge w:val="continue"/>
            <w:tcBorders>
              <w:top w:val="single" w:color="auto" w:sz="4" w:space="0"/>
              <w:left w:val="single" w:color="auto" w:sz="4" w:space="0"/>
              <w:right w:val="single" w:color="auto" w:sz="4" w:space="0"/>
            </w:tcBorders>
            <w:shd w:val="clear" w:color="auto" w:fill="auto"/>
            <w:vAlign w:val="center"/>
          </w:tcPr>
          <w:p w14:paraId="4745C643"/>
        </w:tc>
        <w:tc>
          <w:tcPr>
            <w:tcW w:w="6667" w:type="dxa"/>
            <w:tcBorders>
              <w:top w:val="single" w:color="auto" w:sz="4" w:space="0"/>
              <w:left w:val="single" w:color="auto" w:sz="4" w:space="0"/>
              <w:right w:val="single" w:color="auto" w:sz="4" w:space="0"/>
            </w:tcBorders>
            <w:shd w:val="clear" w:color="auto" w:fill="auto"/>
            <w:vAlign w:val="center"/>
          </w:tcPr>
          <w:p w14:paraId="2F18BDC4">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4.</w:t>
            </w:r>
            <w:r>
              <w:rPr>
                <w:rFonts w:ascii="Times New Roman" w:hAnsi="Times New Roman" w:eastAsia="宋体" w:cs="Times New Roman"/>
                <w:snapToGrid w:val="0"/>
                <w:kern w:val="0"/>
                <w:sz w:val="20"/>
                <w:szCs w:val="20"/>
                <w:lang w:bidi="zh-CN"/>
              </w:rPr>
              <w:t>制定法律知识和技术标准的培训计划，针对不同岗位合理设置培训课程，提高员工识别、处置合规风险的能力。</w:t>
            </w:r>
          </w:p>
        </w:tc>
        <w:tc>
          <w:tcPr>
            <w:tcW w:w="3352" w:type="dxa"/>
            <w:tcBorders>
              <w:left w:val="single" w:color="auto" w:sz="4" w:space="0"/>
            </w:tcBorders>
            <w:shd w:val="clear" w:color="auto" w:fill="auto"/>
            <w:vAlign w:val="center"/>
          </w:tcPr>
          <w:p w14:paraId="721D612A">
            <w:pPr>
              <w:autoSpaceDE w:val="0"/>
              <w:autoSpaceDN w:val="0"/>
              <w:adjustRightInd w:val="0"/>
              <w:snapToGrid w:val="0"/>
              <w:rPr>
                <w:rFonts w:ascii="Times New Roman" w:hAnsi="Times New Roman" w:eastAsia="宋体" w:cs="Times New Roman"/>
                <w:snapToGrid w:val="0"/>
                <w:kern w:val="0"/>
                <w:sz w:val="20"/>
                <w:szCs w:val="20"/>
                <w:lang w:bidi="zh-CN"/>
              </w:rPr>
            </w:pPr>
            <w:r>
              <w:rPr>
                <w:rFonts w:hint="eastAsia" w:ascii="Times New Roman" w:hAnsi="Times New Roman" w:eastAsia="宋体" w:cs="Times New Roman"/>
                <w:snapToGrid w:val="0"/>
                <w:kern w:val="0"/>
                <w:sz w:val="20"/>
                <w:szCs w:val="20"/>
                <w:lang w:bidi="zh-CN"/>
              </w:rPr>
              <w:t>已完成并持续保持。</w:t>
            </w:r>
          </w:p>
        </w:tc>
      </w:tr>
      <w:tr w14:paraId="22486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696" w:type="dxa"/>
            <w:vMerge w:val="continue"/>
            <w:shd w:val="clear" w:color="auto" w:fill="auto"/>
            <w:vAlign w:val="center"/>
          </w:tcPr>
          <w:p w14:paraId="24CC4907"/>
        </w:tc>
        <w:tc>
          <w:tcPr>
            <w:tcW w:w="992" w:type="dxa"/>
            <w:vMerge w:val="continue"/>
            <w:tcBorders>
              <w:top w:val="single" w:color="auto" w:sz="4" w:space="0"/>
              <w:left w:val="single" w:color="auto" w:sz="4" w:space="0"/>
              <w:right w:val="single" w:color="auto" w:sz="4" w:space="0"/>
            </w:tcBorders>
            <w:shd w:val="clear" w:color="auto" w:fill="auto"/>
            <w:vAlign w:val="center"/>
          </w:tcPr>
          <w:p w14:paraId="4E0F0CBF"/>
        </w:tc>
        <w:tc>
          <w:tcPr>
            <w:tcW w:w="2224" w:type="dxa"/>
            <w:vMerge w:val="continue"/>
            <w:tcBorders>
              <w:top w:val="single" w:color="auto" w:sz="4" w:space="0"/>
              <w:left w:val="single" w:color="auto" w:sz="4" w:space="0"/>
              <w:right w:val="single" w:color="auto" w:sz="4" w:space="0"/>
            </w:tcBorders>
            <w:shd w:val="clear" w:color="auto" w:fill="auto"/>
            <w:vAlign w:val="center"/>
          </w:tcPr>
          <w:p w14:paraId="4ED93AE3"/>
        </w:tc>
        <w:tc>
          <w:tcPr>
            <w:tcW w:w="6667" w:type="dxa"/>
            <w:tcBorders>
              <w:top w:val="single" w:color="auto" w:sz="4" w:space="0"/>
              <w:left w:val="single" w:color="auto" w:sz="4" w:space="0"/>
              <w:right w:val="single" w:color="auto" w:sz="4" w:space="0"/>
            </w:tcBorders>
            <w:shd w:val="clear" w:color="auto" w:fill="auto"/>
            <w:vAlign w:val="center"/>
          </w:tcPr>
          <w:p w14:paraId="0148080E">
            <w:pPr>
              <w:autoSpaceDE w:val="0"/>
              <w:autoSpaceDN w:val="0"/>
              <w:adjustRightInd w:val="0"/>
              <w:snapToGrid w:val="0"/>
              <w:rPr>
                <w:rFonts w:ascii="Times New Roman" w:hAnsi="Times New Roman" w:eastAsia="宋体" w:cs="Times New Roman"/>
                <w:snapToGrid w:val="0"/>
                <w:kern w:val="0"/>
                <w:sz w:val="20"/>
                <w:szCs w:val="20"/>
                <w:lang w:bidi="zh-CN"/>
              </w:rPr>
            </w:pPr>
            <w:r>
              <w:rPr>
                <w:rFonts w:ascii="Times New Roman" w:hAnsi="Times New Roman" w:eastAsia="宋体" w:cs="Times New Roman"/>
                <w:snapToGrid w:val="0"/>
                <w:kern w:val="0"/>
                <w:sz w:val="20"/>
                <w:szCs w:val="20"/>
                <w:lang w:bidi="zh-CN"/>
              </w:rPr>
              <w:t>5.聘请具有资质的环境检测机构、鉴定评估机构针对2023年废母液与其他危险废物混合固化后填埋对填埋场及周边环境是否造成不利影响以及可能造成影响的范围开展环境检测和生态环境损害鉴定评估，制定处置和修复治理方案，并就方案组织专家评审修改版。</w:t>
            </w:r>
          </w:p>
        </w:tc>
        <w:tc>
          <w:tcPr>
            <w:tcW w:w="3352" w:type="dxa"/>
            <w:tcBorders>
              <w:left w:val="single" w:color="auto" w:sz="4" w:space="0"/>
            </w:tcBorders>
            <w:shd w:val="clear" w:color="auto" w:fill="auto"/>
            <w:vAlign w:val="center"/>
          </w:tcPr>
          <w:p w14:paraId="18568BB2">
            <w:pPr>
              <w:autoSpaceDE w:val="0"/>
              <w:autoSpaceDN w:val="0"/>
              <w:adjustRightInd w:val="0"/>
              <w:snapToGrid w:val="0"/>
              <w:rPr>
                <w:rFonts w:ascii="Times New Roman" w:hAnsi="Times New Roman" w:eastAsia="宋体" w:cs="Times New Roman"/>
                <w:snapToGrid w:val="0"/>
                <w:kern w:val="0"/>
                <w:sz w:val="20"/>
                <w:szCs w:val="20"/>
                <w:lang w:bidi="zh-CN"/>
              </w:rPr>
            </w:pPr>
            <w:r>
              <w:rPr>
                <w:rFonts w:hint="eastAsia" w:ascii="Times New Roman" w:hAnsi="Times New Roman" w:eastAsia="宋体" w:cs="Times New Roman"/>
                <w:snapToGrid w:val="0"/>
                <w:kern w:val="0"/>
                <w:sz w:val="20"/>
                <w:szCs w:val="20"/>
                <w:lang w:bidi="zh-CN"/>
              </w:rPr>
              <w:t>已完成。</w:t>
            </w:r>
          </w:p>
        </w:tc>
      </w:tr>
      <w:tr w14:paraId="22715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696" w:type="dxa"/>
            <w:vMerge w:val="continue"/>
            <w:shd w:val="clear" w:color="auto" w:fill="auto"/>
            <w:vAlign w:val="center"/>
          </w:tcPr>
          <w:p w14:paraId="0A97EEAD"/>
        </w:tc>
        <w:tc>
          <w:tcPr>
            <w:tcW w:w="992" w:type="dxa"/>
            <w:vMerge w:val="continue"/>
            <w:tcBorders>
              <w:top w:val="single" w:color="auto" w:sz="4" w:space="0"/>
              <w:left w:val="single" w:color="auto" w:sz="4" w:space="0"/>
              <w:right w:val="single" w:color="auto" w:sz="4" w:space="0"/>
            </w:tcBorders>
            <w:shd w:val="clear" w:color="auto" w:fill="auto"/>
            <w:vAlign w:val="center"/>
          </w:tcPr>
          <w:p w14:paraId="3457A8DA"/>
        </w:tc>
        <w:tc>
          <w:tcPr>
            <w:tcW w:w="2224" w:type="dxa"/>
            <w:vMerge w:val="continue"/>
            <w:tcBorders>
              <w:top w:val="single" w:color="auto" w:sz="4" w:space="0"/>
              <w:left w:val="single" w:color="auto" w:sz="4" w:space="0"/>
              <w:right w:val="single" w:color="auto" w:sz="4" w:space="0"/>
            </w:tcBorders>
            <w:shd w:val="clear" w:color="auto" w:fill="auto"/>
            <w:vAlign w:val="center"/>
          </w:tcPr>
          <w:p w14:paraId="37056494"/>
        </w:tc>
        <w:tc>
          <w:tcPr>
            <w:tcW w:w="6667" w:type="dxa"/>
            <w:tcBorders>
              <w:top w:val="single" w:color="auto" w:sz="4" w:space="0"/>
              <w:left w:val="single" w:color="auto" w:sz="4" w:space="0"/>
              <w:right w:val="single" w:color="auto" w:sz="4" w:space="0"/>
            </w:tcBorders>
            <w:shd w:val="clear" w:color="auto" w:fill="auto"/>
            <w:vAlign w:val="center"/>
          </w:tcPr>
          <w:p w14:paraId="4509F6F4">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6.根据专家意见对处置和修复治理方案进行修订完善，报市、区生态环境主管部门同意后实施。根据方案及生态环境主管部门意见，对存在废母液与其他危险废物固化填埋的区域，采取挖掘后规范处置（如需要）、自然修复并长期监控、替代修复等措施，消除、减少环境影响。对于无法修复的，主动承担生态环境损害赔偿责任。</w:t>
            </w:r>
          </w:p>
        </w:tc>
        <w:tc>
          <w:tcPr>
            <w:tcW w:w="3352" w:type="dxa"/>
            <w:tcBorders>
              <w:left w:val="single" w:color="auto" w:sz="4" w:space="0"/>
            </w:tcBorders>
            <w:shd w:val="clear" w:color="auto" w:fill="auto"/>
            <w:vAlign w:val="center"/>
          </w:tcPr>
          <w:p w14:paraId="0ABF152B">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已完成。</w:t>
            </w:r>
          </w:p>
        </w:tc>
      </w:tr>
      <w:tr w14:paraId="69CE1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96" w:type="dxa"/>
            <w:vMerge w:val="restart"/>
            <w:shd w:val="clear" w:color="auto" w:fill="auto"/>
            <w:vAlign w:val="center"/>
          </w:tcPr>
          <w:p w14:paraId="22FA5AAD">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2</w:t>
            </w:r>
          </w:p>
        </w:tc>
        <w:tc>
          <w:tcPr>
            <w:tcW w:w="992" w:type="dxa"/>
            <w:vMerge w:val="restart"/>
            <w:tcBorders>
              <w:top w:val="single" w:color="auto" w:sz="4" w:space="0"/>
              <w:left w:val="single" w:color="auto" w:sz="4" w:space="0"/>
              <w:right w:val="single" w:color="auto" w:sz="4" w:space="0"/>
            </w:tcBorders>
            <w:shd w:val="clear" w:color="auto" w:fill="auto"/>
            <w:vAlign w:val="center"/>
          </w:tcPr>
          <w:p w14:paraId="4BCF4A55">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督办问题二：污染防治措施不到位</w:t>
            </w:r>
          </w:p>
        </w:tc>
        <w:tc>
          <w:tcPr>
            <w:tcW w:w="2224" w:type="dxa"/>
            <w:vMerge w:val="restart"/>
            <w:tcBorders>
              <w:top w:val="single" w:color="auto" w:sz="4" w:space="0"/>
              <w:left w:val="single" w:color="auto" w:sz="4" w:space="0"/>
              <w:right w:val="single" w:color="auto" w:sz="4" w:space="0"/>
            </w:tcBorders>
            <w:shd w:val="clear" w:color="auto" w:fill="auto"/>
            <w:vAlign w:val="center"/>
          </w:tcPr>
          <w:p w14:paraId="3F78E5F6">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该企业恶臭气体和挥发性有机物收集处理设施建设不完善，无组织排放严重。固化车间刺激性气味明显，大量废母液存在跑冒滴漏现场。物料暂存库、卸料区、稳固化车间、焚烧预处理车间等门窗密封不严，废气收集效果差，厂区内异味明显。</w:t>
            </w:r>
          </w:p>
        </w:tc>
        <w:tc>
          <w:tcPr>
            <w:tcW w:w="6667" w:type="dxa"/>
            <w:tcBorders>
              <w:top w:val="single" w:color="auto" w:sz="4" w:space="0"/>
              <w:left w:val="single" w:color="auto" w:sz="4" w:space="0"/>
              <w:right w:val="single" w:color="auto" w:sz="4" w:space="0"/>
            </w:tcBorders>
            <w:shd w:val="clear" w:color="auto" w:fill="auto"/>
            <w:vAlign w:val="center"/>
          </w:tcPr>
          <w:p w14:paraId="082F0A5C">
            <w:pPr>
              <w:autoSpaceDE w:val="0"/>
              <w:autoSpaceDN w:val="0"/>
              <w:rPr>
                <w:rFonts w:ascii="Times New Roman" w:hAnsi="Times New Roman" w:eastAsia="宋体" w:cs="Times New Roman"/>
                <w:snapToGrid w:val="0"/>
                <w:kern w:val="0"/>
                <w:sz w:val="20"/>
                <w:szCs w:val="20"/>
                <w:lang w:bidi="zh-CN"/>
              </w:rPr>
            </w:pPr>
            <w:r>
              <w:rPr>
                <w:rFonts w:ascii="Times New Roman" w:hAnsi="Times New Roman" w:eastAsia="宋体" w:cs="Times New Roman"/>
                <w:snapToGrid w:val="0"/>
                <w:kern w:val="0"/>
                <w:sz w:val="20"/>
                <w:szCs w:val="20"/>
                <w:lang w:bidi="zh-CN"/>
              </w:rPr>
              <w:t>1.立即采取相应措施，减少生产经营期间的恶臭气体产生，确保恶臭气体达标排放。</w:t>
            </w:r>
          </w:p>
          <w:p w14:paraId="5CB80447">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（1）暂停异味较大物料的收运，从源头减少恶臭气体的产生。</w:t>
            </w:r>
          </w:p>
        </w:tc>
        <w:tc>
          <w:tcPr>
            <w:tcW w:w="3352" w:type="dxa"/>
            <w:tcBorders>
              <w:left w:val="single" w:color="auto" w:sz="4" w:space="0"/>
            </w:tcBorders>
            <w:shd w:val="clear" w:color="auto" w:fill="auto"/>
            <w:vAlign w:val="center"/>
          </w:tcPr>
          <w:p w14:paraId="5756D61C">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已完成。</w:t>
            </w:r>
          </w:p>
        </w:tc>
      </w:tr>
      <w:tr w14:paraId="4B395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96" w:type="dxa"/>
            <w:vMerge w:val="continue"/>
            <w:shd w:val="clear" w:color="auto" w:fill="auto"/>
            <w:vAlign w:val="center"/>
          </w:tcPr>
          <w:p w14:paraId="7A4DBEDB"/>
        </w:tc>
        <w:tc>
          <w:tcPr>
            <w:tcW w:w="992" w:type="dxa"/>
            <w:vMerge w:val="continue"/>
            <w:tcBorders>
              <w:top w:val="single" w:color="auto" w:sz="4" w:space="0"/>
              <w:left w:val="single" w:color="auto" w:sz="4" w:space="0"/>
              <w:right w:val="single" w:color="auto" w:sz="4" w:space="0"/>
            </w:tcBorders>
            <w:shd w:val="clear" w:color="auto" w:fill="auto"/>
            <w:vAlign w:val="center"/>
          </w:tcPr>
          <w:p w14:paraId="76BD3B04"/>
        </w:tc>
        <w:tc>
          <w:tcPr>
            <w:tcW w:w="2224" w:type="dxa"/>
            <w:vMerge w:val="continue"/>
            <w:tcBorders>
              <w:top w:val="single" w:color="auto" w:sz="4" w:space="0"/>
              <w:left w:val="single" w:color="auto" w:sz="4" w:space="0"/>
              <w:right w:val="single" w:color="auto" w:sz="4" w:space="0"/>
            </w:tcBorders>
            <w:shd w:val="clear" w:color="auto" w:fill="auto"/>
            <w:vAlign w:val="center"/>
          </w:tcPr>
          <w:p w14:paraId="68B8B62B"/>
        </w:tc>
        <w:tc>
          <w:tcPr>
            <w:tcW w:w="6667" w:type="dxa"/>
            <w:tcBorders>
              <w:top w:val="single" w:color="auto" w:sz="4" w:space="0"/>
              <w:left w:val="single" w:color="auto" w:sz="4" w:space="0"/>
              <w:right w:val="single" w:color="auto" w:sz="4" w:space="0"/>
            </w:tcBorders>
            <w:shd w:val="clear" w:color="auto" w:fill="auto"/>
            <w:vAlign w:val="center"/>
          </w:tcPr>
          <w:p w14:paraId="14BDD401">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（2）在合理配伍基础上，加快贮存物料的处置，减少仓库库存量，减少恶臭气体的产生量。</w:t>
            </w:r>
          </w:p>
        </w:tc>
        <w:tc>
          <w:tcPr>
            <w:tcW w:w="3352" w:type="dxa"/>
            <w:tcBorders>
              <w:left w:val="single" w:color="auto" w:sz="4" w:space="0"/>
            </w:tcBorders>
            <w:shd w:val="clear" w:color="auto" w:fill="auto"/>
            <w:vAlign w:val="center"/>
          </w:tcPr>
          <w:p w14:paraId="11EFF0AE">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已完成。</w:t>
            </w:r>
          </w:p>
        </w:tc>
      </w:tr>
      <w:tr w14:paraId="49D63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96" w:type="dxa"/>
            <w:vMerge w:val="continue"/>
            <w:shd w:val="clear" w:color="auto" w:fill="auto"/>
            <w:vAlign w:val="center"/>
          </w:tcPr>
          <w:p w14:paraId="27EA7A34"/>
        </w:tc>
        <w:tc>
          <w:tcPr>
            <w:tcW w:w="992" w:type="dxa"/>
            <w:vMerge w:val="continue"/>
            <w:tcBorders>
              <w:top w:val="single" w:color="auto" w:sz="4" w:space="0"/>
              <w:left w:val="single" w:color="auto" w:sz="4" w:space="0"/>
              <w:right w:val="single" w:color="auto" w:sz="4" w:space="0"/>
            </w:tcBorders>
            <w:shd w:val="clear" w:color="auto" w:fill="auto"/>
            <w:vAlign w:val="center"/>
          </w:tcPr>
          <w:p w14:paraId="72A8A04F"/>
        </w:tc>
        <w:tc>
          <w:tcPr>
            <w:tcW w:w="2224" w:type="dxa"/>
            <w:vMerge w:val="continue"/>
            <w:tcBorders>
              <w:top w:val="single" w:color="auto" w:sz="4" w:space="0"/>
              <w:left w:val="single" w:color="auto" w:sz="4" w:space="0"/>
              <w:right w:val="single" w:color="auto" w:sz="4" w:space="0"/>
            </w:tcBorders>
            <w:shd w:val="clear" w:color="auto" w:fill="auto"/>
            <w:vAlign w:val="center"/>
          </w:tcPr>
          <w:p w14:paraId="5CD987AF"/>
        </w:tc>
        <w:tc>
          <w:tcPr>
            <w:tcW w:w="6667" w:type="dxa"/>
            <w:tcBorders>
              <w:top w:val="single" w:color="auto" w:sz="4" w:space="0"/>
              <w:left w:val="single" w:color="auto" w:sz="4" w:space="0"/>
              <w:right w:val="single" w:color="auto" w:sz="4" w:space="0"/>
            </w:tcBorders>
            <w:shd w:val="clear" w:color="auto" w:fill="auto"/>
            <w:vAlign w:val="center"/>
          </w:tcPr>
          <w:p w14:paraId="7AC083C0">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（3）邀请废气收集处理设施厂家对现有设备进行检查，排除设备漏风、堵灰等故障和隐患。</w:t>
            </w:r>
          </w:p>
        </w:tc>
        <w:tc>
          <w:tcPr>
            <w:tcW w:w="3352" w:type="dxa"/>
            <w:tcBorders>
              <w:left w:val="single" w:color="auto" w:sz="4" w:space="0"/>
            </w:tcBorders>
            <w:shd w:val="clear" w:color="auto" w:fill="auto"/>
            <w:vAlign w:val="center"/>
          </w:tcPr>
          <w:p w14:paraId="227C950A">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已完成。</w:t>
            </w:r>
          </w:p>
        </w:tc>
      </w:tr>
      <w:tr w14:paraId="24AF9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96" w:type="dxa"/>
            <w:vMerge w:val="continue"/>
            <w:shd w:val="clear" w:color="auto" w:fill="auto"/>
            <w:vAlign w:val="center"/>
          </w:tcPr>
          <w:p w14:paraId="4798B1D3"/>
        </w:tc>
        <w:tc>
          <w:tcPr>
            <w:tcW w:w="992" w:type="dxa"/>
            <w:vMerge w:val="continue"/>
            <w:tcBorders>
              <w:top w:val="single" w:color="auto" w:sz="4" w:space="0"/>
              <w:left w:val="single" w:color="auto" w:sz="4" w:space="0"/>
              <w:right w:val="single" w:color="auto" w:sz="4" w:space="0"/>
            </w:tcBorders>
            <w:shd w:val="clear" w:color="auto" w:fill="auto"/>
            <w:vAlign w:val="center"/>
          </w:tcPr>
          <w:p w14:paraId="7882B33A"/>
        </w:tc>
        <w:tc>
          <w:tcPr>
            <w:tcW w:w="2224" w:type="dxa"/>
            <w:vMerge w:val="continue"/>
            <w:tcBorders>
              <w:top w:val="single" w:color="auto" w:sz="4" w:space="0"/>
              <w:left w:val="single" w:color="auto" w:sz="4" w:space="0"/>
              <w:right w:val="single" w:color="auto" w:sz="4" w:space="0"/>
            </w:tcBorders>
            <w:shd w:val="clear" w:color="auto" w:fill="auto"/>
            <w:vAlign w:val="center"/>
          </w:tcPr>
          <w:p w14:paraId="3E7277A7"/>
        </w:tc>
        <w:tc>
          <w:tcPr>
            <w:tcW w:w="6667" w:type="dxa"/>
            <w:tcBorders>
              <w:top w:val="single" w:color="auto" w:sz="4" w:space="0"/>
              <w:left w:val="single" w:color="auto" w:sz="4" w:space="0"/>
              <w:right w:val="single" w:color="auto" w:sz="4" w:space="0"/>
            </w:tcBorders>
            <w:shd w:val="clear" w:color="auto" w:fill="auto"/>
            <w:vAlign w:val="center"/>
          </w:tcPr>
          <w:p w14:paraId="20BCF9D9">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（4）针对填埋场气体无组织排放带来的异味问题，采取覆盖等措施，合理安排填埋作业时间，避免阴雨天和大风天气作业，减少恶臭气体外溢。</w:t>
            </w:r>
          </w:p>
        </w:tc>
        <w:tc>
          <w:tcPr>
            <w:tcW w:w="3352" w:type="dxa"/>
            <w:tcBorders>
              <w:left w:val="single" w:color="auto" w:sz="4" w:space="0"/>
            </w:tcBorders>
            <w:shd w:val="clear" w:color="auto" w:fill="auto"/>
            <w:vAlign w:val="center"/>
          </w:tcPr>
          <w:p w14:paraId="7388B7AA">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已完成并持续保持。</w:t>
            </w:r>
          </w:p>
        </w:tc>
      </w:tr>
      <w:tr w14:paraId="6B7AF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696" w:type="dxa"/>
            <w:vMerge w:val="continue"/>
            <w:shd w:val="clear" w:color="auto" w:fill="auto"/>
            <w:vAlign w:val="center"/>
          </w:tcPr>
          <w:p w14:paraId="1A7251FB"/>
        </w:tc>
        <w:tc>
          <w:tcPr>
            <w:tcW w:w="992" w:type="dxa"/>
            <w:vMerge w:val="continue"/>
            <w:tcBorders>
              <w:top w:val="single" w:color="auto" w:sz="4" w:space="0"/>
              <w:left w:val="single" w:color="auto" w:sz="4" w:space="0"/>
              <w:right w:val="single" w:color="auto" w:sz="4" w:space="0"/>
            </w:tcBorders>
            <w:shd w:val="clear" w:color="auto" w:fill="auto"/>
            <w:vAlign w:val="center"/>
          </w:tcPr>
          <w:p w14:paraId="5710B302"/>
        </w:tc>
        <w:tc>
          <w:tcPr>
            <w:tcW w:w="2224" w:type="dxa"/>
            <w:vMerge w:val="continue"/>
            <w:tcBorders>
              <w:top w:val="single" w:color="auto" w:sz="4" w:space="0"/>
              <w:left w:val="single" w:color="auto" w:sz="4" w:space="0"/>
              <w:right w:val="single" w:color="auto" w:sz="4" w:space="0"/>
            </w:tcBorders>
            <w:shd w:val="clear" w:color="auto" w:fill="auto"/>
            <w:vAlign w:val="center"/>
          </w:tcPr>
          <w:p w14:paraId="7CA686D1"/>
        </w:tc>
        <w:tc>
          <w:tcPr>
            <w:tcW w:w="6667" w:type="dxa"/>
            <w:tcBorders>
              <w:top w:val="single" w:color="auto" w:sz="4" w:space="0"/>
              <w:left w:val="single" w:color="auto" w:sz="4" w:space="0"/>
              <w:right w:val="single" w:color="auto" w:sz="4" w:space="0"/>
            </w:tcBorders>
            <w:shd w:val="clear" w:color="auto" w:fill="auto"/>
            <w:vAlign w:val="center"/>
          </w:tcPr>
          <w:p w14:paraId="46A54CED">
            <w:pPr>
              <w:autoSpaceDE w:val="0"/>
              <w:autoSpaceDN w:val="0"/>
              <w:rPr>
                <w:rFonts w:ascii="Times New Roman" w:hAnsi="Times New Roman" w:eastAsia="宋体" w:cs="Times New Roman"/>
                <w:snapToGrid w:val="0"/>
                <w:kern w:val="0"/>
                <w:sz w:val="20"/>
                <w:szCs w:val="20"/>
                <w:lang w:bidi="zh-CN"/>
              </w:rPr>
            </w:pPr>
            <w:r>
              <w:rPr>
                <w:rFonts w:ascii="Times New Roman" w:hAnsi="Times New Roman" w:eastAsia="宋体" w:cs="Times New Roman"/>
                <w:snapToGrid w:val="0"/>
                <w:kern w:val="0"/>
                <w:sz w:val="20"/>
                <w:szCs w:val="20"/>
                <w:lang w:bidi="zh-CN"/>
              </w:rPr>
              <w:t>2.升级改造恶臭气体和挥发性有机物收集处理设施，提升废气收集效率，降低无组织排放浓度，确保稳定达标排放。</w:t>
            </w:r>
          </w:p>
          <w:p w14:paraId="799A72CA">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（1）委托第三方设计机构对现有恶臭气体和挥发性有机物收集处理设施的性能进行检查。</w:t>
            </w:r>
          </w:p>
        </w:tc>
        <w:tc>
          <w:tcPr>
            <w:tcW w:w="3352" w:type="dxa"/>
            <w:tcBorders>
              <w:left w:val="single" w:color="auto" w:sz="4" w:space="0"/>
            </w:tcBorders>
            <w:shd w:val="clear" w:color="auto" w:fill="auto"/>
            <w:vAlign w:val="center"/>
          </w:tcPr>
          <w:p w14:paraId="619B3BBA">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已完成。</w:t>
            </w:r>
          </w:p>
        </w:tc>
      </w:tr>
      <w:tr w14:paraId="23390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696" w:type="dxa"/>
            <w:vMerge w:val="continue"/>
            <w:shd w:val="clear" w:color="auto" w:fill="auto"/>
            <w:vAlign w:val="center"/>
          </w:tcPr>
          <w:p w14:paraId="4A11B490"/>
        </w:tc>
        <w:tc>
          <w:tcPr>
            <w:tcW w:w="992" w:type="dxa"/>
            <w:vMerge w:val="continue"/>
            <w:tcBorders>
              <w:top w:val="single" w:color="auto" w:sz="4" w:space="0"/>
              <w:left w:val="single" w:color="auto" w:sz="4" w:space="0"/>
              <w:right w:val="single" w:color="auto" w:sz="4" w:space="0"/>
            </w:tcBorders>
            <w:shd w:val="clear" w:color="auto" w:fill="auto"/>
            <w:vAlign w:val="center"/>
          </w:tcPr>
          <w:p w14:paraId="3D7DD2BF"/>
        </w:tc>
        <w:tc>
          <w:tcPr>
            <w:tcW w:w="2224" w:type="dxa"/>
            <w:vMerge w:val="continue"/>
            <w:tcBorders>
              <w:top w:val="single" w:color="auto" w:sz="4" w:space="0"/>
              <w:left w:val="single" w:color="auto" w:sz="4" w:space="0"/>
              <w:right w:val="single" w:color="auto" w:sz="4" w:space="0"/>
            </w:tcBorders>
            <w:shd w:val="clear" w:color="auto" w:fill="auto"/>
            <w:vAlign w:val="center"/>
          </w:tcPr>
          <w:p w14:paraId="2299B518"/>
        </w:tc>
        <w:tc>
          <w:tcPr>
            <w:tcW w:w="6667" w:type="dxa"/>
            <w:tcBorders>
              <w:top w:val="single" w:color="auto" w:sz="4" w:space="0"/>
              <w:left w:val="single" w:color="auto" w:sz="4" w:space="0"/>
              <w:right w:val="single" w:color="auto" w:sz="4" w:space="0"/>
            </w:tcBorders>
            <w:shd w:val="clear" w:color="auto" w:fill="auto"/>
            <w:vAlign w:val="center"/>
          </w:tcPr>
          <w:p w14:paraId="471354F8">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委托环保技术咨询机构开展环境影响后评价，将现有恶臭气体和挥发性有机物收集处理设施存在问题作为环境影响后评价调查的重点内容之一，提出补救或改进措施。</w:t>
            </w:r>
          </w:p>
        </w:tc>
        <w:tc>
          <w:tcPr>
            <w:tcW w:w="3352" w:type="dxa"/>
            <w:tcBorders>
              <w:left w:val="single" w:color="auto" w:sz="4" w:space="0"/>
            </w:tcBorders>
            <w:shd w:val="clear" w:color="auto" w:fill="auto"/>
            <w:vAlign w:val="center"/>
          </w:tcPr>
          <w:p w14:paraId="27A1F61B">
            <w:pPr>
              <w:autoSpaceDE w:val="0"/>
              <w:autoSpaceDN w:val="0"/>
              <w:adjustRightInd w:val="0"/>
              <w:snapToGrid w:val="0"/>
              <w:rPr>
                <w:rFonts w:ascii="Times New Roman" w:hAnsi="Times New Roman" w:eastAsia="宋体" w:cs="Times New Roman"/>
                <w:snapToGrid w:val="0"/>
                <w:kern w:val="0"/>
                <w:sz w:val="20"/>
                <w:szCs w:val="20"/>
                <w:lang w:bidi="zh-CN"/>
              </w:rPr>
            </w:pPr>
            <w:r>
              <w:rPr>
                <w:rFonts w:hint="eastAsia" w:ascii="Times New Roman" w:hAnsi="Times New Roman" w:eastAsia="宋体" w:cs="Times New Roman"/>
                <w:snapToGrid w:val="0"/>
                <w:kern w:val="0"/>
                <w:sz w:val="20"/>
                <w:szCs w:val="20"/>
                <w:lang w:bidi="zh-CN"/>
              </w:rPr>
              <w:t>已完成。</w:t>
            </w:r>
          </w:p>
        </w:tc>
      </w:tr>
      <w:tr w14:paraId="1F737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96" w:type="dxa"/>
            <w:vMerge w:val="continue"/>
            <w:shd w:val="clear" w:color="auto" w:fill="auto"/>
            <w:vAlign w:val="center"/>
          </w:tcPr>
          <w:p w14:paraId="5F968084"/>
        </w:tc>
        <w:tc>
          <w:tcPr>
            <w:tcW w:w="992" w:type="dxa"/>
            <w:vMerge w:val="continue"/>
            <w:tcBorders>
              <w:top w:val="single" w:color="auto" w:sz="4" w:space="0"/>
              <w:left w:val="single" w:color="auto" w:sz="4" w:space="0"/>
              <w:right w:val="single" w:color="auto" w:sz="4" w:space="0"/>
            </w:tcBorders>
            <w:shd w:val="clear" w:color="auto" w:fill="auto"/>
            <w:vAlign w:val="center"/>
          </w:tcPr>
          <w:p w14:paraId="4DF04383"/>
        </w:tc>
        <w:tc>
          <w:tcPr>
            <w:tcW w:w="2224" w:type="dxa"/>
            <w:vMerge w:val="continue"/>
            <w:tcBorders>
              <w:top w:val="single" w:color="auto" w:sz="4" w:space="0"/>
              <w:left w:val="single" w:color="auto" w:sz="4" w:space="0"/>
              <w:right w:val="single" w:color="auto" w:sz="4" w:space="0"/>
            </w:tcBorders>
            <w:shd w:val="clear" w:color="auto" w:fill="auto"/>
            <w:vAlign w:val="center"/>
          </w:tcPr>
          <w:p w14:paraId="745A998B"/>
        </w:tc>
        <w:tc>
          <w:tcPr>
            <w:tcW w:w="6667" w:type="dxa"/>
            <w:tcBorders>
              <w:top w:val="single" w:color="auto" w:sz="4" w:space="0"/>
              <w:left w:val="single" w:color="auto" w:sz="4" w:space="0"/>
              <w:right w:val="single" w:color="auto" w:sz="4" w:space="0"/>
            </w:tcBorders>
            <w:shd w:val="clear" w:color="auto" w:fill="auto"/>
            <w:vAlign w:val="center"/>
          </w:tcPr>
          <w:p w14:paraId="773119D8">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与第三方设计机构、环保技术咨询机构会商讨论工艺改进方案、分析方案可行性。</w:t>
            </w:r>
          </w:p>
        </w:tc>
        <w:tc>
          <w:tcPr>
            <w:tcW w:w="3352" w:type="dxa"/>
            <w:tcBorders>
              <w:left w:val="single" w:color="auto" w:sz="4" w:space="0"/>
            </w:tcBorders>
            <w:shd w:val="clear" w:color="auto" w:fill="auto"/>
            <w:vAlign w:val="center"/>
          </w:tcPr>
          <w:p w14:paraId="6600F36C">
            <w:pPr>
              <w:autoSpaceDE w:val="0"/>
              <w:autoSpaceDN w:val="0"/>
              <w:adjustRightInd w:val="0"/>
              <w:snapToGrid w:val="0"/>
              <w:rPr>
                <w:rFonts w:ascii="Times New Roman" w:hAnsi="Times New Roman" w:eastAsia="宋体" w:cs="Times New Roman"/>
                <w:snapToGrid w:val="0"/>
                <w:kern w:val="0"/>
                <w:sz w:val="20"/>
                <w:szCs w:val="20"/>
                <w:lang w:bidi="zh-CN"/>
              </w:rPr>
            </w:pPr>
            <w:r>
              <w:rPr>
                <w:rFonts w:ascii="Times New Roman" w:hAnsi="Times New Roman" w:eastAsia="宋体" w:cs="Times New Roman"/>
                <w:snapToGrid w:val="0"/>
                <w:kern w:val="0"/>
                <w:sz w:val="20"/>
                <w:szCs w:val="20"/>
                <w:lang w:bidi="zh-CN"/>
              </w:rPr>
              <w:t>已完成。</w:t>
            </w:r>
          </w:p>
        </w:tc>
      </w:tr>
      <w:tr w14:paraId="14405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96" w:type="dxa"/>
            <w:vMerge w:val="continue"/>
            <w:shd w:val="clear" w:color="auto" w:fill="auto"/>
            <w:vAlign w:val="center"/>
          </w:tcPr>
          <w:p w14:paraId="263776E9"/>
        </w:tc>
        <w:tc>
          <w:tcPr>
            <w:tcW w:w="992" w:type="dxa"/>
            <w:vMerge w:val="continue"/>
            <w:tcBorders>
              <w:top w:val="single" w:color="auto" w:sz="4" w:space="0"/>
              <w:left w:val="single" w:color="auto" w:sz="4" w:space="0"/>
              <w:right w:val="single" w:color="auto" w:sz="4" w:space="0"/>
            </w:tcBorders>
            <w:shd w:val="clear" w:color="auto" w:fill="auto"/>
            <w:vAlign w:val="center"/>
          </w:tcPr>
          <w:p w14:paraId="6BD39F2C"/>
        </w:tc>
        <w:tc>
          <w:tcPr>
            <w:tcW w:w="2224" w:type="dxa"/>
            <w:vMerge w:val="continue"/>
            <w:tcBorders>
              <w:top w:val="single" w:color="auto" w:sz="4" w:space="0"/>
              <w:left w:val="single" w:color="auto" w:sz="4" w:space="0"/>
              <w:right w:val="single" w:color="auto" w:sz="4" w:space="0"/>
            </w:tcBorders>
            <w:shd w:val="clear" w:color="auto" w:fill="auto"/>
            <w:vAlign w:val="center"/>
          </w:tcPr>
          <w:p w14:paraId="2FB2B205"/>
        </w:tc>
        <w:tc>
          <w:tcPr>
            <w:tcW w:w="6667" w:type="dxa"/>
            <w:tcBorders>
              <w:top w:val="single" w:color="auto" w:sz="4" w:space="0"/>
              <w:left w:val="single" w:color="auto" w:sz="4" w:space="0"/>
              <w:right w:val="single" w:color="auto" w:sz="4" w:space="0"/>
            </w:tcBorders>
            <w:shd w:val="clear" w:color="auto" w:fill="auto"/>
            <w:vAlign w:val="center"/>
          </w:tcPr>
          <w:p w14:paraId="3FB5894B">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（2）委托第三方设计机构进行改造方案设计，提交改造方案和设计文件，并报市、区生态环境主管部门审核。</w:t>
            </w:r>
          </w:p>
        </w:tc>
        <w:tc>
          <w:tcPr>
            <w:tcW w:w="3352" w:type="dxa"/>
            <w:tcBorders>
              <w:left w:val="single" w:color="auto" w:sz="4" w:space="0"/>
            </w:tcBorders>
            <w:shd w:val="clear" w:color="auto" w:fill="auto"/>
            <w:vAlign w:val="center"/>
          </w:tcPr>
          <w:p w14:paraId="22D76FC9">
            <w:pPr>
              <w:autoSpaceDE w:val="0"/>
              <w:autoSpaceDN w:val="0"/>
              <w:adjustRightInd w:val="0"/>
              <w:snapToGrid w:val="0"/>
              <w:rPr>
                <w:rFonts w:ascii="Times New Roman" w:hAnsi="Times New Roman" w:eastAsia="宋体" w:cs="Times New Roman"/>
                <w:snapToGrid w:val="0"/>
                <w:kern w:val="0"/>
                <w:sz w:val="20"/>
                <w:szCs w:val="20"/>
                <w:lang w:bidi="zh-CN"/>
              </w:rPr>
            </w:pPr>
            <w:r>
              <w:rPr>
                <w:rFonts w:ascii="Times New Roman" w:hAnsi="Times New Roman" w:eastAsia="宋体" w:cs="Times New Roman"/>
                <w:snapToGrid w:val="0"/>
                <w:kern w:val="0"/>
                <w:sz w:val="20"/>
                <w:szCs w:val="20"/>
                <w:lang w:bidi="zh-CN"/>
              </w:rPr>
              <w:t>已</w:t>
            </w:r>
            <w:r>
              <w:rPr>
                <w:rFonts w:hint="eastAsia" w:ascii="Times New Roman" w:hAnsi="Times New Roman" w:eastAsia="宋体" w:cs="Times New Roman"/>
                <w:snapToGrid w:val="0"/>
                <w:kern w:val="0"/>
                <w:sz w:val="20"/>
                <w:szCs w:val="20"/>
                <w:lang w:bidi="zh-CN"/>
              </w:rPr>
              <w:t>完成。</w:t>
            </w:r>
          </w:p>
        </w:tc>
      </w:tr>
      <w:tr w14:paraId="339F5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696" w:type="dxa"/>
            <w:vMerge w:val="continue"/>
            <w:shd w:val="clear" w:color="auto" w:fill="auto"/>
            <w:vAlign w:val="center"/>
          </w:tcPr>
          <w:p w14:paraId="5318D00D"/>
        </w:tc>
        <w:tc>
          <w:tcPr>
            <w:tcW w:w="992" w:type="dxa"/>
            <w:vMerge w:val="continue"/>
            <w:tcBorders>
              <w:top w:val="single" w:color="auto" w:sz="4" w:space="0"/>
              <w:left w:val="single" w:color="auto" w:sz="4" w:space="0"/>
              <w:right w:val="single" w:color="auto" w:sz="4" w:space="0"/>
            </w:tcBorders>
            <w:shd w:val="clear" w:color="auto" w:fill="auto"/>
            <w:vAlign w:val="center"/>
          </w:tcPr>
          <w:p w14:paraId="52D67D16"/>
        </w:tc>
        <w:tc>
          <w:tcPr>
            <w:tcW w:w="2224" w:type="dxa"/>
            <w:vMerge w:val="continue"/>
            <w:tcBorders>
              <w:top w:val="single" w:color="auto" w:sz="4" w:space="0"/>
              <w:left w:val="single" w:color="auto" w:sz="4" w:space="0"/>
              <w:right w:val="single" w:color="auto" w:sz="4" w:space="0"/>
            </w:tcBorders>
            <w:shd w:val="clear" w:color="auto" w:fill="auto"/>
            <w:vAlign w:val="center"/>
          </w:tcPr>
          <w:p w14:paraId="4C4D76DD"/>
        </w:tc>
        <w:tc>
          <w:tcPr>
            <w:tcW w:w="6667" w:type="dxa"/>
            <w:tcBorders>
              <w:top w:val="single" w:color="auto" w:sz="4" w:space="0"/>
              <w:left w:val="single" w:color="auto" w:sz="4" w:space="0"/>
              <w:right w:val="single" w:color="auto" w:sz="4" w:space="0"/>
            </w:tcBorders>
            <w:shd w:val="clear" w:color="auto" w:fill="auto"/>
            <w:vAlign w:val="center"/>
          </w:tcPr>
          <w:p w14:paraId="2E8C87E6">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将环境影响后评价文件报市、区生态环境主管部门备案，接受生态环境主管部门的监督检查。</w:t>
            </w:r>
          </w:p>
        </w:tc>
        <w:tc>
          <w:tcPr>
            <w:tcW w:w="3352" w:type="dxa"/>
            <w:tcBorders>
              <w:left w:val="single" w:color="auto" w:sz="4" w:space="0"/>
            </w:tcBorders>
            <w:shd w:val="clear" w:color="auto" w:fill="auto"/>
            <w:vAlign w:val="center"/>
          </w:tcPr>
          <w:p w14:paraId="4101AAFA">
            <w:pPr>
              <w:autoSpaceDE w:val="0"/>
              <w:autoSpaceDN w:val="0"/>
              <w:adjustRightInd w:val="0"/>
              <w:snapToGrid w:val="0"/>
              <w:rPr>
                <w:rFonts w:ascii="Times New Roman" w:hAnsi="Times New Roman" w:eastAsia="宋体" w:cs="Times New Roman"/>
                <w:snapToGrid w:val="0"/>
                <w:kern w:val="0"/>
                <w:sz w:val="20"/>
                <w:szCs w:val="20"/>
                <w:lang w:bidi="zh-CN"/>
              </w:rPr>
            </w:pPr>
            <w:r>
              <w:rPr>
                <w:rFonts w:hint="eastAsia" w:ascii="Times New Roman" w:hAnsi="Times New Roman" w:eastAsia="宋体" w:cs="Times New Roman"/>
                <w:snapToGrid w:val="0"/>
                <w:kern w:val="0"/>
                <w:sz w:val="20"/>
                <w:szCs w:val="20"/>
                <w:lang w:bidi="zh-CN"/>
              </w:rPr>
              <w:t>已完成。</w:t>
            </w:r>
          </w:p>
        </w:tc>
      </w:tr>
      <w:tr w14:paraId="57F94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696" w:type="dxa"/>
            <w:vMerge w:val="continue"/>
            <w:shd w:val="clear" w:color="auto" w:fill="auto"/>
            <w:vAlign w:val="center"/>
          </w:tcPr>
          <w:p w14:paraId="23CE1304"/>
        </w:tc>
        <w:tc>
          <w:tcPr>
            <w:tcW w:w="992" w:type="dxa"/>
            <w:vMerge w:val="continue"/>
            <w:tcBorders>
              <w:top w:val="single" w:color="auto" w:sz="4" w:space="0"/>
              <w:left w:val="single" w:color="auto" w:sz="4" w:space="0"/>
              <w:right w:val="single" w:color="auto" w:sz="4" w:space="0"/>
            </w:tcBorders>
            <w:shd w:val="clear" w:color="auto" w:fill="auto"/>
            <w:vAlign w:val="center"/>
          </w:tcPr>
          <w:p w14:paraId="6E8A98B3"/>
        </w:tc>
        <w:tc>
          <w:tcPr>
            <w:tcW w:w="2224" w:type="dxa"/>
            <w:vMerge w:val="continue"/>
            <w:tcBorders>
              <w:top w:val="single" w:color="auto" w:sz="4" w:space="0"/>
              <w:left w:val="single" w:color="auto" w:sz="4" w:space="0"/>
              <w:right w:val="single" w:color="auto" w:sz="4" w:space="0"/>
            </w:tcBorders>
            <w:shd w:val="clear" w:color="auto" w:fill="auto"/>
            <w:vAlign w:val="center"/>
          </w:tcPr>
          <w:p w14:paraId="0B62194C"/>
        </w:tc>
        <w:tc>
          <w:tcPr>
            <w:tcW w:w="6667" w:type="dxa"/>
            <w:tcBorders>
              <w:top w:val="single" w:color="auto" w:sz="4" w:space="0"/>
              <w:left w:val="single" w:color="auto" w:sz="4" w:space="0"/>
              <w:right w:val="single" w:color="auto" w:sz="4" w:space="0"/>
            </w:tcBorders>
            <w:shd w:val="clear" w:color="auto" w:fill="auto"/>
            <w:vAlign w:val="center"/>
          </w:tcPr>
          <w:p w14:paraId="29B887B9">
            <w:pPr>
              <w:autoSpaceDE w:val="0"/>
              <w:autoSpaceDN w:val="0"/>
              <w:rPr>
                <w:rFonts w:ascii="Times New Roman" w:hAnsi="Times New Roman" w:eastAsia="宋体" w:cs="Times New Roman"/>
                <w:snapToGrid w:val="0"/>
                <w:kern w:val="0"/>
                <w:sz w:val="20"/>
                <w:szCs w:val="20"/>
                <w:lang w:bidi="zh-CN"/>
              </w:rPr>
            </w:pPr>
            <w:r>
              <w:rPr>
                <w:rFonts w:ascii="Times New Roman" w:hAnsi="Times New Roman" w:eastAsia="宋体" w:cs="Times New Roman"/>
                <w:snapToGrid w:val="0"/>
                <w:kern w:val="0"/>
                <w:sz w:val="20"/>
                <w:szCs w:val="20"/>
                <w:lang w:bidi="zh-CN"/>
              </w:rPr>
              <w:t>（3）实施环保设施改造方案，落实环境影响后评价提出的环境保护补救方案和改进措施，具体包括：</w:t>
            </w:r>
          </w:p>
          <w:p w14:paraId="7F3FAE28">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提升料坑除臭系统性能，提高风机参数，优化布风管道；</w:t>
            </w:r>
          </w:p>
        </w:tc>
        <w:tc>
          <w:tcPr>
            <w:tcW w:w="3352" w:type="dxa"/>
            <w:tcBorders>
              <w:left w:val="single" w:color="auto" w:sz="4" w:space="0"/>
            </w:tcBorders>
            <w:shd w:val="clear" w:color="auto" w:fill="auto"/>
            <w:vAlign w:val="center"/>
          </w:tcPr>
          <w:p w14:paraId="4672AD1F">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已完成。</w:t>
            </w:r>
          </w:p>
        </w:tc>
      </w:tr>
      <w:tr w14:paraId="39E5E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96" w:type="dxa"/>
            <w:vMerge w:val="continue"/>
            <w:shd w:val="clear" w:color="auto" w:fill="auto"/>
            <w:vAlign w:val="center"/>
          </w:tcPr>
          <w:p w14:paraId="468E153D"/>
        </w:tc>
        <w:tc>
          <w:tcPr>
            <w:tcW w:w="992" w:type="dxa"/>
            <w:vMerge w:val="continue"/>
            <w:tcBorders>
              <w:top w:val="single" w:color="auto" w:sz="4" w:space="0"/>
              <w:left w:val="single" w:color="auto" w:sz="4" w:space="0"/>
              <w:right w:val="single" w:color="auto" w:sz="4" w:space="0"/>
            </w:tcBorders>
            <w:shd w:val="clear" w:color="auto" w:fill="auto"/>
            <w:vAlign w:val="center"/>
          </w:tcPr>
          <w:p w14:paraId="29586CD6"/>
        </w:tc>
        <w:tc>
          <w:tcPr>
            <w:tcW w:w="2224" w:type="dxa"/>
            <w:vMerge w:val="continue"/>
            <w:tcBorders>
              <w:top w:val="single" w:color="auto" w:sz="4" w:space="0"/>
              <w:left w:val="single" w:color="auto" w:sz="4" w:space="0"/>
              <w:right w:val="single" w:color="auto" w:sz="4" w:space="0"/>
            </w:tcBorders>
            <w:shd w:val="clear" w:color="auto" w:fill="auto"/>
            <w:vAlign w:val="center"/>
          </w:tcPr>
          <w:p w14:paraId="72F8A42A"/>
        </w:tc>
        <w:tc>
          <w:tcPr>
            <w:tcW w:w="6667" w:type="dxa"/>
            <w:tcBorders>
              <w:top w:val="single" w:color="auto" w:sz="4" w:space="0"/>
              <w:left w:val="single" w:color="auto" w:sz="4" w:space="0"/>
              <w:right w:val="single" w:color="auto" w:sz="4" w:space="0"/>
            </w:tcBorders>
            <w:shd w:val="clear" w:color="auto" w:fill="auto"/>
            <w:vAlign w:val="center"/>
          </w:tcPr>
          <w:p w14:paraId="5A963165">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提升危险废物暂存库除臭系统性能，改造风管布置，增加调风装置；</w:t>
            </w:r>
          </w:p>
        </w:tc>
        <w:tc>
          <w:tcPr>
            <w:tcW w:w="3352" w:type="dxa"/>
            <w:tcBorders>
              <w:left w:val="single" w:color="auto" w:sz="4" w:space="0"/>
            </w:tcBorders>
            <w:shd w:val="clear" w:color="auto" w:fill="auto"/>
            <w:vAlign w:val="center"/>
          </w:tcPr>
          <w:p w14:paraId="3F4B8DC8">
            <w:pPr>
              <w:autoSpaceDE w:val="0"/>
              <w:autoSpaceDN w:val="0"/>
              <w:adjustRightInd w:val="0"/>
              <w:snapToGrid w:val="0"/>
              <w:rPr>
                <w:rFonts w:ascii="Times New Roman" w:hAnsi="Times New Roman" w:eastAsia="宋体" w:cs="Times New Roman"/>
                <w:snapToGrid w:val="0"/>
                <w:kern w:val="0"/>
                <w:sz w:val="20"/>
                <w:szCs w:val="20"/>
                <w:lang w:bidi="zh-CN"/>
              </w:rPr>
            </w:pPr>
            <w:r>
              <w:rPr>
                <w:rFonts w:ascii="Times New Roman" w:hAnsi="Times New Roman" w:eastAsia="宋体" w:cs="Times New Roman"/>
                <w:snapToGrid w:val="0"/>
                <w:kern w:val="0"/>
                <w:sz w:val="20"/>
                <w:szCs w:val="20"/>
                <w:lang w:bidi="zh-CN"/>
              </w:rPr>
              <w:t>已完成。</w:t>
            </w:r>
          </w:p>
        </w:tc>
      </w:tr>
      <w:tr w14:paraId="0F120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696" w:type="dxa"/>
            <w:vMerge w:val="continue"/>
            <w:shd w:val="clear" w:color="auto" w:fill="auto"/>
            <w:vAlign w:val="center"/>
          </w:tcPr>
          <w:p w14:paraId="5E3D30B7"/>
        </w:tc>
        <w:tc>
          <w:tcPr>
            <w:tcW w:w="992" w:type="dxa"/>
            <w:vMerge w:val="continue"/>
            <w:tcBorders>
              <w:top w:val="single" w:color="auto" w:sz="4" w:space="0"/>
              <w:left w:val="single" w:color="auto" w:sz="4" w:space="0"/>
              <w:right w:val="single" w:color="auto" w:sz="4" w:space="0"/>
            </w:tcBorders>
            <w:shd w:val="clear" w:color="auto" w:fill="auto"/>
            <w:vAlign w:val="center"/>
          </w:tcPr>
          <w:p w14:paraId="725F284D"/>
        </w:tc>
        <w:tc>
          <w:tcPr>
            <w:tcW w:w="2224" w:type="dxa"/>
            <w:vMerge w:val="continue"/>
            <w:tcBorders>
              <w:top w:val="single" w:color="auto" w:sz="4" w:space="0"/>
              <w:left w:val="single" w:color="auto" w:sz="4" w:space="0"/>
              <w:right w:val="single" w:color="auto" w:sz="4" w:space="0"/>
            </w:tcBorders>
            <w:shd w:val="clear" w:color="auto" w:fill="auto"/>
            <w:vAlign w:val="center"/>
          </w:tcPr>
          <w:p w14:paraId="1586C949"/>
        </w:tc>
        <w:tc>
          <w:tcPr>
            <w:tcW w:w="6667" w:type="dxa"/>
            <w:tcBorders>
              <w:top w:val="single" w:color="auto" w:sz="4" w:space="0"/>
              <w:left w:val="single" w:color="auto" w:sz="4" w:space="0"/>
              <w:right w:val="single" w:color="auto" w:sz="4" w:space="0"/>
            </w:tcBorders>
            <w:shd w:val="clear" w:color="auto" w:fill="auto"/>
            <w:vAlign w:val="center"/>
          </w:tcPr>
          <w:p w14:paraId="3E81E4F8">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提升固化车间除臭系统性能，增加隔离措施，增加除臭装置；</w:t>
            </w:r>
          </w:p>
        </w:tc>
        <w:tc>
          <w:tcPr>
            <w:tcW w:w="3352" w:type="dxa"/>
            <w:tcBorders>
              <w:left w:val="single" w:color="auto" w:sz="4" w:space="0"/>
            </w:tcBorders>
            <w:shd w:val="clear" w:color="auto" w:fill="auto"/>
            <w:vAlign w:val="center"/>
          </w:tcPr>
          <w:p w14:paraId="340A3F4C">
            <w:pPr>
              <w:autoSpaceDE w:val="0"/>
              <w:autoSpaceDN w:val="0"/>
              <w:adjustRightInd w:val="0"/>
              <w:snapToGrid w:val="0"/>
              <w:rPr>
                <w:rFonts w:ascii="Times New Roman" w:hAnsi="Times New Roman" w:eastAsia="宋体" w:cs="Times New Roman"/>
                <w:snapToGrid w:val="0"/>
                <w:kern w:val="0"/>
                <w:sz w:val="20"/>
                <w:szCs w:val="20"/>
                <w:lang w:bidi="zh-CN"/>
              </w:rPr>
            </w:pPr>
            <w:r>
              <w:rPr>
                <w:rFonts w:ascii="Times New Roman" w:hAnsi="Times New Roman" w:eastAsia="宋体" w:cs="Times New Roman"/>
                <w:snapToGrid w:val="0"/>
                <w:kern w:val="0"/>
                <w:sz w:val="20"/>
                <w:szCs w:val="20"/>
                <w:lang w:bidi="zh-CN"/>
              </w:rPr>
              <w:t>已完成。</w:t>
            </w:r>
          </w:p>
        </w:tc>
      </w:tr>
      <w:tr w14:paraId="46201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6" w:type="dxa"/>
            <w:vMerge w:val="continue"/>
            <w:shd w:val="clear" w:color="auto" w:fill="auto"/>
            <w:vAlign w:val="center"/>
          </w:tcPr>
          <w:p w14:paraId="68217DA4"/>
        </w:tc>
        <w:tc>
          <w:tcPr>
            <w:tcW w:w="992" w:type="dxa"/>
            <w:vMerge w:val="continue"/>
            <w:tcBorders>
              <w:top w:val="single" w:color="auto" w:sz="4" w:space="0"/>
              <w:left w:val="single" w:color="auto" w:sz="4" w:space="0"/>
              <w:right w:val="single" w:color="auto" w:sz="4" w:space="0"/>
            </w:tcBorders>
            <w:shd w:val="clear" w:color="auto" w:fill="auto"/>
            <w:vAlign w:val="center"/>
          </w:tcPr>
          <w:p w14:paraId="1F42E169"/>
        </w:tc>
        <w:tc>
          <w:tcPr>
            <w:tcW w:w="2224" w:type="dxa"/>
            <w:vMerge w:val="continue"/>
            <w:tcBorders>
              <w:top w:val="single" w:color="auto" w:sz="4" w:space="0"/>
              <w:left w:val="single" w:color="auto" w:sz="4" w:space="0"/>
              <w:right w:val="single" w:color="auto" w:sz="4" w:space="0"/>
            </w:tcBorders>
            <w:shd w:val="clear" w:color="auto" w:fill="auto"/>
            <w:vAlign w:val="center"/>
          </w:tcPr>
          <w:p w14:paraId="45DFF3EB"/>
        </w:tc>
        <w:tc>
          <w:tcPr>
            <w:tcW w:w="6667" w:type="dxa"/>
            <w:tcBorders>
              <w:top w:val="single" w:color="auto" w:sz="4" w:space="0"/>
              <w:left w:val="single" w:color="auto" w:sz="4" w:space="0"/>
              <w:right w:val="single" w:color="auto" w:sz="4" w:space="0"/>
            </w:tcBorders>
            <w:shd w:val="clear" w:color="auto" w:fill="auto"/>
            <w:vAlign w:val="center"/>
          </w:tcPr>
          <w:p w14:paraId="665E67F4">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对暂存库、焚烧预处理和固化车间门窗升级改造，更换密封性更好的快速卷帘门等。</w:t>
            </w:r>
          </w:p>
        </w:tc>
        <w:tc>
          <w:tcPr>
            <w:tcW w:w="3352" w:type="dxa"/>
            <w:tcBorders>
              <w:left w:val="single" w:color="auto" w:sz="4" w:space="0"/>
            </w:tcBorders>
            <w:shd w:val="clear" w:color="auto" w:fill="auto"/>
            <w:vAlign w:val="center"/>
          </w:tcPr>
          <w:p w14:paraId="794E59E2">
            <w:pPr>
              <w:autoSpaceDE w:val="0"/>
              <w:autoSpaceDN w:val="0"/>
              <w:adjustRightInd w:val="0"/>
              <w:snapToGrid w:val="0"/>
              <w:rPr>
                <w:rFonts w:ascii="Times New Roman" w:hAnsi="Times New Roman" w:eastAsia="宋体" w:cs="Times New Roman"/>
                <w:snapToGrid w:val="0"/>
                <w:kern w:val="0"/>
                <w:sz w:val="20"/>
                <w:szCs w:val="20"/>
                <w:lang w:bidi="zh-CN"/>
              </w:rPr>
            </w:pPr>
            <w:r>
              <w:rPr>
                <w:rFonts w:ascii="Times New Roman" w:hAnsi="Times New Roman" w:eastAsia="宋体" w:cs="Times New Roman"/>
                <w:snapToGrid w:val="0"/>
                <w:kern w:val="0"/>
                <w:sz w:val="20"/>
                <w:szCs w:val="20"/>
                <w:lang w:bidi="zh-CN"/>
              </w:rPr>
              <w:t>已完成</w:t>
            </w:r>
            <w:r>
              <w:rPr>
                <w:rFonts w:hint="eastAsia" w:ascii="Times New Roman" w:hAnsi="Times New Roman" w:eastAsia="宋体" w:cs="Times New Roman"/>
                <w:snapToGrid w:val="0"/>
                <w:kern w:val="0"/>
                <w:sz w:val="20"/>
                <w:szCs w:val="20"/>
                <w:lang w:bidi="zh-CN"/>
              </w:rPr>
              <w:t>。</w:t>
            </w:r>
          </w:p>
        </w:tc>
      </w:tr>
      <w:tr w14:paraId="7980F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96" w:type="dxa"/>
            <w:vMerge w:val="continue"/>
            <w:shd w:val="clear" w:color="auto" w:fill="auto"/>
            <w:vAlign w:val="center"/>
          </w:tcPr>
          <w:p w14:paraId="74739183"/>
        </w:tc>
        <w:tc>
          <w:tcPr>
            <w:tcW w:w="992" w:type="dxa"/>
            <w:vMerge w:val="continue"/>
            <w:tcBorders>
              <w:top w:val="single" w:color="auto" w:sz="4" w:space="0"/>
              <w:left w:val="single" w:color="auto" w:sz="4" w:space="0"/>
              <w:right w:val="single" w:color="auto" w:sz="4" w:space="0"/>
            </w:tcBorders>
            <w:shd w:val="clear" w:color="auto" w:fill="auto"/>
            <w:vAlign w:val="center"/>
          </w:tcPr>
          <w:p w14:paraId="27D135FB"/>
        </w:tc>
        <w:tc>
          <w:tcPr>
            <w:tcW w:w="2224" w:type="dxa"/>
            <w:vMerge w:val="continue"/>
            <w:tcBorders>
              <w:top w:val="single" w:color="auto" w:sz="4" w:space="0"/>
              <w:left w:val="single" w:color="auto" w:sz="4" w:space="0"/>
              <w:right w:val="single" w:color="auto" w:sz="4" w:space="0"/>
            </w:tcBorders>
            <w:shd w:val="clear" w:color="auto" w:fill="auto"/>
            <w:vAlign w:val="center"/>
          </w:tcPr>
          <w:p w14:paraId="1B2F676E"/>
        </w:tc>
        <w:tc>
          <w:tcPr>
            <w:tcW w:w="6667" w:type="dxa"/>
            <w:tcBorders>
              <w:top w:val="single" w:color="auto" w:sz="4" w:space="0"/>
              <w:left w:val="single" w:color="auto" w:sz="4" w:space="0"/>
              <w:right w:val="single" w:color="auto" w:sz="4" w:space="0"/>
            </w:tcBorders>
            <w:shd w:val="clear" w:color="auto" w:fill="auto"/>
            <w:vAlign w:val="center"/>
          </w:tcPr>
          <w:p w14:paraId="56E00B98">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（4）购买小型喷雾机，及时喷洒除臭药剂，降低恶臭气体无组织排放浓度。</w:t>
            </w:r>
          </w:p>
        </w:tc>
        <w:tc>
          <w:tcPr>
            <w:tcW w:w="3352" w:type="dxa"/>
            <w:tcBorders>
              <w:left w:val="single" w:color="auto" w:sz="4" w:space="0"/>
            </w:tcBorders>
            <w:shd w:val="clear" w:color="auto" w:fill="auto"/>
            <w:vAlign w:val="center"/>
          </w:tcPr>
          <w:p w14:paraId="21F5492A">
            <w:pPr>
              <w:autoSpaceDE w:val="0"/>
              <w:autoSpaceDN w:val="0"/>
              <w:adjustRightInd w:val="0"/>
              <w:snapToGrid w:val="0"/>
              <w:rPr>
                <w:rFonts w:ascii="Times New Roman" w:hAnsi="Times New Roman" w:eastAsia="宋体" w:cs="Times New Roman"/>
                <w:snapToGrid w:val="0"/>
                <w:kern w:val="0"/>
                <w:sz w:val="20"/>
                <w:szCs w:val="20"/>
                <w:lang w:bidi="zh-CN"/>
              </w:rPr>
            </w:pPr>
            <w:r>
              <w:rPr>
                <w:rFonts w:ascii="Times New Roman" w:hAnsi="Times New Roman" w:eastAsia="宋体" w:cs="Times New Roman"/>
                <w:snapToGrid w:val="0"/>
                <w:kern w:val="0"/>
                <w:sz w:val="20"/>
                <w:szCs w:val="20"/>
                <w:lang w:bidi="zh-CN"/>
              </w:rPr>
              <w:t>已完成。</w:t>
            </w:r>
          </w:p>
        </w:tc>
      </w:tr>
      <w:tr w14:paraId="49FC4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jc w:val="center"/>
        </w:trPr>
        <w:tc>
          <w:tcPr>
            <w:tcW w:w="696" w:type="dxa"/>
            <w:vMerge w:val="continue"/>
            <w:shd w:val="clear" w:color="auto" w:fill="auto"/>
            <w:vAlign w:val="center"/>
          </w:tcPr>
          <w:p w14:paraId="0CA7DB9A"/>
        </w:tc>
        <w:tc>
          <w:tcPr>
            <w:tcW w:w="992" w:type="dxa"/>
            <w:vMerge w:val="continue"/>
            <w:tcBorders>
              <w:top w:val="single" w:color="auto" w:sz="4" w:space="0"/>
              <w:left w:val="single" w:color="auto" w:sz="4" w:space="0"/>
              <w:right w:val="single" w:color="auto" w:sz="4" w:space="0"/>
            </w:tcBorders>
            <w:shd w:val="clear" w:color="auto" w:fill="auto"/>
            <w:vAlign w:val="center"/>
          </w:tcPr>
          <w:p w14:paraId="619EB170"/>
        </w:tc>
        <w:tc>
          <w:tcPr>
            <w:tcW w:w="2224" w:type="dxa"/>
            <w:vMerge w:val="continue"/>
            <w:tcBorders>
              <w:top w:val="single" w:color="auto" w:sz="4" w:space="0"/>
              <w:left w:val="single" w:color="auto" w:sz="4" w:space="0"/>
              <w:right w:val="single" w:color="auto" w:sz="4" w:space="0"/>
            </w:tcBorders>
            <w:shd w:val="clear" w:color="auto" w:fill="auto"/>
            <w:vAlign w:val="center"/>
          </w:tcPr>
          <w:p w14:paraId="7B6448D2"/>
        </w:tc>
        <w:tc>
          <w:tcPr>
            <w:tcW w:w="6667" w:type="dxa"/>
            <w:tcBorders>
              <w:top w:val="single" w:color="auto" w:sz="4" w:space="0"/>
              <w:left w:val="single" w:color="auto" w:sz="4" w:space="0"/>
              <w:right w:val="single" w:color="auto" w:sz="4" w:space="0"/>
            </w:tcBorders>
            <w:shd w:val="clear" w:color="auto" w:fill="auto"/>
            <w:vAlign w:val="center"/>
          </w:tcPr>
          <w:p w14:paraId="0AE8B18E">
            <w:pPr>
              <w:autoSpaceDE w:val="0"/>
              <w:autoSpaceDN w:val="0"/>
              <w:rPr>
                <w:rFonts w:ascii="Times New Roman" w:hAnsi="Times New Roman" w:eastAsia="宋体" w:cs="Times New Roman"/>
                <w:snapToGrid w:val="0"/>
                <w:kern w:val="0"/>
                <w:sz w:val="20"/>
                <w:szCs w:val="20"/>
                <w:lang w:bidi="zh-CN"/>
              </w:rPr>
            </w:pPr>
            <w:r>
              <w:rPr>
                <w:rFonts w:ascii="Times New Roman" w:hAnsi="Times New Roman" w:eastAsia="宋体" w:cs="Times New Roman"/>
                <w:snapToGrid w:val="0"/>
                <w:kern w:val="0"/>
                <w:sz w:val="20"/>
                <w:szCs w:val="20"/>
                <w:lang w:bidi="zh-CN"/>
              </w:rPr>
              <w:t>3.健全合规管理体系、增强员工合规意识、严格合规制度落实，避免操作不当造成跑冒滴漏、恶臭气体外溢。</w:t>
            </w:r>
          </w:p>
          <w:p w14:paraId="341275E4">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1）建立市场部、技术中心（危险废物暂存库）、生产车间的信息沟通与协调机制，在危险废物收运前做好物料对厂区大气等环境的影响程度、处置难度、处置周期的分析研判，合理统筹收运计划、生产调度，对危险废物暂存库、固化车间、焚烧车间的待生产物料数量进行控制，避免物料积压，减少恶臭气体产生量。</w:t>
            </w:r>
          </w:p>
        </w:tc>
        <w:tc>
          <w:tcPr>
            <w:tcW w:w="3352" w:type="dxa"/>
            <w:tcBorders>
              <w:left w:val="single" w:color="auto" w:sz="4" w:space="0"/>
            </w:tcBorders>
            <w:shd w:val="clear" w:color="auto" w:fill="auto"/>
            <w:vAlign w:val="center"/>
          </w:tcPr>
          <w:p w14:paraId="1AF1273B">
            <w:pPr>
              <w:autoSpaceDE w:val="0"/>
              <w:autoSpaceDN w:val="0"/>
              <w:adjustRightInd w:val="0"/>
              <w:snapToGrid w:val="0"/>
              <w:rPr>
                <w:rFonts w:ascii="Times New Roman" w:hAnsi="Times New Roman" w:eastAsia="宋体" w:cs="Times New Roman"/>
                <w:snapToGrid w:val="0"/>
                <w:kern w:val="0"/>
                <w:sz w:val="20"/>
                <w:szCs w:val="20"/>
                <w:lang w:bidi="zh-CN"/>
              </w:rPr>
            </w:pPr>
            <w:r>
              <w:rPr>
                <w:rFonts w:ascii="Times New Roman" w:hAnsi="Times New Roman" w:eastAsia="宋体" w:cs="Times New Roman"/>
                <w:snapToGrid w:val="0"/>
                <w:kern w:val="0"/>
                <w:sz w:val="20"/>
                <w:szCs w:val="20"/>
                <w:lang w:bidi="zh-CN"/>
              </w:rPr>
              <w:t>已完成</w:t>
            </w:r>
            <w:r>
              <w:rPr>
                <w:rFonts w:hint="eastAsia" w:ascii="Times New Roman" w:hAnsi="Times New Roman" w:eastAsia="宋体" w:cs="Times New Roman"/>
                <w:snapToGrid w:val="0"/>
                <w:kern w:val="0"/>
                <w:sz w:val="20"/>
                <w:szCs w:val="20"/>
                <w:lang w:bidi="zh-CN"/>
              </w:rPr>
              <w:t>。</w:t>
            </w:r>
          </w:p>
        </w:tc>
      </w:tr>
      <w:tr w14:paraId="2391C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696" w:type="dxa"/>
            <w:vMerge w:val="continue"/>
            <w:shd w:val="clear" w:color="auto" w:fill="auto"/>
            <w:vAlign w:val="center"/>
          </w:tcPr>
          <w:p w14:paraId="39A509CF"/>
        </w:tc>
        <w:tc>
          <w:tcPr>
            <w:tcW w:w="992" w:type="dxa"/>
            <w:vMerge w:val="continue"/>
            <w:tcBorders>
              <w:top w:val="single" w:color="auto" w:sz="4" w:space="0"/>
              <w:left w:val="single" w:color="auto" w:sz="4" w:space="0"/>
              <w:right w:val="single" w:color="auto" w:sz="4" w:space="0"/>
            </w:tcBorders>
            <w:shd w:val="clear" w:color="auto" w:fill="auto"/>
            <w:vAlign w:val="center"/>
          </w:tcPr>
          <w:p w14:paraId="53FBC810"/>
        </w:tc>
        <w:tc>
          <w:tcPr>
            <w:tcW w:w="2224" w:type="dxa"/>
            <w:vMerge w:val="continue"/>
            <w:tcBorders>
              <w:top w:val="single" w:color="auto" w:sz="4" w:space="0"/>
              <w:left w:val="single" w:color="auto" w:sz="4" w:space="0"/>
              <w:right w:val="single" w:color="auto" w:sz="4" w:space="0"/>
            </w:tcBorders>
            <w:shd w:val="clear" w:color="auto" w:fill="auto"/>
            <w:vAlign w:val="center"/>
          </w:tcPr>
          <w:p w14:paraId="3AF06E09"/>
        </w:tc>
        <w:tc>
          <w:tcPr>
            <w:tcW w:w="6667" w:type="dxa"/>
            <w:tcBorders>
              <w:top w:val="single" w:color="auto" w:sz="4" w:space="0"/>
              <w:left w:val="single" w:color="auto" w:sz="4" w:space="0"/>
              <w:right w:val="single" w:color="auto" w:sz="4" w:space="0"/>
            </w:tcBorders>
            <w:shd w:val="clear" w:color="auto" w:fill="auto"/>
            <w:vAlign w:val="center"/>
          </w:tcPr>
          <w:p w14:paraId="61BB131F">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2）优化作业流程，强化制度建设。对危险废物收运、贮存、固化、焚烧、填埋等作业流程进行梳理，针对易产生跑冒滴漏、恶臭气体外溢的环节优化作业流程、细化操作规程，明确部门、岗位职责，建立环境卫生和跑冒滴漏现象巡查、检查、考核与奖惩机制。</w:t>
            </w:r>
          </w:p>
        </w:tc>
        <w:tc>
          <w:tcPr>
            <w:tcW w:w="3352" w:type="dxa"/>
            <w:tcBorders>
              <w:left w:val="single" w:color="auto" w:sz="4" w:space="0"/>
            </w:tcBorders>
            <w:shd w:val="clear" w:color="auto" w:fill="auto"/>
            <w:vAlign w:val="center"/>
          </w:tcPr>
          <w:p w14:paraId="04A09A77">
            <w:pPr>
              <w:autoSpaceDE w:val="0"/>
              <w:autoSpaceDN w:val="0"/>
              <w:adjustRightInd w:val="0"/>
              <w:snapToGrid w:val="0"/>
              <w:rPr>
                <w:rFonts w:ascii="Times New Roman" w:hAnsi="Times New Roman" w:eastAsia="宋体" w:cs="Times New Roman"/>
                <w:snapToGrid w:val="0"/>
                <w:kern w:val="0"/>
                <w:sz w:val="20"/>
                <w:szCs w:val="20"/>
                <w:lang w:bidi="zh-CN"/>
              </w:rPr>
            </w:pPr>
            <w:r>
              <w:rPr>
                <w:rFonts w:ascii="Times New Roman" w:hAnsi="Times New Roman" w:eastAsia="宋体" w:cs="Times New Roman"/>
                <w:snapToGrid w:val="0"/>
                <w:kern w:val="0"/>
                <w:sz w:val="20"/>
                <w:szCs w:val="20"/>
                <w:lang w:bidi="zh-CN"/>
              </w:rPr>
              <w:t>已完成</w:t>
            </w:r>
            <w:r>
              <w:rPr>
                <w:rFonts w:hint="eastAsia" w:ascii="Times New Roman" w:hAnsi="Times New Roman" w:eastAsia="宋体" w:cs="Times New Roman"/>
                <w:snapToGrid w:val="0"/>
                <w:kern w:val="0"/>
                <w:sz w:val="20"/>
                <w:szCs w:val="20"/>
                <w:lang w:bidi="zh-CN"/>
              </w:rPr>
              <w:t>。</w:t>
            </w:r>
          </w:p>
        </w:tc>
      </w:tr>
      <w:tr w14:paraId="7B307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696" w:type="dxa"/>
            <w:vMerge w:val="continue"/>
            <w:shd w:val="clear" w:color="auto" w:fill="auto"/>
            <w:vAlign w:val="center"/>
          </w:tcPr>
          <w:p w14:paraId="21E0048C"/>
        </w:tc>
        <w:tc>
          <w:tcPr>
            <w:tcW w:w="992" w:type="dxa"/>
            <w:vMerge w:val="continue"/>
            <w:tcBorders>
              <w:top w:val="single" w:color="auto" w:sz="4" w:space="0"/>
              <w:left w:val="single" w:color="auto" w:sz="4" w:space="0"/>
              <w:right w:val="single" w:color="auto" w:sz="4" w:space="0"/>
            </w:tcBorders>
            <w:shd w:val="clear" w:color="auto" w:fill="auto"/>
            <w:vAlign w:val="center"/>
          </w:tcPr>
          <w:p w14:paraId="418C8FC6"/>
        </w:tc>
        <w:tc>
          <w:tcPr>
            <w:tcW w:w="2224" w:type="dxa"/>
            <w:vMerge w:val="continue"/>
            <w:tcBorders>
              <w:top w:val="single" w:color="auto" w:sz="4" w:space="0"/>
              <w:left w:val="single" w:color="auto" w:sz="4" w:space="0"/>
              <w:right w:val="single" w:color="auto" w:sz="4" w:space="0"/>
            </w:tcBorders>
            <w:shd w:val="clear" w:color="auto" w:fill="auto"/>
            <w:vAlign w:val="center"/>
          </w:tcPr>
          <w:p w14:paraId="23B98136"/>
        </w:tc>
        <w:tc>
          <w:tcPr>
            <w:tcW w:w="6667" w:type="dxa"/>
            <w:tcBorders>
              <w:top w:val="single" w:color="auto" w:sz="4" w:space="0"/>
              <w:left w:val="single" w:color="auto" w:sz="4" w:space="0"/>
              <w:right w:val="single" w:color="auto" w:sz="4" w:space="0"/>
            </w:tcBorders>
            <w:shd w:val="clear" w:color="auto" w:fill="auto"/>
            <w:vAlign w:val="center"/>
          </w:tcPr>
          <w:p w14:paraId="03F01813">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（3）加强培训，提高管理人员及操作人员的合规意识和环境管理能力，营造“人人合规、事事合规、时时合规”的企业文化。</w:t>
            </w:r>
          </w:p>
        </w:tc>
        <w:tc>
          <w:tcPr>
            <w:tcW w:w="3352" w:type="dxa"/>
            <w:tcBorders>
              <w:left w:val="single" w:color="auto" w:sz="4" w:space="0"/>
            </w:tcBorders>
            <w:shd w:val="clear" w:color="auto" w:fill="auto"/>
            <w:vAlign w:val="center"/>
          </w:tcPr>
          <w:p w14:paraId="41FDD73B">
            <w:pPr>
              <w:autoSpaceDE w:val="0"/>
              <w:autoSpaceDN w:val="0"/>
              <w:adjustRightInd w:val="0"/>
              <w:snapToGrid w:val="0"/>
              <w:rPr>
                <w:rFonts w:ascii="Times New Roman" w:hAnsi="Times New Roman" w:eastAsia="宋体" w:cs="Times New Roman"/>
                <w:snapToGrid w:val="0"/>
                <w:kern w:val="0"/>
                <w:sz w:val="20"/>
                <w:szCs w:val="20"/>
                <w:lang w:bidi="zh-CN"/>
              </w:rPr>
            </w:pPr>
            <w:r>
              <w:rPr>
                <w:rFonts w:hint="eastAsia" w:ascii="Times New Roman" w:hAnsi="Times New Roman" w:eastAsia="宋体" w:cs="Times New Roman"/>
                <w:snapToGrid w:val="0"/>
                <w:kern w:val="0"/>
                <w:sz w:val="20"/>
                <w:szCs w:val="20"/>
                <w:lang w:bidi="zh-CN"/>
              </w:rPr>
              <w:t>已完成。</w:t>
            </w:r>
          </w:p>
        </w:tc>
      </w:tr>
      <w:tr w14:paraId="62D5C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jc w:val="center"/>
        </w:trPr>
        <w:tc>
          <w:tcPr>
            <w:tcW w:w="696" w:type="dxa"/>
            <w:shd w:val="clear" w:color="auto" w:fill="auto"/>
            <w:vAlign w:val="center"/>
          </w:tcPr>
          <w:p w14:paraId="08A33808">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3</w:t>
            </w:r>
          </w:p>
        </w:tc>
        <w:tc>
          <w:tcPr>
            <w:tcW w:w="992" w:type="dxa"/>
            <w:tcBorders>
              <w:top w:val="single" w:color="auto" w:sz="4" w:space="0"/>
              <w:left w:val="single" w:color="auto" w:sz="4" w:space="0"/>
              <w:right w:val="single" w:color="auto" w:sz="4" w:space="0"/>
            </w:tcBorders>
            <w:shd w:val="clear" w:color="auto" w:fill="auto"/>
            <w:vAlign w:val="center"/>
          </w:tcPr>
          <w:p w14:paraId="476A232B">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举一反三问题一</w:t>
            </w:r>
          </w:p>
        </w:tc>
        <w:tc>
          <w:tcPr>
            <w:tcW w:w="2224" w:type="dxa"/>
            <w:tcBorders>
              <w:top w:val="single" w:color="auto" w:sz="4" w:space="0"/>
              <w:left w:val="single" w:color="auto" w:sz="4" w:space="0"/>
              <w:right w:val="single" w:color="auto" w:sz="4" w:space="0"/>
            </w:tcBorders>
            <w:shd w:val="clear" w:color="auto" w:fill="auto"/>
            <w:vAlign w:val="center"/>
          </w:tcPr>
          <w:p w14:paraId="708CC9F3">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危险废物台账管理分散，归档不完整、不规范。</w:t>
            </w:r>
          </w:p>
        </w:tc>
        <w:tc>
          <w:tcPr>
            <w:tcW w:w="6667" w:type="dxa"/>
            <w:tcBorders>
              <w:top w:val="single" w:color="auto" w:sz="4" w:space="0"/>
              <w:left w:val="single" w:color="auto" w:sz="4" w:space="0"/>
              <w:right w:val="single" w:color="auto" w:sz="4" w:space="0"/>
            </w:tcBorders>
            <w:shd w:val="clear" w:color="auto" w:fill="auto"/>
            <w:vAlign w:val="center"/>
          </w:tcPr>
          <w:p w14:paraId="5B1A6C71">
            <w:pPr>
              <w:autoSpaceDE w:val="0"/>
              <w:autoSpaceDN w:val="0"/>
              <w:rPr>
                <w:rFonts w:ascii="Times New Roman" w:hAnsi="Times New Roman" w:eastAsia="宋体" w:cs="Times New Roman"/>
                <w:snapToGrid w:val="0"/>
                <w:kern w:val="0"/>
                <w:sz w:val="20"/>
                <w:szCs w:val="20"/>
                <w:lang w:bidi="zh-CN"/>
              </w:rPr>
            </w:pPr>
            <w:r>
              <w:rPr>
                <w:rFonts w:ascii="Times New Roman" w:hAnsi="Times New Roman" w:eastAsia="宋体" w:cs="Times New Roman"/>
                <w:snapToGrid w:val="0"/>
                <w:kern w:val="0"/>
                <w:sz w:val="20"/>
                <w:szCs w:val="20"/>
                <w:lang w:bidi="zh-CN"/>
              </w:rPr>
              <w:t>1.对公司执行《危险废物管理计划和管理台账制定技术导则（HJ 1259—2022）》情况进行复查，核对省固废系统和厂内记录，核对联单记录和处理记录，全面梳理公司管理台账。</w:t>
            </w:r>
          </w:p>
          <w:p w14:paraId="4758ABA1">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2.市场部、技术中心和生产部从危废源头进厂开始检查、安环部复核，确保记录完整、真实，固废系统电子台账、危废联单和厂内纸质记录一一对应，梳理后进行完整、归档，做到可追溯、可查询。</w:t>
            </w:r>
          </w:p>
        </w:tc>
        <w:tc>
          <w:tcPr>
            <w:tcW w:w="3352" w:type="dxa"/>
            <w:tcBorders>
              <w:left w:val="single" w:color="auto" w:sz="4" w:space="0"/>
            </w:tcBorders>
            <w:shd w:val="clear" w:color="auto" w:fill="auto"/>
            <w:vAlign w:val="center"/>
          </w:tcPr>
          <w:p w14:paraId="4346306A">
            <w:pPr>
              <w:autoSpaceDE w:val="0"/>
              <w:autoSpaceDN w:val="0"/>
              <w:adjustRightInd w:val="0"/>
              <w:snapToGrid w:val="0"/>
              <w:rPr>
                <w:rFonts w:ascii="Times New Roman" w:hAnsi="Times New Roman" w:eastAsia="宋体" w:cs="Times New Roman"/>
                <w:snapToGrid w:val="0"/>
                <w:kern w:val="0"/>
                <w:sz w:val="20"/>
                <w:szCs w:val="20"/>
                <w:lang w:bidi="zh-CN"/>
              </w:rPr>
            </w:pPr>
            <w:r>
              <w:rPr>
                <w:rFonts w:hint="eastAsia" w:ascii="Times New Roman" w:hAnsi="Times New Roman" w:eastAsia="宋体" w:cs="Times New Roman"/>
                <w:snapToGrid w:val="0"/>
                <w:kern w:val="0"/>
                <w:sz w:val="20"/>
                <w:szCs w:val="20"/>
                <w:lang w:bidi="zh-CN"/>
              </w:rPr>
              <w:t>已完成。</w:t>
            </w:r>
          </w:p>
        </w:tc>
      </w:tr>
      <w:tr w14:paraId="50EE0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96" w:type="dxa"/>
            <w:vMerge w:val="restart"/>
            <w:shd w:val="clear" w:color="auto" w:fill="auto"/>
            <w:vAlign w:val="center"/>
          </w:tcPr>
          <w:p w14:paraId="550EA790">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4</w:t>
            </w:r>
          </w:p>
        </w:tc>
        <w:tc>
          <w:tcPr>
            <w:tcW w:w="992" w:type="dxa"/>
            <w:vMerge w:val="restart"/>
            <w:tcBorders>
              <w:top w:val="single" w:color="auto" w:sz="4" w:space="0"/>
              <w:left w:val="single" w:color="auto" w:sz="4" w:space="0"/>
              <w:right w:val="single" w:color="auto" w:sz="4" w:space="0"/>
            </w:tcBorders>
            <w:shd w:val="clear" w:color="auto" w:fill="auto"/>
            <w:vAlign w:val="center"/>
          </w:tcPr>
          <w:p w14:paraId="5DD26E20">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举一反三问题二</w:t>
            </w:r>
          </w:p>
        </w:tc>
        <w:tc>
          <w:tcPr>
            <w:tcW w:w="2224" w:type="dxa"/>
            <w:vMerge w:val="restart"/>
            <w:tcBorders>
              <w:top w:val="single" w:color="auto" w:sz="4" w:space="0"/>
              <w:left w:val="single" w:color="auto" w:sz="4" w:space="0"/>
              <w:right w:val="single" w:color="auto" w:sz="4" w:space="0"/>
            </w:tcBorders>
            <w:shd w:val="clear" w:color="auto" w:fill="auto"/>
            <w:vAlign w:val="center"/>
          </w:tcPr>
          <w:p w14:paraId="045053CE">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未设置物流专用运输通道，厂内运输跑冒滴漏严重</w:t>
            </w:r>
          </w:p>
        </w:tc>
        <w:tc>
          <w:tcPr>
            <w:tcW w:w="6667" w:type="dxa"/>
            <w:tcBorders>
              <w:top w:val="single" w:color="auto" w:sz="4" w:space="0"/>
              <w:left w:val="single" w:color="auto" w:sz="4" w:space="0"/>
              <w:right w:val="single" w:color="auto" w:sz="4" w:space="0"/>
            </w:tcBorders>
            <w:shd w:val="clear" w:color="auto" w:fill="auto"/>
            <w:vAlign w:val="center"/>
          </w:tcPr>
          <w:p w14:paraId="50308979">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1.设置仓库至填埋场、焚烧车间至填埋场、固化车间至填埋场指定路线。</w:t>
            </w:r>
          </w:p>
        </w:tc>
        <w:tc>
          <w:tcPr>
            <w:tcW w:w="3352" w:type="dxa"/>
            <w:tcBorders>
              <w:left w:val="single" w:color="auto" w:sz="4" w:space="0"/>
            </w:tcBorders>
            <w:shd w:val="clear" w:color="auto" w:fill="auto"/>
            <w:vAlign w:val="center"/>
          </w:tcPr>
          <w:p w14:paraId="4B430514">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hint="eastAsia" w:ascii="Times New Roman" w:hAnsi="Times New Roman" w:eastAsia="宋体" w:cs="Times New Roman"/>
                <w:snapToGrid w:val="0"/>
                <w:kern w:val="0"/>
                <w:sz w:val="20"/>
                <w:szCs w:val="20"/>
                <w:lang w:bidi="zh-CN"/>
              </w:rPr>
              <w:t>已完成。</w:t>
            </w:r>
          </w:p>
        </w:tc>
      </w:tr>
      <w:tr w14:paraId="6F2DA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6" w:type="dxa"/>
            <w:vMerge w:val="continue"/>
            <w:shd w:val="clear" w:color="auto" w:fill="auto"/>
            <w:vAlign w:val="center"/>
          </w:tcPr>
          <w:p w14:paraId="08F4E9D6"/>
        </w:tc>
        <w:tc>
          <w:tcPr>
            <w:tcW w:w="992" w:type="dxa"/>
            <w:vMerge w:val="continue"/>
            <w:tcBorders>
              <w:top w:val="single" w:color="auto" w:sz="4" w:space="0"/>
              <w:left w:val="single" w:color="auto" w:sz="4" w:space="0"/>
              <w:right w:val="single" w:color="auto" w:sz="4" w:space="0"/>
            </w:tcBorders>
            <w:shd w:val="clear" w:color="auto" w:fill="auto"/>
            <w:vAlign w:val="center"/>
          </w:tcPr>
          <w:p w14:paraId="72C201F2"/>
        </w:tc>
        <w:tc>
          <w:tcPr>
            <w:tcW w:w="2224" w:type="dxa"/>
            <w:vMerge w:val="continue"/>
            <w:tcBorders>
              <w:top w:val="single" w:color="auto" w:sz="4" w:space="0"/>
              <w:left w:val="single" w:color="auto" w:sz="4" w:space="0"/>
              <w:right w:val="single" w:color="auto" w:sz="4" w:space="0"/>
            </w:tcBorders>
            <w:shd w:val="clear" w:color="auto" w:fill="auto"/>
            <w:vAlign w:val="center"/>
          </w:tcPr>
          <w:p w14:paraId="74434B3A"/>
        </w:tc>
        <w:tc>
          <w:tcPr>
            <w:tcW w:w="6667" w:type="dxa"/>
            <w:tcBorders>
              <w:top w:val="single" w:color="auto" w:sz="4" w:space="0"/>
              <w:left w:val="single" w:color="auto" w:sz="4" w:space="0"/>
              <w:right w:val="single" w:color="auto" w:sz="4" w:space="0"/>
            </w:tcBorders>
            <w:shd w:val="clear" w:color="auto" w:fill="auto"/>
            <w:vAlign w:val="center"/>
          </w:tcPr>
          <w:p w14:paraId="7FB291ED">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2.完善车辆防抛洒措施，减少路面抛洒。</w:t>
            </w:r>
          </w:p>
        </w:tc>
        <w:tc>
          <w:tcPr>
            <w:tcW w:w="3352" w:type="dxa"/>
            <w:tcBorders>
              <w:left w:val="single" w:color="auto" w:sz="4" w:space="0"/>
            </w:tcBorders>
            <w:shd w:val="clear" w:color="auto" w:fill="auto"/>
            <w:vAlign w:val="center"/>
          </w:tcPr>
          <w:p w14:paraId="5A2201B2">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hint="eastAsia" w:ascii="Times New Roman" w:hAnsi="Times New Roman" w:eastAsia="宋体" w:cs="Times New Roman"/>
                <w:snapToGrid w:val="0"/>
                <w:kern w:val="0"/>
                <w:sz w:val="20"/>
                <w:szCs w:val="20"/>
                <w:lang w:bidi="zh-CN"/>
              </w:rPr>
              <w:t>已完成。</w:t>
            </w:r>
          </w:p>
        </w:tc>
      </w:tr>
      <w:tr w14:paraId="3C8BD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96" w:type="dxa"/>
            <w:vMerge w:val="continue"/>
            <w:shd w:val="clear" w:color="auto" w:fill="auto"/>
            <w:vAlign w:val="center"/>
          </w:tcPr>
          <w:p w14:paraId="3F94F00D"/>
        </w:tc>
        <w:tc>
          <w:tcPr>
            <w:tcW w:w="992" w:type="dxa"/>
            <w:vMerge w:val="continue"/>
            <w:tcBorders>
              <w:top w:val="single" w:color="auto" w:sz="4" w:space="0"/>
              <w:left w:val="single" w:color="auto" w:sz="4" w:space="0"/>
              <w:right w:val="single" w:color="auto" w:sz="4" w:space="0"/>
            </w:tcBorders>
            <w:shd w:val="clear" w:color="auto" w:fill="auto"/>
            <w:vAlign w:val="center"/>
          </w:tcPr>
          <w:p w14:paraId="0ABD938D"/>
        </w:tc>
        <w:tc>
          <w:tcPr>
            <w:tcW w:w="2224" w:type="dxa"/>
            <w:vMerge w:val="continue"/>
            <w:tcBorders>
              <w:top w:val="single" w:color="auto" w:sz="4" w:space="0"/>
              <w:left w:val="single" w:color="auto" w:sz="4" w:space="0"/>
              <w:right w:val="single" w:color="auto" w:sz="4" w:space="0"/>
            </w:tcBorders>
            <w:shd w:val="clear" w:color="auto" w:fill="auto"/>
            <w:vAlign w:val="center"/>
          </w:tcPr>
          <w:p w14:paraId="4E08FEA3"/>
        </w:tc>
        <w:tc>
          <w:tcPr>
            <w:tcW w:w="6667" w:type="dxa"/>
            <w:tcBorders>
              <w:top w:val="single" w:color="auto" w:sz="4" w:space="0"/>
              <w:left w:val="single" w:color="auto" w:sz="4" w:space="0"/>
              <w:right w:val="single" w:color="auto" w:sz="4" w:space="0"/>
            </w:tcBorders>
            <w:shd w:val="clear" w:color="auto" w:fill="auto"/>
            <w:vAlign w:val="center"/>
          </w:tcPr>
          <w:p w14:paraId="17A48295">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3.指定专人负责在物流运输后及时打扫。</w:t>
            </w:r>
          </w:p>
        </w:tc>
        <w:tc>
          <w:tcPr>
            <w:tcW w:w="3352" w:type="dxa"/>
            <w:tcBorders>
              <w:left w:val="single" w:color="auto" w:sz="4" w:space="0"/>
            </w:tcBorders>
            <w:shd w:val="clear" w:color="auto" w:fill="auto"/>
            <w:vAlign w:val="center"/>
          </w:tcPr>
          <w:p w14:paraId="3F4C789D">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hint="eastAsia" w:ascii="Times New Roman" w:hAnsi="Times New Roman" w:eastAsia="宋体" w:cs="Times New Roman"/>
                <w:snapToGrid w:val="0"/>
                <w:kern w:val="0"/>
                <w:sz w:val="20"/>
                <w:szCs w:val="20"/>
                <w:lang w:bidi="zh-CN"/>
              </w:rPr>
              <w:t>已完成。</w:t>
            </w:r>
          </w:p>
        </w:tc>
      </w:tr>
      <w:tr w14:paraId="0F10F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96" w:type="dxa"/>
            <w:vMerge w:val="restart"/>
            <w:shd w:val="clear" w:color="auto" w:fill="auto"/>
            <w:vAlign w:val="center"/>
          </w:tcPr>
          <w:p w14:paraId="04C4C97A">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5</w:t>
            </w:r>
          </w:p>
        </w:tc>
        <w:tc>
          <w:tcPr>
            <w:tcW w:w="992" w:type="dxa"/>
            <w:vMerge w:val="restart"/>
            <w:tcBorders>
              <w:top w:val="single" w:color="auto" w:sz="4" w:space="0"/>
              <w:left w:val="single" w:color="auto" w:sz="4" w:space="0"/>
              <w:right w:val="single" w:color="auto" w:sz="4" w:space="0"/>
            </w:tcBorders>
            <w:shd w:val="clear" w:color="auto" w:fill="auto"/>
            <w:vAlign w:val="center"/>
          </w:tcPr>
          <w:p w14:paraId="6D3620C1">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举一反三问题三</w:t>
            </w:r>
          </w:p>
        </w:tc>
        <w:tc>
          <w:tcPr>
            <w:tcW w:w="2224" w:type="dxa"/>
            <w:vMerge w:val="restart"/>
            <w:tcBorders>
              <w:top w:val="single" w:color="auto" w:sz="4" w:space="0"/>
              <w:left w:val="single" w:color="auto" w:sz="4" w:space="0"/>
              <w:right w:val="single" w:color="auto" w:sz="4" w:space="0"/>
            </w:tcBorders>
            <w:shd w:val="clear" w:color="auto" w:fill="auto"/>
            <w:vAlign w:val="center"/>
          </w:tcPr>
          <w:p w14:paraId="1AEAB8A2">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厂区存在露天堆放吨桶现象。</w:t>
            </w:r>
          </w:p>
        </w:tc>
        <w:tc>
          <w:tcPr>
            <w:tcW w:w="6667" w:type="dxa"/>
            <w:tcBorders>
              <w:top w:val="single" w:color="auto" w:sz="4" w:space="0"/>
              <w:left w:val="single" w:color="auto" w:sz="4" w:space="0"/>
              <w:right w:val="single" w:color="auto" w:sz="4" w:space="0"/>
            </w:tcBorders>
            <w:shd w:val="clear" w:color="auto" w:fill="auto"/>
            <w:vAlign w:val="center"/>
          </w:tcPr>
          <w:p w14:paraId="425AAD4D">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1.立即将露天堆放的吨桶转运至规范贮存场所。</w:t>
            </w:r>
          </w:p>
        </w:tc>
        <w:tc>
          <w:tcPr>
            <w:tcW w:w="3352" w:type="dxa"/>
            <w:tcBorders>
              <w:left w:val="single" w:color="auto" w:sz="4" w:space="0"/>
            </w:tcBorders>
            <w:shd w:val="clear" w:color="auto" w:fill="auto"/>
            <w:vAlign w:val="center"/>
          </w:tcPr>
          <w:p w14:paraId="7DC3854B">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hint="eastAsia" w:ascii="Times New Roman" w:hAnsi="Times New Roman" w:eastAsia="宋体" w:cs="Times New Roman"/>
                <w:snapToGrid w:val="0"/>
                <w:kern w:val="0"/>
                <w:sz w:val="20"/>
                <w:szCs w:val="20"/>
                <w:lang w:bidi="zh-CN"/>
              </w:rPr>
              <w:t>已完成。</w:t>
            </w:r>
          </w:p>
        </w:tc>
      </w:tr>
      <w:tr w14:paraId="7191F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96" w:type="dxa"/>
            <w:vMerge w:val="continue"/>
            <w:shd w:val="clear" w:color="auto" w:fill="auto"/>
            <w:vAlign w:val="center"/>
          </w:tcPr>
          <w:p w14:paraId="548B7D68"/>
        </w:tc>
        <w:tc>
          <w:tcPr>
            <w:tcW w:w="992" w:type="dxa"/>
            <w:vMerge w:val="continue"/>
            <w:tcBorders>
              <w:top w:val="single" w:color="auto" w:sz="4" w:space="0"/>
              <w:left w:val="single" w:color="auto" w:sz="4" w:space="0"/>
              <w:right w:val="single" w:color="auto" w:sz="4" w:space="0"/>
            </w:tcBorders>
            <w:shd w:val="clear" w:color="auto" w:fill="auto"/>
            <w:vAlign w:val="center"/>
          </w:tcPr>
          <w:p w14:paraId="2ADEC5A0"/>
        </w:tc>
        <w:tc>
          <w:tcPr>
            <w:tcW w:w="2224" w:type="dxa"/>
            <w:vMerge w:val="continue"/>
            <w:tcBorders>
              <w:top w:val="single" w:color="auto" w:sz="4" w:space="0"/>
              <w:left w:val="single" w:color="auto" w:sz="4" w:space="0"/>
              <w:right w:val="single" w:color="auto" w:sz="4" w:space="0"/>
            </w:tcBorders>
            <w:shd w:val="clear" w:color="auto" w:fill="auto"/>
            <w:vAlign w:val="center"/>
          </w:tcPr>
          <w:p w14:paraId="536708A1"/>
        </w:tc>
        <w:tc>
          <w:tcPr>
            <w:tcW w:w="6667" w:type="dxa"/>
            <w:tcBorders>
              <w:top w:val="single" w:color="auto" w:sz="4" w:space="0"/>
              <w:left w:val="single" w:color="auto" w:sz="4" w:space="0"/>
              <w:right w:val="single" w:color="auto" w:sz="4" w:space="0"/>
            </w:tcBorders>
            <w:shd w:val="clear" w:color="auto" w:fill="auto"/>
            <w:vAlign w:val="center"/>
          </w:tcPr>
          <w:p w14:paraId="7A27F5ED">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2.加强员工培训，修改完善操作规程，严禁在没有防护措施的情况下临时堆放危险废物。</w:t>
            </w:r>
          </w:p>
        </w:tc>
        <w:tc>
          <w:tcPr>
            <w:tcW w:w="3352" w:type="dxa"/>
            <w:tcBorders>
              <w:left w:val="single" w:color="auto" w:sz="4" w:space="0"/>
            </w:tcBorders>
            <w:shd w:val="clear" w:color="auto" w:fill="auto"/>
            <w:vAlign w:val="center"/>
          </w:tcPr>
          <w:p w14:paraId="44E7F294">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hint="eastAsia" w:ascii="Times New Roman" w:hAnsi="Times New Roman" w:eastAsia="宋体" w:cs="Times New Roman"/>
                <w:snapToGrid w:val="0"/>
                <w:kern w:val="0"/>
                <w:sz w:val="20"/>
                <w:szCs w:val="20"/>
                <w:lang w:bidi="zh-CN"/>
              </w:rPr>
              <w:t>已完成。</w:t>
            </w:r>
          </w:p>
        </w:tc>
      </w:tr>
      <w:tr w14:paraId="327EE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96" w:type="dxa"/>
            <w:vMerge w:val="restart"/>
            <w:shd w:val="clear" w:color="auto" w:fill="auto"/>
            <w:vAlign w:val="center"/>
          </w:tcPr>
          <w:p w14:paraId="4FDCD079">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6</w:t>
            </w:r>
          </w:p>
        </w:tc>
        <w:tc>
          <w:tcPr>
            <w:tcW w:w="992" w:type="dxa"/>
            <w:vMerge w:val="restart"/>
            <w:tcBorders>
              <w:top w:val="single" w:color="auto" w:sz="4" w:space="0"/>
              <w:left w:val="single" w:color="auto" w:sz="4" w:space="0"/>
              <w:right w:val="single" w:color="auto" w:sz="4" w:space="0"/>
            </w:tcBorders>
            <w:shd w:val="clear" w:color="auto" w:fill="auto"/>
            <w:vAlign w:val="center"/>
          </w:tcPr>
          <w:p w14:paraId="634E1476">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举一反三问题四</w:t>
            </w:r>
          </w:p>
        </w:tc>
        <w:tc>
          <w:tcPr>
            <w:tcW w:w="2224" w:type="dxa"/>
            <w:vMerge w:val="restart"/>
            <w:tcBorders>
              <w:top w:val="single" w:color="auto" w:sz="4" w:space="0"/>
              <w:left w:val="single" w:color="auto" w:sz="4" w:space="0"/>
              <w:right w:val="single" w:color="auto" w:sz="4" w:space="0"/>
            </w:tcBorders>
            <w:shd w:val="clear" w:color="auto" w:fill="auto"/>
            <w:vAlign w:val="center"/>
          </w:tcPr>
          <w:p w14:paraId="638507F9">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危险废物暂存库管理不规范，存在渗滤液收集设施不完善、危险废物分区标识设置不规范问题</w:t>
            </w:r>
          </w:p>
        </w:tc>
        <w:tc>
          <w:tcPr>
            <w:tcW w:w="6667" w:type="dxa"/>
            <w:tcBorders>
              <w:top w:val="single" w:color="auto" w:sz="4" w:space="0"/>
              <w:left w:val="single" w:color="auto" w:sz="4" w:space="0"/>
              <w:right w:val="single" w:color="auto" w:sz="4" w:space="0"/>
            </w:tcBorders>
            <w:shd w:val="clear" w:color="auto" w:fill="auto"/>
            <w:vAlign w:val="center"/>
          </w:tcPr>
          <w:p w14:paraId="37DC666A">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1.对液态危险废物以及可能产生渗滤液的危险废物包装物底部严格按照标准要求，加强防渗漏措施，防止液态危险废物、渗滤液泄露造成污染。</w:t>
            </w:r>
          </w:p>
        </w:tc>
        <w:tc>
          <w:tcPr>
            <w:tcW w:w="3352" w:type="dxa"/>
            <w:tcBorders>
              <w:left w:val="single" w:color="auto" w:sz="4" w:space="0"/>
            </w:tcBorders>
            <w:shd w:val="clear" w:color="auto" w:fill="auto"/>
            <w:vAlign w:val="center"/>
          </w:tcPr>
          <w:p w14:paraId="6E568E3C">
            <w:pPr>
              <w:autoSpaceDE w:val="0"/>
              <w:autoSpaceDN w:val="0"/>
              <w:adjustRightInd w:val="0"/>
              <w:snapToGrid w:val="0"/>
              <w:rPr>
                <w:rFonts w:ascii="Times New Roman" w:hAnsi="Times New Roman" w:eastAsia="宋体" w:cs="Times New Roman"/>
                <w:snapToGrid w:val="0"/>
                <w:kern w:val="0"/>
                <w:sz w:val="20"/>
                <w:szCs w:val="20"/>
                <w:lang w:bidi="zh-CN"/>
              </w:rPr>
            </w:pPr>
            <w:r>
              <w:rPr>
                <w:rFonts w:hint="eastAsia" w:ascii="Times New Roman" w:hAnsi="Times New Roman" w:eastAsia="宋体" w:cs="Times New Roman"/>
                <w:snapToGrid w:val="0"/>
                <w:kern w:val="0"/>
                <w:sz w:val="20"/>
                <w:szCs w:val="20"/>
                <w:lang w:bidi="zh-CN"/>
              </w:rPr>
              <w:t>已完成并持续保持。</w:t>
            </w:r>
          </w:p>
        </w:tc>
      </w:tr>
      <w:tr w14:paraId="2333D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96" w:type="dxa"/>
            <w:vMerge w:val="continue"/>
            <w:shd w:val="clear" w:color="auto" w:fill="auto"/>
            <w:vAlign w:val="center"/>
          </w:tcPr>
          <w:p w14:paraId="38C4A820"/>
        </w:tc>
        <w:tc>
          <w:tcPr>
            <w:tcW w:w="992" w:type="dxa"/>
            <w:vMerge w:val="continue"/>
            <w:tcBorders>
              <w:top w:val="single" w:color="auto" w:sz="4" w:space="0"/>
              <w:left w:val="single" w:color="auto" w:sz="4" w:space="0"/>
              <w:right w:val="single" w:color="auto" w:sz="4" w:space="0"/>
            </w:tcBorders>
            <w:shd w:val="clear" w:color="auto" w:fill="auto"/>
            <w:vAlign w:val="center"/>
          </w:tcPr>
          <w:p w14:paraId="36B491AA"/>
        </w:tc>
        <w:tc>
          <w:tcPr>
            <w:tcW w:w="2224" w:type="dxa"/>
            <w:vMerge w:val="continue"/>
            <w:tcBorders>
              <w:top w:val="single" w:color="auto" w:sz="4" w:space="0"/>
              <w:left w:val="single" w:color="auto" w:sz="4" w:space="0"/>
              <w:right w:val="single" w:color="auto" w:sz="4" w:space="0"/>
            </w:tcBorders>
            <w:shd w:val="clear" w:color="auto" w:fill="auto"/>
            <w:vAlign w:val="center"/>
          </w:tcPr>
          <w:p w14:paraId="2A9CE42D"/>
        </w:tc>
        <w:tc>
          <w:tcPr>
            <w:tcW w:w="6667" w:type="dxa"/>
            <w:tcBorders>
              <w:top w:val="single" w:color="auto" w:sz="4" w:space="0"/>
              <w:left w:val="single" w:color="auto" w:sz="4" w:space="0"/>
              <w:right w:val="single" w:color="auto" w:sz="4" w:space="0"/>
            </w:tcBorders>
            <w:shd w:val="clear" w:color="auto" w:fill="auto"/>
            <w:vAlign w:val="center"/>
          </w:tcPr>
          <w:p w14:paraId="364BD30E">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2.对厂区危废储存设施和储存的物料进行标识、标签的合规设置。</w:t>
            </w:r>
          </w:p>
        </w:tc>
        <w:tc>
          <w:tcPr>
            <w:tcW w:w="3352" w:type="dxa"/>
            <w:tcBorders>
              <w:left w:val="single" w:color="auto" w:sz="4" w:space="0"/>
            </w:tcBorders>
            <w:shd w:val="clear" w:color="auto" w:fill="auto"/>
            <w:vAlign w:val="center"/>
          </w:tcPr>
          <w:p w14:paraId="68B9E463">
            <w:pPr>
              <w:autoSpaceDE w:val="0"/>
              <w:autoSpaceDN w:val="0"/>
              <w:adjustRightInd w:val="0"/>
              <w:snapToGrid w:val="0"/>
              <w:rPr>
                <w:rFonts w:ascii="Times New Roman" w:hAnsi="Times New Roman" w:eastAsia="宋体" w:cs="Times New Roman"/>
                <w:snapToGrid w:val="0"/>
                <w:kern w:val="0"/>
                <w:sz w:val="20"/>
                <w:szCs w:val="20"/>
                <w:lang w:bidi="zh-CN"/>
              </w:rPr>
            </w:pPr>
            <w:r>
              <w:rPr>
                <w:rFonts w:hint="eastAsia" w:ascii="Times New Roman" w:hAnsi="Times New Roman" w:eastAsia="宋体" w:cs="Times New Roman"/>
                <w:snapToGrid w:val="0"/>
                <w:kern w:val="0"/>
                <w:sz w:val="20"/>
                <w:szCs w:val="20"/>
                <w:lang w:bidi="zh-CN"/>
              </w:rPr>
              <w:t>已完成并持续保持。</w:t>
            </w:r>
          </w:p>
        </w:tc>
      </w:tr>
      <w:tr w14:paraId="34E85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96" w:type="dxa"/>
            <w:vMerge w:val="continue"/>
            <w:shd w:val="clear" w:color="auto" w:fill="auto"/>
            <w:vAlign w:val="center"/>
          </w:tcPr>
          <w:p w14:paraId="581248BC"/>
        </w:tc>
        <w:tc>
          <w:tcPr>
            <w:tcW w:w="992" w:type="dxa"/>
            <w:vMerge w:val="continue"/>
            <w:tcBorders>
              <w:top w:val="single" w:color="auto" w:sz="4" w:space="0"/>
              <w:left w:val="single" w:color="auto" w:sz="4" w:space="0"/>
              <w:right w:val="single" w:color="auto" w:sz="4" w:space="0"/>
            </w:tcBorders>
            <w:shd w:val="clear" w:color="auto" w:fill="auto"/>
            <w:vAlign w:val="center"/>
          </w:tcPr>
          <w:p w14:paraId="10A9A96B"/>
        </w:tc>
        <w:tc>
          <w:tcPr>
            <w:tcW w:w="2224" w:type="dxa"/>
            <w:vMerge w:val="continue"/>
            <w:tcBorders>
              <w:top w:val="single" w:color="auto" w:sz="4" w:space="0"/>
              <w:left w:val="single" w:color="auto" w:sz="4" w:space="0"/>
              <w:right w:val="single" w:color="auto" w:sz="4" w:space="0"/>
            </w:tcBorders>
            <w:shd w:val="clear" w:color="auto" w:fill="auto"/>
            <w:vAlign w:val="center"/>
          </w:tcPr>
          <w:p w14:paraId="51B01E7A"/>
        </w:tc>
        <w:tc>
          <w:tcPr>
            <w:tcW w:w="6667" w:type="dxa"/>
            <w:tcBorders>
              <w:top w:val="single" w:color="auto" w:sz="4" w:space="0"/>
              <w:left w:val="single" w:color="auto" w:sz="4" w:space="0"/>
              <w:right w:val="single" w:color="auto" w:sz="4" w:space="0"/>
            </w:tcBorders>
            <w:shd w:val="clear" w:color="auto" w:fill="auto"/>
            <w:vAlign w:val="center"/>
          </w:tcPr>
          <w:p w14:paraId="3AADECAF">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3.加强运输公司培训，从转移过程把控危险废物标签的合规设置。</w:t>
            </w:r>
          </w:p>
        </w:tc>
        <w:tc>
          <w:tcPr>
            <w:tcW w:w="3352" w:type="dxa"/>
            <w:tcBorders>
              <w:left w:val="single" w:color="auto" w:sz="4" w:space="0"/>
            </w:tcBorders>
            <w:shd w:val="clear" w:color="auto" w:fill="auto"/>
            <w:vAlign w:val="center"/>
          </w:tcPr>
          <w:p w14:paraId="649A0B2F">
            <w:pPr>
              <w:autoSpaceDE w:val="0"/>
              <w:autoSpaceDN w:val="0"/>
              <w:adjustRightInd w:val="0"/>
              <w:snapToGrid w:val="0"/>
              <w:rPr>
                <w:rFonts w:ascii="Times New Roman" w:hAnsi="Times New Roman" w:eastAsia="宋体" w:cs="Times New Roman"/>
                <w:snapToGrid w:val="0"/>
                <w:kern w:val="0"/>
                <w:sz w:val="20"/>
                <w:szCs w:val="20"/>
                <w:lang w:bidi="zh-CN"/>
              </w:rPr>
            </w:pPr>
            <w:r>
              <w:rPr>
                <w:rFonts w:hint="eastAsia" w:ascii="Times New Roman" w:hAnsi="Times New Roman" w:eastAsia="宋体" w:cs="Times New Roman"/>
                <w:snapToGrid w:val="0"/>
                <w:kern w:val="0"/>
                <w:sz w:val="20"/>
                <w:szCs w:val="20"/>
                <w:lang w:bidi="zh-CN"/>
              </w:rPr>
              <w:t>已完成。</w:t>
            </w:r>
          </w:p>
        </w:tc>
      </w:tr>
      <w:tr w14:paraId="4A67C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96" w:type="dxa"/>
            <w:shd w:val="clear" w:color="auto" w:fill="auto"/>
            <w:vAlign w:val="center"/>
          </w:tcPr>
          <w:p w14:paraId="147D536B">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7</w:t>
            </w:r>
          </w:p>
        </w:tc>
        <w:tc>
          <w:tcPr>
            <w:tcW w:w="992" w:type="dxa"/>
            <w:tcBorders>
              <w:top w:val="single" w:color="auto" w:sz="4" w:space="0"/>
              <w:left w:val="single" w:color="auto" w:sz="4" w:space="0"/>
              <w:right w:val="single" w:color="auto" w:sz="4" w:space="0"/>
            </w:tcBorders>
            <w:shd w:val="clear" w:color="auto" w:fill="auto"/>
            <w:vAlign w:val="center"/>
          </w:tcPr>
          <w:p w14:paraId="72D5B3D4">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举一反三问题五</w:t>
            </w:r>
          </w:p>
        </w:tc>
        <w:tc>
          <w:tcPr>
            <w:tcW w:w="2224" w:type="dxa"/>
            <w:tcBorders>
              <w:top w:val="single" w:color="auto" w:sz="4" w:space="0"/>
              <w:left w:val="single" w:color="auto" w:sz="4" w:space="0"/>
              <w:right w:val="single" w:color="auto" w:sz="4" w:space="0"/>
            </w:tcBorders>
            <w:shd w:val="clear" w:color="auto" w:fill="auto"/>
            <w:vAlign w:val="center"/>
          </w:tcPr>
          <w:p w14:paraId="7EEE93AB">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厂区内绿化养护不足。</w:t>
            </w:r>
          </w:p>
        </w:tc>
        <w:tc>
          <w:tcPr>
            <w:tcW w:w="6667" w:type="dxa"/>
            <w:tcBorders>
              <w:top w:val="single" w:color="auto" w:sz="4" w:space="0"/>
              <w:left w:val="single" w:color="auto" w:sz="4" w:space="0"/>
              <w:right w:val="single" w:color="auto" w:sz="4" w:space="0"/>
            </w:tcBorders>
            <w:shd w:val="clear" w:color="auto" w:fill="auto"/>
            <w:vAlign w:val="center"/>
          </w:tcPr>
          <w:p w14:paraId="004F1E5C">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对厂区内绿化环境进行全面升级改造，在厂区周围种植水杉、藤蔓类植物，逐步形成“绿色工厂”。</w:t>
            </w:r>
          </w:p>
        </w:tc>
        <w:tc>
          <w:tcPr>
            <w:tcW w:w="3352" w:type="dxa"/>
            <w:tcBorders>
              <w:left w:val="single" w:color="auto" w:sz="4" w:space="0"/>
            </w:tcBorders>
            <w:shd w:val="clear" w:color="auto" w:fill="auto"/>
            <w:vAlign w:val="center"/>
          </w:tcPr>
          <w:p w14:paraId="3158319E">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hint="eastAsia" w:ascii="Times New Roman" w:hAnsi="Times New Roman" w:eastAsia="宋体" w:cs="Times New Roman"/>
                <w:snapToGrid w:val="0"/>
                <w:kern w:val="0"/>
                <w:sz w:val="20"/>
                <w:szCs w:val="20"/>
                <w:lang w:bidi="zh-CN"/>
              </w:rPr>
              <w:t>已完成并持续保持。</w:t>
            </w:r>
          </w:p>
        </w:tc>
      </w:tr>
      <w:tr w14:paraId="2CCB2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696" w:type="dxa"/>
            <w:vMerge w:val="restart"/>
            <w:shd w:val="clear" w:color="auto" w:fill="auto"/>
            <w:vAlign w:val="center"/>
          </w:tcPr>
          <w:p w14:paraId="5E9C6A8C">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8</w:t>
            </w:r>
          </w:p>
        </w:tc>
        <w:tc>
          <w:tcPr>
            <w:tcW w:w="992" w:type="dxa"/>
            <w:vMerge w:val="restart"/>
            <w:tcBorders>
              <w:top w:val="single" w:color="auto" w:sz="4" w:space="0"/>
              <w:left w:val="single" w:color="auto" w:sz="4" w:space="0"/>
              <w:right w:val="single" w:color="auto" w:sz="4" w:space="0"/>
            </w:tcBorders>
            <w:shd w:val="clear" w:color="auto" w:fill="auto"/>
            <w:vAlign w:val="center"/>
          </w:tcPr>
          <w:p w14:paraId="49553B8F">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长效机制一</w:t>
            </w:r>
          </w:p>
        </w:tc>
        <w:tc>
          <w:tcPr>
            <w:tcW w:w="2224" w:type="dxa"/>
            <w:vMerge w:val="restart"/>
            <w:tcBorders>
              <w:top w:val="single" w:color="auto" w:sz="4" w:space="0"/>
              <w:left w:val="single" w:color="auto" w:sz="4" w:space="0"/>
              <w:right w:val="single" w:color="auto" w:sz="4" w:space="0"/>
            </w:tcBorders>
            <w:shd w:val="clear" w:color="auto" w:fill="auto"/>
            <w:vAlign w:val="center"/>
          </w:tcPr>
          <w:p w14:paraId="1778DCE4">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坚持依法治企，强化合规经营。针对这次督办，公司已经聘请环保专项合规团队，对经营中的环境问题进行专项环保合规整改，搭建合规管理体系，进一步完善和促进公司合法合规经营。</w:t>
            </w:r>
          </w:p>
        </w:tc>
        <w:tc>
          <w:tcPr>
            <w:tcW w:w="6667" w:type="dxa"/>
            <w:tcBorders>
              <w:top w:val="single" w:color="auto" w:sz="4" w:space="0"/>
              <w:left w:val="single" w:color="auto" w:sz="4" w:space="0"/>
              <w:right w:val="single" w:color="auto" w:sz="4" w:space="0"/>
            </w:tcBorders>
            <w:shd w:val="clear" w:color="auto" w:fill="auto"/>
            <w:vAlign w:val="center"/>
          </w:tcPr>
          <w:p w14:paraId="4F42A60C">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1.开展合规管理现状调查。依托第三方专业机构，对环保合规管理现状全面调查，分析公司合规管理现状与合规管理目标之间的差距，明确环保合规管理的重点任务、重点环节和重点岗位。</w:t>
            </w:r>
          </w:p>
        </w:tc>
        <w:tc>
          <w:tcPr>
            <w:tcW w:w="3352" w:type="dxa"/>
            <w:tcBorders>
              <w:left w:val="single" w:color="auto" w:sz="4" w:space="0"/>
            </w:tcBorders>
            <w:shd w:val="clear" w:color="auto" w:fill="auto"/>
            <w:vAlign w:val="center"/>
          </w:tcPr>
          <w:p w14:paraId="1B8F162C">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hint="eastAsia" w:ascii="Times New Roman" w:hAnsi="Times New Roman" w:eastAsia="宋体" w:cs="Times New Roman"/>
                <w:snapToGrid w:val="0"/>
                <w:kern w:val="0"/>
                <w:sz w:val="20"/>
                <w:szCs w:val="20"/>
                <w:lang w:bidi="zh-CN"/>
              </w:rPr>
              <w:t>已完成。</w:t>
            </w:r>
          </w:p>
        </w:tc>
      </w:tr>
      <w:tr w14:paraId="27682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696" w:type="dxa"/>
            <w:vMerge w:val="continue"/>
            <w:shd w:val="clear" w:color="auto" w:fill="auto"/>
            <w:vAlign w:val="center"/>
          </w:tcPr>
          <w:p w14:paraId="7A6BDA8C"/>
        </w:tc>
        <w:tc>
          <w:tcPr>
            <w:tcW w:w="992" w:type="dxa"/>
            <w:vMerge w:val="continue"/>
            <w:tcBorders>
              <w:top w:val="single" w:color="auto" w:sz="4" w:space="0"/>
              <w:left w:val="single" w:color="auto" w:sz="4" w:space="0"/>
              <w:right w:val="single" w:color="auto" w:sz="4" w:space="0"/>
            </w:tcBorders>
            <w:shd w:val="clear" w:color="auto" w:fill="auto"/>
            <w:vAlign w:val="center"/>
          </w:tcPr>
          <w:p w14:paraId="050D0B2C"/>
        </w:tc>
        <w:tc>
          <w:tcPr>
            <w:tcW w:w="2224" w:type="dxa"/>
            <w:vMerge w:val="continue"/>
            <w:tcBorders>
              <w:top w:val="single" w:color="auto" w:sz="4" w:space="0"/>
              <w:left w:val="single" w:color="auto" w:sz="4" w:space="0"/>
              <w:right w:val="single" w:color="auto" w:sz="4" w:space="0"/>
            </w:tcBorders>
            <w:shd w:val="clear" w:color="auto" w:fill="auto"/>
            <w:vAlign w:val="center"/>
          </w:tcPr>
          <w:p w14:paraId="281638D5"/>
        </w:tc>
        <w:tc>
          <w:tcPr>
            <w:tcW w:w="6667" w:type="dxa"/>
            <w:tcBorders>
              <w:top w:val="single" w:color="auto" w:sz="4" w:space="0"/>
              <w:left w:val="single" w:color="auto" w:sz="4" w:space="0"/>
              <w:right w:val="single" w:color="auto" w:sz="4" w:space="0"/>
            </w:tcBorders>
            <w:shd w:val="clear" w:color="auto" w:fill="auto"/>
            <w:vAlign w:val="center"/>
          </w:tcPr>
          <w:p w14:paraId="3C88F503">
            <w:pPr>
              <w:autoSpaceDE w:val="0"/>
              <w:autoSpaceDN w:val="0"/>
              <w:rPr>
                <w:rFonts w:ascii="Times New Roman" w:hAnsi="Times New Roman" w:eastAsia="宋体" w:cs="Times New Roman"/>
                <w:snapToGrid w:val="0"/>
                <w:kern w:val="0"/>
                <w:sz w:val="20"/>
                <w:szCs w:val="20"/>
                <w:lang w:bidi="zh-CN"/>
              </w:rPr>
            </w:pPr>
            <w:r>
              <w:rPr>
                <w:rFonts w:ascii="Times New Roman" w:hAnsi="Times New Roman" w:eastAsia="宋体" w:cs="Times New Roman"/>
                <w:snapToGrid w:val="0"/>
                <w:kern w:val="0"/>
                <w:sz w:val="20"/>
                <w:szCs w:val="20"/>
                <w:lang w:bidi="zh-CN"/>
              </w:rPr>
              <w:t>2.建立合规管理组织体系。识别和梳理公司环保管理工作事项、岗位与人员配置、职责权限分配情况，调整环保管理组织结构，制作各环保工作岗位的职责清单，明确各岗位环保管理的工作内容、工作要求、工作方法、违规责任。</w:t>
            </w:r>
          </w:p>
        </w:tc>
        <w:tc>
          <w:tcPr>
            <w:tcW w:w="3352" w:type="dxa"/>
            <w:tcBorders>
              <w:left w:val="single" w:color="auto" w:sz="4" w:space="0"/>
            </w:tcBorders>
            <w:shd w:val="clear" w:color="auto" w:fill="auto"/>
            <w:vAlign w:val="center"/>
          </w:tcPr>
          <w:p w14:paraId="4D399827">
            <w:pPr>
              <w:autoSpaceDE w:val="0"/>
              <w:autoSpaceDN w:val="0"/>
              <w:adjustRightInd w:val="0"/>
              <w:snapToGrid w:val="0"/>
              <w:rPr>
                <w:rFonts w:ascii="Times New Roman" w:hAnsi="Times New Roman" w:eastAsia="宋体" w:cs="Times New Roman"/>
                <w:snapToGrid w:val="0"/>
                <w:kern w:val="0"/>
                <w:sz w:val="20"/>
                <w:szCs w:val="20"/>
                <w:lang w:bidi="zh-CN"/>
              </w:rPr>
            </w:pPr>
            <w:r>
              <w:rPr>
                <w:rFonts w:hint="eastAsia" w:ascii="Times New Roman" w:hAnsi="Times New Roman" w:eastAsia="宋体" w:cs="Times New Roman"/>
                <w:snapToGrid w:val="0"/>
                <w:kern w:val="0"/>
                <w:sz w:val="20"/>
                <w:szCs w:val="20"/>
                <w:lang w:bidi="zh-CN"/>
              </w:rPr>
              <w:t>已完成。</w:t>
            </w:r>
          </w:p>
        </w:tc>
      </w:tr>
      <w:tr w14:paraId="4E2F3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6" w:type="dxa"/>
            <w:vMerge w:val="continue"/>
            <w:shd w:val="clear" w:color="auto" w:fill="auto"/>
            <w:vAlign w:val="center"/>
          </w:tcPr>
          <w:p w14:paraId="5EA9CBC2"/>
        </w:tc>
        <w:tc>
          <w:tcPr>
            <w:tcW w:w="992" w:type="dxa"/>
            <w:vMerge w:val="continue"/>
            <w:tcBorders>
              <w:top w:val="single" w:color="auto" w:sz="4" w:space="0"/>
              <w:left w:val="single" w:color="auto" w:sz="4" w:space="0"/>
              <w:right w:val="single" w:color="auto" w:sz="4" w:space="0"/>
            </w:tcBorders>
            <w:shd w:val="clear" w:color="auto" w:fill="auto"/>
            <w:vAlign w:val="center"/>
          </w:tcPr>
          <w:p w14:paraId="19E3FF4F"/>
        </w:tc>
        <w:tc>
          <w:tcPr>
            <w:tcW w:w="2224" w:type="dxa"/>
            <w:vMerge w:val="continue"/>
            <w:tcBorders>
              <w:top w:val="single" w:color="auto" w:sz="4" w:space="0"/>
              <w:left w:val="single" w:color="auto" w:sz="4" w:space="0"/>
              <w:right w:val="single" w:color="auto" w:sz="4" w:space="0"/>
            </w:tcBorders>
            <w:shd w:val="clear" w:color="auto" w:fill="auto"/>
            <w:vAlign w:val="center"/>
          </w:tcPr>
          <w:p w14:paraId="514AD217"/>
        </w:tc>
        <w:tc>
          <w:tcPr>
            <w:tcW w:w="6667" w:type="dxa"/>
            <w:tcBorders>
              <w:top w:val="single" w:color="auto" w:sz="4" w:space="0"/>
              <w:left w:val="single" w:color="auto" w:sz="4" w:space="0"/>
              <w:right w:val="single" w:color="auto" w:sz="4" w:space="0"/>
            </w:tcBorders>
            <w:shd w:val="clear" w:color="auto" w:fill="auto"/>
            <w:vAlign w:val="center"/>
          </w:tcPr>
          <w:p w14:paraId="3C2C8B91">
            <w:pPr>
              <w:autoSpaceDE w:val="0"/>
              <w:autoSpaceDN w:val="0"/>
              <w:rPr>
                <w:rFonts w:ascii="Times New Roman" w:hAnsi="Times New Roman" w:eastAsia="宋体" w:cs="Times New Roman"/>
                <w:snapToGrid w:val="0"/>
                <w:kern w:val="0"/>
                <w:sz w:val="20"/>
                <w:szCs w:val="20"/>
                <w:lang w:bidi="zh-CN"/>
              </w:rPr>
            </w:pPr>
            <w:r>
              <w:rPr>
                <w:rFonts w:ascii="Times New Roman" w:hAnsi="Times New Roman" w:eastAsia="宋体" w:cs="Times New Roman"/>
                <w:snapToGrid w:val="0"/>
                <w:kern w:val="0"/>
                <w:sz w:val="20"/>
                <w:szCs w:val="20"/>
                <w:lang w:bidi="zh-CN"/>
              </w:rPr>
              <w:t>3.完善环保合规制度体系。对现有合规管理制度、环保管理制度，逐项出具合规审查意见，提出补充、修改、完善建议。</w:t>
            </w:r>
          </w:p>
        </w:tc>
        <w:tc>
          <w:tcPr>
            <w:tcW w:w="3352" w:type="dxa"/>
            <w:tcBorders>
              <w:left w:val="single" w:color="auto" w:sz="4" w:space="0"/>
            </w:tcBorders>
            <w:shd w:val="clear" w:color="auto" w:fill="auto"/>
            <w:vAlign w:val="center"/>
          </w:tcPr>
          <w:p w14:paraId="681BC076">
            <w:pPr>
              <w:autoSpaceDE w:val="0"/>
              <w:autoSpaceDN w:val="0"/>
              <w:adjustRightInd w:val="0"/>
              <w:snapToGrid w:val="0"/>
              <w:rPr>
                <w:rFonts w:ascii="Times New Roman" w:hAnsi="Times New Roman" w:eastAsia="宋体" w:cs="Times New Roman"/>
                <w:snapToGrid w:val="0"/>
                <w:kern w:val="0"/>
                <w:sz w:val="20"/>
                <w:szCs w:val="20"/>
                <w:lang w:bidi="zh-CN"/>
              </w:rPr>
            </w:pPr>
            <w:r>
              <w:rPr>
                <w:rFonts w:hint="eastAsia" w:ascii="Times New Roman" w:hAnsi="Times New Roman" w:eastAsia="宋体" w:cs="Times New Roman"/>
                <w:snapToGrid w:val="0"/>
                <w:kern w:val="0"/>
                <w:sz w:val="20"/>
                <w:szCs w:val="20"/>
                <w:lang w:bidi="zh-CN"/>
              </w:rPr>
              <w:t>已完成。</w:t>
            </w:r>
          </w:p>
        </w:tc>
      </w:tr>
      <w:tr w14:paraId="026A6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696" w:type="dxa"/>
            <w:vMerge w:val="continue"/>
            <w:shd w:val="clear" w:color="auto" w:fill="auto"/>
            <w:vAlign w:val="center"/>
          </w:tcPr>
          <w:p w14:paraId="40287B92"/>
        </w:tc>
        <w:tc>
          <w:tcPr>
            <w:tcW w:w="992" w:type="dxa"/>
            <w:vMerge w:val="continue"/>
            <w:tcBorders>
              <w:top w:val="single" w:color="auto" w:sz="4" w:space="0"/>
              <w:left w:val="single" w:color="auto" w:sz="4" w:space="0"/>
              <w:right w:val="single" w:color="auto" w:sz="4" w:space="0"/>
            </w:tcBorders>
            <w:shd w:val="clear" w:color="auto" w:fill="auto"/>
            <w:vAlign w:val="center"/>
          </w:tcPr>
          <w:p w14:paraId="3B571C81"/>
        </w:tc>
        <w:tc>
          <w:tcPr>
            <w:tcW w:w="2224" w:type="dxa"/>
            <w:vMerge w:val="continue"/>
            <w:tcBorders>
              <w:top w:val="single" w:color="auto" w:sz="4" w:space="0"/>
              <w:left w:val="single" w:color="auto" w:sz="4" w:space="0"/>
              <w:right w:val="single" w:color="auto" w:sz="4" w:space="0"/>
            </w:tcBorders>
            <w:shd w:val="clear" w:color="auto" w:fill="auto"/>
            <w:vAlign w:val="center"/>
          </w:tcPr>
          <w:p w14:paraId="3C26FEB3"/>
        </w:tc>
        <w:tc>
          <w:tcPr>
            <w:tcW w:w="6667" w:type="dxa"/>
            <w:tcBorders>
              <w:top w:val="single" w:color="auto" w:sz="4" w:space="0"/>
              <w:left w:val="single" w:color="auto" w:sz="4" w:space="0"/>
              <w:right w:val="single" w:color="auto" w:sz="4" w:space="0"/>
            </w:tcBorders>
            <w:shd w:val="clear" w:color="auto" w:fill="auto"/>
            <w:vAlign w:val="center"/>
          </w:tcPr>
          <w:p w14:paraId="5667CD9F">
            <w:pPr>
              <w:autoSpaceDE w:val="0"/>
              <w:autoSpaceDN w:val="0"/>
              <w:rPr>
                <w:rFonts w:ascii="Times New Roman" w:hAnsi="Times New Roman" w:eastAsia="宋体" w:cs="Times New Roman"/>
                <w:snapToGrid w:val="0"/>
                <w:kern w:val="0"/>
                <w:sz w:val="20"/>
                <w:szCs w:val="20"/>
                <w:lang w:bidi="zh-CN"/>
              </w:rPr>
            </w:pPr>
            <w:r>
              <w:rPr>
                <w:rFonts w:ascii="Times New Roman" w:hAnsi="Times New Roman" w:eastAsia="宋体" w:cs="Times New Roman"/>
                <w:snapToGrid w:val="0"/>
                <w:kern w:val="0"/>
                <w:sz w:val="20"/>
                <w:szCs w:val="20"/>
                <w:lang w:bidi="zh-CN"/>
              </w:rPr>
              <w:t>4.建立环保合规运行机制并开展试运行。建立合规义务识别、合规风险评估预警、合规检查、合规调查与奖惩、合规报告等机制，并开展试运行。</w:t>
            </w:r>
          </w:p>
        </w:tc>
        <w:tc>
          <w:tcPr>
            <w:tcW w:w="3352" w:type="dxa"/>
            <w:tcBorders>
              <w:left w:val="single" w:color="auto" w:sz="4" w:space="0"/>
            </w:tcBorders>
            <w:shd w:val="clear" w:color="auto" w:fill="auto"/>
            <w:vAlign w:val="center"/>
          </w:tcPr>
          <w:p w14:paraId="4EFD7640">
            <w:pPr>
              <w:autoSpaceDE w:val="0"/>
              <w:autoSpaceDN w:val="0"/>
              <w:adjustRightInd w:val="0"/>
              <w:snapToGrid w:val="0"/>
              <w:rPr>
                <w:rFonts w:ascii="Times New Roman" w:hAnsi="Times New Roman" w:eastAsia="宋体" w:cs="Times New Roman"/>
                <w:snapToGrid w:val="0"/>
                <w:kern w:val="0"/>
                <w:sz w:val="20"/>
                <w:szCs w:val="20"/>
                <w:lang w:bidi="zh-CN"/>
              </w:rPr>
            </w:pPr>
            <w:r>
              <w:rPr>
                <w:rFonts w:hint="eastAsia" w:ascii="Times New Roman" w:hAnsi="Times New Roman" w:eastAsia="宋体" w:cs="Times New Roman"/>
                <w:snapToGrid w:val="0"/>
                <w:kern w:val="0"/>
                <w:sz w:val="20"/>
                <w:szCs w:val="20"/>
                <w:lang w:bidi="zh-CN"/>
              </w:rPr>
              <w:t>已完成。</w:t>
            </w:r>
          </w:p>
        </w:tc>
      </w:tr>
      <w:tr w14:paraId="36EA5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696" w:type="dxa"/>
            <w:vMerge w:val="continue"/>
            <w:shd w:val="clear" w:color="auto" w:fill="auto"/>
            <w:vAlign w:val="center"/>
          </w:tcPr>
          <w:p w14:paraId="5D6D9E55"/>
        </w:tc>
        <w:tc>
          <w:tcPr>
            <w:tcW w:w="992" w:type="dxa"/>
            <w:vMerge w:val="continue"/>
            <w:tcBorders>
              <w:top w:val="single" w:color="auto" w:sz="4" w:space="0"/>
              <w:left w:val="single" w:color="auto" w:sz="4" w:space="0"/>
              <w:right w:val="single" w:color="auto" w:sz="4" w:space="0"/>
            </w:tcBorders>
            <w:shd w:val="clear" w:color="auto" w:fill="auto"/>
            <w:vAlign w:val="center"/>
          </w:tcPr>
          <w:p w14:paraId="761914FE"/>
        </w:tc>
        <w:tc>
          <w:tcPr>
            <w:tcW w:w="2224" w:type="dxa"/>
            <w:vMerge w:val="continue"/>
            <w:tcBorders>
              <w:top w:val="single" w:color="auto" w:sz="4" w:space="0"/>
              <w:left w:val="single" w:color="auto" w:sz="4" w:space="0"/>
              <w:right w:val="single" w:color="auto" w:sz="4" w:space="0"/>
            </w:tcBorders>
            <w:shd w:val="clear" w:color="auto" w:fill="auto"/>
            <w:vAlign w:val="center"/>
          </w:tcPr>
          <w:p w14:paraId="77674707"/>
        </w:tc>
        <w:tc>
          <w:tcPr>
            <w:tcW w:w="6667" w:type="dxa"/>
            <w:tcBorders>
              <w:top w:val="single" w:color="auto" w:sz="4" w:space="0"/>
              <w:left w:val="single" w:color="auto" w:sz="4" w:space="0"/>
              <w:right w:val="single" w:color="auto" w:sz="4" w:space="0"/>
            </w:tcBorders>
            <w:shd w:val="clear" w:color="auto" w:fill="auto"/>
            <w:vAlign w:val="center"/>
          </w:tcPr>
          <w:p w14:paraId="0AB0D312">
            <w:pPr>
              <w:autoSpaceDE w:val="0"/>
              <w:autoSpaceDN w:val="0"/>
              <w:rPr>
                <w:rFonts w:ascii="Times New Roman" w:hAnsi="Times New Roman" w:eastAsia="宋体" w:cs="Times New Roman"/>
                <w:snapToGrid w:val="0"/>
                <w:kern w:val="0"/>
                <w:sz w:val="20"/>
                <w:szCs w:val="20"/>
                <w:lang w:bidi="zh-CN"/>
              </w:rPr>
            </w:pPr>
            <w:r>
              <w:rPr>
                <w:rFonts w:ascii="Times New Roman" w:hAnsi="Times New Roman" w:eastAsia="宋体" w:cs="Times New Roman"/>
                <w:snapToGrid w:val="0"/>
                <w:kern w:val="0"/>
                <w:sz w:val="20"/>
                <w:szCs w:val="20"/>
                <w:lang w:bidi="zh-CN"/>
              </w:rPr>
              <w:t>5.持续提升合规管理水平。对合规组织体系、合规制度体系、合规运行机制的建设运行情况进行总结，对合规管理体系的有效性进行评估，对后续合规管理工作提出完善建议。</w:t>
            </w:r>
          </w:p>
        </w:tc>
        <w:tc>
          <w:tcPr>
            <w:tcW w:w="3352" w:type="dxa"/>
            <w:tcBorders>
              <w:left w:val="single" w:color="auto" w:sz="4" w:space="0"/>
            </w:tcBorders>
            <w:shd w:val="clear" w:color="auto" w:fill="auto"/>
            <w:vAlign w:val="center"/>
          </w:tcPr>
          <w:p w14:paraId="01529340">
            <w:pPr>
              <w:autoSpaceDE w:val="0"/>
              <w:autoSpaceDN w:val="0"/>
              <w:adjustRightInd w:val="0"/>
              <w:snapToGrid w:val="0"/>
              <w:rPr>
                <w:rFonts w:ascii="Times New Roman" w:hAnsi="Times New Roman" w:eastAsia="宋体" w:cs="Times New Roman"/>
                <w:snapToGrid w:val="0"/>
                <w:kern w:val="0"/>
                <w:sz w:val="20"/>
                <w:szCs w:val="20"/>
                <w:lang w:bidi="zh-CN"/>
              </w:rPr>
            </w:pPr>
            <w:r>
              <w:rPr>
                <w:rFonts w:hint="eastAsia" w:ascii="Times New Roman" w:hAnsi="Times New Roman" w:eastAsia="宋体" w:cs="Times New Roman"/>
                <w:snapToGrid w:val="0"/>
                <w:kern w:val="0"/>
                <w:sz w:val="20"/>
                <w:szCs w:val="20"/>
                <w:lang w:bidi="zh-CN"/>
              </w:rPr>
              <w:t>已完成并持续保持。</w:t>
            </w:r>
          </w:p>
        </w:tc>
      </w:tr>
      <w:tr w14:paraId="492F9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696" w:type="dxa"/>
            <w:shd w:val="clear" w:color="auto" w:fill="auto"/>
            <w:vAlign w:val="center"/>
          </w:tcPr>
          <w:p w14:paraId="78251DF6">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9</w:t>
            </w:r>
          </w:p>
        </w:tc>
        <w:tc>
          <w:tcPr>
            <w:tcW w:w="992" w:type="dxa"/>
            <w:tcBorders>
              <w:top w:val="single" w:color="auto" w:sz="4" w:space="0"/>
              <w:left w:val="single" w:color="auto" w:sz="4" w:space="0"/>
              <w:right w:val="single" w:color="auto" w:sz="4" w:space="0"/>
            </w:tcBorders>
            <w:shd w:val="clear" w:color="auto" w:fill="auto"/>
            <w:vAlign w:val="center"/>
          </w:tcPr>
          <w:p w14:paraId="09781608">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长效机制二</w:t>
            </w:r>
          </w:p>
        </w:tc>
        <w:tc>
          <w:tcPr>
            <w:tcW w:w="2224" w:type="dxa"/>
            <w:tcBorders>
              <w:top w:val="single" w:color="auto" w:sz="4" w:space="0"/>
              <w:left w:val="single" w:color="auto" w:sz="4" w:space="0"/>
              <w:right w:val="single" w:color="auto" w:sz="4" w:space="0"/>
            </w:tcBorders>
            <w:shd w:val="clear" w:color="auto" w:fill="auto"/>
            <w:vAlign w:val="center"/>
          </w:tcPr>
          <w:p w14:paraId="5508D46C">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聘请环境后评价技术咨询单位，对公司现存问题对照环评文件和现行法律法规、标准规范、属地要求，进行深入全面的梳理排查</w:t>
            </w:r>
          </w:p>
        </w:tc>
        <w:tc>
          <w:tcPr>
            <w:tcW w:w="6667" w:type="dxa"/>
            <w:tcBorders>
              <w:top w:val="single" w:color="auto" w:sz="4" w:space="0"/>
              <w:left w:val="single" w:color="auto" w:sz="4" w:space="0"/>
              <w:right w:val="single" w:color="auto" w:sz="4" w:space="0"/>
            </w:tcBorders>
            <w:shd w:val="clear" w:color="auto" w:fill="auto"/>
            <w:vAlign w:val="center"/>
          </w:tcPr>
          <w:p w14:paraId="33AEBCCE">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依托第三方专业机构，对公司环评文件及现场环境情况进行梳理，整理现有环境问题并提出改进措施并进行可行性分析，出具环境影响后评价结论。</w:t>
            </w:r>
          </w:p>
        </w:tc>
        <w:tc>
          <w:tcPr>
            <w:tcW w:w="3352" w:type="dxa"/>
            <w:tcBorders>
              <w:left w:val="single" w:color="auto" w:sz="4" w:space="0"/>
            </w:tcBorders>
            <w:shd w:val="clear" w:color="auto" w:fill="auto"/>
            <w:vAlign w:val="center"/>
          </w:tcPr>
          <w:p w14:paraId="42CE198C">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hint="eastAsia" w:ascii="Times New Roman" w:hAnsi="Times New Roman" w:eastAsia="宋体" w:cs="Times New Roman"/>
                <w:snapToGrid w:val="0"/>
                <w:kern w:val="0"/>
                <w:sz w:val="20"/>
                <w:szCs w:val="20"/>
                <w:lang w:bidi="zh-CN"/>
              </w:rPr>
              <w:t>已完成。</w:t>
            </w:r>
          </w:p>
        </w:tc>
      </w:tr>
      <w:tr w14:paraId="2EEF5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696" w:type="dxa"/>
            <w:shd w:val="clear" w:color="auto" w:fill="auto"/>
            <w:vAlign w:val="center"/>
          </w:tcPr>
          <w:p w14:paraId="70AB149E">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10</w:t>
            </w:r>
          </w:p>
        </w:tc>
        <w:tc>
          <w:tcPr>
            <w:tcW w:w="992" w:type="dxa"/>
            <w:tcBorders>
              <w:top w:val="single" w:color="auto" w:sz="4" w:space="0"/>
              <w:left w:val="single" w:color="auto" w:sz="4" w:space="0"/>
              <w:right w:val="single" w:color="auto" w:sz="4" w:space="0"/>
            </w:tcBorders>
            <w:shd w:val="clear" w:color="auto" w:fill="auto"/>
            <w:vAlign w:val="center"/>
          </w:tcPr>
          <w:p w14:paraId="72FC4BCD">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长效机制三</w:t>
            </w:r>
          </w:p>
        </w:tc>
        <w:tc>
          <w:tcPr>
            <w:tcW w:w="2224" w:type="dxa"/>
            <w:tcBorders>
              <w:top w:val="single" w:color="auto" w:sz="4" w:space="0"/>
              <w:left w:val="single" w:color="auto" w:sz="4" w:space="0"/>
              <w:right w:val="single" w:color="auto" w:sz="4" w:space="0"/>
            </w:tcBorders>
            <w:shd w:val="clear" w:color="auto" w:fill="auto"/>
            <w:vAlign w:val="center"/>
          </w:tcPr>
          <w:p w14:paraId="081C864C">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引以为戒，全面提升企业能力和企业形象。与邻为善，多联互动，积极参与地方发展。</w:t>
            </w:r>
          </w:p>
        </w:tc>
        <w:tc>
          <w:tcPr>
            <w:tcW w:w="6667" w:type="dxa"/>
            <w:tcBorders>
              <w:top w:val="single" w:color="auto" w:sz="4" w:space="0"/>
              <w:left w:val="single" w:color="auto" w:sz="4" w:space="0"/>
              <w:right w:val="single" w:color="auto" w:sz="4" w:space="0"/>
            </w:tcBorders>
            <w:shd w:val="clear" w:color="auto" w:fill="auto"/>
            <w:vAlign w:val="center"/>
          </w:tcPr>
          <w:p w14:paraId="25A67978">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公司将加强与地方政府和临近居民组织的联系，适时邀请各方代表到公司访谈，根据意见进行持续改进改善。</w:t>
            </w:r>
          </w:p>
        </w:tc>
        <w:tc>
          <w:tcPr>
            <w:tcW w:w="3352" w:type="dxa"/>
            <w:tcBorders>
              <w:left w:val="single" w:color="auto" w:sz="4" w:space="0"/>
            </w:tcBorders>
            <w:shd w:val="clear" w:color="auto" w:fill="auto"/>
            <w:vAlign w:val="center"/>
          </w:tcPr>
          <w:p w14:paraId="01B4EC4E">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hint="eastAsia" w:ascii="Times New Roman" w:hAnsi="Times New Roman" w:eastAsia="宋体" w:cs="Times New Roman"/>
                <w:snapToGrid w:val="0"/>
                <w:kern w:val="0"/>
                <w:sz w:val="20"/>
                <w:szCs w:val="20"/>
                <w:lang w:bidi="zh-CN"/>
              </w:rPr>
              <w:t>已完成并持续保持。</w:t>
            </w:r>
          </w:p>
        </w:tc>
      </w:tr>
      <w:tr w14:paraId="2D763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96" w:type="dxa"/>
            <w:shd w:val="clear" w:color="auto" w:fill="auto"/>
            <w:vAlign w:val="center"/>
          </w:tcPr>
          <w:p w14:paraId="2101010D">
            <w:pPr>
              <w:autoSpaceDE w:val="0"/>
              <w:autoSpaceDN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11</w:t>
            </w:r>
          </w:p>
        </w:tc>
        <w:tc>
          <w:tcPr>
            <w:tcW w:w="992" w:type="dxa"/>
            <w:tcBorders>
              <w:top w:val="single" w:color="auto" w:sz="4" w:space="0"/>
              <w:left w:val="single" w:color="auto" w:sz="4" w:space="0"/>
              <w:right w:val="single" w:color="auto" w:sz="4" w:space="0"/>
            </w:tcBorders>
            <w:shd w:val="clear" w:color="auto" w:fill="auto"/>
            <w:vAlign w:val="center"/>
          </w:tcPr>
          <w:p w14:paraId="3E0B1534">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长效机制四</w:t>
            </w:r>
          </w:p>
        </w:tc>
        <w:tc>
          <w:tcPr>
            <w:tcW w:w="2224" w:type="dxa"/>
            <w:tcBorders>
              <w:top w:val="single" w:color="auto" w:sz="4" w:space="0"/>
              <w:left w:val="single" w:color="auto" w:sz="4" w:space="0"/>
              <w:right w:val="single" w:color="auto" w:sz="4" w:space="0"/>
            </w:tcBorders>
            <w:shd w:val="clear" w:color="auto" w:fill="auto"/>
            <w:vAlign w:val="center"/>
          </w:tcPr>
          <w:p w14:paraId="707E7EAD">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val="zh-CN" w:bidi="zh-CN"/>
              </w:rPr>
              <w:t>加强与生态环境部门联系，寻求业务指导</w:t>
            </w:r>
          </w:p>
        </w:tc>
        <w:tc>
          <w:tcPr>
            <w:tcW w:w="6667" w:type="dxa"/>
            <w:tcBorders>
              <w:top w:val="single" w:color="auto" w:sz="4" w:space="0"/>
              <w:left w:val="single" w:color="auto" w:sz="4" w:space="0"/>
              <w:right w:val="single" w:color="auto" w:sz="4" w:space="0"/>
            </w:tcBorders>
            <w:shd w:val="clear" w:color="auto" w:fill="auto"/>
            <w:vAlign w:val="center"/>
          </w:tcPr>
          <w:p w14:paraId="51151EAB">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ascii="Times New Roman" w:hAnsi="Times New Roman" w:eastAsia="宋体" w:cs="Times New Roman"/>
                <w:snapToGrid w:val="0"/>
                <w:kern w:val="0"/>
                <w:sz w:val="20"/>
                <w:szCs w:val="20"/>
                <w:lang w:bidi="zh-CN"/>
              </w:rPr>
              <w:t>积极主动联系生态环境部门进行监管，不避讳，不隐瞒。</w:t>
            </w:r>
          </w:p>
        </w:tc>
        <w:tc>
          <w:tcPr>
            <w:tcW w:w="3352" w:type="dxa"/>
            <w:tcBorders>
              <w:left w:val="single" w:color="auto" w:sz="4" w:space="0"/>
            </w:tcBorders>
            <w:shd w:val="clear" w:color="auto" w:fill="auto"/>
            <w:vAlign w:val="center"/>
          </w:tcPr>
          <w:p w14:paraId="33178376">
            <w:pPr>
              <w:autoSpaceDE w:val="0"/>
              <w:autoSpaceDN w:val="0"/>
              <w:adjustRightInd w:val="0"/>
              <w:snapToGrid w:val="0"/>
              <w:rPr>
                <w:rFonts w:ascii="Times New Roman" w:hAnsi="Times New Roman" w:eastAsia="宋体" w:cs="Times New Roman"/>
                <w:snapToGrid w:val="0"/>
                <w:kern w:val="0"/>
                <w:sz w:val="20"/>
                <w:szCs w:val="20"/>
                <w:lang w:val="zh-CN" w:bidi="zh-CN"/>
              </w:rPr>
            </w:pPr>
            <w:r>
              <w:rPr>
                <w:rFonts w:hint="eastAsia" w:ascii="Times New Roman" w:hAnsi="Times New Roman" w:eastAsia="宋体" w:cs="Times New Roman"/>
                <w:snapToGrid w:val="0"/>
                <w:kern w:val="0"/>
                <w:sz w:val="20"/>
                <w:szCs w:val="20"/>
                <w:lang w:bidi="zh-CN"/>
              </w:rPr>
              <w:t>已完成并持续保持。</w:t>
            </w:r>
          </w:p>
        </w:tc>
      </w:tr>
    </w:tbl>
    <w:p w14:paraId="724267C3">
      <w:pPr>
        <w:pStyle w:val="14"/>
        <w:ind w:firstLine="0" w:firstLineChars="0"/>
        <w:rPr>
          <w:rFonts w:ascii="Times New Roman" w:hAnsi="Times New Roman" w:eastAsia="仿宋"/>
          <w:szCs w:val="32"/>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panose1 w:val="020B0602040502020204"/>
    <w:charset w:val="00"/>
    <w:family w:val="swiss"/>
    <w:pitch w:val="default"/>
    <w:sig w:usb0="8100AAF7" w:usb1="0000807B" w:usb2="00000008" w:usb3="00000000" w:csb0="6000009F" w:csb1="FFFF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32FDA">
    <w:pPr>
      <w:pStyle w:val="7"/>
      <w:jc w:val="center"/>
    </w:pPr>
    <w:r>
      <mc:AlternateContent>
        <mc:Choice Requires="wps">
          <w:drawing>
            <wp:anchor distT="0" distB="0" distL="90805" distR="90805" simplePos="0" relativeHeight="251659264" behindDoc="0" locked="0" layoutInCell="1" allowOverlap="1">
              <wp:simplePos x="0" y="0"/>
              <wp:positionH relativeFrom="margin">
                <wp:align>center</wp:align>
              </wp:positionH>
              <wp:positionV relativeFrom="paragraph">
                <wp:posOffset>0</wp:posOffset>
              </wp:positionV>
              <wp:extent cx="1133475" cy="203200"/>
              <wp:effectExtent l="0" t="0" r="0" b="0"/>
              <wp:wrapNone/>
              <wp:docPr id="1025" name="_x0000_s1025"/>
              <wp:cNvGraphicFramePr/>
              <a:graphic xmlns:a="http://schemas.openxmlformats.org/drawingml/2006/main">
                <a:graphicData uri="http://schemas.microsoft.com/office/word/2010/wordprocessingShape">
                  <wps:wsp>
                    <wps:cNvSpPr/>
                    <wps:spPr>
                      <a:xfrm>
                        <a:off x="0" y="0"/>
                        <a:ext cx="1133475" cy="203150"/>
                      </a:xfrm>
                      <a:prstGeom prst="rect">
                        <a:avLst/>
                      </a:prstGeom>
                      <a:noFill/>
                      <a:ln w="9525" cap="flat" cmpd="sng">
                        <a:noFill/>
                        <a:prstDash val="solid"/>
                        <a:miter/>
                      </a:ln>
                    </wps:spPr>
                    <wps:txbx>
                      <w:txbxContent>
                        <w:p w14:paraId="5E9C112B">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wps:txbx>
                    <wps:bodyPr vert="horz" wrap="none" lIns="0" tIns="0" rIns="0" bIns="0" anchor="t" anchorCtr="0" upright="1">
                      <a:spAutoFit/>
                    </wps:bodyPr>
                  </wps:wsp>
                </a:graphicData>
              </a:graphic>
            </wp:anchor>
          </w:drawing>
        </mc:Choice>
        <mc:Fallback>
          <w:pict>
            <v:rect id="_x0000_s1025" o:spid="_x0000_s1026" o:spt="1" style="position:absolute;left:0pt;margin-top:0pt;height:16pt;width:89.25pt;mso-position-horizontal:center;mso-position-horizontal-relative:margin;mso-wrap-style:none;z-index:251659264;mso-width-relative:page;mso-height-relative:page;" filled="f" stroked="f" coordsize="21600,21600" o:gfxdata="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t2a79IAAAAEAQAADwAAAAAAAAABACAAAAAiAAAAZHJzL2Rvd25yZXYueG1sUEsBAhQA&#10;FAAAAAgAh07iQApFMQ/4AQAA+QMAAA4AAAAAAAAAAQAgAAAAIQEAAGRycy9lMm9Eb2MueG1sUEsF&#10;BgAAAAAGAAYAWQEAAIsFAAAAAA==&#10;">
              <v:fill on="f" focussize="0,0"/>
              <v:stroke on="f" joinstyle="miter"/>
              <v:imagedata o:title=""/>
              <o:lock v:ext="edit" aspectratio="f"/>
              <v:textbox inset="0mm,0mm,0mm,0mm" style="mso-fit-shape-to-text:t;">
                <w:txbxContent>
                  <w:p w14:paraId="5E9C112B">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v:textbox>
            </v:rect>
          </w:pict>
        </mc:Fallback>
      </mc:AlternateContent>
    </w:r>
  </w:p>
  <w:p w14:paraId="7FC07B6E">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DC93A">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536C2">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8EDCC">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1074F">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59ECF">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2"/>
  </w:compat>
  <w:docVars>
    <w:docVar w:name="commondata" w:val="eyJoZGlkIjoiN2ExMDBjNzU0YjNhMjg2ZTkzNjNkMDU2YWJmMTY4YzkifQ=="/>
  </w:docVars>
  <w:rsids>
    <w:rsidRoot w:val="00000000"/>
    <w:rsid w:val="754A2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Times New Roman" w:eastAsia="等线" w:cs="Arial"/>
      <w:kern w:val="2"/>
      <w:sz w:val="21"/>
      <w:szCs w:val="22"/>
      <w:lang w:val="en-US" w:eastAsia="zh-CN" w:bidi="ar-SA"/>
    </w:rPr>
  </w:style>
  <w:style w:type="paragraph" w:styleId="2">
    <w:name w:val="heading 1"/>
    <w:basedOn w:val="1"/>
    <w:next w:val="1"/>
    <w:link w:val="1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2"/>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link w:val="13"/>
    <w:qFormat/>
    <w:uiPriority w:val="0"/>
    <w:pPr>
      <w:keepNext/>
      <w:keepLines/>
      <w:spacing w:before="260" w:after="260" w:line="415" w:lineRule="auto"/>
      <w:outlineLvl w:val="2"/>
    </w:pPr>
    <w:rPr>
      <w:b/>
      <w:bCs/>
      <w:sz w:val="32"/>
      <w:szCs w:val="32"/>
    </w:rPr>
  </w:style>
  <w:style w:type="character" w:default="1" w:styleId="10">
    <w:name w:val="Default Paragraph Font"/>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index 6"/>
    <w:basedOn w:val="1"/>
    <w:next w:val="1"/>
    <w:autoRedefine/>
    <w:qFormat/>
    <w:uiPriority w:val="0"/>
    <w:pPr>
      <w:ind w:left="2100"/>
    </w:pPr>
  </w:style>
  <w:style w:type="paragraph" w:styleId="6">
    <w:name w:val="Body Text Indent 2"/>
    <w:basedOn w:val="1"/>
    <w:qFormat/>
    <w:uiPriority w:val="0"/>
    <w:pPr>
      <w:spacing w:after="120" w:line="480" w:lineRule="auto"/>
      <w:ind w:left="200" w:leftChars="200"/>
    </w:pPr>
    <w:rPr>
      <w:rFonts w:ascii="Times New Roman" w:hAnsi="Times New Roman" w:eastAsia="仿宋_GB2312" w:cs="Times New Roman"/>
      <w:b/>
      <w:bCs/>
      <w:sz w:val="32"/>
      <w:szCs w:val="32"/>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jc w:val="center"/>
    </w:pPr>
    <w:rPr>
      <w:sz w:val="18"/>
      <w:szCs w:val="18"/>
    </w:rPr>
  </w:style>
  <w:style w:type="character" w:customStyle="1" w:styleId="11">
    <w:name w:val="heading 1 Char"/>
    <w:basedOn w:val="10"/>
    <w:link w:val="2"/>
    <w:uiPriority w:val="0"/>
    <w:rPr>
      <w:rFonts w:ascii="等线" w:hAnsi="Times New Roman" w:eastAsia="等线" w:cs="Arial"/>
      <w:b/>
      <w:bCs/>
      <w:kern w:val="44"/>
      <w:sz w:val="44"/>
      <w:szCs w:val="44"/>
      <w:lang w:val="en-US" w:eastAsia="zh-CN" w:bidi="ar-SA"/>
    </w:rPr>
  </w:style>
  <w:style w:type="character" w:customStyle="1" w:styleId="12">
    <w:name w:val="heading 2 Char"/>
    <w:basedOn w:val="10"/>
    <w:link w:val="3"/>
    <w:uiPriority w:val="0"/>
    <w:rPr>
      <w:rFonts w:ascii="Times New Roman" w:hAnsi="Times New Roman" w:eastAsia="黑体" w:cs="Arial"/>
      <w:b/>
      <w:bCs/>
      <w:kern w:val="2"/>
      <w:sz w:val="32"/>
      <w:szCs w:val="32"/>
      <w:lang w:val="en-US" w:eastAsia="zh-CN" w:bidi="ar-SA"/>
    </w:rPr>
  </w:style>
  <w:style w:type="character" w:customStyle="1" w:styleId="13">
    <w:name w:val="heading 3 Char"/>
    <w:basedOn w:val="10"/>
    <w:link w:val="4"/>
    <w:qFormat/>
    <w:uiPriority w:val="0"/>
    <w:rPr>
      <w:rFonts w:ascii="等线" w:hAnsi="Times New Roman" w:eastAsia="等线" w:cs="Arial"/>
      <w:b/>
      <w:bCs/>
      <w:kern w:val="2"/>
      <w:sz w:val="32"/>
      <w:szCs w:val="32"/>
      <w:lang w:val="en-US" w:eastAsia="zh-CN" w:bidi="ar-SA"/>
    </w:rPr>
  </w:style>
  <w:style w:type="paragraph" w:customStyle="1" w:styleId="14">
    <w:name w:val="正文文本缩进 21"/>
    <w:basedOn w:val="1"/>
    <w:qFormat/>
    <w:uiPriority w:val="0"/>
    <w:pPr>
      <w:spacing w:line="590" w:lineRule="exact"/>
      <w:ind w:firstLine="200" w:firstLineChars="200"/>
    </w:pPr>
    <w:rPr>
      <w:rFonts w:ascii="Calibri" w:hAnsi="Calibri" w:eastAsia="方正仿宋_GBK" w:cs="Times New Roman"/>
      <w:sz w:val="32"/>
    </w:rPr>
  </w:style>
  <w:style w:type="paragraph" w:customStyle="1" w:styleId="15">
    <w:name w:val="仿宋正文"/>
    <w:basedOn w:val="1"/>
    <w:qFormat/>
    <w:uiPriority w:val="0"/>
    <w:pPr>
      <w:widowControl w:val="0"/>
      <w:autoSpaceDE w:val="0"/>
      <w:autoSpaceDN w:val="0"/>
      <w:spacing w:line="600" w:lineRule="exact"/>
      <w:ind w:firstLine="200" w:firstLineChars="200"/>
    </w:pPr>
    <w:rPr>
      <w:rFonts w:ascii="Times New Roman" w:hAnsi="Times New Roman" w:eastAsia="方正仿宋简体" w:cs="仿宋"/>
      <w:snapToGrid w:val="0"/>
      <w:sz w:val="32"/>
      <w:szCs w:val="3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1EC26C-A394-453D-B002-9E2E5E323286}">
  <ds:schemaRefs/>
</ds:datastoreItem>
</file>

<file path=docProps/app.xml><?xml version="1.0" encoding="utf-8"?>
<Properties xmlns="http://schemas.openxmlformats.org/officeDocument/2006/extended-properties" xmlns:vt="http://schemas.openxmlformats.org/officeDocument/2006/docPropsVTypes">
  <Template>Normal.eit</Template>
  <Pages>17</Pages>
  <Words>10062</Words>
  <Characters>10275</Characters>
  <Lines>0</Lines>
  <Paragraphs>27</Paragraphs>
  <TotalTime>127</TotalTime>
  <ScaleCrop>false</ScaleCrop>
  <LinksUpToDate>false</LinksUpToDate>
  <CharactersWithSpaces>10276</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2024-03-26T03:54:00Z</dcterms:created>
  <dc:creator>春 韩</dc:creator>
  <cp:lastModifiedBy>烟华初上</cp:lastModifiedBy>
  <cp:lastPrinted>2024-05-27T09:07:00Z</cp:lastPrinted>
  <dcterms:modified xsi:type="dcterms:W3CDTF">2024-09-30T06:38:58Z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710C0F39FAEE4A5D86378B7557484AC5_12</vt:lpwstr>
  </property>
</Properties>
</file>