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B2EB09">
      <w:pPr>
        <w:rPr>
          <w:sz w:val="36"/>
          <w:szCs w:val="36"/>
        </w:rPr>
      </w:pPr>
      <w:bookmarkStart w:id="0" w:name="OLE_LINK5"/>
    </w:p>
    <w:p w14:paraId="33EFA6B7">
      <w:pPr>
        <w:rPr>
          <w:sz w:val="36"/>
          <w:szCs w:val="36"/>
        </w:rPr>
      </w:pPr>
    </w:p>
    <w:bookmarkEnd w:id="0"/>
    <w:p w14:paraId="0BDB8A48">
      <w:pPr>
        <w:rPr>
          <w:sz w:val="36"/>
          <w:szCs w:val="36"/>
        </w:rPr>
      </w:pPr>
    </w:p>
    <w:p w14:paraId="0054B0CB">
      <w:pPr>
        <w:adjustRightInd w:val="0"/>
        <w:snapToGrid w:val="0"/>
        <w:jc w:val="center"/>
        <w:rPr>
          <w:rFonts w:ascii="方正小标宋_GBK" w:eastAsia="方正小标宋_GBK"/>
          <w:bCs/>
          <w:sz w:val="72"/>
          <w:szCs w:val="72"/>
        </w:rPr>
      </w:pPr>
      <w:bookmarkStart w:id="1" w:name="_Toc121151509"/>
      <w:bookmarkStart w:id="2" w:name="OLE_LINK1"/>
      <w:r>
        <w:rPr>
          <w:rFonts w:hint="eastAsia" w:ascii="方正小标宋_GBK" w:eastAsia="方正小标宋_GBK"/>
          <w:bCs/>
          <w:sz w:val="72"/>
          <w:szCs w:val="72"/>
        </w:rPr>
        <w:t>建设项目环境影响报告表</w:t>
      </w:r>
      <w:bookmarkEnd w:id="1"/>
      <w:bookmarkEnd w:id="2"/>
    </w:p>
    <w:p w14:paraId="4C0F1DE8">
      <w:pPr>
        <w:adjustRightInd w:val="0"/>
        <w:snapToGrid w:val="0"/>
        <w:spacing w:before="192" w:beforeLines="80"/>
        <w:jc w:val="center"/>
        <w:rPr>
          <w:bCs/>
          <w:sz w:val="34"/>
          <w:szCs w:val="48"/>
        </w:rPr>
      </w:pPr>
      <w:r>
        <w:rPr>
          <w:rFonts w:hint="eastAsia" w:ascii="楷体_GB2312" w:eastAsia="楷体_GB2312"/>
          <w:bCs/>
          <w:sz w:val="48"/>
          <w:szCs w:val="48"/>
        </w:rPr>
        <w:t>（污染影响类）</w:t>
      </w:r>
    </w:p>
    <w:p w14:paraId="7AFB3607">
      <w:pPr>
        <w:adjustRightInd w:val="0"/>
        <w:snapToGrid w:val="0"/>
        <w:spacing w:line="288" w:lineRule="auto"/>
        <w:jc w:val="center"/>
        <w:rPr>
          <w:kern w:val="44"/>
          <w:sz w:val="44"/>
          <w:szCs w:val="44"/>
        </w:rPr>
      </w:pPr>
      <w:bookmarkStart w:id="3" w:name="OLE_LINK6"/>
    </w:p>
    <w:p w14:paraId="1254B696">
      <w:pPr>
        <w:jc w:val="center"/>
        <w:rPr>
          <w:sz w:val="52"/>
          <w:szCs w:val="52"/>
        </w:rPr>
      </w:pPr>
    </w:p>
    <w:bookmarkEnd w:id="3"/>
    <w:p w14:paraId="56ED5EB3">
      <w:pPr>
        <w:jc w:val="center"/>
        <w:rPr>
          <w:sz w:val="44"/>
          <w:szCs w:val="44"/>
        </w:rPr>
      </w:pPr>
      <w:bookmarkStart w:id="4" w:name="OLE_LINK7"/>
    </w:p>
    <w:p w14:paraId="6B56DA6F">
      <w:pPr>
        <w:jc w:val="center"/>
        <w:rPr>
          <w:sz w:val="44"/>
          <w:szCs w:val="44"/>
        </w:rPr>
      </w:pPr>
    </w:p>
    <w:bookmarkEnd w:id="4"/>
    <w:p w14:paraId="7E06B341">
      <w:pPr>
        <w:ind w:firstLine="1040"/>
        <w:jc w:val="center"/>
        <w:rPr>
          <w:sz w:val="44"/>
          <w:szCs w:val="44"/>
        </w:rPr>
      </w:pPr>
      <w:bookmarkStart w:id="5" w:name="OLE_LINK8"/>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99"/>
        <w:gridCol w:w="6356"/>
      </w:tblGrid>
      <w:tr w14:paraId="578C0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499" w:type="dxa"/>
            <w:vAlign w:val="center"/>
          </w:tcPr>
          <w:p w14:paraId="6217CA35">
            <w:pPr>
              <w:jc w:val="distribute"/>
              <w:rPr>
                <w:sz w:val="44"/>
                <w:szCs w:val="44"/>
              </w:rPr>
            </w:pPr>
            <w:r>
              <w:rPr>
                <w:rFonts w:eastAsia="仿宋_GB2312"/>
                <w:sz w:val="36"/>
                <w:szCs w:val="36"/>
              </w:rPr>
              <w:t>项 目</w:t>
            </w:r>
            <w:r>
              <w:rPr>
                <w:rFonts w:hint="eastAsia" w:eastAsia="仿宋_GB2312"/>
                <w:sz w:val="36"/>
                <w:szCs w:val="36"/>
              </w:rPr>
              <w:t xml:space="preserve"> </w:t>
            </w:r>
            <w:r>
              <w:rPr>
                <w:rFonts w:eastAsia="仿宋_GB2312"/>
                <w:sz w:val="36"/>
                <w:szCs w:val="36"/>
              </w:rPr>
              <w:t>名</w:t>
            </w:r>
            <w:r>
              <w:rPr>
                <w:rFonts w:hint="eastAsia" w:eastAsia="仿宋_GB2312"/>
                <w:sz w:val="36"/>
                <w:szCs w:val="36"/>
              </w:rPr>
              <w:t xml:space="preserve"> </w:t>
            </w:r>
            <w:r>
              <w:rPr>
                <w:rFonts w:eastAsia="仿宋_GB2312"/>
                <w:sz w:val="36"/>
                <w:szCs w:val="36"/>
              </w:rPr>
              <w:t>称：</w:t>
            </w:r>
          </w:p>
        </w:tc>
        <w:tc>
          <w:tcPr>
            <w:tcW w:w="6356" w:type="dxa"/>
            <w:vAlign w:val="center"/>
          </w:tcPr>
          <w:p w14:paraId="45B54E5C">
            <w:pPr>
              <w:rPr>
                <w:sz w:val="44"/>
                <w:szCs w:val="44"/>
              </w:rPr>
            </w:pPr>
            <w:r>
              <w:rPr>
                <w:rFonts w:hint="eastAsia" w:eastAsia="仿宋_GB2312"/>
                <w:sz w:val="36"/>
                <w:szCs w:val="36"/>
                <w:u w:val="single"/>
              </w:rPr>
              <w:t xml:space="preserve">淮南经开区农场城市综合交通驿站项目  </w:t>
            </w:r>
          </w:p>
        </w:tc>
      </w:tr>
      <w:tr w14:paraId="5C584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99" w:type="dxa"/>
            <w:vAlign w:val="center"/>
          </w:tcPr>
          <w:p w14:paraId="3267542C">
            <w:pPr>
              <w:jc w:val="distribute"/>
              <w:rPr>
                <w:sz w:val="44"/>
                <w:szCs w:val="44"/>
              </w:rPr>
            </w:pPr>
            <w:r>
              <w:rPr>
                <w:rFonts w:eastAsia="仿宋_GB2312"/>
                <w:sz w:val="36"/>
                <w:szCs w:val="36"/>
              </w:rPr>
              <w:t>建设单位（盖章）：</w:t>
            </w:r>
          </w:p>
        </w:tc>
        <w:tc>
          <w:tcPr>
            <w:tcW w:w="6356" w:type="dxa"/>
            <w:vAlign w:val="center"/>
          </w:tcPr>
          <w:p w14:paraId="4114F719">
            <w:pPr>
              <w:rPr>
                <w:sz w:val="44"/>
                <w:szCs w:val="44"/>
              </w:rPr>
            </w:pPr>
            <w:r>
              <w:rPr>
                <w:rFonts w:hint="eastAsia" w:eastAsia="仿宋_GB2312"/>
                <w:sz w:val="36"/>
                <w:szCs w:val="36"/>
                <w:u w:val="single"/>
              </w:rPr>
              <w:t xml:space="preserve">  淮南交控物流服务有限公司</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p>
        </w:tc>
      </w:tr>
      <w:tr w14:paraId="0DE73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99" w:type="dxa"/>
            <w:vAlign w:val="center"/>
          </w:tcPr>
          <w:p w14:paraId="42E05EAF">
            <w:pPr>
              <w:jc w:val="distribute"/>
              <w:rPr>
                <w:sz w:val="44"/>
                <w:szCs w:val="44"/>
              </w:rPr>
            </w:pPr>
            <w:r>
              <w:rPr>
                <w:rFonts w:eastAsia="仿宋_GB2312"/>
                <w:sz w:val="36"/>
                <w:szCs w:val="36"/>
              </w:rPr>
              <w:t>编</w:t>
            </w:r>
            <w:r>
              <w:rPr>
                <w:rFonts w:hint="eastAsia" w:eastAsia="仿宋_GB2312"/>
                <w:sz w:val="36"/>
                <w:szCs w:val="36"/>
              </w:rPr>
              <w:t xml:space="preserve"> </w:t>
            </w:r>
            <w:r>
              <w:rPr>
                <w:rFonts w:eastAsia="仿宋_GB2312"/>
                <w:sz w:val="36"/>
                <w:szCs w:val="36"/>
              </w:rPr>
              <w:t xml:space="preserve"> 制 </w:t>
            </w:r>
            <w:r>
              <w:rPr>
                <w:rFonts w:hint="eastAsia" w:eastAsia="仿宋_GB2312"/>
                <w:sz w:val="36"/>
                <w:szCs w:val="36"/>
              </w:rPr>
              <w:t xml:space="preserve"> </w:t>
            </w:r>
            <w:r>
              <w:rPr>
                <w:rFonts w:eastAsia="仿宋_GB2312"/>
                <w:sz w:val="36"/>
                <w:szCs w:val="36"/>
              </w:rPr>
              <w:t>日</w:t>
            </w:r>
            <w:r>
              <w:rPr>
                <w:rFonts w:hint="eastAsia" w:eastAsia="仿宋_GB2312"/>
                <w:sz w:val="36"/>
                <w:szCs w:val="36"/>
              </w:rPr>
              <w:t xml:space="preserve"> </w:t>
            </w:r>
            <w:r>
              <w:rPr>
                <w:rFonts w:eastAsia="仿宋_GB2312"/>
                <w:sz w:val="36"/>
                <w:szCs w:val="36"/>
              </w:rPr>
              <w:t xml:space="preserve"> 期：</w:t>
            </w:r>
          </w:p>
        </w:tc>
        <w:tc>
          <w:tcPr>
            <w:tcW w:w="6356" w:type="dxa"/>
            <w:vAlign w:val="center"/>
          </w:tcPr>
          <w:p w14:paraId="349D342B">
            <w:pPr>
              <w:adjustRightInd w:val="0"/>
              <w:snapToGrid w:val="0"/>
              <w:rPr>
                <w:sz w:val="44"/>
                <w:szCs w:val="44"/>
              </w:rPr>
            </w:pP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202</w:t>
            </w:r>
            <w:r>
              <w:rPr>
                <w:rFonts w:hint="eastAsia" w:eastAsia="仿宋_GB2312"/>
                <w:sz w:val="36"/>
                <w:szCs w:val="36"/>
                <w:u w:val="single"/>
              </w:rPr>
              <w:t>4</w:t>
            </w:r>
            <w:r>
              <w:rPr>
                <w:rFonts w:eastAsia="仿宋_GB2312"/>
                <w:sz w:val="36"/>
                <w:szCs w:val="36"/>
                <w:u w:val="single"/>
              </w:rPr>
              <w:t>年</w:t>
            </w:r>
            <w:r>
              <w:rPr>
                <w:rFonts w:hint="eastAsia" w:eastAsia="仿宋_GB2312"/>
                <w:sz w:val="36"/>
                <w:szCs w:val="36"/>
                <w:u w:val="single"/>
              </w:rPr>
              <w:t>10</w:t>
            </w:r>
            <w:r>
              <w:rPr>
                <w:rFonts w:eastAsia="仿宋_GB2312"/>
                <w:sz w:val="36"/>
                <w:szCs w:val="36"/>
                <w:u w:val="single"/>
              </w:rPr>
              <w:t xml:space="preserve">月   </w:t>
            </w:r>
            <w:r>
              <w:rPr>
                <w:rFonts w:hint="eastAsia" w:eastAsia="仿宋_GB2312"/>
                <w:sz w:val="36"/>
                <w:szCs w:val="36"/>
                <w:u w:val="single"/>
              </w:rPr>
              <w:t xml:space="preserve"> </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p>
        </w:tc>
      </w:tr>
    </w:tbl>
    <w:p w14:paraId="797EEEC0">
      <w:pPr>
        <w:ind w:firstLine="1040"/>
        <w:jc w:val="center"/>
        <w:rPr>
          <w:sz w:val="44"/>
          <w:szCs w:val="44"/>
        </w:rPr>
      </w:pPr>
    </w:p>
    <w:p w14:paraId="159A3C7B">
      <w:pPr>
        <w:ind w:firstLine="1040"/>
        <w:jc w:val="center"/>
        <w:rPr>
          <w:sz w:val="44"/>
          <w:szCs w:val="44"/>
        </w:rPr>
      </w:pPr>
    </w:p>
    <w:p w14:paraId="590EF08E">
      <w:pPr>
        <w:ind w:firstLine="1040"/>
        <w:jc w:val="center"/>
        <w:rPr>
          <w:sz w:val="44"/>
          <w:szCs w:val="44"/>
        </w:rPr>
      </w:pPr>
    </w:p>
    <w:bookmarkEnd w:id="5"/>
    <w:p w14:paraId="2D2F686E">
      <w:pPr>
        <w:adjustRightInd w:val="0"/>
        <w:snapToGrid w:val="0"/>
        <w:spacing w:line="288" w:lineRule="auto"/>
        <w:jc w:val="center"/>
        <w:rPr>
          <w:sz w:val="36"/>
          <w:szCs w:val="36"/>
        </w:rPr>
      </w:pPr>
      <w:bookmarkStart w:id="6" w:name="OLE_LINK4"/>
      <w:r>
        <w:rPr>
          <w:rFonts w:eastAsia="楷体_GB2312"/>
          <w:sz w:val="36"/>
          <w:szCs w:val="36"/>
        </w:rPr>
        <w:t>中华人民共和国生态环境部制</w:t>
      </w:r>
    </w:p>
    <w:bookmarkEnd w:id="6"/>
    <w:p w14:paraId="78CC1BD1">
      <w:pPr>
        <w:adjustRightInd w:val="0"/>
        <w:snapToGrid w:val="0"/>
        <w:spacing w:line="288" w:lineRule="auto"/>
        <w:rPr>
          <w:sz w:val="36"/>
          <w:szCs w:val="36"/>
        </w:rPr>
        <w:sectPr>
          <w:headerReference r:id="rId5" w:type="first"/>
          <w:footerReference r:id="rId8" w:type="first"/>
          <w:footerReference r:id="rId6" w:type="default"/>
          <w:footerReference r:id="rId7" w:type="even"/>
          <w:pgSz w:w="11906" w:h="16838"/>
          <w:pgMar w:top="1440" w:right="1080" w:bottom="1440" w:left="1080" w:header="851" w:footer="1077" w:gutter="0"/>
          <w:pgNumType w:start="3"/>
          <w:cols w:space="720" w:num="1"/>
          <w:docGrid w:linePitch="312" w:charSpace="0"/>
        </w:sectPr>
      </w:pPr>
    </w:p>
    <w:sdt>
      <w:sdtPr>
        <w:rPr>
          <w:rFonts w:hint="eastAsia" w:asciiTheme="minorEastAsia" w:hAnsiTheme="minorEastAsia" w:eastAsiaTheme="minorEastAsia" w:cstheme="minorEastAsia"/>
        </w:rPr>
        <w:id w:val="147460733"/>
        <w15:color w:val="DBDBDB"/>
        <w:docPartObj>
          <w:docPartGallery w:val="Table of Contents"/>
          <w:docPartUnique/>
        </w:docPartObj>
      </w:sdtPr>
      <w:sdtEndPr>
        <w:rPr>
          <w:rFonts w:hint="eastAsia" w:asciiTheme="minorEastAsia" w:hAnsiTheme="minorEastAsia" w:eastAsiaTheme="minorEastAsia" w:cstheme="minorEastAsia"/>
        </w:rPr>
      </w:sdtEndPr>
      <w:sdtContent>
        <w:p w14:paraId="5EDCF0E3">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目  录</w:t>
          </w:r>
        </w:p>
        <w:p w14:paraId="5D1228FA">
          <w:pPr>
            <w:pStyle w:val="13"/>
            <w:tabs>
              <w:tab w:val="right" w:leader="dot" w:pos="8306"/>
            </w:tabs>
            <w:rPr>
              <w:b/>
              <w:bCs/>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TOC \o "1-1" \h \u </w:instrText>
          </w:r>
          <w:r>
            <w:rPr>
              <w:rFonts w:hint="eastAsia" w:asciiTheme="minorEastAsia" w:hAnsiTheme="minorEastAsia" w:eastAsiaTheme="minorEastAsia" w:cstheme="minorEastAsia"/>
            </w:rPr>
            <w:fldChar w:fldCharType="separate"/>
          </w:r>
          <w:r>
            <w:fldChar w:fldCharType="begin"/>
          </w:r>
          <w:r>
            <w:instrText xml:space="preserve"> HYPERLINK \l "_Toc8920" </w:instrText>
          </w:r>
          <w:r>
            <w:fldChar w:fldCharType="separate"/>
          </w:r>
          <w:r>
            <w:rPr>
              <w:b/>
              <w:bCs/>
            </w:rPr>
            <w:t>一、建设项目基本情况</w:t>
          </w:r>
          <w:r>
            <w:rPr>
              <w:b/>
              <w:bCs/>
            </w:rPr>
            <w:tab/>
          </w:r>
          <w:r>
            <w:rPr>
              <w:b/>
              <w:bCs/>
            </w:rPr>
            <w:fldChar w:fldCharType="begin"/>
          </w:r>
          <w:r>
            <w:rPr>
              <w:b/>
              <w:bCs/>
            </w:rPr>
            <w:instrText xml:space="preserve"> PAGEREF _Toc8920 \h </w:instrText>
          </w:r>
          <w:r>
            <w:rPr>
              <w:b/>
              <w:bCs/>
            </w:rPr>
            <w:fldChar w:fldCharType="separate"/>
          </w:r>
          <w:r>
            <w:rPr>
              <w:b/>
              <w:bCs/>
            </w:rPr>
            <w:t>1</w:t>
          </w:r>
          <w:r>
            <w:rPr>
              <w:b/>
              <w:bCs/>
            </w:rPr>
            <w:fldChar w:fldCharType="end"/>
          </w:r>
          <w:r>
            <w:rPr>
              <w:b/>
              <w:bCs/>
            </w:rPr>
            <w:fldChar w:fldCharType="end"/>
          </w:r>
        </w:p>
        <w:p w14:paraId="1CBAE9F8">
          <w:pPr>
            <w:pStyle w:val="13"/>
            <w:tabs>
              <w:tab w:val="right" w:leader="dot" w:pos="8306"/>
            </w:tabs>
            <w:rPr>
              <w:b/>
              <w:bCs/>
            </w:rPr>
          </w:pPr>
          <w:r>
            <w:fldChar w:fldCharType="begin"/>
          </w:r>
          <w:r>
            <w:instrText xml:space="preserve"> HYPERLINK \l "_Toc28519" </w:instrText>
          </w:r>
          <w:r>
            <w:fldChar w:fldCharType="separate"/>
          </w:r>
          <w:r>
            <w:rPr>
              <w:rFonts w:hint="eastAsia"/>
              <w:b/>
              <w:bCs/>
            </w:rPr>
            <w:t>二、建设项目工程分析</w:t>
          </w:r>
          <w:r>
            <w:rPr>
              <w:b/>
              <w:bCs/>
            </w:rPr>
            <w:tab/>
          </w:r>
          <w:r>
            <w:rPr>
              <w:b/>
              <w:bCs/>
            </w:rPr>
            <w:fldChar w:fldCharType="begin"/>
          </w:r>
          <w:r>
            <w:rPr>
              <w:b/>
              <w:bCs/>
            </w:rPr>
            <w:instrText xml:space="preserve"> PAGEREF _Toc28519 \h </w:instrText>
          </w:r>
          <w:r>
            <w:rPr>
              <w:b/>
              <w:bCs/>
            </w:rPr>
            <w:fldChar w:fldCharType="separate"/>
          </w:r>
          <w:r>
            <w:rPr>
              <w:b/>
              <w:bCs/>
            </w:rPr>
            <w:t>14</w:t>
          </w:r>
          <w:r>
            <w:rPr>
              <w:b/>
              <w:bCs/>
            </w:rPr>
            <w:fldChar w:fldCharType="end"/>
          </w:r>
          <w:r>
            <w:rPr>
              <w:b/>
              <w:bCs/>
            </w:rPr>
            <w:fldChar w:fldCharType="end"/>
          </w:r>
        </w:p>
        <w:p w14:paraId="49AE9F31">
          <w:pPr>
            <w:pStyle w:val="13"/>
            <w:tabs>
              <w:tab w:val="right" w:leader="dot" w:pos="8306"/>
            </w:tabs>
            <w:rPr>
              <w:b/>
              <w:bCs/>
            </w:rPr>
          </w:pPr>
          <w:r>
            <w:fldChar w:fldCharType="begin"/>
          </w:r>
          <w:r>
            <w:instrText xml:space="preserve"> HYPERLINK \l "_Toc14244" </w:instrText>
          </w:r>
          <w:r>
            <w:fldChar w:fldCharType="separate"/>
          </w:r>
          <w:r>
            <w:rPr>
              <w:rFonts w:hint="eastAsia"/>
              <w:b/>
              <w:bCs/>
            </w:rPr>
            <w:t>三、区域环境质量现状、环境保护目标及评价标准</w:t>
          </w:r>
          <w:r>
            <w:rPr>
              <w:b/>
              <w:bCs/>
            </w:rPr>
            <w:tab/>
          </w:r>
          <w:r>
            <w:rPr>
              <w:b/>
              <w:bCs/>
            </w:rPr>
            <w:fldChar w:fldCharType="begin"/>
          </w:r>
          <w:r>
            <w:rPr>
              <w:b/>
              <w:bCs/>
            </w:rPr>
            <w:instrText xml:space="preserve"> PAGEREF _Toc14244 \h </w:instrText>
          </w:r>
          <w:r>
            <w:rPr>
              <w:b/>
              <w:bCs/>
            </w:rPr>
            <w:fldChar w:fldCharType="separate"/>
          </w:r>
          <w:r>
            <w:rPr>
              <w:b/>
              <w:bCs/>
            </w:rPr>
            <w:t>30</w:t>
          </w:r>
          <w:r>
            <w:rPr>
              <w:b/>
              <w:bCs/>
            </w:rPr>
            <w:fldChar w:fldCharType="end"/>
          </w:r>
          <w:r>
            <w:rPr>
              <w:b/>
              <w:bCs/>
            </w:rPr>
            <w:fldChar w:fldCharType="end"/>
          </w:r>
        </w:p>
        <w:p w14:paraId="4B1DFB4F">
          <w:pPr>
            <w:pStyle w:val="13"/>
            <w:tabs>
              <w:tab w:val="right" w:leader="dot" w:pos="8306"/>
            </w:tabs>
            <w:rPr>
              <w:b/>
              <w:bCs/>
            </w:rPr>
          </w:pPr>
          <w:r>
            <w:fldChar w:fldCharType="begin"/>
          </w:r>
          <w:r>
            <w:instrText xml:space="preserve"> HYPERLINK \l "_Toc1251" </w:instrText>
          </w:r>
          <w:r>
            <w:fldChar w:fldCharType="separate"/>
          </w:r>
          <w:r>
            <w:rPr>
              <w:rFonts w:hint="eastAsia"/>
              <w:b/>
              <w:bCs/>
            </w:rPr>
            <w:t>四、主要环境影响和保护措施</w:t>
          </w:r>
          <w:r>
            <w:rPr>
              <w:b/>
              <w:bCs/>
            </w:rPr>
            <w:tab/>
          </w:r>
          <w:r>
            <w:rPr>
              <w:b/>
              <w:bCs/>
            </w:rPr>
            <w:fldChar w:fldCharType="begin"/>
          </w:r>
          <w:r>
            <w:rPr>
              <w:b/>
              <w:bCs/>
            </w:rPr>
            <w:instrText xml:space="preserve"> PAGEREF _Toc1251 \h </w:instrText>
          </w:r>
          <w:r>
            <w:rPr>
              <w:b/>
              <w:bCs/>
            </w:rPr>
            <w:fldChar w:fldCharType="separate"/>
          </w:r>
          <w:r>
            <w:rPr>
              <w:b/>
              <w:bCs/>
            </w:rPr>
            <w:t>39</w:t>
          </w:r>
          <w:r>
            <w:rPr>
              <w:b/>
              <w:bCs/>
            </w:rPr>
            <w:fldChar w:fldCharType="end"/>
          </w:r>
          <w:r>
            <w:rPr>
              <w:b/>
              <w:bCs/>
            </w:rPr>
            <w:fldChar w:fldCharType="end"/>
          </w:r>
        </w:p>
        <w:p w14:paraId="583EDDBD">
          <w:pPr>
            <w:pStyle w:val="13"/>
            <w:tabs>
              <w:tab w:val="right" w:leader="dot" w:pos="8306"/>
            </w:tabs>
            <w:rPr>
              <w:b/>
              <w:bCs/>
            </w:rPr>
          </w:pPr>
          <w:r>
            <w:fldChar w:fldCharType="begin"/>
          </w:r>
          <w:r>
            <w:instrText xml:space="preserve"> HYPERLINK \l "_Toc23601" </w:instrText>
          </w:r>
          <w:r>
            <w:fldChar w:fldCharType="separate"/>
          </w:r>
          <w:r>
            <w:rPr>
              <w:rFonts w:hint="eastAsia"/>
              <w:b/>
              <w:bCs/>
            </w:rPr>
            <w:t>五、环境保护措施监督检查清单</w:t>
          </w:r>
          <w:r>
            <w:rPr>
              <w:b/>
              <w:bCs/>
            </w:rPr>
            <w:tab/>
          </w:r>
          <w:bookmarkStart w:id="45" w:name="_GoBack"/>
          <w:bookmarkEnd w:id="45"/>
          <w:r>
            <w:rPr>
              <w:b/>
              <w:bCs/>
            </w:rPr>
            <w:fldChar w:fldCharType="begin"/>
          </w:r>
          <w:r>
            <w:rPr>
              <w:b/>
              <w:bCs/>
            </w:rPr>
            <w:instrText xml:space="preserve"> PAGEREF _Toc23601 \h </w:instrText>
          </w:r>
          <w:r>
            <w:rPr>
              <w:b/>
              <w:bCs/>
            </w:rPr>
            <w:fldChar w:fldCharType="separate"/>
          </w:r>
          <w:r>
            <w:rPr>
              <w:b/>
              <w:bCs/>
            </w:rPr>
            <w:t>72</w:t>
          </w:r>
          <w:r>
            <w:rPr>
              <w:b/>
              <w:bCs/>
            </w:rPr>
            <w:fldChar w:fldCharType="end"/>
          </w:r>
          <w:r>
            <w:rPr>
              <w:b/>
              <w:bCs/>
            </w:rPr>
            <w:fldChar w:fldCharType="end"/>
          </w:r>
        </w:p>
        <w:p w14:paraId="7ECD85E8">
          <w:pPr>
            <w:pStyle w:val="13"/>
            <w:tabs>
              <w:tab w:val="right" w:leader="dot" w:pos="8306"/>
            </w:tabs>
            <w:rPr>
              <w:b/>
              <w:bCs/>
            </w:rPr>
          </w:pPr>
          <w:r>
            <w:fldChar w:fldCharType="begin"/>
          </w:r>
          <w:r>
            <w:instrText xml:space="preserve"> HYPERLINK \l "_Toc18008" </w:instrText>
          </w:r>
          <w:r>
            <w:fldChar w:fldCharType="separate"/>
          </w:r>
          <w:r>
            <w:rPr>
              <w:rFonts w:hint="eastAsia"/>
              <w:b/>
              <w:bCs/>
            </w:rPr>
            <w:t>六、结论</w:t>
          </w:r>
          <w:r>
            <w:rPr>
              <w:b/>
              <w:bCs/>
            </w:rPr>
            <w:tab/>
          </w:r>
          <w:r>
            <w:rPr>
              <w:b/>
              <w:bCs/>
            </w:rPr>
            <w:fldChar w:fldCharType="begin"/>
          </w:r>
          <w:r>
            <w:rPr>
              <w:b/>
              <w:bCs/>
            </w:rPr>
            <w:instrText xml:space="preserve"> PAGEREF _Toc18008 \h </w:instrText>
          </w:r>
          <w:r>
            <w:rPr>
              <w:b/>
              <w:bCs/>
            </w:rPr>
            <w:fldChar w:fldCharType="separate"/>
          </w:r>
          <w:r>
            <w:rPr>
              <w:b/>
              <w:bCs/>
            </w:rPr>
            <w:t>74</w:t>
          </w:r>
          <w:r>
            <w:rPr>
              <w:b/>
              <w:bCs/>
            </w:rPr>
            <w:fldChar w:fldCharType="end"/>
          </w:r>
          <w:r>
            <w:rPr>
              <w:b/>
              <w:bCs/>
            </w:rPr>
            <w:fldChar w:fldCharType="end"/>
          </w:r>
        </w:p>
        <w:p w14:paraId="2D9704DA">
          <w:pPr>
            <w:pStyle w:val="13"/>
            <w:tabs>
              <w:tab w:val="right" w:leader="dot" w:pos="8306"/>
            </w:tabs>
          </w:pPr>
          <w:r>
            <w:fldChar w:fldCharType="begin"/>
          </w:r>
          <w:r>
            <w:instrText xml:space="preserve"> HYPERLINK \l "_Toc28698" </w:instrText>
          </w:r>
          <w:r>
            <w:fldChar w:fldCharType="separate"/>
          </w:r>
          <w:r>
            <w:rPr>
              <w:rFonts w:hint="eastAsia"/>
              <w:b/>
              <w:bCs/>
            </w:rPr>
            <w:t>附表</w:t>
          </w:r>
          <w:r>
            <w:rPr>
              <w:b/>
              <w:bCs/>
            </w:rPr>
            <w:tab/>
          </w:r>
          <w:r>
            <w:rPr>
              <w:b/>
              <w:bCs/>
            </w:rPr>
            <w:fldChar w:fldCharType="begin"/>
          </w:r>
          <w:r>
            <w:rPr>
              <w:b/>
              <w:bCs/>
            </w:rPr>
            <w:instrText xml:space="preserve"> PAGEREF _Toc28698 \h </w:instrText>
          </w:r>
          <w:r>
            <w:rPr>
              <w:b/>
              <w:bCs/>
            </w:rPr>
            <w:fldChar w:fldCharType="separate"/>
          </w:r>
          <w:r>
            <w:rPr>
              <w:b/>
              <w:bCs/>
            </w:rPr>
            <w:t>75</w:t>
          </w:r>
          <w:r>
            <w:rPr>
              <w:b/>
              <w:bCs/>
            </w:rPr>
            <w:fldChar w:fldCharType="end"/>
          </w:r>
          <w:r>
            <w:rPr>
              <w:b/>
              <w:bCs/>
            </w:rPr>
            <w:fldChar w:fldCharType="end"/>
          </w:r>
        </w:p>
        <w:p w14:paraId="15A1E482">
          <w:r>
            <w:rPr>
              <w:rFonts w:hint="eastAsia" w:asciiTheme="minorEastAsia" w:hAnsiTheme="minorEastAsia" w:eastAsiaTheme="minorEastAsia" w:cstheme="minorEastAsia"/>
            </w:rPr>
            <w:fldChar w:fldCharType="end"/>
          </w:r>
        </w:p>
      </w:sdtContent>
    </w:sdt>
    <w:p w14:paraId="7EC80360">
      <w:pPr>
        <w:rPr>
          <w:b/>
          <w:bCs/>
        </w:rPr>
      </w:pPr>
      <w:r>
        <w:rPr>
          <w:b/>
          <w:bCs/>
        </w:rPr>
        <w:br w:type="page"/>
      </w:r>
    </w:p>
    <w:p w14:paraId="5A3663E6">
      <w:pPr>
        <w:spacing w:line="348" w:lineRule="auto"/>
      </w:pPr>
      <w:r>
        <w:rPr>
          <w:b/>
          <w:bCs/>
        </w:rPr>
        <w:t>附图：</w:t>
      </w:r>
    </w:p>
    <w:p w14:paraId="73A3494A">
      <w:pPr>
        <w:spacing w:line="312" w:lineRule="auto"/>
        <w:ind w:firstLine="480" w:firstLineChars="200"/>
      </w:pPr>
      <w:r>
        <w:t>附图1  项目地理位置图</w:t>
      </w:r>
    </w:p>
    <w:p w14:paraId="5A3F9ACF">
      <w:pPr>
        <w:spacing w:line="312" w:lineRule="auto"/>
        <w:ind w:firstLine="480" w:firstLineChars="200"/>
      </w:pPr>
      <w:r>
        <w:t xml:space="preserve">附图2  </w:t>
      </w:r>
      <w:r>
        <w:rPr>
          <w:rFonts w:hint="eastAsia"/>
        </w:rPr>
        <w:t>项目周边环境保护目标图</w:t>
      </w:r>
    </w:p>
    <w:p w14:paraId="5522EC03">
      <w:pPr>
        <w:spacing w:line="312" w:lineRule="auto"/>
        <w:ind w:firstLine="480" w:firstLineChars="200"/>
      </w:pPr>
      <w:r>
        <w:t>附图</w:t>
      </w:r>
      <w:r>
        <w:rPr>
          <w:rFonts w:hint="eastAsia"/>
        </w:rPr>
        <w:t>3</w:t>
      </w:r>
      <w:r>
        <w:t xml:space="preserve">  </w:t>
      </w:r>
      <w:r>
        <w:rPr>
          <w:rFonts w:hint="eastAsia"/>
        </w:rPr>
        <w:t>总平面布置图</w:t>
      </w:r>
    </w:p>
    <w:p w14:paraId="37C50FC0">
      <w:pPr>
        <w:spacing w:line="312" w:lineRule="auto"/>
        <w:ind w:firstLine="480" w:firstLineChars="200"/>
      </w:pPr>
      <w:r>
        <w:t>附图</w:t>
      </w:r>
      <w:r>
        <w:rPr>
          <w:rFonts w:hint="eastAsia"/>
        </w:rPr>
        <w:t>4</w:t>
      </w:r>
      <w:r>
        <w:t xml:space="preserve">  </w:t>
      </w:r>
      <w:r>
        <w:rPr>
          <w:rFonts w:hint="eastAsia"/>
        </w:rPr>
        <w:t>项目四周环境照片</w:t>
      </w:r>
    </w:p>
    <w:p w14:paraId="1DF9F85E">
      <w:pPr>
        <w:spacing w:line="312" w:lineRule="auto"/>
        <w:ind w:firstLine="480" w:firstLineChars="200"/>
      </w:pPr>
      <w:r>
        <w:t>附图</w:t>
      </w:r>
      <w:r>
        <w:rPr>
          <w:rFonts w:hint="eastAsia"/>
        </w:rPr>
        <w:t>5</w:t>
      </w:r>
      <w:r>
        <w:t xml:space="preserve">  </w:t>
      </w:r>
      <w:r>
        <w:rPr>
          <w:rFonts w:hint="eastAsia"/>
        </w:rPr>
        <w:t>雨污管网图</w:t>
      </w:r>
    </w:p>
    <w:p w14:paraId="19B9E9CB">
      <w:pPr>
        <w:spacing w:line="312" w:lineRule="auto"/>
        <w:ind w:firstLine="480" w:firstLineChars="200"/>
      </w:pPr>
      <w:r>
        <w:rPr>
          <w:rFonts w:hint="eastAsia"/>
        </w:rPr>
        <w:t>附图6  分区防渗图</w:t>
      </w:r>
    </w:p>
    <w:p w14:paraId="0C4ADAB4">
      <w:pPr>
        <w:spacing w:line="312" w:lineRule="auto"/>
        <w:ind w:firstLine="480" w:firstLineChars="200"/>
      </w:pPr>
      <w:r>
        <w:rPr>
          <w:rFonts w:hint="eastAsia"/>
        </w:rPr>
        <w:t>附图7  淮南市生态保护红线图</w:t>
      </w:r>
    </w:p>
    <w:p w14:paraId="2EB4E995">
      <w:pPr>
        <w:spacing w:line="312" w:lineRule="auto"/>
        <w:ind w:firstLine="480" w:firstLineChars="200"/>
      </w:pPr>
      <w:r>
        <w:t xml:space="preserve">附图8 </w:t>
      </w:r>
      <w:r>
        <w:rPr>
          <w:rFonts w:hint="eastAsia"/>
        </w:rPr>
        <w:t xml:space="preserve"> 项目用地规划图</w:t>
      </w:r>
    </w:p>
    <w:p w14:paraId="6D71C9D3">
      <w:pPr>
        <w:spacing w:line="312" w:lineRule="auto"/>
        <w:ind w:firstLine="480" w:firstLineChars="200"/>
      </w:pPr>
      <w:r>
        <w:t xml:space="preserve">附图9 </w:t>
      </w:r>
      <w:r>
        <w:rPr>
          <w:rFonts w:hint="eastAsia"/>
        </w:rPr>
        <w:t xml:space="preserve"> 项目所在位置生态环境分区管控成果图</w:t>
      </w:r>
    </w:p>
    <w:p w14:paraId="4158958B">
      <w:pPr>
        <w:spacing w:line="312" w:lineRule="auto"/>
        <w:ind w:firstLine="480" w:firstLineChars="200"/>
      </w:pPr>
      <w:r>
        <w:t xml:space="preserve">附图10 </w:t>
      </w:r>
      <w:r>
        <w:rPr>
          <w:rFonts w:hint="eastAsia"/>
        </w:rPr>
        <w:t xml:space="preserve"> 淮南市三区三线图</w:t>
      </w:r>
    </w:p>
    <w:p w14:paraId="7E6DD2EE">
      <w:pPr>
        <w:spacing w:line="348" w:lineRule="auto"/>
        <w:rPr>
          <w:b/>
          <w:bCs/>
        </w:rPr>
      </w:pPr>
      <w:r>
        <w:rPr>
          <w:b/>
          <w:bCs/>
        </w:rPr>
        <w:t>附件：</w:t>
      </w:r>
    </w:p>
    <w:p w14:paraId="5641E1B5">
      <w:pPr>
        <w:spacing w:line="312" w:lineRule="auto"/>
        <w:ind w:firstLine="480" w:firstLineChars="200"/>
      </w:pPr>
      <w:r>
        <w:rPr>
          <w:rFonts w:hint="eastAsia"/>
        </w:rPr>
        <w:t>附件1  环评</w:t>
      </w:r>
      <w:r>
        <w:t>委托书</w:t>
      </w:r>
    </w:p>
    <w:p w14:paraId="387CB04D">
      <w:pPr>
        <w:spacing w:line="312" w:lineRule="auto"/>
        <w:ind w:firstLine="480" w:firstLineChars="200"/>
      </w:pPr>
      <w:r>
        <w:t>附件</w:t>
      </w:r>
      <w:r>
        <w:rPr>
          <w:rFonts w:hint="eastAsia"/>
        </w:rPr>
        <w:t>2</w:t>
      </w:r>
      <w:r>
        <w:t xml:space="preserve">  </w:t>
      </w:r>
      <w:r>
        <w:rPr>
          <w:rFonts w:hint="eastAsia"/>
        </w:rPr>
        <w:t>环评真实性承诺函</w:t>
      </w:r>
    </w:p>
    <w:p w14:paraId="228441C2">
      <w:pPr>
        <w:spacing w:line="312" w:lineRule="auto"/>
        <w:ind w:firstLine="480" w:firstLineChars="200"/>
      </w:pPr>
      <w:r>
        <w:rPr>
          <w:rFonts w:hint="eastAsia"/>
        </w:rPr>
        <w:t xml:space="preserve">附件3  </w:t>
      </w:r>
      <w:r>
        <w:t>备案</w:t>
      </w:r>
      <w:r>
        <w:rPr>
          <w:rFonts w:hint="eastAsia"/>
        </w:rPr>
        <w:t>表</w:t>
      </w:r>
    </w:p>
    <w:p w14:paraId="46DB6367">
      <w:pPr>
        <w:spacing w:line="312" w:lineRule="auto"/>
        <w:ind w:firstLine="480" w:firstLineChars="200"/>
      </w:pPr>
      <w:r>
        <w:t>附件</w:t>
      </w:r>
      <w:r>
        <w:rPr>
          <w:rFonts w:hint="eastAsia"/>
        </w:rPr>
        <w:t>4</w:t>
      </w:r>
      <w:r>
        <w:t xml:space="preserve">  营业执照</w:t>
      </w:r>
      <w:r>
        <w:rPr>
          <w:rFonts w:hint="eastAsia"/>
        </w:rPr>
        <w:t>及法人身份证</w:t>
      </w:r>
    </w:p>
    <w:p w14:paraId="69813B89">
      <w:pPr>
        <w:spacing w:line="312" w:lineRule="auto"/>
        <w:ind w:firstLine="480" w:firstLineChars="200"/>
      </w:pPr>
      <w:r>
        <w:t>附件</w:t>
      </w:r>
      <w:r>
        <w:rPr>
          <w:rFonts w:hint="eastAsia"/>
        </w:rPr>
        <w:t>5</w:t>
      </w:r>
      <w:r>
        <w:t xml:space="preserve">  </w:t>
      </w:r>
      <w:r>
        <w:rPr>
          <w:rFonts w:hint="eastAsia"/>
        </w:rPr>
        <w:t>淮南市人民政府关于同意淮南市城市综合交通驿站国土空间专项规划（2023-2035年）的批复</w:t>
      </w:r>
    </w:p>
    <w:p w14:paraId="1DD5DDCC">
      <w:pPr>
        <w:spacing w:line="312" w:lineRule="auto"/>
        <w:ind w:firstLine="480" w:firstLineChars="200"/>
      </w:pPr>
      <w:r>
        <w:rPr>
          <w:rFonts w:hint="eastAsia"/>
        </w:rPr>
        <w:t>附件6  噪声监测报告</w:t>
      </w:r>
    </w:p>
    <w:p w14:paraId="30AAAB95">
      <w:pPr>
        <w:spacing w:line="312" w:lineRule="auto"/>
        <w:ind w:firstLine="480" w:firstLineChars="200"/>
      </w:pPr>
      <w:r>
        <w:rPr>
          <w:rFonts w:hint="eastAsia"/>
        </w:rPr>
        <w:t>附件7  说明</w:t>
      </w:r>
    </w:p>
    <w:p w14:paraId="1E85501E">
      <w:pPr>
        <w:rPr>
          <w:color w:val="0000FF"/>
        </w:rPr>
      </w:pPr>
    </w:p>
    <w:p w14:paraId="1C3452B4">
      <w:pPr>
        <w:pStyle w:val="3"/>
        <w:rPr>
          <w:color w:val="0000FF"/>
        </w:rPr>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pPr>
    </w:p>
    <w:p w14:paraId="12E67301">
      <w:pPr>
        <w:pStyle w:val="2"/>
      </w:pPr>
      <w:bookmarkStart w:id="7" w:name="_Toc8920"/>
      <w:r>
        <w:t>一、建设项目基本情况</w:t>
      </w:r>
      <w:bookmarkEnd w:id="7"/>
    </w:p>
    <w:tbl>
      <w:tblPr>
        <w:tblStyle w:val="18"/>
        <w:tblW w:w="84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50"/>
        <w:gridCol w:w="2036"/>
        <w:gridCol w:w="1483"/>
        <w:gridCol w:w="454"/>
        <w:gridCol w:w="3230"/>
      </w:tblGrid>
      <w:tr w14:paraId="46ECE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2DD6A509">
            <w:pPr>
              <w:adjustRightInd w:val="0"/>
              <w:spacing w:line="400" w:lineRule="exact"/>
              <w:jc w:val="center"/>
            </w:pPr>
            <w:r>
              <w:t>建设项目</w:t>
            </w:r>
          </w:p>
          <w:p w14:paraId="1E86228A">
            <w:pPr>
              <w:adjustRightInd w:val="0"/>
              <w:spacing w:line="400" w:lineRule="exact"/>
              <w:jc w:val="center"/>
            </w:pPr>
            <w:r>
              <w:t>名称</w:t>
            </w:r>
          </w:p>
        </w:tc>
        <w:tc>
          <w:tcPr>
            <w:tcW w:w="7203" w:type="dxa"/>
            <w:gridSpan w:val="4"/>
            <w:vAlign w:val="center"/>
          </w:tcPr>
          <w:p w14:paraId="1AE7BA90">
            <w:pPr>
              <w:adjustRightInd w:val="0"/>
              <w:spacing w:line="400" w:lineRule="exact"/>
              <w:jc w:val="center"/>
            </w:pPr>
            <w:r>
              <w:rPr>
                <w:rFonts w:hint="eastAsia"/>
              </w:rPr>
              <w:t>淮南经开区农场城市综合交通驿站项目</w:t>
            </w:r>
          </w:p>
        </w:tc>
      </w:tr>
      <w:tr w14:paraId="58B475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08D33BE5">
            <w:pPr>
              <w:adjustRightInd w:val="0"/>
              <w:spacing w:line="400" w:lineRule="exact"/>
              <w:jc w:val="center"/>
            </w:pPr>
            <w:r>
              <w:t>项目代码</w:t>
            </w:r>
          </w:p>
        </w:tc>
        <w:tc>
          <w:tcPr>
            <w:tcW w:w="7203" w:type="dxa"/>
            <w:gridSpan w:val="4"/>
            <w:vAlign w:val="center"/>
          </w:tcPr>
          <w:p w14:paraId="2AAD62CF">
            <w:pPr>
              <w:adjustRightInd w:val="0"/>
              <w:spacing w:line="400" w:lineRule="exact"/>
              <w:jc w:val="center"/>
            </w:pPr>
            <w:r>
              <w:rPr>
                <w:rFonts w:hint="eastAsia"/>
              </w:rPr>
              <w:t>2408-340461-04-01-800507</w:t>
            </w:r>
          </w:p>
        </w:tc>
      </w:tr>
      <w:tr w14:paraId="20957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1E1B8BBD">
            <w:pPr>
              <w:adjustRightInd w:val="0"/>
              <w:spacing w:line="400" w:lineRule="exact"/>
              <w:jc w:val="center"/>
            </w:pPr>
            <w:r>
              <w:t>建设单位</w:t>
            </w:r>
          </w:p>
          <w:p w14:paraId="21CC9852">
            <w:pPr>
              <w:adjustRightInd w:val="0"/>
              <w:spacing w:line="400" w:lineRule="exact"/>
              <w:jc w:val="center"/>
            </w:pPr>
            <w:r>
              <w:t>联系人</w:t>
            </w:r>
          </w:p>
        </w:tc>
        <w:tc>
          <w:tcPr>
            <w:tcW w:w="2036" w:type="dxa"/>
            <w:vAlign w:val="center"/>
          </w:tcPr>
          <w:p w14:paraId="40FC4048">
            <w:pPr>
              <w:adjustRightInd w:val="0"/>
              <w:spacing w:line="400" w:lineRule="exact"/>
              <w:jc w:val="center"/>
            </w:pPr>
            <w:r>
              <w:rPr>
                <w:rFonts w:hint="eastAsia"/>
              </w:rPr>
              <w:t>杨志红</w:t>
            </w:r>
          </w:p>
        </w:tc>
        <w:tc>
          <w:tcPr>
            <w:tcW w:w="1937" w:type="dxa"/>
            <w:gridSpan w:val="2"/>
            <w:vAlign w:val="center"/>
          </w:tcPr>
          <w:p w14:paraId="283AD05E">
            <w:pPr>
              <w:adjustRightInd w:val="0"/>
              <w:spacing w:line="400" w:lineRule="exact"/>
              <w:jc w:val="center"/>
            </w:pPr>
            <w:r>
              <w:t>联系方式</w:t>
            </w:r>
          </w:p>
        </w:tc>
        <w:tc>
          <w:tcPr>
            <w:tcW w:w="3230" w:type="dxa"/>
            <w:vAlign w:val="center"/>
          </w:tcPr>
          <w:p w14:paraId="73586130">
            <w:pPr>
              <w:adjustRightInd w:val="0"/>
              <w:spacing w:line="400" w:lineRule="exact"/>
              <w:jc w:val="center"/>
            </w:pPr>
            <w:r>
              <w:t>13956428616</w:t>
            </w:r>
          </w:p>
        </w:tc>
      </w:tr>
      <w:tr w14:paraId="67403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2085D288">
            <w:pPr>
              <w:adjustRightInd w:val="0"/>
              <w:spacing w:line="400" w:lineRule="exact"/>
              <w:jc w:val="center"/>
            </w:pPr>
            <w:r>
              <w:t>建设地点</w:t>
            </w:r>
          </w:p>
        </w:tc>
        <w:tc>
          <w:tcPr>
            <w:tcW w:w="7203" w:type="dxa"/>
            <w:gridSpan w:val="4"/>
            <w:vAlign w:val="center"/>
          </w:tcPr>
          <w:p w14:paraId="48EA8013">
            <w:pPr>
              <w:adjustRightInd w:val="0"/>
              <w:spacing w:line="400" w:lineRule="exact"/>
              <w:jc w:val="center"/>
            </w:pPr>
            <w:r>
              <w:rPr>
                <w:rFonts w:hint="eastAsia"/>
              </w:rPr>
              <w:t>淮南经济技术开发区G206与朝阳路交叉口西南角</w:t>
            </w:r>
          </w:p>
        </w:tc>
      </w:tr>
      <w:tr w14:paraId="696D6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265D23E3">
            <w:pPr>
              <w:adjustRightInd w:val="0"/>
              <w:spacing w:line="400" w:lineRule="exact"/>
              <w:jc w:val="center"/>
            </w:pPr>
            <w:r>
              <w:t>地理坐标</w:t>
            </w:r>
          </w:p>
        </w:tc>
        <w:tc>
          <w:tcPr>
            <w:tcW w:w="7203" w:type="dxa"/>
            <w:gridSpan w:val="4"/>
            <w:vAlign w:val="center"/>
          </w:tcPr>
          <w:p w14:paraId="5E366FD7">
            <w:pPr>
              <w:spacing w:line="400" w:lineRule="exact"/>
              <w:jc w:val="center"/>
            </w:pPr>
            <w:r>
              <w:t>（东经：</w:t>
            </w:r>
            <w:r>
              <w:rPr>
                <w:rFonts w:hint="eastAsia"/>
              </w:rPr>
              <w:t>117</w:t>
            </w:r>
            <w:r>
              <w:t>度</w:t>
            </w:r>
            <w:r>
              <w:rPr>
                <w:rFonts w:hint="eastAsia"/>
              </w:rPr>
              <w:t>5</w:t>
            </w:r>
            <w:r>
              <w:t>分</w:t>
            </w:r>
            <w:r>
              <w:rPr>
                <w:rFonts w:hint="eastAsia"/>
              </w:rPr>
              <w:t>34.8</w:t>
            </w:r>
            <w:r>
              <w:t>秒，北纬：</w:t>
            </w:r>
            <w:r>
              <w:rPr>
                <w:rFonts w:hint="eastAsia"/>
              </w:rPr>
              <w:t>32</w:t>
            </w:r>
            <w:r>
              <w:t>度</w:t>
            </w:r>
            <w:r>
              <w:rPr>
                <w:rFonts w:hint="eastAsia"/>
              </w:rPr>
              <w:t>38</w:t>
            </w:r>
            <w:r>
              <w:t>分</w:t>
            </w:r>
            <w:r>
              <w:rPr>
                <w:rFonts w:hint="eastAsia"/>
              </w:rPr>
              <w:t>44.5</w:t>
            </w:r>
            <w:r>
              <w:t>秒）</w:t>
            </w:r>
          </w:p>
        </w:tc>
      </w:tr>
      <w:tr w14:paraId="50FA2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50" w:type="dxa"/>
            <w:tcMar>
              <w:top w:w="16" w:type="dxa"/>
              <w:left w:w="16" w:type="dxa"/>
              <w:right w:w="16" w:type="dxa"/>
            </w:tcMar>
            <w:vAlign w:val="center"/>
          </w:tcPr>
          <w:p w14:paraId="24958BC9">
            <w:pPr>
              <w:adjustRightInd w:val="0"/>
              <w:spacing w:line="400" w:lineRule="exact"/>
              <w:jc w:val="center"/>
            </w:pPr>
            <w:r>
              <w:t>国民经济行业类别</w:t>
            </w:r>
          </w:p>
        </w:tc>
        <w:tc>
          <w:tcPr>
            <w:tcW w:w="2036" w:type="dxa"/>
            <w:vAlign w:val="center"/>
          </w:tcPr>
          <w:p w14:paraId="182070BE">
            <w:pPr>
              <w:spacing w:line="240" w:lineRule="auto"/>
              <w:jc w:val="center"/>
            </w:pPr>
            <w:r>
              <w:rPr>
                <w:rFonts w:hint="eastAsia"/>
              </w:rPr>
              <w:t>G5449其他道路运输和辅助活动</w:t>
            </w:r>
          </w:p>
          <w:p w14:paraId="2F91F0E2">
            <w:pPr>
              <w:spacing w:line="240" w:lineRule="auto"/>
              <w:jc w:val="center"/>
            </w:pPr>
            <w:r>
              <w:rPr>
                <w:rFonts w:hint="eastAsia"/>
              </w:rPr>
              <w:t>F5265机动车燃油零售</w:t>
            </w:r>
          </w:p>
        </w:tc>
        <w:tc>
          <w:tcPr>
            <w:tcW w:w="1483" w:type="dxa"/>
            <w:vAlign w:val="center"/>
          </w:tcPr>
          <w:p w14:paraId="0CD2C900">
            <w:pPr>
              <w:adjustRightInd w:val="0"/>
              <w:spacing w:line="400" w:lineRule="exact"/>
              <w:jc w:val="center"/>
            </w:pPr>
            <w:bookmarkStart w:id="8" w:name="_Hlk49843745"/>
            <w:r>
              <w:t>建设项目</w:t>
            </w:r>
          </w:p>
          <w:p w14:paraId="0D75AFA3">
            <w:pPr>
              <w:adjustRightInd w:val="0"/>
              <w:spacing w:line="400" w:lineRule="exact"/>
              <w:jc w:val="center"/>
            </w:pPr>
            <w:r>
              <w:t>行业类别</w:t>
            </w:r>
            <w:bookmarkEnd w:id="8"/>
          </w:p>
        </w:tc>
        <w:tc>
          <w:tcPr>
            <w:tcW w:w="3684" w:type="dxa"/>
            <w:gridSpan w:val="2"/>
            <w:vAlign w:val="center"/>
          </w:tcPr>
          <w:p w14:paraId="76DFC140">
            <w:pPr>
              <w:spacing w:line="240" w:lineRule="auto"/>
              <w:ind w:left="240" w:hanging="240" w:hangingChars="100"/>
            </w:pPr>
            <w:r>
              <w:rPr>
                <w:rFonts w:hint="eastAsia"/>
              </w:rPr>
              <w:t>五十、社会事业与服务业118驾驶员训练基地、公交枢纽、长途客运站、大型停车场、机动车检测场</w:t>
            </w:r>
          </w:p>
          <w:p w14:paraId="0105A792">
            <w:pPr>
              <w:spacing w:line="240" w:lineRule="auto"/>
              <w:ind w:left="240" w:hanging="240" w:hangingChars="100"/>
              <w:rPr>
                <w:kern w:val="0"/>
              </w:rPr>
            </w:pPr>
            <w:r>
              <w:rPr>
                <w:rFonts w:hint="eastAsia"/>
              </w:rPr>
              <w:t>五十</w:t>
            </w:r>
            <w:r>
              <w:t>、</w:t>
            </w:r>
            <w:r>
              <w:rPr>
                <w:rFonts w:hint="eastAsia"/>
              </w:rPr>
              <w:t>社会事业与服务业 119加油、加气站</w:t>
            </w:r>
          </w:p>
        </w:tc>
      </w:tr>
      <w:tr w14:paraId="70153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50" w:type="dxa"/>
            <w:tcMar>
              <w:top w:w="16" w:type="dxa"/>
              <w:left w:w="16" w:type="dxa"/>
              <w:right w:w="16" w:type="dxa"/>
            </w:tcMar>
            <w:vAlign w:val="center"/>
          </w:tcPr>
          <w:p w14:paraId="28C89AA2">
            <w:pPr>
              <w:adjustRightInd w:val="0"/>
              <w:spacing w:line="400" w:lineRule="exact"/>
              <w:jc w:val="center"/>
            </w:pPr>
            <w:r>
              <w:t>建设性质</w:t>
            </w:r>
          </w:p>
        </w:tc>
        <w:tc>
          <w:tcPr>
            <w:tcW w:w="2036" w:type="dxa"/>
            <w:vAlign w:val="center"/>
          </w:tcPr>
          <w:p w14:paraId="32E0F459">
            <w:r>
              <w:rPr/>
              <w:sym w:font="Wingdings 2" w:char="0052"/>
            </w:r>
            <w:r>
              <w:t>新建（迁建）</w:t>
            </w:r>
          </w:p>
          <w:p w14:paraId="7B0AB659">
            <w:pPr>
              <w:spacing w:line="400" w:lineRule="exact"/>
              <w:jc w:val="left"/>
            </w:pPr>
            <w:r>
              <w:rPr>
                <w:rFonts w:hint="eastAsia"/>
              </w:rPr>
              <w:t>□</w:t>
            </w:r>
            <w:r>
              <w:t>改建</w:t>
            </w:r>
          </w:p>
          <w:p w14:paraId="65026120">
            <w:pPr>
              <w:spacing w:line="400" w:lineRule="exact"/>
              <w:jc w:val="left"/>
            </w:pPr>
            <w:r>
              <w:rPr>
                <w:rFonts w:hint="eastAsia"/>
              </w:rPr>
              <w:t>□</w:t>
            </w:r>
            <w:r>
              <w:t>扩建</w:t>
            </w:r>
          </w:p>
          <w:p w14:paraId="2754FEF0">
            <w:pPr>
              <w:spacing w:line="400" w:lineRule="exact"/>
              <w:jc w:val="left"/>
            </w:pPr>
            <w:r>
              <w:rPr>
                <w:rFonts w:hint="eastAsia"/>
              </w:rPr>
              <w:t>□</w:t>
            </w:r>
            <w:r>
              <w:t>技术改造</w:t>
            </w:r>
          </w:p>
        </w:tc>
        <w:tc>
          <w:tcPr>
            <w:tcW w:w="1483" w:type="dxa"/>
            <w:vAlign w:val="center"/>
          </w:tcPr>
          <w:p w14:paraId="02C50FC3">
            <w:pPr>
              <w:adjustRightInd w:val="0"/>
              <w:spacing w:line="400" w:lineRule="exact"/>
              <w:jc w:val="center"/>
            </w:pPr>
            <w:r>
              <w:t>建设项目</w:t>
            </w:r>
          </w:p>
          <w:p w14:paraId="5CFA65C2">
            <w:pPr>
              <w:adjustRightInd w:val="0"/>
              <w:spacing w:line="400" w:lineRule="exact"/>
              <w:jc w:val="center"/>
            </w:pPr>
            <w:r>
              <w:t>申报情形</w:t>
            </w:r>
          </w:p>
        </w:tc>
        <w:tc>
          <w:tcPr>
            <w:tcW w:w="3684" w:type="dxa"/>
            <w:gridSpan w:val="2"/>
            <w:vAlign w:val="center"/>
          </w:tcPr>
          <w:p w14:paraId="0D1EACFB">
            <w:pPr>
              <w:spacing w:line="400" w:lineRule="exact"/>
              <w:jc w:val="left"/>
            </w:pPr>
            <w:r>
              <w:rPr/>
              <w:sym w:font="Wingdings 2" w:char="F052"/>
            </w:r>
            <w:r>
              <w:t>首次申报项目</w:t>
            </w:r>
          </w:p>
          <w:p w14:paraId="6CDEDA12">
            <w:pPr>
              <w:spacing w:line="400" w:lineRule="exact"/>
              <w:jc w:val="left"/>
            </w:pPr>
            <w:r>
              <w:rPr>
                <w:rFonts w:hint="eastAsia"/>
              </w:rPr>
              <w:t>□</w:t>
            </w:r>
            <w:r>
              <w:t>不予批准后再次申报项目</w:t>
            </w:r>
          </w:p>
          <w:p w14:paraId="3C60C9EB">
            <w:pPr>
              <w:spacing w:line="400" w:lineRule="exact"/>
              <w:jc w:val="left"/>
            </w:pPr>
            <w:r>
              <w:rPr>
                <w:rFonts w:hint="eastAsia"/>
              </w:rPr>
              <w:t>□</w:t>
            </w:r>
            <w:r>
              <w:t>超五年重新审核项目</w:t>
            </w:r>
          </w:p>
          <w:p w14:paraId="682F0D11">
            <w:pPr>
              <w:spacing w:line="400" w:lineRule="exact"/>
              <w:jc w:val="left"/>
            </w:pPr>
            <w:r>
              <w:rPr>
                <w:rFonts w:hint="eastAsia"/>
              </w:rPr>
              <w:t>□</w:t>
            </w:r>
            <w:r>
              <w:t>重大变动重新报批项目</w:t>
            </w:r>
          </w:p>
        </w:tc>
      </w:tr>
      <w:tr w14:paraId="6162D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22" w:hRule="atLeast"/>
          <w:jc w:val="center"/>
        </w:trPr>
        <w:tc>
          <w:tcPr>
            <w:tcW w:w="1250" w:type="dxa"/>
            <w:tcMar>
              <w:top w:w="16" w:type="dxa"/>
              <w:left w:w="16" w:type="dxa"/>
              <w:right w:w="16" w:type="dxa"/>
            </w:tcMar>
            <w:vAlign w:val="center"/>
          </w:tcPr>
          <w:p w14:paraId="78EE649C">
            <w:pPr>
              <w:adjustRightInd w:val="0"/>
              <w:spacing w:line="400" w:lineRule="exact"/>
              <w:ind w:left="-120" w:leftChars="-50" w:right="-120" w:rightChars="-50"/>
              <w:jc w:val="center"/>
            </w:pPr>
            <w:r>
              <w:t>项目审批</w:t>
            </w:r>
          </w:p>
          <w:p w14:paraId="6C96A1FD">
            <w:pPr>
              <w:adjustRightInd w:val="0"/>
              <w:spacing w:line="400" w:lineRule="exact"/>
              <w:ind w:left="-120" w:leftChars="-50" w:right="-120" w:rightChars="-50"/>
              <w:jc w:val="center"/>
            </w:pPr>
            <w:r>
              <w:t>（核准/备案）部门</w:t>
            </w:r>
          </w:p>
        </w:tc>
        <w:tc>
          <w:tcPr>
            <w:tcW w:w="2036" w:type="dxa"/>
            <w:vAlign w:val="center"/>
          </w:tcPr>
          <w:p w14:paraId="69D167B6">
            <w:pPr>
              <w:adjustRightInd w:val="0"/>
              <w:spacing w:line="400" w:lineRule="exact"/>
              <w:jc w:val="center"/>
            </w:pPr>
            <w:r>
              <w:rPr>
                <w:rFonts w:hint="eastAsia"/>
              </w:rPr>
              <w:t>淮南经济技术开发区管委会经济发展局</w:t>
            </w:r>
          </w:p>
        </w:tc>
        <w:tc>
          <w:tcPr>
            <w:tcW w:w="1483" w:type="dxa"/>
            <w:vAlign w:val="center"/>
          </w:tcPr>
          <w:p w14:paraId="21849440">
            <w:pPr>
              <w:adjustRightInd w:val="0"/>
              <w:spacing w:line="400" w:lineRule="exact"/>
              <w:jc w:val="center"/>
            </w:pPr>
            <w:r>
              <w:t>项目审批（核准/备案）文号（选填）</w:t>
            </w:r>
          </w:p>
        </w:tc>
        <w:tc>
          <w:tcPr>
            <w:tcW w:w="3684" w:type="dxa"/>
            <w:gridSpan w:val="2"/>
            <w:vAlign w:val="center"/>
          </w:tcPr>
          <w:p w14:paraId="76381AA3">
            <w:pPr>
              <w:adjustRightInd w:val="0"/>
              <w:spacing w:line="400" w:lineRule="exact"/>
              <w:jc w:val="center"/>
            </w:pPr>
            <w:r>
              <w:rPr>
                <w:rFonts w:hint="eastAsia"/>
              </w:rPr>
              <w:t>2408-340461-04-01-800507</w:t>
            </w:r>
          </w:p>
        </w:tc>
      </w:tr>
      <w:tr w14:paraId="552A7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79" w:hRule="atLeast"/>
          <w:jc w:val="center"/>
        </w:trPr>
        <w:tc>
          <w:tcPr>
            <w:tcW w:w="1250" w:type="dxa"/>
            <w:tcMar>
              <w:top w:w="16" w:type="dxa"/>
              <w:left w:w="16" w:type="dxa"/>
              <w:right w:w="16" w:type="dxa"/>
            </w:tcMar>
            <w:vAlign w:val="center"/>
          </w:tcPr>
          <w:p w14:paraId="2739339B">
            <w:pPr>
              <w:adjustRightInd w:val="0"/>
              <w:spacing w:line="400" w:lineRule="exact"/>
              <w:jc w:val="center"/>
            </w:pPr>
            <w:r>
              <w:t>总投资</w:t>
            </w:r>
          </w:p>
          <w:p w14:paraId="587D8558">
            <w:pPr>
              <w:adjustRightInd w:val="0"/>
              <w:spacing w:line="400" w:lineRule="exact"/>
              <w:jc w:val="center"/>
            </w:pPr>
            <w:r>
              <w:t>（万元）</w:t>
            </w:r>
          </w:p>
        </w:tc>
        <w:tc>
          <w:tcPr>
            <w:tcW w:w="2036" w:type="dxa"/>
            <w:vAlign w:val="center"/>
          </w:tcPr>
          <w:p w14:paraId="6271581C">
            <w:pPr>
              <w:adjustRightInd w:val="0"/>
              <w:spacing w:line="400" w:lineRule="exact"/>
              <w:jc w:val="center"/>
            </w:pPr>
            <w:r>
              <w:rPr>
                <w:rFonts w:hint="eastAsia"/>
              </w:rPr>
              <w:t>10800</w:t>
            </w:r>
          </w:p>
        </w:tc>
        <w:tc>
          <w:tcPr>
            <w:tcW w:w="1483" w:type="dxa"/>
            <w:tcMar>
              <w:top w:w="16" w:type="dxa"/>
              <w:left w:w="16" w:type="dxa"/>
              <w:right w:w="16" w:type="dxa"/>
            </w:tcMar>
            <w:vAlign w:val="center"/>
          </w:tcPr>
          <w:p w14:paraId="314E0D87">
            <w:pPr>
              <w:adjustRightInd w:val="0"/>
              <w:spacing w:line="400" w:lineRule="exact"/>
              <w:jc w:val="center"/>
            </w:pPr>
            <w:r>
              <w:t>环保投资</w:t>
            </w:r>
          </w:p>
          <w:p w14:paraId="1A69C857">
            <w:pPr>
              <w:adjustRightInd w:val="0"/>
              <w:spacing w:line="400" w:lineRule="exact"/>
              <w:jc w:val="center"/>
            </w:pPr>
            <w:r>
              <w:t>（万元）</w:t>
            </w:r>
          </w:p>
        </w:tc>
        <w:tc>
          <w:tcPr>
            <w:tcW w:w="3684" w:type="dxa"/>
            <w:gridSpan w:val="2"/>
            <w:vAlign w:val="center"/>
          </w:tcPr>
          <w:p w14:paraId="67377257">
            <w:pPr>
              <w:adjustRightInd w:val="0"/>
              <w:spacing w:line="400" w:lineRule="exact"/>
              <w:jc w:val="center"/>
            </w:pPr>
            <w:r>
              <w:rPr>
                <w:rFonts w:hint="eastAsia"/>
              </w:rPr>
              <w:t>195</w:t>
            </w:r>
          </w:p>
        </w:tc>
      </w:tr>
      <w:tr w14:paraId="1B9ED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50" w:type="dxa"/>
            <w:tcMar>
              <w:top w:w="16" w:type="dxa"/>
              <w:left w:w="16" w:type="dxa"/>
              <w:right w:w="16" w:type="dxa"/>
            </w:tcMar>
            <w:vAlign w:val="center"/>
          </w:tcPr>
          <w:p w14:paraId="584DA202">
            <w:pPr>
              <w:adjustRightInd w:val="0"/>
              <w:spacing w:line="400" w:lineRule="exact"/>
              <w:jc w:val="center"/>
            </w:pPr>
            <w:r>
              <w:t>环保投资占比（%）</w:t>
            </w:r>
          </w:p>
        </w:tc>
        <w:tc>
          <w:tcPr>
            <w:tcW w:w="2036" w:type="dxa"/>
            <w:vAlign w:val="center"/>
          </w:tcPr>
          <w:p w14:paraId="354D10E7">
            <w:pPr>
              <w:adjustRightInd w:val="0"/>
              <w:spacing w:line="400" w:lineRule="exact"/>
              <w:jc w:val="center"/>
            </w:pPr>
            <w:r>
              <w:rPr>
                <w:rFonts w:hint="eastAsia"/>
              </w:rPr>
              <w:t>1.8</w:t>
            </w:r>
          </w:p>
        </w:tc>
        <w:tc>
          <w:tcPr>
            <w:tcW w:w="1483" w:type="dxa"/>
            <w:tcMar>
              <w:top w:w="16" w:type="dxa"/>
              <w:left w:w="16" w:type="dxa"/>
              <w:right w:w="16" w:type="dxa"/>
            </w:tcMar>
            <w:vAlign w:val="center"/>
          </w:tcPr>
          <w:p w14:paraId="688E3027">
            <w:pPr>
              <w:adjustRightInd w:val="0"/>
              <w:spacing w:line="400" w:lineRule="exact"/>
              <w:jc w:val="center"/>
            </w:pPr>
            <w:r>
              <w:t>施工工期</w:t>
            </w:r>
          </w:p>
        </w:tc>
        <w:tc>
          <w:tcPr>
            <w:tcW w:w="3684" w:type="dxa"/>
            <w:gridSpan w:val="2"/>
            <w:vAlign w:val="center"/>
          </w:tcPr>
          <w:p w14:paraId="31DA37E3">
            <w:pPr>
              <w:adjustRightInd w:val="0"/>
              <w:spacing w:line="400" w:lineRule="exact"/>
              <w:jc w:val="center"/>
            </w:pPr>
            <w:r>
              <w:rPr>
                <w:rFonts w:hint="eastAsia"/>
              </w:rPr>
              <w:t>6</w:t>
            </w:r>
            <w:r>
              <w:t>个月</w:t>
            </w:r>
          </w:p>
        </w:tc>
      </w:tr>
      <w:tr w14:paraId="3234D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3" w:hRule="atLeast"/>
          <w:jc w:val="center"/>
        </w:trPr>
        <w:tc>
          <w:tcPr>
            <w:tcW w:w="1250" w:type="dxa"/>
            <w:tcMar>
              <w:top w:w="16" w:type="dxa"/>
              <w:left w:w="16" w:type="dxa"/>
              <w:right w:w="16" w:type="dxa"/>
            </w:tcMar>
            <w:vAlign w:val="center"/>
          </w:tcPr>
          <w:p w14:paraId="37038285">
            <w:pPr>
              <w:adjustRightInd w:val="0"/>
              <w:spacing w:line="400" w:lineRule="exact"/>
              <w:jc w:val="center"/>
            </w:pPr>
            <w:r>
              <w:t>是否开工建设</w:t>
            </w:r>
          </w:p>
        </w:tc>
        <w:tc>
          <w:tcPr>
            <w:tcW w:w="2036" w:type="dxa"/>
            <w:vAlign w:val="center"/>
          </w:tcPr>
          <w:p w14:paraId="1CB2F0D9">
            <w:pPr>
              <w:adjustRightInd w:val="0"/>
              <w:snapToGrid w:val="0"/>
              <w:rPr>
                <w:szCs w:val="21"/>
              </w:rPr>
            </w:pPr>
            <w:r>
              <w:rPr>
                <w:szCs w:val="21"/>
              </w:rPr>
              <w:sym w:font="Wingdings 2" w:char="F052"/>
            </w:r>
            <w:r>
              <w:rPr>
                <w:szCs w:val="21"/>
              </w:rPr>
              <w:t>否</w:t>
            </w:r>
          </w:p>
          <w:p w14:paraId="17CE8815">
            <w:pPr>
              <w:adjustRightInd w:val="0"/>
              <w:snapToGrid w:val="0"/>
              <w:rPr>
                <w:szCs w:val="21"/>
              </w:rPr>
            </w:pPr>
            <w:r>
              <w:rPr>
                <w:szCs w:val="21"/>
              </w:rPr>
              <w:sym w:font="Wingdings 2" w:char="00A3"/>
            </w:r>
            <w:r>
              <w:rPr>
                <w:szCs w:val="21"/>
              </w:rPr>
              <w:t>是：</w:t>
            </w:r>
            <w:r>
              <w:rPr>
                <w:szCs w:val="21"/>
                <w:u w:val="single"/>
              </w:rPr>
              <w:t xml:space="preserve">             </w:t>
            </w:r>
          </w:p>
        </w:tc>
        <w:tc>
          <w:tcPr>
            <w:tcW w:w="1483" w:type="dxa"/>
            <w:vAlign w:val="center"/>
          </w:tcPr>
          <w:p w14:paraId="69473989">
            <w:pPr>
              <w:adjustRightInd w:val="0"/>
              <w:snapToGrid w:val="0"/>
              <w:jc w:val="center"/>
              <w:rPr>
                <w:szCs w:val="21"/>
              </w:rPr>
            </w:pPr>
            <w:r>
              <w:rPr>
                <w:spacing w:val="-6"/>
                <w:szCs w:val="21"/>
              </w:rPr>
              <w:t>用地面积（m</w:t>
            </w:r>
            <w:r>
              <w:rPr>
                <w:spacing w:val="-6"/>
                <w:szCs w:val="21"/>
                <w:vertAlign w:val="superscript"/>
              </w:rPr>
              <w:t>2</w:t>
            </w:r>
            <w:r>
              <w:rPr>
                <w:spacing w:val="-6"/>
                <w:szCs w:val="21"/>
              </w:rPr>
              <w:t>）</w:t>
            </w:r>
          </w:p>
        </w:tc>
        <w:tc>
          <w:tcPr>
            <w:tcW w:w="3684" w:type="dxa"/>
            <w:gridSpan w:val="2"/>
            <w:vAlign w:val="center"/>
          </w:tcPr>
          <w:p w14:paraId="6C77278A">
            <w:pPr>
              <w:adjustRightInd w:val="0"/>
              <w:spacing w:line="400" w:lineRule="exact"/>
              <w:jc w:val="center"/>
              <w:rPr>
                <w:color w:val="0000FF"/>
                <w:u w:val="single"/>
              </w:rPr>
            </w:pPr>
            <w:r>
              <w:rPr>
                <w:rFonts w:hint="eastAsia"/>
              </w:rPr>
              <w:t>74100</w:t>
            </w:r>
          </w:p>
        </w:tc>
      </w:tr>
      <w:tr w14:paraId="5E72F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250" w:type="dxa"/>
            <w:vAlign w:val="center"/>
          </w:tcPr>
          <w:p w14:paraId="2F93F4A6">
            <w:pPr>
              <w:adjustRightInd w:val="0"/>
              <w:spacing w:line="400" w:lineRule="exact"/>
              <w:ind w:left="-72" w:leftChars="-30" w:right="-72" w:rightChars="-30"/>
              <w:jc w:val="center"/>
              <w:rPr>
                <w:kern w:val="0"/>
              </w:rPr>
            </w:pPr>
            <w:r>
              <w:rPr>
                <w:kern w:val="0"/>
              </w:rPr>
              <w:t>专项评价</w:t>
            </w:r>
            <w:r>
              <w:t>设置</w:t>
            </w:r>
            <w:r>
              <w:rPr>
                <w:kern w:val="0"/>
              </w:rPr>
              <w:t>情况</w:t>
            </w:r>
          </w:p>
        </w:tc>
        <w:tc>
          <w:tcPr>
            <w:tcW w:w="7203" w:type="dxa"/>
            <w:gridSpan w:val="4"/>
            <w:vAlign w:val="center"/>
          </w:tcPr>
          <w:p w14:paraId="5A1D5A79">
            <w:pPr>
              <w:widowControl/>
              <w:ind w:firstLine="480" w:firstLineChars="200"/>
              <w:rPr>
                <w:kern w:val="0"/>
                <w:lang w:bidi="en-US"/>
              </w:rPr>
            </w:pPr>
            <w:r>
              <w:rPr>
                <w:kern w:val="0"/>
                <w:lang w:bidi="en-US"/>
              </w:rPr>
              <w:t>专项评价设置情况：无；</w:t>
            </w:r>
          </w:p>
          <w:p w14:paraId="3324A974">
            <w:pPr>
              <w:widowControl/>
              <w:ind w:firstLine="480" w:firstLineChars="200"/>
              <w:rPr>
                <w:kern w:val="0"/>
                <w:lang w:bidi="en-US"/>
              </w:rPr>
            </w:pPr>
            <w:r>
              <w:rPr>
                <w:kern w:val="0"/>
                <w:lang w:bidi="en-US"/>
              </w:rPr>
              <w:t>根据《建设项目环境影响报告表编制技术指南（</w:t>
            </w:r>
            <w:r>
              <w:rPr>
                <w:rFonts w:hint="eastAsia"/>
                <w:kern w:val="0"/>
                <w:lang w:bidi="en-US"/>
              </w:rPr>
              <w:t>污染</w:t>
            </w:r>
            <w:r>
              <w:rPr>
                <w:kern w:val="0"/>
                <w:lang w:bidi="en-US"/>
              </w:rPr>
              <w:t>影响类）》（试行），判定依据见下表</w:t>
            </w:r>
            <w:r>
              <w:rPr>
                <w:rFonts w:hint="eastAsia"/>
                <w:kern w:val="0"/>
                <w:lang w:bidi="en-US"/>
              </w:rPr>
              <w:t>：</w:t>
            </w:r>
          </w:p>
          <w:p w14:paraId="20858449">
            <w:pPr>
              <w:pStyle w:val="6"/>
            </w:pPr>
            <w:r>
              <w:t xml:space="preserve">表 </w:t>
            </w:r>
            <w:r>
              <w:rPr>
                <w:rFonts w:hint="eastAsia"/>
              </w:rPr>
              <w:t>1-</w:t>
            </w:r>
            <w:r>
              <w:fldChar w:fldCharType="begin"/>
            </w:r>
            <w:r>
              <w:instrText xml:space="preserve"> SEQ 表 \* ARABIC \s 1 </w:instrText>
            </w:r>
            <w:r>
              <w:fldChar w:fldCharType="separate"/>
            </w:r>
            <w:r>
              <w:t>1</w:t>
            </w:r>
            <w:r>
              <w:fldChar w:fldCharType="end"/>
            </w:r>
            <w:r>
              <w:rPr>
                <w:rFonts w:hint="eastAsia"/>
              </w:rPr>
              <w:t xml:space="preserve"> </w:t>
            </w:r>
            <w:r>
              <w:t>专项评价设置情况表</w:t>
            </w:r>
          </w:p>
          <w:tbl>
            <w:tblPr>
              <w:tblStyle w:val="18"/>
              <w:tblpPr w:leftFromText="180" w:rightFromText="180"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2482"/>
              <w:gridCol w:w="1971"/>
              <w:gridCol w:w="1221"/>
            </w:tblGrid>
            <w:tr w14:paraId="6FE6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2" w:type="dxa"/>
                  <w:vAlign w:val="center"/>
                </w:tcPr>
                <w:p w14:paraId="3D30A063">
                  <w:pPr>
                    <w:pStyle w:val="24"/>
                  </w:pPr>
                  <w:r>
                    <w:t>专项评价类别</w:t>
                  </w:r>
                </w:p>
              </w:tc>
              <w:tc>
                <w:tcPr>
                  <w:tcW w:w="2487" w:type="dxa"/>
                  <w:vAlign w:val="center"/>
                </w:tcPr>
                <w:p w14:paraId="0D85D4D4">
                  <w:pPr>
                    <w:pStyle w:val="24"/>
                  </w:pPr>
                  <w:r>
                    <w:t>设置原则</w:t>
                  </w:r>
                </w:p>
              </w:tc>
              <w:tc>
                <w:tcPr>
                  <w:tcW w:w="1975" w:type="dxa"/>
                  <w:vAlign w:val="center"/>
                </w:tcPr>
                <w:p w14:paraId="62427AD7">
                  <w:pPr>
                    <w:pStyle w:val="24"/>
                  </w:pPr>
                  <w:r>
                    <w:t>项目情况</w:t>
                  </w:r>
                </w:p>
              </w:tc>
              <w:tc>
                <w:tcPr>
                  <w:tcW w:w="1223" w:type="dxa"/>
                  <w:vAlign w:val="center"/>
                </w:tcPr>
                <w:p w14:paraId="2B6F824B">
                  <w:pPr>
                    <w:pStyle w:val="24"/>
                  </w:pPr>
                  <w:r>
                    <w:t>设置与否</w:t>
                  </w:r>
                </w:p>
              </w:tc>
            </w:tr>
            <w:tr w14:paraId="5C55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2" w:type="dxa"/>
                  <w:vAlign w:val="center"/>
                </w:tcPr>
                <w:p w14:paraId="6E073599">
                  <w:pPr>
                    <w:pStyle w:val="24"/>
                  </w:pPr>
                  <w:bookmarkStart w:id="9" w:name="OLE_LINK9" w:colFirst="1" w:colLast="2"/>
                  <w:r>
                    <w:t>大气</w:t>
                  </w:r>
                </w:p>
              </w:tc>
              <w:tc>
                <w:tcPr>
                  <w:tcW w:w="2487" w:type="dxa"/>
                  <w:vAlign w:val="center"/>
                </w:tcPr>
                <w:p w14:paraId="25A02199">
                  <w:pPr>
                    <w:pStyle w:val="24"/>
                  </w:pPr>
                  <w:r>
                    <w:t>排放废气含有毒有害污染物、二噁英、苯并[a]芘、氰化物、氯气且厂界外500米范围内有环境空气保护目标的建设项目</w:t>
                  </w:r>
                </w:p>
              </w:tc>
              <w:tc>
                <w:tcPr>
                  <w:tcW w:w="1975" w:type="dxa"/>
                  <w:vAlign w:val="center"/>
                </w:tcPr>
                <w:p w14:paraId="0B35BD88">
                  <w:pPr>
                    <w:pStyle w:val="24"/>
                  </w:pPr>
                  <w:r>
                    <w:rPr>
                      <w:rFonts w:hint="eastAsia"/>
                    </w:rPr>
                    <w:t>本项目</w:t>
                  </w:r>
                  <w:r>
                    <w:t>不涉及有毒有害污染物、二噁英、苯并[a]芘、氰化物、氯气等物质</w:t>
                  </w:r>
                </w:p>
              </w:tc>
              <w:tc>
                <w:tcPr>
                  <w:tcW w:w="1223" w:type="dxa"/>
                  <w:vAlign w:val="center"/>
                </w:tcPr>
                <w:p w14:paraId="27B4C0CE">
                  <w:pPr>
                    <w:pStyle w:val="24"/>
                  </w:pPr>
                  <w:r>
                    <w:t>否</w:t>
                  </w:r>
                </w:p>
              </w:tc>
            </w:tr>
            <w:tr w14:paraId="655A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2" w:type="dxa"/>
                  <w:vAlign w:val="center"/>
                </w:tcPr>
                <w:p w14:paraId="55459F0E">
                  <w:pPr>
                    <w:pStyle w:val="24"/>
                  </w:pPr>
                  <w:r>
                    <w:t>地表水</w:t>
                  </w:r>
                </w:p>
              </w:tc>
              <w:tc>
                <w:tcPr>
                  <w:tcW w:w="2487" w:type="dxa"/>
                  <w:vAlign w:val="center"/>
                </w:tcPr>
                <w:p w14:paraId="6AF3B8EB">
                  <w:pPr>
                    <w:pStyle w:val="24"/>
                  </w:pPr>
                  <w:r>
                    <w:t>新增工业废水直排建设项目（槽罐车外送污水处理厂的除外）；新增废水直排的污水集中处理厂</w:t>
                  </w:r>
                </w:p>
              </w:tc>
              <w:tc>
                <w:tcPr>
                  <w:tcW w:w="1975" w:type="dxa"/>
                  <w:vAlign w:val="center"/>
                </w:tcPr>
                <w:p w14:paraId="230A1199">
                  <w:pPr>
                    <w:pStyle w:val="24"/>
                  </w:pPr>
                  <w:r>
                    <w:t>本项目废水</w:t>
                  </w:r>
                  <w:r>
                    <w:rPr>
                      <w:rFonts w:hint="eastAsia"/>
                    </w:rPr>
                    <w:t>经废水处理设施预</w:t>
                  </w:r>
                  <w:r>
                    <w:t>处理</w:t>
                  </w:r>
                  <w:r>
                    <w:rPr>
                      <w:rFonts w:hint="eastAsia"/>
                    </w:rPr>
                    <w:t>达到接管标准</w:t>
                  </w:r>
                  <w:r>
                    <w:t>后</w:t>
                  </w:r>
                  <w:r>
                    <w:rPr>
                      <w:rFonts w:hint="eastAsia"/>
                    </w:rPr>
                    <w:t>排入市政污水管网，</w:t>
                  </w:r>
                  <w:r>
                    <w:t>不属于直排</w:t>
                  </w:r>
                </w:p>
              </w:tc>
              <w:tc>
                <w:tcPr>
                  <w:tcW w:w="1223" w:type="dxa"/>
                  <w:vAlign w:val="center"/>
                </w:tcPr>
                <w:p w14:paraId="5451E8BB">
                  <w:pPr>
                    <w:pStyle w:val="24"/>
                  </w:pPr>
                  <w:r>
                    <w:t>否</w:t>
                  </w:r>
                </w:p>
              </w:tc>
            </w:tr>
            <w:bookmarkEnd w:id="9"/>
            <w:tr w14:paraId="09E2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2" w:type="dxa"/>
                  <w:vAlign w:val="center"/>
                </w:tcPr>
                <w:p w14:paraId="514CAABA">
                  <w:pPr>
                    <w:pStyle w:val="24"/>
                  </w:pPr>
                  <w:r>
                    <w:t>环境风险</w:t>
                  </w:r>
                </w:p>
              </w:tc>
              <w:tc>
                <w:tcPr>
                  <w:tcW w:w="2487" w:type="dxa"/>
                  <w:vAlign w:val="center"/>
                </w:tcPr>
                <w:p w14:paraId="053E8215">
                  <w:pPr>
                    <w:pStyle w:val="24"/>
                  </w:pPr>
                  <w:r>
                    <w:t>有毒有害和易燃易爆危险物质存储量超过</w:t>
                  </w:r>
                </w:p>
              </w:tc>
              <w:tc>
                <w:tcPr>
                  <w:tcW w:w="1975" w:type="dxa"/>
                  <w:vAlign w:val="center"/>
                </w:tcPr>
                <w:p w14:paraId="4A11114E">
                  <w:pPr>
                    <w:pStyle w:val="24"/>
                  </w:pPr>
                  <w:r>
                    <w:t>风险物质未超过临界量</w:t>
                  </w:r>
                </w:p>
              </w:tc>
              <w:tc>
                <w:tcPr>
                  <w:tcW w:w="1223" w:type="dxa"/>
                  <w:vAlign w:val="center"/>
                </w:tcPr>
                <w:p w14:paraId="0BD1C796">
                  <w:pPr>
                    <w:pStyle w:val="24"/>
                  </w:pPr>
                  <w:r>
                    <w:t>否</w:t>
                  </w:r>
                </w:p>
              </w:tc>
            </w:tr>
            <w:tr w14:paraId="0943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2" w:type="dxa"/>
                  <w:vAlign w:val="center"/>
                </w:tcPr>
                <w:p w14:paraId="53892E43">
                  <w:pPr>
                    <w:pStyle w:val="24"/>
                  </w:pPr>
                  <w:r>
                    <w:t>生态</w:t>
                  </w:r>
                </w:p>
              </w:tc>
              <w:tc>
                <w:tcPr>
                  <w:tcW w:w="2487" w:type="dxa"/>
                  <w:vAlign w:val="center"/>
                </w:tcPr>
                <w:p w14:paraId="50C093E2">
                  <w:pPr>
                    <w:pStyle w:val="24"/>
                  </w:pPr>
                  <w:r>
                    <w:t>取水口下游500米范围内有重要水生生物的自然产卵场、索饵场、越冬场和洄游通道的新增河道取水的污染类建设项目</w:t>
                  </w:r>
                </w:p>
              </w:tc>
              <w:tc>
                <w:tcPr>
                  <w:tcW w:w="1975" w:type="dxa"/>
                  <w:vAlign w:val="center"/>
                </w:tcPr>
                <w:p w14:paraId="06F63340">
                  <w:pPr>
                    <w:pStyle w:val="24"/>
                  </w:pPr>
                  <w:r>
                    <w:t>不涉及</w:t>
                  </w:r>
                </w:p>
              </w:tc>
              <w:tc>
                <w:tcPr>
                  <w:tcW w:w="1223" w:type="dxa"/>
                  <w:vAlign w:val="center"/>
                </w:tcPr>
                <w:p w14:paraId="2E18D22D">
                  <w:pPr>
                    <w:pStyle w:val="24"/>
                  </w:pPr>
                  <w:r>
                    <w:t>否</w:t>
                  </w:r>
                </w:p>
              </w:tc>
            </w:tr>
            <w:tr w14:paraId="66C5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02" w:type="dxa"/>
                  <w:vAlign w:val="center"/>
                </w:tcPr>
                <w:p w14:paraId="0B940543">
                  <w:pPr>
                    <w:pStyle w:val="24"/>
                  </w:pPr>
                  <w:r>
                    <w:t>海洋</w:t>
                  </w:r>
                </w:p>
              </w:tc>
              <w:tc>
                <w:tcPr>
                  <w:tcW w:w="2487" w:type="dxa"/>
                  <w:vAlign w:val="center"/>
                </w:tcPr>
                <w:p w14:paraId="489A8573">
                  <w:pPr>
                    <w:pStyle w:val="24"/>
                  </w:pPr>
                  <w:r>
                    <w:t>直接向海排放污染物的海洋工程建设项目</w:t>
                  </w:r>
                </w:p>
              </w:tc>
              <w:tc>
                <w:tcPr>
                  <w:tcW w:w="1975" w:type="dxa"/>
                  <w:vAlign w:val="center"/>
                </w:tcPr>
                <w:p w14:paraId="6AFE69C3">
                  <w:pPr>
                    <w:pStyle w:val="24"/>
                  </w:pPr>
                  <w:r>
                    <w:t>不涉及</w:t>
                  </w:r>
                </w:p>
              </w:tc>
              <w:tc>
                <w:tcPr>
                  <w:tcW w:w="1223" w:type="dxa"/>
                  <w:vAlign w:val="center"/>
                </w:tcPr>
                <w:p w14:paraId="3D2C47A4">
                  <w:pPr>
                    <w:pStyle w:val="24"/>
                  </w:pPr>
                  <w:r>
                    <w:t>否</w:t>
                  </w:r>
                </w:p>
              </w:tc>
            </w:tr>
          </w:tbl>
          <w:p w14:paraId="340FD534">
            <w:pPr>
              <w:widowControl/>
              <w:jc w:val="center"/>
              <w:rPr>
                <w:kern w:val="0"/>
              </w:rPr>
            </w:pPr>
          </w:p>
        </w:tc>
      </w:tr>
      <w:tr w14:paraId="17850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1250" w:type="dxa"/>
            <w:vAlign w:val="center"/>
          </w:tcPr>
          <w:p w14:paraId="7C67F758">
            <w:pPr>
              <w:rPr>
                <w:rFonts w:hint="eastAsia" w:ascii="宋体" w:hAnsi="宋体" w:cs="宋体"/>
              </w:rPr>
            </w:pPr>
            <w:r>
              <w:rPr>
                <w:rFonts w:ascii="宋体" w:hAnsi="宋体" w:cs="宋体"/>
              </w:rPr>
              <w:t>规划情况</w:t>
            </w:r>
          </w:p>
        </w:tc>
        <w:tc>
          <w:tcPr>
            <w:tcW w:w="7203" w:type="dxa"/>
            <w:gridSpan w:val="4"/>
            <w:vAlign w:val="center"/>
          </w:tcPr>
          <w:p w14:paraId="3B88F42A">
            <w:r>
              <w:rPr>
                <w:rFonts w:hint="eastAsia"/>
              </w:rPr>
              <w:t>1、规划名称：</w:t>
            </w:r>
            <w:r>
              <w:rPr>
                <w:rFonts w:hint="eastAsia"/>
                <w:kern w:val="0"/>
              </w:rPr>
              <w:t>《淮南市经济技术开发区总体发展规划》；</w:t>
            </w:r>
          </w:p>
          <w:p w14:paraId="100BB937">
            <w:r>
              <w:rPr>
                <w:rFonts w:hint="eastAsia"/>
              </w:rPr>
              <w:t>审批机关：安徽省人民政府；</w:t>
            </w:r>
          </w:p>
          <w:p w14:paraId="2CCD312C">
            <w:r>
              <w:rPr>
                <w:rFonts w:hint="eastAsia"/>
              </w:rPr>
              <w:t>审批文件名称：</w:t>
            </w:r>
            <w:r>
              <w:rPr>
                <w:rFonts w:hint="eastAsia"/>
                <w:kern w:val="0"/>
              </w:rPr>
              <w:t>《关于淮南经济开发区总体规划的批复》；</w:t>
            </w:r>
          </w:p>
          <w:p w14:paraId="56E435AE">
            <w:r>
              <w:rPr>
                <w:rFonts w:hint="eastAsia"/>
              </w:rPr>
              <w:t>审批文号：皖政秘〔1995〕88号。</w:t>
            </w:r>
          </w:p>
          <w:p w14:paraId="0BEC461B">
            <w:pPr>
              <w:rPr>
                <w:kern w:val="0"/>
              </w:rPr>
            </w:pPr>
            <w:r>
              <w:rPr>
                <w:rFonts w:hint="eastAsia"/>
              </w:rPr>
              <w:t>2、规划名称：</w:t>
            </w:r>
            <w:r>
              <w:rPr>
                <w:rFonts w:hint="eastAsia"/>
                <w:kern w:val="0"/>
              </w:rPr>
              <w:t>《淮南市东部工业区总体规划（2008-2020）》；</w:t>
            </w:r>
          </w:p>
          <w:p w14:paraId="024A30E3">
            <w:r>
              <w:rPr>
                <w:rFonts w:hint="eastAsia"/>
              </w:rPr>
              <w:t>审批机关：淮南市人民政府；</w:t>
            </w:r>
          </w:p>
          <w:p w14:paraId="734214FB">
            <w:r>
              <w:rPr>
                <w:rFonts w:hint="eastAsia"/>
              </w:rPr>
              <w:t>审批文件名称：</w:t>
            </w:r>
            <w:r>
              <w:rPr>
                <w:rFonts w:hint="eastAsia"/>
                <w:kern w:val="0"/>
              </w:rPr>
              <w:t>《关于淮南东部工业区总体规划的批复》；</w:t>
            </w:r>
          </w:p>
          <w:p w14:paraId="492BDAF2">
            <w:r>
              <w:rPr>
                <w:rFonts w:hint="eastAsia"/>
              </w:rPr>
              <w:t>审批文号：淮府秘〔2009〕118号。</w:t>
            </w:r>
          </w:p>
          <w:p w14:paraId="327B46C3">
            <w:pPr>
              <w:rPr>
                <w:rFonts w:hint="eastAsia" w:ascii="宋体" w:hAnsi="宋体" w:cs="宋体"/>
              </w:rPr>
            </w:pPr>
            <w:r>
              <w:rPr>
                <w:rFonts w:hint="eastAsia" w:ascii="宋体" w:hAnsi="宋体" w:cs="宋体"/>
              </w:rPr>
              <w:t>3、规划名称：</w:t>
            </w:r>
            <w:bookmarkStart w:id="10" w:name="OLE_LINK2"/>
            <w:r>
              <w:rPr>
                <w:rFonts w:hint="eastAsia" w:ascii="宋体" w:hAnsi="宋体" w:cs="宋体"/>
              </w:rPr>
              <w:t>《淮南市城市综合交通驿站国土空间专项规划（2023-2035年）》</w:t>
            </w:r>
            <w:bookmarkEnd w:id="10"/>
            <w:r>
              <w:rPr>
                <w:rFonts w:hint="eastAsia" w:ascii="宋体" w:hAnsi="宋体" w:cs="宋体"/>
              </w:rPr>
              <w:t>；</w:t>
            </w:r>
          </w:p>
          <w:p w14:paraId="3E56804E">
            <w:r>
              <w:rPr>
                <w:rFonts w:hint="eastAsia" w:ascii="宋体" w:hAnsi="宋体" w:cs="宋体"/>
              </w:rPr>
              <w:t>审批机关：淮南市人民政府。</w:t>
            </w:r>
          </w:p>
        </w:tc>
      </w:tr>
      <w:tr w14:paraId="4A8BE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250" w:type="dxa"/>
            <w:vAlign w:val="center"/>
          </w:tcPr>
          <w:p w14:paraId="6531FA09">
            <w:pPr>
              <w:adjustRightInd w:val="0"/>
              <w:snapToGrid w:val="0"/>
              <w:jc w:val="center"/>
            </w:pPr>
            <w:r>
              <w:t>规划环境影响评价情况</w:t>
            </w:r>
          </w:p>
        </w:tc>
        <w:tc>
          <w:tcPr>
            <w:tcW w:w="7203" w:type="dxa"/>
            <w:gridSpan w:val="4"/>
            <w:vAlign w:val="center"/>
          </w:tcPr>
          <w:p w14:paraId="6672ECEF">
            <w:r>
              <w:rPr>
                <w:rFonts w:hint="eastAsia"/>
              </w:rPr>
              <w:t>1、</w:t>
            </w:r>
            <w:r>
              <w:t>规划跟踪评价名称：</w:t>
            </w:r>
            <w:r>
              <w:rPr>
                <w:rFonts w:hint="eastAsia"/>
              </w:rPr>
              <w:t>《淮南经济技术开发区总体发展规划环境影响跟踪评价报告书》；</w:t>
            </w:r>
          </w:p>
          <w:p w14:paraId="61F86EC1">
            <w:r>
              <w:rPr>
                <w:rFonts w:hint="eastAsia"/>
              </w:rPr>
              <w:t>审查机关：安徽省生态环境厅；</w:t>
            </w:r>
          </w:p>
          <w:p w14:paraId="12BDCB77">
            <w:r>
              <w:rPr>
                <w:rFonts w:hint="eastAsia"/>
              </w:rPr>
              <w:t>审批文件名称：安徽省生态环境厅关于印发《淮南经济技术开发区总体发展规划环境影响跟踪评价报告书审核意见》的函；</w:t>
            </w:r>
          </w:p>
          <w:p w14:paraId="1633568B">
            <w:pPr>
              <w:widowControl/>
              <w:rPr>
                <w:kern w:val="0"/>
              </w:rPr>
            </w:pPr>
            <w:r>
              <w:rPr>
                <w:rFonts w:hint="eastAsia"/>
              </w:rPr>
              <w:t>审批文号：</w:t>
            </w:r>
            <w:r>
              <w:t>皖环函〔2020〕411号</w:t>
            </w:r>
            <w:r>
              <w:rPr>
                <w:rFonts w:hint="eastAsia"/>
              </w:rPr>
              <w:t>。</w:t>
            </w:r>
          </w:p>
        </w:tc>
      </w:tr>
      <w:tr w14:paraId="6A85D3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0" w:type="dxa"/>
            <w:vAlign w:val="center"/>
          </w:tcPr>
          <w:p w14:paraId="73896156">
            <w:pPr>
              <w:rPr>
                <w:color w:val="0000FF"/>
              </w:rPr>
            </w:pPr>
            <w:bookmarkStart w:id="11" w:name="OLE_LINK10"/>
            <w:r>
              <w:t>规划及规划环境影响评价符合性分析</w:t>
            </w:r>
            <w:bookmarkEnd w:id="11"/>
          </w:p>
        </w:tc>
        <w:tc>
          <w:tcPr>
            <w:tcW w:w="7203" w:type="dxa"/>
            <w:gridSpan w:val="4"/>
            <w:vAlign w:val="center"/>
          </w:tcPr>
          <w:p w14:paraId="5E772482">
            <w:pPr>
              <w:keepLines/>
              <w:rPr>
                <w:b/>
                <w:color w:val="FF0000"/>
              </w:rPr>
            </w:pPr>
            <w:r>
              <w:rPr>
                <w:b/>
              </w:rPr>
              <w:t>1、</w:t>
            </w:r>
            <w:r>
              <w:rPr>
                <w:b/>
                <w:bCs/>
              </w:rPr>
              <w:t>与《淮南经济技术开发区总体发展规划环境影响跟踪评价报告书》及其审查意见相符性分析</w:t>
            </w:r>
          </w:p>
          <w:p w14:paraId="1BC07EB9">
            <w:pPr>
              <w:ind w:firstLine="480" w:firstLineChars="200"/>
            </w:pPr>
            <w:r>
              <w:rPr>
                <w:rFonts w:hint="eastAsia"/>
              </w:rPr>
              <w:t>实施五年以上的产业园区，规划编制部门应组织开展环境影响的跟踪评价，淮南经济技术开发区管委会于2020年3月23日委托安徽锦程安环科技发展有限公司开展规划的环境影响跟踪评价工作，2020年8月4日安徽省生态环境厅以皖环函[2020]411号文件对《淮南经济技术开发区总体发展规划环境影响跟踪评价报告书》出具了审核意见的函。</w:t>
            </w:r>
          </w:p>
          <w:p w14:paraId="42CA3D79">
            <w:pPr>
              <w:adjustRightInd w:val="0"/>
              <w:snapToGrid w:val="0"/>
              <w:ind w:firstLine="480" w:firstLineChars="200"/>
            </w:pPr>
            <w:r>
              <w:rPr>
                <w:rFonts w:hint="eastAsia"/>
              </w:rPr>
              <w:t>根据《淮南经济技术开发区总体发展规划环境影响跟踪评价报告书》，淮南经济开发区规划主导产业现状以机械电子与新型材料为主导，生物医药、纺织服装、化学工业、食品加工、商贸物流为辅的产业格局，现状及规划主导产业基本符合《安徽省主体功能区规划》中主体功能定位要求。项目于其符合性分析见下表：</w:t>
            </w:r>
          </w:p>
          <w:p w14:paraId="63321969">
            <w:pPr>
              <w:pStyle w:val="6"/>
              <w:rPr>
                <w:rFonts w:hint="eastAsia" w:eastAsia="宋体"/>
                <w:lang w:val="en-US" w:eastAsia="zh-CN"/>
              </w:rPr>
            </w:pPr>
            <w:r>
              <w:t xml:space="preserve">表 </w:t>
            </w:r>
            <w:r>
              <w:rPr>
                <w:rFonts w:hint="eastAsia"/>
                <w:lang w:val="en-US" w:eastAsia="zh-CN"/>
              </w:rPr>
              <w:t>1</w:t>
            </w:r>
            <w:r>
              <w:rPr>
                <w:rFonts w:hint="eastAsia"/>
                <w:lang w:eastAsia="zh-CN"/>
              </w:rPr>
              <w:t>-</w:t>
            </w:r>
            <w:r>
              <w:fldChar w:fldCharType="begin"/>
            </w:r>
            <w:r>
              <w:instrText xml:space="preserve"> SEQ 表 \* ARABIC \s 1 </w:instrText>
            </w:r>
            <w:r>
              <w:fldChar w:fldCharType="separate"/>
            </w:r>
            <w:r>
              <w:t>2</w:t>
            </w:r>
            <w:r>
              <w:fldChar w:fldCharType="end"/>
            </w:r>
            <w:r>
              <w:rPr>
                <w:rFonts w:hint="eastAsia"/>
                <w:lang w:val="en-US" w:eastAsia="zh-CN"/>
              </w:rPr>
              <w:t xml:space="preserve"> </w:t>
            </w:r>
            <w:r>
              <w:rPr>
                <w:b/>
              </w:rPr>
              <w:t>与区域规划环境影响跟踪评价及审查意见符合性分析</w:t>
            </w:r>
          </w:p>
          <w:tbl>
            <w:tblPr>
              <w:tblStyle w:val="18"/>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5"/>
              <w:gridCol w:w="3033"/>
              <w:gridCol w:w="2548"/>
              <w:gridCol w:w="681"/>
            </w:tblGrid>
            <w:tr w14:paraId="7F5A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8" w:type="dxa"/>
                  <w:vAlign w:val="center"/>
                </w:tcPr>
                <w:p w14:paraId="512E1B88">
                  <w:pPr>
                    <w:pStyle w:val="34"/>
                  </w:pPr>
                  <w:r>
                    <w:t>序号</w:t>
                  </w:r>
                </w:p>
              </w:tc>
              <w:tc>
                <w:tcPr>
                  <w:tcW w:w="3266" w:type="dxa"/>
                  <w:vAlign w:val="center"/>
                </w:tcPr>
                <w:p w14:paraId="70E30E37">
                  <w:pPr>
                    <w:pStyle w:val="34"/>
                  </w:pPr>
                  <w:r>
                    <w:t>淮南经济开发区规划规划环境影响跟踪评价及审查意见</w:t>
                  </w:r>
                </w:p>
              </w:tc>
              <w:tc>
                <w:tcPr>
                  <w:tcW w:w="2743" w:type="dxa"/>
                  <w:vAlign w:val="center"/>
                </w:tcPr>
                <w:p w14:paraId="51A53DB4">
                  <w:pPr>
                    <w:pStyle w:val="34"/>
                  </w:pPr>
                  <w:r>
                    <w:t>拟建项目基本情况</w:t>
                  </w:r>
                </w:p>
              </w:tc>
              <w:tc>
                <w:tcPr>
                  <w:tcW w:w="731" w:type="dxa"/>
                  <w:vAlign w:val="center"/>
                </w:tcPr>
                <w:p w14:paraId="4B3D079E">
                  <w:pPr>
                    <w:pStyle w:val="34"/>
                  </w:pPr>
                  <w:r>
                    <w:t>符合性</w:t>
                  </w:r>
                </w:p>
              </w:tc>
            </w:tr>
            <w:tr w14:paraId="37FD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8" w:type="dxa"/>
                  <w:vAlign w:val="center"/>
                </w:tcPr>
                <w:p w14:paraId="3FC20594">
                  <w:pPr>
                    <w:pStyle w:val="34"/>
                  </w:pPr>
                  <w:r>
                    <w:t>1</w:t>
                  </w:r>
                </w:p>
              </w:tc>
              <w:tc>
                <w:tcPr>
                  <w:tcW w:w="3266" w:type="dxa"/>
                  <w:vAlign w:val="center"/>
                </w:tcPr>
                <w:p w14:paraId="115CDFA7">
                  <w:pPr>
                    <w:pStyle w:val="34"/>
                  </w:pPr>
                  <w:r>
                    <w:t>组织开展规划环评编制，鉴于开发区现行规划未开展规划环评报生态环境部审查，建议开发区结合淮南市国土空间规划编制，重新组织开展区域总体发展规划编制，并同步开展规划环评报生态环境部审查。</w:t>
                  </w:r>
                </w:p>
              </w:tc>
              <w:tc>
                <w:tcPr>
                  <w:tcW w:w="2743" w:type="dxa"/>
                  <w:tcBorders>
                    <w:bottom w:val="single" w:color="auto" w:sz="4" w:space="0"/>
                  </w:tcBorders>
                  <w:vAlign w:val="center"/>
                </w:tcPr>
                <w:p w14:paraId="32FCB7D3">
                  <w:pPr>
                    <w:pStyle w:val="34"/>
                  </w:pPr>
                  <w:r>
                    <w:t>本项目为</w:t>
                  </w:r>
                  <w:r>
                    <w:rPr>
                      <w:rFonts w:hint="eastAsia"/>
                      <w:lang w:val="en-US"/>
                    </w:rPr>
                    <w:t>G5449其他道路运输和辅助活动、F5265机动车燃油零售</w:t>
                  </w:r>
                  <w:r>
                    <w:t>，参照开发区规划部门与结合淮南市国土空间规划，按国家有关规定，履行环境影响评价手续。</w:t>
                  </w:r>
                </w:p>
              </w:tc>
              <w:tc>
                <w:tcPr>
                  <w:tcW w:w="731" w:type="dxa"/>
                  <w:vAlign w:val="center"/>
                </w:tcPr>
                <w:p w14:paraId="2424EF4C">
                  <w:pPr>
                    <w:pStyle w:val="34"/>
                  </w:pPr>
                  <w:r>
                    <w:t>符合</w:t>
                  </w:r>
                </w:p>
              </w:tc>
            </w:tr>
            <w:tr w14:paraId="3759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8" w:type="dxa"/>
                  <w:vAlign w:val="center"/>
                </w:tcPr>
                <w:p w14:paraId="003696EE">
                  <w:pPr>
                    <w:pStyle w:val="34"/>
                  </w:pPr>
                  <w:r>
                    <w:t>2</w:t>
                  </w:r>
                </w:p>
              </w:tc>
              <w:tc>
                <w:tcPr>
                  <w:tcW w:w="3266" w:type="dxa"/>
                  <w:tcBorders>
                    <w:bottom w:val="single" w:color="auto" w:sz="4" w:space="0"/>
                  </w:tcBorders>
                  <w:vAlign w:val="center"/>
                </w:tcPr>
                <w:p w14:paraId="4948E1B5">
                  <w:pPr>
                    <w:pStyle w:val="34"/>
                  </w:pPr>
                  <w:r>
                    <w:t>完善环境基础设施建设。加快中水回用规划实施，做好管网等配套措施建设，提高中水回用率，完善雨污管网分流改造；现有燃煤工业炉窑不得扩大规模，并实施安徽省大气特别排放限值达标改造。</w:t>
                  </w:r>
                </w:p>
              </w:tc>
              <w:tc>
                <w:tcPr>
                  <w:tcW w:w="2743" w:type="dxa"/>
                  <w:tcBorders>
                    <w:top w:val="single" w:color="auto" w:sz="4" w:space="0"/>
                    <w:bottom w:val="single" w:color="auto" w:sz="4" w:space="0"/>
                  </w:tcBorders>
                  <w:vAlign w:val="center"/>
                </w:tcPr>
                <w:p w14:paraId="0C07ADE8">
                  <w:pPr>
                    <w:pStyle w:val="34"/>
                  </w:pPr>
                  <w:r>
                    <w:t>本项目实施雨污分流；项目不使用煤炭作为燃料。</w:t>
                  </w:r>
                </w:p>
              </w:tc>
              <w:tc>
                <w:tcPr>
                  <w:tcW w:w="731" w:type="dxa"/>
                  <w:vAlign w:val="center"/>
                </w:tcPr>
                <w:p w14:paraId="1DA75448">
                  <w:pPr>
                    <w:pStyle w:val="34"/>
                  </w:pPr>
                  <w:r>
                    <w:t>符合</w:t>
                  </w:r>
                </w:p>
              </w:tc>
            </w:tr>
            <w:tr w14:paraId="16A7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8" w:type="dxa"/>
                  <w:vAlign w:val="center"/>
                </w:tcPr>
                <w:p w14:paraId="6E7DA00E">
                  <w:pPr>
                    <w:pStyle w:val="34"/>
                  </w:pPr>
                  <w:r>
                    <w:t>3</w:t>
                  </w:r>
                </w:p>
              </w:tc>
              <w:tc>
                <w:tcPr>
                  <w:tcW w:w="3266" w:type="dxa"/>
                  <w:tcBorders>
                    <w:top w:val="single" w:color="auto" w:sz="4" w:space="0"/>
                    <w:bottom w:val="single" w:color="auto" w:sz="4" w:space="0"/>
                  </w:tcBorders>
                  <w:vAlign w:val="center"/>
                </w:tcPr>
                <w:p w14:paraId="647218EB">
                  <w:pPr>
                    <w:pStyle w:val="34"/>
                  </w:pPr>
                  <w:r>
                    <w:t>强化区域环境质量改善。以改善区域环境质量为核心，细化开发区</w:t>
                  </w:r>
                  <w:r>
                    <w:rPr>
                      <w:rFonts w:hint="eastAsia"/>
                    </w:rPr>
                    <w:t>“</w:t>
                  </w:r>
                  <w:r>
                    <w:t>三线一单</w:t>
                  </w:r>
                  <w:r>
                    <w:rPr>
                      <w:rFonts w:hint="eastAsia"/>
                    </w:rPr>
                    <w:t>”</w:t>
                  </w:r>
                  <w:r>
                    <w:t>并落实。进一步削减现有项目大气污染物排放，提高尾水回用率、降低生产废水排放量，加大地下水和土壤的防护力度。</w:t>
                  </w:r>
                </w:p>
              </w:tc>
              <w:tc>
                <w:tcPr>
                  <w:tcW w:w="2743" w:type="dxa"/>
                  <w:tcBorders>
                    <w:top w:val="single" w:color="auto" w:sz="4" w:space="0"/>
                    <w:bottom w:val="single" w:color="auto" w:sz="4" w:space="0"/>
                  </w:tcBorders>
                  <w:vAlign w:val="center"/>
                </w:tcPr>
                <w:p w14:paraId="0832D581">
                  <w:pPr>
                    <w:pStyle w:val="34"/>
                  </w:pPr>
                  <w:r>
                    <w:t>项目全面落实大气污染防治防范措施，废水实施达标排放，采取分区防渗保护措施。</w:t>
                  </w:r>
                </w:p>
              </w:tc>
              <w:tc>
                <w:tcPr>
                  <w:tcW w:w="731" w:type="dxa"/>
                  <w:vAlign w:val="center"/>
                </w:tcPr>
                <w:p w14:paraId="21355915">
                  <w:pPr>
                    <w:pStyle w:val="34"/>
                  </w:pPr>
                  <w:r>
                    <w:t>符合</w:t>
                  </w:r>
                </w:p>
              </w:tc>
            </w:tr>
          </w:tbl>
          <w:p w14:paraId="28C2BAE9">
            <w:pPr>
              <w:pStyle w:val="33"/>
            </w:pPr>
            <w:r>
              <w:t>根据淮南经济技术开发区规划确定的主导产业发展方向，遵循循环经济理念和生态工业园区的要求，大力引进和发展低污染企业。在开发区今后发展中，要始终按照开发区规划确定的主导产业发展方向的要求，改造现有产业，同时限制浪费资源、污染环境的产业发展。本次跟踪评价结合区域态保护红线、环境质量底线、资源利用上线、环境影响等综合考虑，提出开发区产业准入负面清单，具体见下表。在后续发展过程中，可按照国家、安徽省和淮南市最新的产业政策和规划，对产业发展环境准入负面清单及准入清单进行动态更新。</w:t>
            </w:r>
          </w:p>
          <w:p w14:paraId="25E1D158">
            <w:pPr>
              <w:pStyle w:val="6"/>
              <w:rPr>
                <w:rFonts w:hint="eastAsia" w:eastAsia="宋体"/>
                <w:lang w:val="en-US" w:eastAsia="zh-CN"/>
              </w:rPr>
            </w:pPr>
            <w:r>
              <w:t xml:space="preserve">表 </w:t>
            </w:r>
            <w:r>
              <w:rPr>
                <w:rFonts w:hint="eastAsia"/>
                <w:lang w:val="en-US" w:eastAsia="zh-CN"/>
              </w:rPr>
              <w:t>1</w:t>
            </w:r>
            <w:r>
              <w:rPr>
                <w:rFonts w:hint="eastAsia"/>
                <w:lang w:eastAsia="zh-CN"/>
              </w:rPr>
              <w:t>-</w:t>
            </w:r>
            <w:r>
              <w:fldChar w:fldCharType="begin"/>
            </w:r>
            <w:r>
              <w:instrText xml:space="preserve"> SEQ 表 \* ARABIC \s 1 </w:instrText>
            </w:r>
            <w:r>
              <w:fldChar w:fldCharType="separate"/>
            </w:r>
            <w:r>
              <w:t>3</w:t>
            </w:r>
            <w:r>
              <w:fldChar w:fldCharType="end"/>
            </w:r>
            <w:r>
              <w:rPr>
                <w:rFonts w:hint="eastAsia"/>
                <w:lang w:val="en-US" w:eastAsia="zh-CN"/>
              </w:rPr>
              <w:t xml:space="preserve"> </w:t>
            </w:r>
            <w:r>
              <w:t>开发区产业准入负面清单</w:t>
            </w:r>
          </w:p>
          <w:tbl>
            <w:tblPr>
              <w:tblStyle w:val="18"/>
              <w:tblW w:w="49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4"/>
              <w:gridCol w:w="604"/>
              <w:gridCol w:w="5689"/>
            </w:tblGrid>
            <w:tr w14:paraId="090A1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1A5AC0A8">
                  <w:pPr>
                    <w:pStyle w:val="34"/>
                  </w:pPr>
                  <w:r>
                    <w:t>序号</w:t>
                  </w:r>
                </w:p>
              </w:tc>
              <w:tc>
                <w:tcPr>
                  <w:tcW w:w="635" w:type="dxa"/>
                  <w:vAlign w:val="center"/>
                </w:tcPr>
                <w:p w14:paraId="269DA7DA">
                  <w:pPr>
                    <w:pStyle w:val="34"/>
                  </w:pPr>
                  <w:r>
                    <w:t>类型</w:t>
                  </w:r>
                </w:p>
              </w:tc>
              <w:tc>
                <w:tcPr>
                  <w:tcW w:w="6152" w:type="dxa"/>
                  <w:vAlign w:val="center"/>
                </w:tcPr>
                <w:p w14:paraId="093D203A">
                  <w:pPr>
                    <w:pStyle w:val="34"/>
                  </w:pPr>
                  <w:r>
                    <w:t>负面清单要求</w:t>
                  </w:r>
                </w:p>
              </w:tc>
            </w:tr>
            <w:tr w14:paraId="1D1CE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6303A202">
                  <w:pPr>
                    <w:pStyle w:val="34"/>
                  </w:pPr>
                  <w:r>
                    <w:t>1</w:t>
                  </w:r>
                </w:p>
              </w:tc>
              <w:tc>
                <w:tcPr>
                  <w:tcW w:w="635" w:type="dxa"/>
                  <w:vMerge w:val="restart"/>
                  <w:vAlign w:val="center"/>
                </w:tcPr>
                <w:p w14:paraId="1D6B18FF">
                  <w:pPr>
                    <w:pStyle w:val="34"/>
                  </w:pPr>
                  <w:r>
                    <w:t>产业导向</w:t>
                  </w:r>
                </w:p>
              </w:tc>
              <w:tc>
                <w:tcPr>
                  <w:tcW w:w="6152" w:type="dxa"/>
                  <w:vAlign w:val="center"/>
                </w:tcPr>
                <w:p w14:paraId="30AAA230">
                  <w:pPr>
                    <w:pStyle w:val="34"/>
                  </w:pPr>
                  <w:r>
                    <w:t>禁止引入国家明令禁止建设或投资的、列入《产业结构调整指导目录》（2024年本）、《外商投资产业指导目录》（2017年修订）、《市场准入负面清单》（2022年版）等相关产业政策中禁止或淘汰类的项目。</w:t>
                  </w:r>
                </w:p>
              </w:tc>
            </w:tr>
            <w:tr w14:paraId="0F807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1" w:type="dxa"/>
                  <w:vAlign w:val="center"/>
                </w:tcPr>
                <w:p w14:paraId="7866A888">
                  <w:pPr>
                    <w:pStyle w:val="34"/>
                  </w:pPr>
                  <w:r>
                    <w:t>2</w:t>
                  </w:r>
                </w:p>
              </w:tc>
              <w:tc>
                <w:tcPr>
                  <w:tcW w:w="635" w:type="dxa"/>
                  <w:vMerge w:val="continue"/>
                  <w:vAlign w:val="center"/>
                </w:tcPr>
                <w:p w14:paraId="155C5E5F">
                  <w:pPr>
                    <w:pStyle w:val="34"/>
                  </w:pPr>
                </w:p>
              </w:tc>
              <w:tc>
                <w:tcPr>
                  <w:tcW w:w="6152" w:type="dxa"/>
                  <w:vAlign w:val="center"/>
                </w:tcPr>
                <w:p w14:paraId="139D2AD2">
                  <w:pPr>
                    <w:pStyle w:val="34"/>
                  </w:pPr>
                  <w:r>
                    <w:t>禁止引进国家、安徽省明确规定不得审批的建设项目。</w:t>
                  </w:r>
                </w:p>
              </w:tc>
            </w:tr>
            <w:tr w14:paraId="2FF1C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71" w:type="dxa"/>
                  <w:vAlign w:val="center"/>
                </w:tcPr>
                <w:p w14:paraId="4EA0971F">
                  <w:pPr>
                    <w:pStyle w:val="34"/>
                  </w:pPr>
                  <w:r>
                    <w:t>3</w:t>
                  </w:r>
                </w:p>
              </w:tc>
              <w:tc>
                <w:tcPr>
                  <w:tcW w:w="635" w:type="dxa"/>
                  <w:vMerge w:val="continue"/>
                  <w:vAlign w:val="center"/>
                </w:tcPr>
                <w:p w14:paraId="01D269EA">
                  <w:pPr>
                    <w:pStyle w:val="34"/>
                  </w:pPr>
                </w:p>
              </w:tc>
              <w:tc>
                <w:tcPr>
                  <w:tcW w:w="6152" w:type="dxa"/>
                  <w:vAlign w:val="center"/>
                </w:tcPr>
                <w:p w14:paraId="0035EDD5">
                  <w:pPr>
                    <w:pStyle w:val="34"/>
                  </w:pPr>
                  <w:r>
                    <w:t>禁止引进钢铁、焦化、电解铝、铸造、水泥和平板玻璃等产能类项目。</w:t>
                  </w:r>
                </w:p>
              </w:tc>
            </w:tr>
            <w:tr w14:paraId="2A2FF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71" w:type="dxa"/>
                  <w:vAlign w:val="center"/>
                </w:tcPr>
                <w:p w14:paraId="69017FE3">
                  <w:pPr>
                    <w:pStyle w:val="34"/>
                  </w:pPr>
                  <w:r>
                    <w:t>4</w:t>
                  </w:r>
                </w:p>
              </w:tc>
              <w:tc>
                <w:tcPr>
                  <w:tcW w:w="635" w:type="dxa"/>
                  <w:vMerge w:val="continue"/>
                  <w:vAlign w:val="center"/>
                </w:tcPr>
                <w:p w14:paraId="79941874">
                  <w:pPr>
                    <w:pStyle w:val="34"/>
                  </w:pPr>
                </w:p>
              </w:tc>
              <w:tc>
                <w:tcPr>
                  <w:tcW w:w="6152" w:type="dxa"/>
                  <w:vAlign w:val="center"/>
                </w:tcPr>
                <w:p w14:paraId="417B170C">
                  <w:pPr>
                    <w:pStyle w:val="34"/>
                  </w:pPr>
                  <w:r>
                    <w:t>禁止新引入农药制造等污染较重的化工类项目。</w:t>
                  </w:r>
                </w:p>
              </w:tc>
            </w:tr>
            <w:tr w14:paraId="38894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71" w:type="dxa"/>
                  <w:vAlign w:val="center"/>
                </w:tcPr>
                <w:p w14:paraId="0D7FE0A7">
                  <w:pPr>
                    <w:pStyle w:val="34"/>
                  </w:pPr>
                  <w:r>
                    <w:t>5</w:t>
                  </w:r>
                </w:p>
              </w:tc>
              <w:tc>
                <w:tcPr>
                  <w:tcW w:w="635" w:type="dxa"/>
                  <w:vMerge w:val="continue"/>
                  <w:vAlign w:val="center"/>
                </w:tcPr>
                <w:p w14:paraId="7DDA2049">
                  <w:pPr>
                    <w:pStyle w:val="34"/>
                  </w:pPr>
                </w:p>
              </w:tc>
              <w:tc>
                <w:tcPr>
                  <w:tcW w:w="6152" w:type="dxa"/>
                  <w:vAlign w:val="center"/>
                </w:tcPr>
                <w:p w14:paraId="34158482">
                  <w:pPr>
                    <w:pStyle w:val="34"/>
                  </w:pPr>
                  <w:r>
                    <w:t>禁止引进化学制浆造纸企业和印染、制革、化工、电镀、酿造等污染严重的小型企业。</w:t>
                  </w:r>
                </w:p>
              </w:tc>
            </w:tr>
            <w:tr w14:paraId="293C3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71" w:type="dxa"/>
                  <w:vAlign w:val="center"/>
                </w:tcPr>
                <w:p w14:paraId="06CD56F4">
                  <w:pPr>
                    <w:pStyle w:val="34"/>
                  </w:pPr>
                  <w:r>
                    <w:t>6</w:t>
                  </w:r>
                </w:p>
              </w:tc>
              <w:tc>
                <w:tcPr>
                  <w:tcW w:w="635" w:type="dxa"/>
                  <w:vMerge w:val="continue"/>
                  <w:vAlign w:val="center"/>
                </w:tcPr>
                <w:p w14:paraId="0E8D862A">
                  <w:pPr>
                    <w:pStyle w:val="34"/>
                  </w:pPr>
                </w:p>
              </w:tc>
              <w:tc>
                <w:tcPr>
                  <w:tcW w:w="6152" w:type="dxa"/>
                  <w:vAlign w:val="center"/>
                </w:tcPr>
                <w:p w14:paraId="6660C396">
                  <w:pPr>
                    <w:pStyle w:val="34"/>
                  </w:pPr>
                  <w:r>
                    <w:t>严格控制化学药品原药制造等污染较重的项目</w:t>
                  </w:r>
                </w:p>
              </w:tc>
            </w:tr>
            <w:tr w14:paraId="0953A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71" w:type="dxa"/>
                  <w:vAlign w:val="center"/>
                </w:tcPr>
                <w:p w14:paraId="056B2124">
                  <w:pPr>
                    <w:pStyle w:val="34"/>
                  </w:pPr>
                  <w:r>
                    <w:t>7</w:t>
                  </w:r>
                </w:p>
              </w:tc>
              <w:tc>
                <w:tcPr>
                  <w:tcW w:w="635" w:type="dxa"/>
                  <w:vMerge w:val="continue"/>
                  <w:vAlign w:val="center"/>
                </w:tcPr>
                <w:p w14:paraId="79E3091D">
                  <w:pPr>
                    <w:pStyle w:val="34"/>
                  </w:pPr>
                </w:p>
              </w:tc>
              <w:tc>
                <w:tcPr>
                  <w:tcW w:w="6152" w:type="dxa"/>
                  <w:vAlign w:val="center"/>
                </w:tcPr>
                <w:p w14:paraId="15E18FBB">
                  <w:pPr>
                    <w:pStyle w:val="34"/>
                  </w:pPr>
                  <w:r>
                    <w:t>严格控制非主导产业高污染、高能耗类项目。</w:t>
                  </w:r>
                </w:p>
              </w:tc>
            </w:tr>
            <w:tr w14:paraId="1FD4E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71" w:type="dxa"/>
                  <w:vAlign w:val="center"/>
                </w:tcPr>
                <w:p w14:paraId="690195B6">
                  <w:pPr>
                    <w:pStyle w:val="34"/>
                  </w:pPr>
                  <w:r>
                    <w:t>8</w:t>
                  </w:r>
                </w:p>
              </w:tc>
              <w:tc>
                <w:tcPr>
                  <w:tcW w:w="635" w:type="dxa"/>
                  <w:vMerge w:val="restart"/>
                  <w:vAlign w:val="center"/>
                </w:tcPr>
                <w:p w14:paraId="7CD9625F">
                  <w:pPr>
                    <w:pStyle w:val="34"/>
                  </w:pPr>
                  <w:r>
                    <w:t>生产工艺</w:t>
                  </w:r>
                </w:p>
              </w:tc>
              <w:tc>
                <w:tcPr>
                  <w:tcW w:w="6152" w:type="dxa"/>
                  <w:vAlign w:val="center"/>
                </w:tcPr>
                <w:p w14:paraId="3A9FCEFF">
                  <w:pPr>
                    <w:pStyle w:val="34"/>
                  </w:pPr>
                  <w:r>
                    <w:t>禁止引进炼油、产生致癌、致畸、致突变物质的项目。</w:t>
                  </w:r>
                </w:p>
              </w:tc>
            </w:tr>
            <w:tr w14:paraId="4B413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71" w:type="dxa"/>
                  <w:vAlign w:val="center"/>
                </w:tcPr>
                <w:p w14:paraId="460DA2D2">
                  <w:pPr>
                    <w:pStyle w:val="34"/>
                  </w:pPr>
                  <w:r>
                    <w:t>9</w:t>
                  </w:r>
                </w:p>
              </w:tc>
              <w:tc>
                <w:tcPr>
                  <w:tcW w:w="635" w:type="dxa"/>
                  <w:vMerge w:val="continue"/>
                  <w:vAlign w:val="center"/>
                </w:tcPr>
                <w:p w14:paraId="142C204B">
                  <w:pPr>
                    <w:pStyle w:val="34"/>
                  </w:pPr>
                </w:p>
              </w:tc>
              <w:tc>
                <w:tcPr>
                  <w:tcW w:w="6152" w:type="dxa"/>
                  <w:vAlign w:val="center"/>
                </w:tcPr>
                <w:p w14:paraId="7BDF9417">
                  <w:pPr>
                    <w:pStyle w:val="34"/>
                  </w:pPr>
                  <w:r>
                    <w:t>为主导产业及配套的上下游及延伸产业链项目的生产工艺、设备、污染治理技术等未达到清洁生产国内先进水平的、不符合环保相关要求的项目。</w:t>
                  </w:r>
                </w:p>
              </w:tc>
            </w:tr>
            <w:tr w14:paraId="4DA0D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71" w:type="dxa"/>
                  <w:vAlign w:val="center"/>
                </w:tcPr>
                <w:p w14:paraId="1F9D6049">
                  <w:pPr>
                    <w:pStyle w:val="34"/>
                  </w:pPr>
                  <w:r>
                    <w:t>10</w:t>
                  </w:r>
                </w:p>
              </w:tc>
              <w:tc>
                <w:tcPr>
                  <w:tcW w:w="635" w:type="dxa"/>
                  <w:vAlign w:val="center"/>
                </w:tcPr>
                <w:p w14:paraId="73839035">
                  <w:pPr>
                    <w:pStyle w:val="34"/>
                  </w:pPr>
                  <w:r>
                    <w:t>环保要求</w:t>
                  </w:r>
                </w:p>
              </w:tc>
              <w:tc>
                <w:tcPr>
                  <w:tcW w:w="6152" w:type="dxa"/>
                  <w:vAlign w:val="center"/>
                </w:tcPr>
                <w:p w14:paraId="19402A3B">
                  <w:pPr>
                    <w:pStyle w:val="34"/>
                  </w:pPr>
                  <w:r>
                    <w:t>禁止引入尚需自行建设燃煤锅炉的企业入区，引进项目必须使用清洁能源或实施集中供热。</w:t>
                  </w:r>
                </w:p>
              </w:tc>
            </w:tr>
            <w:tr w14:paraId="7B3C4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71" w:type="dxa"/>
                  <w:vAlign w:val="center"/>
                </w:tcPr>
                <w:p w14:paraId="2FA4F881">
                  <w:pPr>
                    <w:pStyle w:val="34"/>
                  </w:pPr>
                  <w:r>
                    <w:t>11</w:t>
                  </w:r>
                </w:p>
              </w:tc>
              <w:tc>
                <w:tcPr>
                  <w:tcW w:w="635" w:type="dxa"/>
                  <w:vAlign w:val="center"/>
                </w:tcPr>
                <w:p w14:paraId="66DE35EB">
                  <w:pPr>
                    <w:pStyle w:val="34"/>
                  </w:pPr>
                  <w:r>
                    <w:t>清洁生产</w:t>
                  </w:r>
                </w:p>
              </w:tc>
              <w:tc>
                <w:tcPr>
                  <w:tcW w:w="6152" w:type="dxa"/>
                  <w:vAlign w:val="center"/>
                </w:tcPr>
                <w:p w14:paraId="75C75607">
                  <w:pPr>
                    <w:pStyle w:val="34"/>
                  </w:pPr>
                  <w:r>
                    <w:t>禁止引入清洁生产低于国内先进水平的项目</w:t>
                  </w:r>
                </w:p>
              </w:tc>
            </w:tr>
            <w:tr w14:paraId="4E04E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7358" w:type="dxa"/>
                  <w:gridSpan w:val="3"/>
                  <w:vAlign w:val="center"/>
                </w:tcPr>
                <w:p w14:paraId="53570FC5">
                  <w:pPr>
                    <w:pStyle w:val="34"/>
                  </w:pPr>
                  <w:r>
                    <w:t>注:相关指南更新时以最新版要求为准。</w:t>
                  </w:r>
                </w:p>
              </w:tc>
            </w:tr>
          </w:tbl>
          <w:p w14:paraId="2C36585E">
            <w:pPr>
              <w:keepLines/>
              <w:ind w:firstLine="480" w:firstLineChars="200"/>
            </w:pPr>
            <w:r>
              <w:t>根据开发区产业准入负面清单内容，本项目属于</w:t>
            </w:r>
            <w:r>
              <w:rPr>
                <w:rFonts w:hint="eastAsia"/>
              </w:rPr>
              <w:t>其他道路运输和辅助活动和机动车燃油零售</w:t>
            </w:r>
            <w:r>
              <w:t>，不在淮南经济技术开发区负面准入清单内容里。同时不属于淮南经济技术开发区禁止类、限制类产业，为允许类，符合淮南经开区产业政策要求，在做好项目污染防治措施及风险防控措施后，项目建设与周边环境较为相容。</w:t>
            </w:r>
          </w:p>
          <w:p w14:paraId="3BE8C752">
            <w:pPr>
              <w:widowControl/>
              <w:ind w:firstLine="482" w:firstLineChars="200"/>
              <w:jc w:val="left"/>
              <w:rPr>
                <w:b/>
                <w:bCs/>
              </w:rPr>
            </w:pPr>
            <w:r>
              <w:rPr>
                <w:rFonts w:hint="eastAsia"/>
                <w:b/>
                <w:bCs/>
                <w:lang w:val="en-US" w:eastAsia="zh-CN"/>
              </w:rPr>
              <w:t>2</w:t>
            </w:r>
            <w:r>
              <w:rPr>
                <w:rFonts w:hint="eastAsia"/>
                <w:b/>
                <w:bCs/>
              </w:rPr>
              <w:t>、与《淮南市城市综合交通驿站国土空间专项规划（2023-2035年）》相符性分析</w:t>
            </w:r>
          </w:p>
          <w:p w14:paraId="6C335EF7">
            <w:pPr>
              <w:widowControl/>
              <w:ind w:firstLine="480" w:firstLineChars="200"/>
              <w:jc w:val="left"/>
            </w:pPr>
            <w:r>
              <w:rPr>
                <w:rFonts w:hint="eastAsia"/>
              </w:rPr>
              <w:t>本项目主要建设货运网络信息服务中心兼车友之家、货车应急维修中心、货运停车场、综合能源站、公交场站以及配套建设公用工程及附属工程。根据《淮南市城市综合交通驿站国土空间专项规划（2023-2035年）》，规划在G206与朝阳路交叉口西南角建设经开区农场综合交通驿站，共设置200个大型货车停车泊位及100个小型货车泊位，含停车、休憩、餐饮、公交场站、车辆维修、智慧物流、综合能源补给（含二级加油站、充换电站）等功能。《淮南市城市综合交通驿站国土空间专项规划（2023-2035年）》已于2024年9月2日取得相关批复文件。详见附图8。</w:t>
            </w:r>
          </w:p>
          <w:p w14:paraId="09CF2331">
            <w:pPr>
              <w:widowControl/>
              <w:ind w:firstLine="480" w:firstLineChars="200"/>
              <w:jc w:val="left"/>
              <w:rPr>
                <w:color w:val="0000FF"/>
              </w:rPr>
            </w:pPr>
            <w:r>
              <w:rPr>
                <w:rFonts w:hint="eastAsia"/>
              </w:rPr>
              <w:t>因此，本项目建设符合《淮南市城市综合交通驿站国土空间专项规划（2023-2025年）》及其批复的相关要求。目前建设单位正在进行土地性质变更手续。</w:t>
            </w:r>
          </w:p>
        </w:tc>
      </w:tr>
      <w:tr w14:paraId="6804D4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4" w:hRule="atLeast"/>
          <w:jc w:val="center"/>
        </w:trPr>
        <w:tc>
          <w:tcPr>
            <w:tcW w:w="1250" w:type="dxa"/>
            <w:vAlign w:val="center"/>
          </w:tcPr>
          <w:p w14:paraId="2B04923D">
            <w:pPr>
              <w:rPr>
                <w:color w:val="0000FF"/>
              </w:rPr>
            </w:pPr>
            <w:r>
              <w:rPr>
                <w:rFonts w:hint="eastAsia"/>
              </w:rPr>
              <w:t>其他符合性分析</w:t>
            </w:r>
          </w:p>
        </w:tc>
        <w:tc>
          <w:tcPr>
            <w:tcW w:w="7203" w:type="dxa"/>
            <w:gridSpan w:val="4"/>
            <w:vAlign w:val="center"/>
          </w:tcPr>
          <w:p w14:paraId="696AFCE8">
            <w:pPr>
              <w:ind w:firstLine="482" w:firstLineChars="200"/>
              <w:rPr>
                <w:b/>
                <w:bCs/>
              </w:rPr>
            </w:pPr>
            <w:r>
              <w:rPr>
                <w:rFonts w:hint="eastAsia"/>
                <w:b/>
                <w:bCs/>
              </w:rPr>
              <w:t>1、产业政策符合性分析</w:t>
            </w:r>
          </w:p>
          <w:p w14:paraId="48754CD0">
            <w:pPr>
              <w:widowControl/>
              <w:ind w:firstLine="480" w:firstLineChars="200"/>
              <w:jc w:val="left"/>
              <w:rPr>
                <w:color w:val="0000FF"/>
              </w:rPr>
            </w:pPr>
            <w:r>
              <w:rPr>
                <w:rFonts w:hint="eastAsia" w:ascii="宋体" w:hAnsi="宋体" w:cs="宋体"/>
                <w:kern w:val="0"/>
                <w:lang w:bidi="ar"/>
              </w:rPr>
              <w:t>本项目属</w:t>
            </w:r>
            <w:r>
              <w:rPr>
                <w:rFonts w:hint="eastAsia"/>
              </w:rPr>
              <w:t>于G5449其他道路运输和辅助活动及F5265机动车燃油零售，对照国家发改委</w:t>
            </w:r>
            <w:r>
              <w:rPr>
                <w:rFonts w:hint="eastAsia" w:ascii="宋体" w:hAnsi="宋体" w:cs="宋体"/>
                <w:kern w:val="0"/>
                <w:lang w:bidi="ar"/>
              </w:rPr>
              <w:t>《产业结构调整指导目录（</w:t>
            </w:r>
            <w:r>
              <w:rPr>
                <w:kern w:val="0"/>
                <w:lang w:bidi="ar"/>
              </w:rPr>
              <w:t>2024</w:t>
            </w:r>
            <w:r>
              <w:rPr>
                <w:rFonts w:hint="eastAsia" w:ascii="宋体" w:hAnsi="宋体" w:cs="宋体"/>
                <w:kern w:val="0"/>
                <w:lang w:bidi="ar"/>
              </w:rPr>
              <w:t>年本）》，本项目不属于限制类或淘汰类项目，视为允许建设项目。同时，项目已取得了淮南经济技术开发区管委会经济发展局出具的备案文件，项目代码为</w:t>
            </w:r>
            <w:r>
              <w:rPr>
                <w:rFonts w:hint="eastAsia"/>
              </w:rPr>
              <w:t>2408-340461-04-01-800507</w:t>
            </w:r>
            <w:r>
              <w:rPr>
                <w:rFonts w:hint="eastAsia" w:ascii="宋体" w:hAnsi="宋体" w:cs="宋体"/>
                <w:kern w:val="0"/>
                <w:lang w:bidi="ar"/>
              </w:rPr>
              <w:t>。因此，本项目建设符合国家产业政策要求。</w:t>
            </w:r>
          </w:p>
          <w:p w14:paraId="57109D0E">
            <w:pPr>
              <w:ind w:firstLine="482" w:firstLineChars="200"/>
              <w:rPr>
                <w:b/>
                <w:bCs/>
              </w:rPr>
            </w:pPr>
            <w:r>
              <w:rPr>
                <w:rFonts w:hint="eastAsia"/>
                <w:b/>
                <w:bCs/>
              </w:rPr>
              <w:t>2、与《安徽省淮河流域水污染防治条例》相符性分析</w:t>
            </w:r>
          </w:p>
          <w:p w14:paraId="33660598">
            <w:pPr>
              <w:ind w:firstLine="480" w:firstLineChars="200"/>
            </w:pPr>
            <w:r>
              <w:t>对照《安徽省淮河流域水污染防治条例》（安徽省第十三届人民代表大会常务委员会第六次会议修订，2019.1.1），项目符合性分析见下表：</w:t>
            </w:r>
          </w:p>
          <w:p w14:paraId="6BF15416">
            <w:pPr>
              <w:pStyle w:val="6"/>
            </w:pPr>
            <w:r>
              <w:t xml:space="preserve">表 </w:t>
            </w:r>
            <w:r>
              <w:rPr>
                <w:rFonts w:hint="eastAsia"/>
              </w:rPr>
              <w:t>1-</w:t>
            </w:r>
            <w:r>
              <w:fldChar w:fldCharType="begin"/>
            </w:r>
            <w:r>
              <w:instrText xml:space="preserve"> SEQ 表 \* ARABIC \s 1 </w:instrText>
            </w:r>
            <w:r>
              <w:fldChar w:fldCharType="separate"/>
            </w:r>
            <w:r>
              <w:t>4</w:t>
            </w:r>
            <w:r>
              <w:fldChar w:fldCharType="end"/>
            </w:r>
            <w:r>
              <w:rPr>
                <w:rFonts w:hint="eastAsia"/>
              </w:rPr>
              <w:t xml:space="preserve"> </w:t>
            </w:r>
            <w:r>
              <w:t>与《安徽省淮河流域水污染防治条例》相符性分析</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717"/>
              <w:gridCol w:w="2067"/>
              <w:gridCol w:w="1422"/>
            </w:tblGrid>
            <w:tr w14:paraId="57AD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2" w:type="dxa"/>
                  <w:vAlign w:val="center"/>
                </w:tcPr>
                <w:p w14:paraId="2433AEDA">
                  <w:pPr>
                    <w:pStyle w:val="24"/>
                  </w:pPr>
                  <w:r>
                    <w:rPr>
                      <w:rFonts w:hint="eastAsia"/>
                    </w:rPr>
                    <w:t>序号</w:t>
                  </w:r>
                </w:p>
              </w:tc>
              <w:tc>
                <w:tcPr>
                  <w:tcW w:w="2723" w:type="dxa"/>
                </w:tcPr>
                <w:p w14:paraId="6DC7B989">
                  <w:pPr>
                    <w:pStyle w:val="24"/>
                  </w:pPr>
                  <w:r>
                    <w:rPr>
                      <w:rFonts w:hint="eastAsia"/>
                    </w:rPr>
                    <w:t>措施内容</w:t>
                  </w:r>
                </w:p>
              </w:tc>
              <w:tc>
                <w:tcPr>
                  <w:tcW w:w="2071" w:type="dxa"/>
                  <w:vAlign w:val="center"/>
                </w:tcPr>
                <w:p w14:paraId="22259C88">
                  <w:pPr>
                    <w:pStyle w:val="24"/>
                  </w:pPr>
                  <w:r>
                    <w:rPr>
                      <w:rFonts w:hint="eastAsia"/>
                    </w:rPr>
                    <w:t>本项目措施</w:t>
                  </w:r>
                </w:p>
              </w:tc>
              <w:tc>
                <w:tcPr>
                  <w:tcW w:w="1425" w:type="dxa"/>
                  <w:vAlign w:val="center"/>
                </w:tcPr>
                <w:p w14:paraId="17F2C648">
                  <w:pPr>
                    <w:pStyle w:val="24"/>
                  </w:pPr>
                  <w:r>
                    <w:rPr>
                      <w:rFonts w:hint="eastAsia"/>
                    </w:rPr>
                    <w:t>相符性</w:t>
                  </w:r>
                </w:p>
              </w:tc>
            </w:tr>
            <w:tr w14:paraId="2A82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2" w:type="dxa"/>
                  <w:vAlign w:val="center"/>
                </w:tcPr>
                <w:p w14:paraId="3240A073">
                  <w:pPr>
                    <w:pStyle w:val="24"/>
                  </w:pPr>
                  <w:r>
                    <w:rPr>
                      <w:rFonts w:hint="eastAsia"/>
                    </w:rPr>
                    <w:t>1</w:t>
                  </w:r>
                </w:p>
              </w:tc>
              <w:tc>
                <w:tcPr>
                  <w:tcW w:w="2723" w:type="dxa"/>
                </w:tcPr>
                <w:p w14:paraId="74581E9C">
                  <w:pPr>
                    <w:pStyle w:val="24"/>
                  </w:pPr>
                  <w:r>
                    <w:rPr>
                      <w:rFonts w:hint="eastAsia"/>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2071" w:type="dxa"/>
                  <w:vAlign w:val="center"/>
                </w:tcPr>
                <w:p w14:paraId="739B47C5">
                  <w:pPr>
                    <w:pStyle w:val="24"/>
                  </w:pPr>
                  <w:r>
                    <w:rPr>
                      <w:rFonts w:hint="eastAsia"/>
                    </w:rPr>
                    <w:t>本项目主要建设经开区农场城市综合交通驿站，企业不属于印染、制革、化工、电镀、酿造等污染严重的小型企业。项目已取得淮南经济技术开发区管委会经济发展局备案。</w:t>
                  </w:r>
                </w:p>
              </w:tc>
              <w:tc>
                <w:tcPr>
                  <w:tcW w:w="1425" w:type="dxa"/>
                  <w:vAlign w:val="center"/>
                </w:tcPr>
                <w:p w14:paraId="271D4F92">
                  <w:pPr>
                    <w:pStyle w:val="24"/>
                  </w:pPr>
                  <w:r>
                    <w:rPr>
                      <w:rFonts w:hint="eastAsia"/>
                    </w:rPr>
                    <w:t>符合</w:t>
                  </w:r>
                </w:p>
              </w:tc>
            </w:tr>
            <w:tr w14:paraId="58C3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2" w:type="dxa"/>
                  <w:vAlign w:val="center"/>
                </w:tcPr>
                <w:p w14:paraId="6811AA2B">
                  <w:pPr>
                    <w:pStyle w:val="24"/>
                  </w:pPr>
                  <w:r>
                    <w:rPr>
                      <w:rFonts w:hint="eastAsia"/>
                    </w:rPr>
                    <w:t>2</w:t>
                  </w:r>
                </w:p>
              </w:tc>
              <w:tc>
                <w:tcPr>
                  <w:tcW w:w="2723" w:type="dxa"/>
                  <w:vAlign w:val="center"/>
                </w:tcPr>
                <w:p w14:paraId="08BA1E19">
                  <w:pPr>
                    <w:pStyle w:val="24"/>
                  </w:pPr>
                  <w:r>
                    <w:rPr>
                      <w:rFonts w:hint="eastAsia"/>
                    </w:rPr>
                    <w:t>在淮河流域城市公共排水设施覆盖区域内，应当实行雨水、污水分流；排水户应当将雨水、污水分别排入公共雨水、污水管网及其附属设施</w:t>
                  </w:r>
                </w:p>
              </w:tc>
              <w:tc>
                <w:tcPr>
                  <w:tcW w:w="2071" w:type="dxa"/>
                  <w:vAlign w:val="center"/>
                </w:tcPr>
                <w:p w14:paraId="67215CD4">
                  <w:pPr>
                    <w:pStyle w:val="24"/>
                  </w:pPr>
                  <w:r>
                    <w:rPr>
                      <w:rFonts w:hint="eastAsia"/>
                    </w:rPr>
                    <w:t>项目实行雨污分流，雨水流入雨水管网；生活污水经化粪池预处理后排入市政污水管网，内部综合能源站地面冲洗废水、洗车废水、初期雨水经三级油水分离池处理，维修中心洗车废水、地面冲洗废水经隔油沉淀池处理达接管标准后经市政污水管网排入经济技术开发区工业污水处理厂处理。</w:t>
                  </w:r>
                </w:p>
              </w:tc>
              <w:tc>
                <w:tcPr>
                  <w:tcW w:w="1425" w:type="dxa"/>
                  <w:vAlign w:val="center"/>
                </w:tcPr>
                <w:p w14:paraId="05F31041">
                  <w:pPr>
                    <w:pStyle w:val="24"/>
                  </w:pPr>
                  <w:r>
                    <w:rPr>
                      <w:rFonts w:hint="eastAsia"/>
                    </w:rPr>
                    <w:t>符合</w:t>
                  </w:r>
                </w:p>
              </w:tc>
            </w:tr>
          </w:tbl>
          <w:p w14:paraId="54DE89F3">
            <w:pPr>
              <w:ind w:firstLine="480" w:firstLineChars="200"/>
              <w:rPr>
                <w:color w:val="0000FF"/>
              </w:rPr>
            </w:pPr>
            <w:r>
              <w:rPr>
                <w:rFonts w:hint="eastAsia"/>
              </w:rPr>
              <w:t>根据上表可知，本项目与《安徽省淮河流域水污染防治条例》中的规定相符。</w:t>
            </w:r>
          </w:p>
          <w:p w14:paraId="785F1879">
            <w:pPr>
              <w:ind w:firstLine="482" w:firstLineChars="200"/>
              <w:rPr>
                <w:b/>
                <w:bCs/>
              </w:rPr>
            </w:pPr>
            <w:r>
              <w:rPr>
                <w:rFonts w:hint="eastAsia"/>
                <w:b/>
                <w:bCs/>
              </w:rPr>
              <w:t>3、“</w:t>
            </w:r>
            <w:r>
              <w:rPr>
                <w:b/>
                <w:bCs/>
              </w:rPr>
              <w:t>三线一单</w:t>
            </w:r>
            <w:r>
              <w:rPr>
                <w:rFonts w:hint="eastAsia"/>
                <w:b/>
                <w:bCs/>
              </w:rPr>
              <w:t>”和生态环境分区管控符合性分析</w:t>
            </w:r>
          </w:p>
          <w:p w14:paraId="733ADB0E">
            <w:pPr>
              <w:ind w:firstLine="480" w:firstLineChars="200"/>
            </w:pPr>
            <w:r>
              <w:t>根据环境保护部环评[2016]150号《关于以改善环境质量为核心加强环境影响评价管理的通知》要求：为适应以改善环境质量为核心的环境管理要求，切实加强环境影响评价（以下简称环评）管理，落实</w:t>
            </w:r>
            <w:r>
              <w:rPr>
                <w:rFonts w:hint="eastAsia"/>
              </w:rPr>
              <w:t>“</w:t>
            </w:r>
            <w:r>
              <w:t>生态保护红线、环境质量底线、资源利用上线和</w:t>
            </w:r>
            <w:r>
              <w:rPr>
                <w:rFonts w:hint="eastAsia"/>
              </w:rPr>
              <w:t>生态环境准入清单”</w:t>
            </w:r>
            <w:r>
              <w:t>（以下简称</w:t>
            </w:r>
            <w:r>
              <w:rPr>
                <w:rFonts w:hint="eastAsia"/>
              </w:rPr>
              <w:t>“</w:t>
            </w:r>
            <w:r>
              <w:t>三线一单</w:t>
            </w:r>
            <w:r>
              <w:rPr>
                <w:rFonts w:hint="eastAsia"/>
              </w:rPr>
              <w:t>”</w:t>
            </w:r>
            <w:r>
              <w:t>）约束，建立项目环评审批与规划环评、现有项目环境管理、区域环境质量联动机制，更好地发挥环评制度从源头防范环境污染和生态破坏的作用，加快推进改善环境质量。</w:t>
            </w:r>
          </w:p>
          <w:p w14:paraId="33F2A717">
            <w:pPr>
              <w:ind w:firstLine="480" w:firstLineChars="200"/>
            </w:pPr>
            <w:r>
              <w:rPr>
                <w:rFonts w:hint="eastAsia"/>
              </w:rPr>
              <w:t>（1）</w:t>
            </w:r>
            <w:r>
              <w:rPr>
                <w:rFonts w:hint="eastAsia"/>
                <w:b/>
                <w:bCs/>
              </w:rPr>
              <w:t>与淮南市“三线一单”符合性分析</w:t>
            </w:r>
          </w:p>
          <w:p w14:paraId="7F00F2B2">
            <w:pPr>
              <w:ind w:firstLine="480" w:firstLineChars="200"/>
            </w:pPr>
            <w:r>
              <w:t>本项目</w:t>
            </w:r>
            <w:r>
              <w:rPr>
                <w:rFonts w:hint="eastAsia"/>
              </w:rPr>
              <w:t>与淮南市“三线一单”符合性分析如下：</w:t>
            </w:r>
          </w:p>
          <w:p w14:paraId="626B9298">
            <w:pPr>
              <w:pStyle w:val="6"/>
            </w:pPr>
            <w:r>
              <w:t xml:space="preserve">表 </w:t>
            </w:r>
            <w:r>
              <w:rPr>
                <w:rFonts w:hint="eastAsia"/>
              </w:rPr>
              <w:t>1-</w:t>
            </w:r>
            <w:r>
              <w:fldChar w:fldCharType="begin"/>
            </w:r>
            <w:r>
              <w:instrText xml:space="preserve"> SEQ 表 \* ARABIC \s 1 </w:instrText>
            </w:r>
            <w:r>
              <w:fldChar w:fldCharType="separate"/>
            </w:r>
            <w:r>
              <w:t>5</w:t>
            </w:r>
            <w:r>
              <w:fldChar w:fldCharType="end"/>
            </w:r>
            <w:r>
              <w:rPr>
                <w:rFonts w:hint="eastAsia"/>
              </w:rPr>
              <w:t xml:space="preserve"> </w:t>
            </w:r>
            <w:r>
              <w:t>本项目</w:t>
            </w:r>
            <w:r>
              <w:rPr>
                <w:rFonts w:hint="eastAsia"/>
              </w:rPr>
              <w:t>与淮南市“</w:t>
            </w:r>
            <w:r>
              <w:t>三线一单</w:t>
            </w:r>
            <w:r>
              <w:rPr>
                <w:rFonts w:hint="eastAsia"/>
              </w:rPr>
              <w:t>”</w:t>
            </w:r>
            <w:r>
              <w:t>符合性分析一览表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3"/>
              <w:gridCol w:w="1587"/>
              <w:gridCol w:w="3623"/>
              <w:gridCol w:w="884"/>
            </w:tblGrid>
            <w:tr w14:paraId="5522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32" w:type="dxa"/>
                  <w:vAlign w:val="center"/>
                </w:tcPr>
                <w:p w14:paraId="53E3BBD7">
                  <w:pPr>
                    <w:pStyle w:val="24"/>
                    <w:rPr>
                      <w:b/>
                      <w:bCs/>
                    </w:rPr>
                  </w:pPr>
                  <w:r>
                    <w:rPr>
                      <w:b/>
                      <w:bCs/>
                    </w:rPr>
                    <w:t>内容</w:t>
                  </w:r>
                </w:p>
              </w:tc>
              <w:tc>
                <w:tcPr>
                  <w:tcW w:w="1682" w:type="dxa"/>
                  <w:vAlign w:val="center"/>
                </w:tcPr>
                <w:p w14:paraId="62AA1326">
                  <w:pPr>
                    <w:pStyle w:val="24"/>
                    <w:rPr>
                      <w:b/>
                      <w:bCs/>
                    </w:rPr>
                  </w:pPr>
                  <w:r>
                    <w:rPr>
                      <w:b/>
                      <w:bCs/>
                    </w:rPr>
                    <w:t>文件要求</w:t>
                  </w:r>
                </w:p>
              </w:tc>
              <w:tc>
                <w:tcPr>
                  <w:tcW w:w="3852" w:type="dxa"/>
                  <w:vAlign w:val="center"/>
                </w:tcPr>
                <w:p w14:paraId="31AD9629">
                  <w:pPr>
                    <w:pStyle w:val="24"/>
                    <w:rPr>
                      <w:b/>
                      <w:bCs/>
                    </w:rPr>
                  </w:pPr>
                  <w:r>
                    <w:rPr>
                      <w:b/>
                      <w:bCs/>
                    </w:rPr>
                    <w:t>本项目情况对照简析</w:t>
                  </w:r>
                </w:p>
              </w:tc>
              <w:tc>
                <w:tcPr>
                  <w:tcW w:w="933" w:type="dxa"/>
                  <w:vAlign w:val="center"/>
                </w:tcPr>
                <w:p w14:paraId="6B66784F">
                  <w:pPr>
                    <w:pStyle w:val="24"/>
                    <w:rPr>
                      <w:b/>
                      <w:bCs/>
                    </w:rPr>
                  </w:pPr>
                  <w:r>
                    <w:rPr>
                      <w:b/>
                      <w:bCs/>
                    </w:rPr>
                    <w:t>分析结果</w:t>
                  </w:r>
                </w:p>
              </w:tc>
            </w:tr>
            <w:tr w14:paraId="34B2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32" w:type="dxa"/>
                  <w:vAlign w:val="center"/>
                </w:tcPr>
                <w:p w14:paraId="256CE103">
                  <w:pPr>
                    <w:pStyle w:val="24"/>
                  </w:pPr>
                  <w:r>
                    <w:t>生态保护红线</w:t>
                  </w:r>
                </w:p>
              </w:tc>
              <w:tc>
                <w:tcPr>
                  <w:tcW w:w="1682" w:type="dxa"/>
                  <w:vAlign w:val="center"/>
                </w:tcPr>
                <w:p w14:paraId="5D00EF2E">
                  <w:pPr>
                    <w:pStyle w:val="24"/>
                  </w:pPr>
                  <w:r>
                    <w:t>生态保护红线是生态空间范围内具有特殊重要生态功能必须实行强制性严格保护的区域。在生态保护红线范围内，严控各类开发建设活动，依法不予审批新建工业项目和矿产开发。</w:t>
                  </w:r>
                </w:p>
              </w:tc>
              <w:tc>
                <w:tcPr>
                  <w:tcW w:w="3852" w:type="dxa"/>
                  <w:vAlign w:val="center"/>
                </w:tcPr>
                <w:p w14:paraId="07E48F4E">
                  <w:pPr>
                    <w:pStyle w:val="24"/>
                  </w:pPr>
                  <w:r>
                    <w:t>本项目建设地</w:t>
                  </w:r>
                  <w:r>
                    <w:rPr>
                      <w:rFonts w:hint="eastAsia"/>
                    </w:rPr>
                    <w:t>位于淮南经济技术开发区G206与朝阳路交叉口西南角</w:t>
                  </w:r>
                  <w:r>
                    <w:t>，不在生态红线范围内。</w:t>
                  </w:r>
                </w:p>
              </w:tc>
              <w:tc>
                <w:tcPr>
                  <w:tcW w:w="933" w:type="dxa"/>
                  <w:vAlign w:val="center"/>
                </w:tcPr>
                <w:p w14:paraId="665A63C6">
                  <w:pPr>
                    <w:pStyle w:val="24"/>
                  </w:pPr>
                  <w:r>
                    <w:t>符合</w:t>
                  </w:r>
                </w:p>
              </w:tc>
            </w:tr>
            <w:tr w14:paraId="1844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32" w:type="dxa"/>
                  <w:vAlign w:val="center"/>
                </w:tcPr>
                <w:p w14:paraId="3F9FD545">
                  <w:pPr>
                    <w:pStyle w:val="24"/>
                  </w:pPr>
                  <w:r>
                    <w:t>环境质量</w:t>
                  </w:r>
                  <w:r>
                    <w:rPr>
                      <w:rFonts w:hint="eastAsia"/>
                    </w:rPr>
                    <w:t>底线</w:t>
                  </w:r>
                </w:p>
              </w:tc>
              <w:tc>
                <w:tcPr>
                  <w:tcW w:w="1682" w:type="dxa"/>
                  <w:vAlign w:val="center"/>
                </w:tcPr>
                <w:p w14:paraId="71C5A0BD">
                  <w:pPr>
                    <w:pStyle w:val="24"/>
                    <w:jc w:val="both"/>
                  </w:pPr>
                  <w:r>
                    <w:t>环境质量现状超标地区以及未达到环境质量目标考核要求的地区上新项目将受到限制；对环境质量现状超标的地区，项目拟采取的措施不能满足区域环境质量改善目标管理要求的，依法不予审批其环评文件。</w:t>
                  </w:r>
                </w:p>
              </w:tc>
              <w:tc>
                <w:tcPr>
                  <w:tcW w:w="3852" w:type="dxa"/>
                  <w:vAlign w:val="center"/>
                </w:tcPr>
                <w:p w14:paraId="45B46959">
                  <w:pPr>
                    <w:pStyle w:val="24"/>
                  </w:pPr>
                  <w:r>
                    <w:rPr>
                      <w:lang w:val="zh-CN"/>
                    </w:rPr>
                    <w:t>根据《</w:t>
                  </w:r>
                  <w:r>
                    <w:rPr>
                      <w:rFonts w:hint="eastAsia"/>
                    </w:rPr>
                    <w:t>2023</w:t>
                  </w:r>
                  <w:r>
                    <w:rPr>
                      <w:lang w:val="zh-CN"/>
                    </w:rPr>
                    <w:t>年淮南市环境质量公报》，本项目所在区域为大气环境</w:t>
                  </w:r>
                  <w:r>
                    <w:rPr>
                      <w:rFonts w:hint="eastAsia"/>
                    </w:rPr>
                    <w:t>PM</w:t>
                  </w:r>
                  <w:r>
                    <w:rPr>
                      <w:rFonts w:hint="eastAsia"/>
                      <w:vertAlign w:val="subscript"/>
                    </w:rPr>
                    <w:t>2.5</w:t>
                  </w:r>
                  <w:r>
                    <w:rPr>
                      <w:lang w:val="zh-CN"/>
                    </w:rPr>
                    <w:t>不达标区，</w:t>
                  </w:r>
                  <w:r>
                    <w:t>为进一步缓解大气不达标情况，改善淮南市环境空气质量，淮南市通过集中专项整治</w:t>
                  </w:r>
                  <w:r>
                    <w:rPr>
                      <w:rFonts w:hint="eastAsia"/>
                    </w:rPr>
                    <w:t>“</w:t>
                  </w:r>
                  <w:r>
                    <w:t>小散乱污</w:t>
                  </w:r>
                  <w:r>
                    <w:rPr>
                      <w:rFonts w:hint="eastAsia"/>
                    </w:rPr>
                    <w:t>”</w:t>
                  </w:r>
                  <w:r>
                    <w:t>企业、企业清洁生产技术改造、小锅炉升级改造、燃煤机组超低排放改造，整治散装物料堆场，督促企业完成挥发性有机物整改任务等措施改善环境空气质量；根据《202</w:t>
                  </w:r>
                  <w:r>
                    <w:rPr>
                      <w:rFonts w:hint="eastAsia"/>
                    </w:rPr>
                    <w:t>3</w:t>
                  </w:r>
                  <w:r>
                    <w:t>年</w:t>
                  </w:r>
                  <w:r>
                    <w:rPr>
                      <w:rFonts w:hint="eastAsia"/>
                    </w:rPr>
                    <w:t>11月</w:t>
                  </w:r>
                  <w:r>
                    <w:t>淮南市环境质量</w:t>
                  </w:r>
                  <w:r>
                    <w:rPr>
                      <w:rFonts w:hint="eastAsia"/>
                    </w:rPr>
                    <w:t>月</w:t>
                  </w:r>
                  <w:r>
                    <w:t>报》地表水总体状况，</w:t>
                  </w:r>
                  <w:r>
                    <w:rPr>
                      <w:lang w:val="zh-CN"/>
                    </w:rPr>
                    <w:t>区域地表水淮河各监测断面水质</w:t>
                  </w:r>
                  <w:r>
                    <w:rPr>
                      <w:rFonts w:hint="eastAsia"/>
                      <w:lang w:val="zh-CN"/>
                    </w:rPr>
                    <w:t>保持稳定</w:t>
                  </w:r>
                  <w:r>
                    <w:rPr>
                      <w:lang w:val="zh-CN"/>
                    </w:rPr>
                    <w:t>；</w:t>
                  </w:r>
                  <w:r>
                    <w:rPr>
                      <w:rFonts w:hint="eastAsia"/>
                    </w:rPr>
                    <w:t>本项目排放的</w:t>
                  </w:r>
                  <w:r>
                    <w:rPr>
                      <w:rFonts w:hint="eastAsia" w:ascii="宋体" w:hAnsi="宋体"/>
                    </w:rPr>
                    <w:t>生产废水和生活污水处理后排入经济技术开发区工业污水处理厂处理达标后外排淮河，对淮河影响较小，故不会破坏项目的环境质量底线。区域声环境质量达到《声环境质量标准》（GB3096-2008）2类标准。该项目运营过程中会</w:t>
                  </w:r>
                  <w:r>
                    <w:rPr>
                      <w:rFonts w:ascii="宋体" w:hAnsi="宋体"/>
                    </w:rPr>
                    <w:t>产生一定的污染物，采取相应的污染防治措施后，各类污染物的排放对周围环境造成的影响较小，不会降低当地环境质量，不会触碰区域环境质量底线。</w:t>
                  </w:r>
                </w:p>
              </w:tc>
              <w:tc>
                <w:tcPr>
                  <w:tcW w:w="933" w:type="dxa"/>
                  <w:vAlign w:val="center"/>
                </w:tcPr>
                <w:p w14:paraId="353A4A62">
                  <w:pPr>
                    <w:pStyle w:val="24"/>
                  </w:pPr>
                  <w:r>
                    <w:t>符合</w:t>
                  </w:r>
                </w:p>
              </w:tc>
            </w:tr>
            <w:tr w14:paraId="57E9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32" w:type="dxa"/>
                  <w:vAlign w:val="center"/>
                </w:tcPr>
                <w:p w14:paraId="11BB582B">
                  <w:pPr>
                    <w:pStyle w:val="24"/>
                  </w:pPr>
                  <w:r>
                    <w:t>资源利用上线</w:t>
                  </w:r>
                </w:p>
              </w:tc>
              <w:tc>
                <w:tcPr>
                  <w:tcW w:w="1682" w:type="dxa"/>
                  <w:vAlign w:val="center"/>
                </w:tcPr>
                <w:p w14:paraId="5B322843">
                  <w:pPr>
                    <w:pStyle w:val="24"/>
                  </w:pPr>
                  <w:r>
                    <w:t>依据有关资源利用上线要求，即各地区能源、水、土地等资源消耗是不得突破的</w:t>
                  </w:r>
                  <w:r>
                    <w:rPr>
                      <w:rFonts w:hint="eastAsia"/>
                    </w:rPr>
                    <w:t>“</w:t>
                  </w:r>
                  <w:r>
                    <w:t>天花板</w:t>
                  </w:r>
                  <w:r>
                    <w:rPr>
                      <w:rFonts w:hint="eastAsia"/>
                    </w:rPr>
                    <w:t>”</w:t>
                  </w:r>
                  <w:r>
                    <w:t>。</w:t>
                  </w:r>
                </w:p>
              </w:tc>
              <w:tc>
                <w:tcPr>
                  <w:tcW w:w="3852" w:type="dxa"/>
                  <w:vAlign w:val="center"/>
                </w:tcPr>
                <w:p w14:paraId="2E3F667C">
                  <w:pPr>
                    <w:pStyle w:val="24"/>
                  </w:pPr>
                  <w:r>
                    <w:t>本项目运营过程主要资源消耗为电能，由市政供电供给，对当地能源、水、土地资源影响不大，不会超出当地资源利用上线。</w:t>
                  </w:r>
                </w:p>
              </w:tc>
              <w:tc>
                <w:tcPr>
                  <w:tcW w:w="933" w:type="dxa"/>
                  <w:vAlign w:val="center"/>
                </w:tcPr>
                <w:p w14:paraId="514B7C36">
                  <w:pPr>
                    <w:pStyle w:val="24"/>
                  </w:pPr>
                  <w:r>
                    <w:t>符合</w:t>
                  </w:r>
                </w:p>
              </w:tc>
            </w:tr>
            <w:tr w14:paraId="63DE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32" w:type="dxa"/>
                  <w:vAlign w:val="center"/>
                </w:tcPr>
                <w:p w14:paraId="21307917">
                  <w:pPr>
                    <w:pStyle w:val="24"/>
                  </w:pPr>
                  <w:r>
                    <w:t>生态环境准入清单</w:t>
                  </w:r>
                </w:p>
              </w:tc>
              <w:tc>
                <w:tcPr>
                  <w:tcW w:w="1682" w:type="dxa"/>
                  <w:vAlign w:val="center"/>
                </w:tcPr>
                <w:p w14:paraId="5BA23235">
                  <w:pPr>
                    <w:pStyle w:val="24"/>
                  </w:pPr>
                  <w:r>
                    <w:t>生态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3852" w:type="dxa"/>
                  <w:vAlign w:val="center"/>
                </w:tcPr>
                <w:p w14:paraId="786D06B3">
                  <w:pPr>
                    <w:pStyle w:val="24"/>
                  </w:pPr>
                  <w:r>
                    <w:t>本项目</w:t>
                  </w:r>
                  <w:r>
                    <w:rPr>
                      <w:rFonts w:hint="eastAsia"/>
                    </w:rPr>
                    <w:t>主要建设内容为经开区农场城市综合交通驿站</w:t>
                  </w:r>
                  <w:r>
                    <w:t>，不属于高耗能高污染项目，不属于禁止、</w:t>
                  </w:r>
                  <w:r>
                    <w:rPr>
                      <w:rFonts w:hint="eastAsia"/>
                    </w:rPr>
                    <w:t>限制</w:t>
                  </w:r>
                  <w:r>
                    <w:t>类项目。且该项目已经</w:t>
                  </w:r>
                  <w:r>
                    <w:rPr>
                      <w:rFonts w:hint="eastAsia"/>
                    </w:rPr>
                    <w:t>淮南经济技术开发区管委会经济发展局</w:t>
                  </w:r>
                  <w:r>
                    <w:t>备案。</w:t>
                  </w:r>
                </w:p>
              </w:tc>
              <w:tc>
                <w:tcPr>
                  <w:tcW w:w="933" w:type="dxa"/>
                  <w:vAlign w:val="center"/>
                </w:tcPr>
                <w:p w14:paraId="09A6ED01">
                  <w:pPr>
                    <w:pStyle w:val="24"/>
                  </w:pPr>
                  <w:r>
                    <w:t>符合</w:t>
                  </w:r>
                </w:p>
              </w:tc>
            </w:tr>
          </w:tbl>
          <w:p w14:paraId="79A14496">
            <w:pPr>
              <w:ind w:firstLine="482" w:firstLineChars="200"/>
            </w:pPr>
            <w:r>
              <w:rPr>
                <w:rFonts w:hint="eastAsia"/>
                <w:b/>
                <w:bCs/>
              </w:rPr>
              <w:t>（2）</w:t>
            </w:r>
            <w:r>
              <w:rPr>
                <w:b/>
                <w:bCs/>
              </w:rPr>
              <w:t>与</w:t>
            </w:r>
            <w:r>
              <w:rPr>
                <w:b/>
              </w:rPr>
              <w:t>生态管控单元符合性分析</w:t>
            </w:r>
          </w:p>
          <w:p w14:paraId="3AD12CE6">
            <w:pPr>
              <w:ind w:firstLine="448" w:firstLineChars="200"/>
              <w:rPr>
                <w:color w:val="0000FF"/>
              </w:rPr>
            </w:pPr>
            <w:r>
              <w:rPr>
                <w:rFonts w:hint="eastAsia"/>
                <w:spacing w:val="-8"/>
              </w:rPr>
              <w:t>本项目位于淮南经济技术开发区G206与朝阳路交叉口西南角，</w:t>
            </w:r>
            <w:r>
              <w:rPr>
                <w:rFonts w:hint="eastAsia"/>
              </w:rPr>
              <w:t>根据淮南市环境管控单元图及查阅“安徽省"三线一单"公众服务平台”，本项目所在区域管控单元分类属于“</w:t>
            </w:r>
            <w:r>
              <w:t>重点管控单元</w:t>
            </w:r>
            <w:r>
              <w:rPr>
                <w:rFonts w:hint="eastAsia"/>
              </w:rPr>
              <w:t>”；根据淮南市分区管控图，本项目所在区域属于大气环境重点管控区、水环境</w:t>
            </w:r>
            <w:r>
              <w:t>重点管控区</w:t>
            </w:r>
            <w:r>
              <w:rPr>
                <w:rFonts w:hint="eastAsia"/>
              </w:rPr>
              <w:t>、土壤</w:t>
            </w:r>
            <w:r>
              <w:t>一般管控区。</w:t>
            </w:r>
            <w:r>
              <w:rPr>
                <w:rFonts w:hint="eastAsia"/>
              </w:rPr>
              <w:t>详见附图9。</w:t>
            </w:r>
          </w:p>
          <w:p w14:paraId="05B43785">
            <w:pPr>
              <w:tabs>
                <w:tab w:val="left" w:pos="5280"/>
              </w:tabs>
            </w:pPr>
            <w:r>
              <w:rPr>
                <w:color w:val="0000FF"/>
              </w:rPr>
              <mc:AlternateContent>
                <mc:Choice Requires="wps">
                  <w:drawing>
                    <wp:anchor distT="0" distB="0" distL="114300" distR="114300" simplePos="0" relativeHeight="251664384" behindDoc="0" locked="0" layoutInCell="1" allowOverlap="1">
                      <wp:simplePos x="0" y="0"/>
                      <wp:positionH relativeFrom="column">
                        <wp:posOffset>1391285</wp:posOffset>
                      </wp:positionH>
                      <wp:positionV relativeFrom="paragraph">
                        <wp:posOffset>1326515</wp:posOffset>
                      </wp:positionV>
                      <wp:extent cx="683260" cy="294005"/>
                      <wp:effectExtent l="5080" t="4445" r="16510" b="6350"/>
                      <wp:wrapNone/>
                      <wp:docPr id="18" name="文本框 18"/>
                      <wp:cNvGraphicFramePr/>
                      <a:graphic xmlns:a="http://schemas.openxmlformats.org/drawingml/2006/main">
                        <a:graphicData uri="http://schemas.microsoft.com/office/word/2010/wordprocessingShape">
                          <wps:wsp>
                            <wps:cNvSpPr txBox="1"/>
                            <wps:spPr>
                              <a:xfrm>
                                <a:off x="4594860" y="2653665"/>
                                <a:ext cx="683260"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B44B53">
                                  <w:pPr>
                                    <w:spacing w:line="240" w:lineRule="auto"/>
                                  </w:pPr>
                                  <w:r>
                                    <w:rPr>
                                      <w:rFonts w:hint="eastAsia"/>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55pt;margin-top:104.45pt;height:23.15pt;width:53.8pt;z-index:251664384;mso-width-relative:page;mso-height-relative:page;" fillcolor="#FFFFFF [3201]" filled="t" stroked="t" coordsize="21600,21600" o:gfxdata="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O4pEP1wAAAAsBAAAPAAAAAAAAAAEAIAAAACIAAABkcnMvZG93bnJldi54bWxQSwECFAAU&#10;AAAACACHTuJAqA2qK2QCAADEBAAADgAAAAAAAAABACAAAAAmAQAAZHJzL2Uyb0RvYy54bWxQSwUG&#10;AAAAAAYABgBZAQAA/AUAAAAA&#10;">
                      <v:fill on="t" focussize="0,0"/>
                      <v:stroke weight="0.5pt" color="#000000 [3204]" joinstyle="round"/>
                      <v:imagedata o:title=""/>
                      <o:lock v:ext="edit" aspectratio="f"/>
                      <v:textbox>
                        <w:txbxContent>
                          <w:p w14:paraId="3CB44B53">
                            <w:pPr>
                              <w:spacing w:line="240" w:lineRule="auto"/>
                            </w:pPr>
                            <w:r>
                              <w:rPr>
                                <w:rFonts w:hint="eastAsia"/>
                              </w:rPr>
                              <w:t>本项目</w:t>
                            </w:r>
                          </w:p>
                        </w:txbxContent>
                      </v:textbox>
                    </v:shape>
                  </w:pict>
                </mc:Fallback>
              </mc:AlternateContent>
            </w:r>
            <w:r>
              <w:rPr>
                <w:color w:val="0000FF"/>
              </w:rPr>
              <mc:AlternateContent>
                <mc:Choice Requires="wps">
                  <w:drawing>
                    <wp:anchor distT="0" distB="0" distL="114300" distR="114300" simplePos="0" relativeHeight="251663360" behindDoc="0" locked="0" layoutInCell="1" allowOverlap="1">
                      <wp:simplePos x="0" y="0"/>
                      <wp:positionH relativeFrom="column">
                        <wp:posOffset>2108200</wp:posOffset>
                      </wp:positionH>
                      <wp:positionV relativeFrom="paragraph">
                        <wp:posOffset>1289050</wp:posOffset>
                      </wp:positionV>
                      <wp:extent cx="78105" cy="78105"/>
                      <wp:effectExtent l="19050" t="21590" r="36195" b="33655"/>
                      <wp:wrapNone/>
                      <wp:docPr id="16" name="五角星 16"/>
                      <wp:cNvGraphicFramePr/>
                      <a:graphic xmlns:a="http://schemas.openxmlformats.org/drawingml/2006/main">
                        <a:graphicData uri="http://schemas.microsoft.com/office/word/2010/wordprocessingShape">
                          <wps:wsp>
                            <wps:cNvSpPr/>
                            <wps:spPr>
                              <a:xfrm>
                                <a:off x="5105400" y="3017520"/>
                                <a:ext cx="78105" cy="7810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6pt;margin-top:101.5pt;height:6.15pt;width:6.15pt;z-index:251663360;v-text-anchor:middle;mso-width-relative:page;mso-height-relative:page;" fillcolor="#FF0000" filled="t" stroked="t" coordsize="78105,78105" o:gfxdata="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0rEsPbAAAACwEAAA8AAAAAAAAAAQAgAAAA&#10;IgAAAGRycy9kb3ducmV2LnhtbFBLAQIUABQAAAAIAIdO4kADnowPegIAAAMFAAAOAAAAAAAAAAEA&#10;IAAAACoBAABkcnMvZTJvRG9jLnhtbFBLBQYAAAAABgAGAFkBAAAWBgAAAAA=&#10;" path="m0,29833l29833,29833,39052,0,48271,29833,78104,29833,53968,48271,63188,78104,39052,59666,14916,78104,24136,48271xe">
                      <v:path o:connectlocs="39052,0;0,29833;14916,78104;63188,78104;78104,29833" o:connectangles="247,164,82,82,0"/>
                      <v:fill on="t" focussize="0,0"/>
                      <v:stroke weight="1pt" color="#FF0000 [2404]" miterlimit="8" joinstyle="miter"/>
                      <v:imagedata o:title=""/>
                      <o:lock v:ext="edit" aspectratio="f"/>
                    </v:shape>
                  </w:pict>
                </mc:Fallback>
              </mc:AlternateContent>
            </w:r>
            <w:r>
              <w:drawing>
                <wp:inline distT="0" distB="0" distL="114300" distR="114300">
                  <wp:extent cx="4453255" cy="2186305"/>
                  <wp:effectExtent l="9525" t="9525" r="13970" b="1397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5"/>
                          <a:stretch>
                            <a:fillRect/>
                          </a:stretch>
                        </pic:blipFill>
                        <pic:spPr>
                          <a:xfrm>
                            <a:off x="0" y="0"/>
                            <a:ext cx="4453255" cy="2186305"/>
                          </a:xfrm>
                          <a:prstGeom prst="rect">
                            <a:avLst/>
                          </a:prstGeom>
                          <a:noFill/>
                          <a:ln>
                            <a:solidFill>
                              <a:schemeClr val="tx1"/>
                            </a:solidFill>
                          </a:ln>
                        </pic:spPr>
                      </pic:pic>
                    </a:graphicData>
                  </a:graphic>
                </wp:inline>
              </w:drawing>
            </w:r>
          </w:p>
          <w:p w14:paraId="6DC29320">
            <w:pPr>
              <w:pStyle w:val="6"/>
              <w:tabs>
                <w:tab w:val="left" w:pos="5280"/>
              </w:tabs>
            </w:pPr>
            <w:r>
              <w:t xml:space="preserve">图 </w:t>
            </w:r>
            <w:r>
              <w:rPr>
                <w:rFonts w:hint="eastAsia"/>
              </w:rPr>
              <w:t>1-</w:t>
            </w:r>
            <w:r>
              <w:fldChar w:fldCharType="begin"/>
            </w:r>
            <w:r>
              <w:instrText xml:space="preserve"> SEQ 图 \* ARABIC \s 1 </w:instrText>
            </w:r>
            <w:r>
              <w:fldChar w:fldCharType="separate"/>
            </w:r>
            <w:r>
              <w:t>1</w:t>
            </w:r>
            <w:r>
              <w:fldChar w:fldCharType="end"/>
            </w:r>
            <w:r>
              <w:rPr>
                <w:rFonts w:hint="eastAsia"/>
              </w:rPr>
              <w:t xml:space="preserve"> </w:t>
            </w:r>
            <w:r>
              <w:rPr>
                <w:bCs/>
                <w:color w:val="000000" w:themeColor="text1"/>
                <w:sz w:val="21"/>
                <w:szCs w:val="21"/>
                <w14:textFill>
                  <w14:solidFill>
                    <w14:schemeClr w14:val="tx1"/>
                  </w14:solidFill>
                </w14:textFill>
              </w:rPr>
              <w:t>淮南市环境管控单元图</w:t>
            </w:r>
          </w:p>
          <w:p w14:paraId="5C931A19">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根据安徽省生态环境厅皖环发〔2022〕5号发布了《安徽省生态环境厅关于印发安徽省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三线一单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生态环境分区管控管理办法（暂行）的通知》和《长江经济带战略环境评价安徽省淮南市生态环境分区管控编制文本》，重点管控区要求如下：</w:t>
            </w:r>
          </w:p>
          <w:p w14:paraId="125D2B71">
            <w:pPr>
              <w:pStyle w:val="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本项目与生态管控单元符合性分析</w:t>
            </w:r>
          </w:p>
          <w:tbl>
            <w:tblPr>
              <w:tblStyle w:val="1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2460"/>
              <w:gridCol w:w="2310"/>
              <w:gridCol w:w="876"/>
            </w:tblGrid>
            <w:tr w14:paraId="4749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3" w:type="dxa"/>
                  <w:vAlign w:val="center"/>
                </w:tcPr>
                <w:p w14:paraId="1B585948">
                  <w:pPr>
                    <w:pStyle w:val="24"/>
                    <w:rPr>
                      <w:b/>
                      <w:bCs/>
                      <w:color w:val="000000" w:themeColor="text1"/>
                      <w14:textFill>
                        <w14:solidFill>
                          <w14:schemeClr w14:val="tx1"/>
                        </w14:solidFill>
                      </w14:textFill>
                    </w:rPr>
                  </w:pPr>
                  <w:r>
                    <w:rPr>
                      <w:b/>
                      <w:bCs/>
                      <w:color w:val="000000" w:themeColor="text1"/>
                      <w14:textFill>
                        <w14:solidFill>
                          <w14:schemeClr w14:val="tx1"/>
                        </w14:solidFill>
                      </w14:textFill>
                    </w:rPr>
                    <w:t>管控单位分类</w:t>
                  </w:r>
                </w:p>
              </w:tc>
              <w:tc>
                <w:tcPr>
                  <w:tcW w:w="2460" w:type="dxa"/>
                  <w:vAlign w:val="center"/>
                </w:tcPr>
                <w:p w14:paraId="2765E0B8">
                  <w:pPr>
                    <w:pStyle w:val="24"/>
                    <w:rPr>
                      <w:b/>
                      <w:bCs/>
                      <w:color w:val="000000" w:themeColor="text1"/>
                      <w14:textFill>
                        <w14:solidFill>
                          <w14:schemeClr w14:val="tx1"/>
                        </w14:solidFill>
                      </w14:textFill>
                    </w:rPr>
                  </w:pPr>
                  <w:r>
                    <w:rPr>
                      <w:b/>
                      <w:bCs/>
                      <w:color w:val="000000" w:themeColor="text1"/>
                      <w14:textFill>
                        <w14:solidFill>
                          <w14:schemeClr w14:val="tx1"/>
                        </w14:solidFill>
                      </w14:textFill>
                    </w:rPr>
                    <w:t>环境管控要求</w:t>
                  </w:r>
                </w:p>
              </w:tc>
              <w:tc>
                <w:tcPr>
                  <w:tcW w:w="2310" w:type="dxa"/>
                  <w:vAlign w:val="center"/>
                </w:tcPr>
                <w:p w14:paraId="0A6ACA37">
                  <w:pPr>
                    <w:pStyle w:val="24"/>
                    <w:rPr>
                      <w:b/>
                      <w:bCs/>
                      <w:color w:val="000000" w:themeColor="text1"/>
                      <w14:textFill>
                        <w14:solidFill>
                          <w14:schemeClr w14:val="tx1"/>
                        </w14:solidFill>
                      </w14:textFill>
                    </w:rPr>
                  </w:pPr>
                  <w:r>
                    <w:rPr>
                      <w:b/>
                      <w:bCs/>
                      <w:color w:val="000000" w:themeColor="text1"/>
                      <w14:textFill>
                        <w14:solidFill>
                          <w14:schemeClr w14:val="tx1"/>
                        </w14:solidFill>
                      </w14:textFill>
                    </w:rPr>
                    <w:t>协调性分析</w:t>
                  </w:r>
                </w:p>
              </w:tc>
              <w:tc>
                <w:tcPr>
                  <w:tcW w:w="876" w:type="dxa"/>
                  <w:vAlign w:val="center"/>
                </w:tcPr>
                <w:p w14:paraId="3DDC4B84">
                  <w:pPr>
                    <w:pStyle w:val="24"/>
                    <w:rPr>
                      <w:b/>
                      <w:bCs/>
                      <w:color w:val="000000" w:themeColor="text1"/>
                      <w14:textFill>
                        <w14:solidFill>
                          <w14:schemeClr w14:val="tx1"/>
                        </w14:solidFill>
                      </w14:textFill>
                    </w:rPr>
                  </w:pPr>
                  <w:r>
                    <w:rPr>
                      <w:b/>
                      <w:bCs/>
                      <w:color w:val="000000" w:themeColor="text1"/>
                      <w14:textFill>
                        <w14:solidFill>
                          <w14:schemeClr w14:val="tx1"/>
                        </w14:solidFill>
                      </w14:textFill>
                    </w:rPr>
                    <w:t>符合性分析</w:t>
                  </w:r>
                </w:p>
              </w:tc>
            </w:tr>
            <w:tr w14:paraId="37E4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3" w:type="dxa"/>
                  <w:vAlign w:val="center"/>
                </w:tcPr>
                <w:p w14:paraId="75929C53">
                  <w:pPr>
                    <w:pStyle w:val="24"/>
                    <w:rPr>
                      <w:color w:val="000000" w:themeColor="text1"/>
                      <w14:textFill>
                        <w14:solidFill>
                          <w14:schemeClr w14:val="tx1"/>
                        </w14:solidFill>
                      </w14:textFill>
                    </w:rPr>
                  </w:pPr>
                  <w:r>
                    <w:rPr>
                      <w:color w:val="000000" w:themeColor="text1"/>
                      <w14:textFill>
                        <w14:solidFill>
                          <w14:schemeClr w14:val="tx1"/>
                        </w14:solidFill>
                      </w14:textFill>
                    </w:rPr>
                    <w:t>水环境重点管控区域</w:t>
                  </w:r>
                </w:p>
              </w:tc>
              <w:tc>
                <w:tcPr>
                  <w:tcW w:w="2460" w:type="dxa"/>
                  <w:vAlign w:val="center"/>
                </w:tcPr>
                <w:p w14:paraId="14840F65">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依据《中华人民共和国水污染防治法》《水污染防治行动计划》《安徽省水污染防治工作方案》及《淮南市水污染防治工作方案》对重点管控区实施管控；依据《安徽省淮河流域水污染防治条例》对淮河流域实施管控；依据开发区规划、规划环评及审查意见相关要求对开发区实施管控；落实《“十三五”生态环境保护规划》《安徽省“十三五”环境保护规划》《安徽省“十三五”节能减排实施方案》等要求，新建、改建和扩建项目水污染物实施“等量替代”。</w:t>
                  </w:r>
                </w:p>
              </w:tc>
              <w:tc>
                <w:tcPr>
                  <w:tcW w:w="2310" w:type="dxa"/>
                  <w:vAlign w:val="center"/>
                </w:tcPr>
                <w:p w14:paraId="294F5741">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本项目实行雨污分流，</w:t>
                  </w:r>
                  <w:r>
                    <w:rPr>
                      <w:color w:val="000000" w:themeColor="text1"/>
                      <w14:textFill>
                        <w14:solidFill>
                          <w14:schemeClr w14:val="tx1"/>
                        </w14:solidFill>
                      </w14:textFill>
                    </w:rPr>
                    <w:t>雨水排入市政雨水管网</w:t>
                  </w:r>
                  <w:r>
                    <w:rPr>
                      <w:rFonts w:hint="eastAsia"/>
                      <w:color w:val="000000" w:themeColor="text1"/>
                      <w14:textFill>
                        <w14:solidFill>
                          <w14:schemeClr w14:val="tx1"/>
                        </w14:solidFill>
                      </w14:textFill>
                    </w:rPr>
                    <w:t>；地面冲洗废水经三级油水分离池处理，餐饮废水经隔油池处理后与生活污水一同汇入</w:t>
                  </w:r>
                  <w:r>
                    <w:rPr>
                      <w:color w:val="000000" w:themeColor="text1"/>
                      <w14:textFill>
                        <w14:solidFill>
                          <w14:schemeClr w14:val="tx1"/>
                        </w14:solidFill>
                      </w14:textFill>
                    </w:rPr>
                    <w:t>化粪池预处理</w:t>
                  </w:r>
                  <w:r>
                    <w:rPr>
                      <w:rFonts w:hint="eastAsia"/>
                      <w:color w:val="000000" w:themeColor="text1"/>
                      <w14:textFill>
                        <w14:solidFill>
                          <w14:schemeClr w14:val="tx1"/>
                        </w14:solidFill>
                      </w14:textFill>
                    </w:rPr>
                    <w:t>后</w:t>
                  </w:r>
                  <w:r>
                    <w:rPr>
                      <w:color w:val="000000" w:themeColor="text1"/>
                      <w14:textFill>
                        <w14:solidFill>
                          <w14:schemeClr w14:val="tx1"/>
                        </w14:solidFill>
                      </w14:textFill>
                    </w:rPr>
                    <w:t>经市政污水管网进入</w:t>
                  </w:r>
                  <w:r>
                    <w:rPr>
                      <w:rFonts w:hint="eastAsia"/>
                      <w:color w:val="000000" w:themeColor="text1"/>
                      <w14:textFill>
                        <w14:solidFill>
                          <w14:schemeClr w14:val="tx1"/>
                        </w14:solidFill>
                      </w14:textFill>
                    </w:rPr>
                    <w:t>经济技术开发区工业污水处理厂</w:t>
                  </w:r>
                  <w:r>
                    <w:rPr>
                      <w:color w:val="000000" w:themeColor="text1"/>
                      <w14:textFill>
                        <w14:solidFill>
                          <w14:schemeClr w14:val="tx1"/>
                        </w14:solidFill>
                      </w14:textFill>
                    </w:rPr>
                    <w:t>处理</w:t>
                  </w:r>
                  <w:r>
                    <w:rPr>
                      <w:rFonts w:hint="eastAsia"/>
                      <w:color w:val="000000" w:themeColor="text1"/>
                      <w14:textFill>
                        <w14:solidFill>
                          <w14:schemeClr w14:val="tx1"/>
                        </w14:solidFill>
                      </w14:textFill>
                    </w:rPr>
                    <w:t>。项目建设符合《中华人民共和国水污染防治法》《水污染防治行动计划》《安徽省水污染防治工作方案》及《淮南市水生态环境保护“十四五”规划》（淮环通[2022]97号）《安徽省淮河流域水污染防治条例》等相关规定。综上分析，项目符合水环境分区管控要求。</w:t>
                  </w:r>
                </w:p>
              </w:tc>
              <w:tc>
                <w:tcPr>
                  <w:tcW w:w="876" w:type="dxa"/>
                  <w:vAlign w:val="center"/>
                </w:tcPr>
                <w:p w14:paraId="63D32FFA">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4D08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3" w:type="dxa"/>
                  <w:vAlign w:val="center"/>
                </w:tcPr>
                <w:p w14:paraId="545F278F">
                  <w:pPr>
                    <w:pStyle w:val="24"/>
                    <w:rPr>
                      <w:color w:val="000000" w:themeColor="text1"/>
                      <w14:textFill>
                        <w14:solidFill>
                          <w14:schemeClr w14:val="tx1"/>
                        </w14:solidFill>
                      </w14:textFill>
                    </w:rPr>
                  </w:pPr>
                  <w:r>
                    <w:rPr>
                      <w:color w:val="000000" w:themeColor="text1"/>
                      <w14:textFill>
                        <w14:solidFill>
                          <w14:schemeClr w14:val="tx1"/>
                        </w14:solidFill>
                      </w14:textFill>
                    </w:rPr>
                    <w:t>大气环境重点管控区</w:t>
                  </w:r>
                </w:p>
              </w:tc>
              <w:tc>
                <w:tcPr>
                  <w:tcW w:w="2460" w:type="dxa"/>
                  <w:vAlign w:val="center"/>
                </w:tcPr>
                <w:p w14:paraId="617D812C">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落实《安徽省大气污染防治条例》《“十三五”生态环境保护规划》《安徽省“十三五”环境保护规划》《打赢蓝天保卫战三年行动计划》《安徽省打赢蓝天保卫战三年行动计划实施方案》《淮南市大气污染防治条例》《重点行业挥发性有机物综合治理方案》等要求，严格目标实施计划，加强环境监管，促进生态环境质量好转。上年度</w:t>
                  </w:r>
                  <w:r>
                    <w:rPr>
                      <w:color w:val="000000" w:themeColor="text1"/>
                      <w14:textFill>
                        <w14:solidFill>
                          <w14:schemeClr w14:val="tx1"/>
                        </w14:solidFill>
                      </w14:textFill>
                    </w:rPr>
                    <w:t>PM2.5</w:t>
                  </w:r>
                  <w:r>
                    <w:rPr>
                      <w:rFonts w:hint="eastAsia"/>
                      <w:color w:val="000000" w:themeColor="text1"/>
                      <w14:textFill>
                        <w14:solidFill>
                          <w14:schemeClr w14:val="tx1"/>
                        </w14:solidFill>
                      </w14:textFill>
                    </w:rPr>
                    <w:t>不达标城市新建、改建和扩建项目大气污染物实施“倍量替代”，执行特别排放标准的行业实施提标升级改造。</w:t>
                  </w:r>
                </w:p>
              </w:tc>
              <w:tc>
                <w:tcPr>
                  <w:tcW w:w="2310" w:type="dxa"/>
                  <w:vAlign w:val="center"/>
                </w:tcPr>
                <w:p w14:paraId="26D1683A">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项目建设符合《淮南市“十四五”生态环境保护规划》（淮环通〔2022〕46号）《淮南市“十四五”大气污染防治规划》（淮环委办[2022]49号）《深入打好污染防治攻坚战行动方案》（淮发〔2022〕17号）等要求；项目废气主要为非甲烷总烃，均为无组织排放。综上分析，本项目符合大气环境分区管控要求。</w:t>
                  </w:r>
                </w:p>
              </w:tc>
              <w:tc>
                <w:tcPr>
                  <w:tcW w:w="876" w:type="dxa"/>
                  <w:vAlign w:val="center"/>
                </w:tcPr>
                <w:p w14:paraId="4A983A7B">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AB0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3" w:type="dxa"/>
                  <w:vAlign w:val="center"/>
                </w:tcPr>
                <w:p w14:paraId="57CFD275">
                  <w:pPr>
                    <w:pStyle w:val="24"/>
                    <w:rPr>
                      <w:color w:val="000000" w:themeColor="text1"/>
                      <w14:textFill>
                        <w14:solidFill>
                          <w14:schemeClr w14:val="tx1"/>
                        </w14:solidFill>
                      </w14:textFill>
                    </w:rPr>
                  </w:pPr>
                  <w:r>
                    <w:rPr>
                      <w:color w:val="000000" w:themeColor="text1"/>
                      <w14:textFill>
                        <w14:solidFill>
                          <w14:schemeClr w14:val="tx1"/>
                        </w14:solidFill>
                      </w14:textFill>
                    </w:rPr>
                    <w:t>土壤环境风险一般防控区</w:t>
                  </w:r>
                </w:p>
              </w:tc>
              <w:tc>
                <w:tcPr>
                  <w:tcW w:w="2460" w:type="dxa"/>
                  <w:vAlign w:val="center"/>
                </w:tcPr>
                <w:p w14:paraId="5AC9C00C">
                  <w:pPr>
                    <w:pStyle w:val="24"/>
                    <w:rPr>
                      <w:color w:val="000000" w:themeColor="text1"/>
                      <w14:textFill>
                        <w14:solidFill>
                          <w14:schemeClr w14:val="tx1"/>
                        </w14:solidFill>
                      </w14:textFill>
                    </w:rPr>
                  </w:pPr>
                  <w:r>
                    <w:rPr>
                      <w:color w:val="000000" w:themeColor="text1"/>
                      <w14:textFill>
                        <w14:solidFill>
                          <w14:schemeClr w14:val="tx1"/>
                        </w14:solidFill>
                      </w14:textFill>
                    </w:rPr>
                    <w:t>依据《中华人民共和国土壤污染防治法》《土壤污染防治行动计划》《安徽省土壤污染防治工作方案》《安徽省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十三五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环境保护规划》等要求及各市土壤污染防治工作方案对一般管控区实施管控</w:t>
                  </w:r>
                  <w:r>
                    <w:rPr>
                      <w:rFonts w:hint="eastAsia"/>
                      <w:color w:val="000000" w:themeColor="text1"/>
                      <w14:textFill>
                        <w14:solidFill>
                          <w14:schemeClr w14:val="tx1"/>
                        </w14:solidFill>
                      </w14:textFill>
                    </w:rPr>
                    <w:t>。</w:t>
                  </w:r>
                </w:p>
              </w:tc>
              <w:tc>
                <w:tcPr>
                  <w:tcW w:w="2310" w:type="dxa"/>
                  <w:vAlign w:val="center"/>
                </w:tcPr>
                <w:p w14:paraId="08D97BA2">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本项目地面按要求分区防渗，不存在污染土壤和地下水环境的途径；固废按有关规定进行暂存和安全处置，项目污染土壤和风险很小，总体可控。综上分析，项目建设符合土壤环境风险分区管控要求。</w:t>
                  </w:r>
                </w:p>
              </w:tc>
              <w:tc>
                <w:tcPr>
                  <w:tcW w:w="876" w:type="dxa"/>
                  <w:vAlign w:val="center"/>
                </w:tcPr>
                <w:p w14:paraId="1A689F37">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298EAC97">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本项目运营过程中会产生一定的污染物，采取相应的污染防治措施后，各类污染物的排放对周围环境造成的影响较小，不会降低当地环境质量，不会触碰区域环境质量底线。</w:t>
            </w:r>
          </w:p>
          <w:p w14:paraId="617FDEDE">
            <w:pPr>
              <w:numPr>
                <w:ilvl w:val="0"/>
                <w:numId w:val="1"/>
              </w:numPr>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与</w:t>
            </w:r>
            <w:r>
              <w:rPr>
                <w:b/>
                <w:bCs/>
                <w:color w:val="000000" w:themeColor="text1"/>
                <w14:textFill>
                  <w14:solidFill>
                    <w14:schemeClr w14:val="tx1"/>
                  </w14:solidFill>
                </w14:textFill>
              </w:rPr>
              <w:t>《淮南市</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三区三线</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划定方案》</w:t>
            </w:r>
            <w:r>
              <w:rPr>
                <w:rFonts w:hint="eastAsia"/>
                <w:b/>
                <w:bCs/>
                <w:color w:val="000000" w:themeColor="text1"/>
                <w14:textFill>
                  <w14:solidFill>
                    <w14:schemeClr w14:val="tx1"/>
                  </w14:solidFill>
                </w14:textFill>
              </w:rPr>
              <w:t>成果符合性分析</w:t>
            </w:r>
          </w:p>
          <w:p w14:paraId="0195C577">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本项目位于淮南经济技术开发区G206与朝阳路交叉口西南角，</w:t>
            </w:r>
            <w:r>
              <w:rPr>
                <w:color w:val="000000" w:themeColor="text1"/>
                <w14:textFill>
                  <w14:solidFill>
                    <w14:schemeClr w14:val="tx1"/>
                  </w14:solidFill>
                </w14:textFill>
              </w:rPr>
              <w:t>根据《淮南市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三区三线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划定方案》，</w:t>
            </w:r>
            <w:r>
              <w:rPr>
                <w:rFonts w:hint="eastAsia"/>
                <w:color w:val="000000" w:themeColor="text1"/>
                <w14:textFill>
                  <w14:solidFill>
                    <w14:schemeClr w14:val="tx1"/>
                  </w14:solidFill>
                </w14:textFill>
              </w:rPr>
              <w:t>在城镇开发边界内，不占用耕地和永久基本农田，不在淮南市生态红线范</w:t>
            </w:r>
            <w:r>
              <w:rPr>
                <w:color w:val="000000" w:themeColor="text1"/>
                <w14:textFill>
                  <w14:solidFill>
                    <w14:schemeClr w14:val="tx1"/>
                  </w14:solidFill>
                </w14:textFill>
              </w:rPr>
              <w:t>围内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淮南市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三区三线</w:t>
            </w:r>
            <w:r>
              <w:rPr>
                <w:rFonts w:hint="eastAsia"/>
                <w:color w:val="000000" w:themeColor="text1"/>
                <w14:textFill>
                  <w14:solidFill>
                    <w14:schemeClr w14:val="tx1"/>
                  </w14:solidFill>
                </w14:textFill>
              </w:rPr>
              <w:t>”图详见附图10。</w:t>
            </w:r>
          </w:p>
          <w:p w14:paraId="69C51F66">
            <w:pPr>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w:t>
            </w:r>
            <w:r>
              <w:rPr>
                <w:b/>
                <w:bCs/>
                <w:color w:val="000000" w:themeColor="text1"/>
                <w14:textFill>
                  <w14:solidFill>
                    <w14:schemeClr w14:val="tx1"/>
                  </w14:solidFill>
                </w14:textFill>
              </w:rPr>
              <w:t>、与地方及行业环保管理要求的相符性分析</w:t>
            </w:r>
          </w:p>
          <w:p w14:paraId="4A527C99">
            <w:pPr>
              <w:widowControl/>
              <w:ind w:firstLine="482" w:firstLineChars="200"/>
              <w:jc w:val="left"/>
              <w:rPr>
                <w:b/>
                <w:bCs/>
                <w:color w:val="000000" w:themeColor="text1"/>
                <w14:textFill>
                  <w14:solidFill>
                    <w14:schemeClr w14:val="tx1"/>
                  </w14:solidFill>
                </w14:textFill>
              </w:rPr>
            </w:pPr>
            <w:r>
              <w:rPr>
                <w:b/>
                <w:bCs/>
                <w:color w:val="000000" w:themeColor="text1"/>
                <w:kern w:val="0"/>
                <w:lang w:bidi="ar"/>
                <w14:textFill>
                  <w14:solidFill>
                    <w14:schemeClr w14:val="tx1"/>
                  </w14:solidFill>
                </w14:textFill>
              </w:rPr>
              <w:t>（1）</w:t>
            </w:r>
            <w:r>
              <w:rPr>
                <w:b/>
                <w:bCs/>
                <w:color w:val="000000" w:themeColor="text1"/>
                <w14:textFill>
                  <w14:solidFill>
                    <w14:schemeClr w14:val="tx1"/>
                  </w14:solidFill>
                </w14:textFill>
              </w:rPr>
              <w:t>与《重点行业挥发性有机物治理方案》（环大气【2019】53号）的相符性分析。</w:t>
            </w:r>
          </w:p>
          <w:p w14:paraId="5982D824">
            <w:pPr>
              <w:ind w:firstLine="480" w:firstLineChars="200"/>
              <w:rPr>
                <w:color w:val="0000FF"/>
              </w:rPr>
            </w:pPr>
            <w:r>
              <w:rPr>
                <w:color w:val="000000" w:themeColor="text1"/>
                <w:kern w:val="0"/>
                <w:lang w:bidi="ar"/>
                <w14:textFill>
                  <w14:solidFill>
                    <w14:schemeClr w14:val="tx1"/>
                  </w14:solidFill>
                </w14:textFill>
              </w:rPr>
              <w:t>2019年6月26日生态环境部发布的《重点行业挥发性有机物综合治理方案》中指出</w:t>
            </w:r>
            <w:r>
              <w:rPr>
                <w:rFonts w:hint="eastAsia"/>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加大汽油（含乙醇汽油）、石脑油、煤油（含航空煤油）以及原油等VOCs排放控制，重点推进加油站、油罐车、储油库油气回收治理；埋地油罐全面采用电子液位仪进行汽油密闭测量。规范油气回收设施运行，自行或聘请第三方加强加油枪气液比、系统密闭性及管线液阻等检查，提高检测频次，重点区域原则上每半年开展一次，确保油气回收系统正常运行</w:t>
            </w:r>
            <w:r>
              <w:rPr>
                <w:rFonts w:hint="eastAsia"/>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。根据业主提供资料，本项目卸油、加油</w:t>
            </w:r>
            <w:r>
              <w:rPr>
                <w:rFonts w:hint="eastAsia"/>
                <w:color w:val="000000" w:themeColor="text1"/>
                <w:kern w:val="0"/>
                <w:lang w:bidi="ar"/>
                <w14:textFill>
                  <w14:solidFill>
                    <w14:schemeClr w14:val="tx1"/>
                  </w14:solidFill>
                </w14:textFill>
              </w:rPr>
              <w:t>涉及采用</w:t>
            </w:r>
            <w:r>
              <w:rPr>
                <w:color w:val="000000" w:themeColor="text1"/>
                <w:kern w:val="0"/>
                <w:lang w:bidi="ar"/>
                <w14:textFill>
                  <w14:solidFill>
                    <w14:schemeClr w14:val="tx1"/>
                  </w14:solidFill>
                </w14:textFill>
              </w:rPr>
              <w:t>油气回收系统，有效地减少了VOC</w:t>
            </w:r>
            <w:r>
              <w:rPr>
                <w:rFonts w:hint="eastAsia"/>
                <w:color w:val="000000" w:themeColor="text1"/>
                <w:kern w:val="0"/>
                <w:lang w:bidi="ar"/>
                <w14:textFill>
                  <w14:solidFill>
                    <w14:schemeClr w14:val="tx1"/>
                  </w14:solidFill>
                </w14:textFill>
              </w:rPr>
              <w:t>s</w:t>
            </w:r>
            <w:r>
              <w:rPr>
                <w:color w:val="000000" w:themeColor="text1"/>
                <w:kern w:val="0"/>
                <w:lang w:bidi="ar"/>
                <w14:textFill>
                  <w14:solidFill>
                    <w14:schemeClr w14:val="tx1"/>
                  </w14:solidFill>
                </w14:textFill>
              </w:rPr>
              <w:t>的排放，降低了对大气的影响</w:t>
            </w:r>
            <w:r>
              <w:rPr>
                <w:rFonts w:hint="eastAsia"/>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项目加油站埋地油罐拟采用电子液位仪进行汽油密闭测量。综上所述，本项目符合《重点行业挥发性有机物综合治理方案》的要求。</w:t>
            </w:r>
          </w:p>
          <w:p w14:paraId="0BAABFC3">
            <w:pPr>
              <w:widowControl/>
              <w:ind w:firstLine="482" w:firstLineChars="200"/>
              <w:jc w:val="left"/>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（2）与《挥发性有机物无组织排放控制标准》（GB 37822-2019）的相符性分析</w:t>
            </w:r>
          </w:p>
          <w:p w14:paraId="308B57C9">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本项目与</w:t>
            </w:r>
            <w:r>
              <w:rPr>
                <w:color w:val="000000" w:themeColor="text1"/>
                <w14:textFill>
                  <w14:solidFill>
                    <w14:schemeClr w14:val="tx1"/>
                  </w14:solidFill>
                </w14:textFill>
              </w:rPr>
              <w:t>《挥发性有机物无组织排放控制标准》（GB 37822-2019）的相符性分析</w:t>
            </w:r>
            <w:r>
              <w:rPr>
                <w:rFonts w:hint="eastAsia"/>
                <w:color w:val="000000" w:themeColor="text1"/>
                <w14:textFill>
                  <w14:solidFill>
                    <w14:schemeClr w14:val="tx1"/>
                  </w14:solidFill>
                </w14:textFill>
              </w:rPr>
              <w:t>如下：</w:t>
            </w:r>
          </w:p>
          <w:p w14:paraId="6CB3797B">
            <w:pPr>
              <w:pStyle w:val="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t>与《挥发性有机物无组织排放控制标准》（GB 37822-2019）的相符性分析</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743"/>
              <w:gridCol w:w="1743"/>
              <w:gridCol w:w="1743"/>
            </w:tblGrid>
            <w:tr w14:paraId="35B6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C485E1E">
                  <w:pPr>
                    <w:pStyle w:val="24"/>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340" w:type="dxa"/>
                  <w:vAlign w:val="center"/>
                </w:tcPr>
                <w:p w14:paraId="3F4F773F">
                  <w:pPr>
                    <w:pStyle w:val="24"/>
                    <w:rPr>
                      <w:b/>
                      <w:bCs/>
                      <w:color w:val="000000" w:themeColor="text1"/>
                      <w14:textFill>
                        <w14:solidFill>
                          <w14:schemeClr w14:val="tx1"/>
                        </w14:solidFill>
                      </w14:textFill>
                    </w:rPr>
                  </w:pPr>
                  <w:r>
                    <w:rPr>
                      <w:b/>
                      <w:bCs/>
                      <w:color w:val="000000" w:themeColor="text1"/>
                      <w14:textFill>
                        <w14:solidFill>
                          <w14:schemeClr w14:val="tx1"/>
                        </w14:solidFill>
                      </w14:textFill>
                    </w:rPr>
                    <w:t>固定</w:t>
                  </w:r>
                  <w:r>
                    <w:rPr>
                      <w:rFonts w:hint="eastAsia"/>
                      <w:b/>
                      <w:bCs/>
                      <w:color w:val="000000" w:themeColor="text1"/>
                      <w14:textFill>
                        <w14:solidFill>
                          <w14:schemeClr w14:val="tx1"/>
                        </w14:solidFill>
                      </w14:textFill>
                    </w:rPr>
                    <w:t>顶罐</w:t>
                  </w:r>
                  <w:r>
                    <w:rPr>
                      <w:b/>
                      <w:bCs/>
                      <w:color w:val="000000" w:themeColor="text1"/>
                      <w14:textFill>
                        <w14:solidFill>
                          <w14:schemeClr w14:val="tx1"/>
                        </w14:solidFill>
                      </w14:textFill>
                    </w:rPr>
                    <w:t>维护要求</w:t>
                  </w:r>
                </w:p>
              </w:tc>
              <w:tc>
                <w:tcPr>
                  <w:tcW w:w="340" w:type="dxa"/>
                  <w:vAlign w:val="center"/>
                </w:tcPr>
                <w:p w14:paraId="669E7743">
                  <w:pPr>
                    <w:pStyle w:val="24"/>
                    <w:rPr>
                      <w:b/>
                      <w:bCs/>
                      <w:color w:val="000000" w:themeColor="text1"/>
                      <w14:textFill>
                        <w14:solidFill>
                          <w14:schemeClr w14:val="tx1"/>
                        </w14:solidFill>
                      </w14:textFill>
                    </w:rPr>
                  </w:pPr>
                  <w:r>
                    <w:rPr>
                      <w:b/>
                      <w:bCs/>
                      <w:color w:val="000000" w:themeColor="text1"/>
                      <w14:textFill>
                        <w14:solidFill>
                          <w14:schemeClr w14:val="tx1"/>
                        </w14:solidFill>
                      </w14:textFill>
                    </w:rPr>
                    <w:t>本项目情况</w:t>
                  </w:r>
                </w:p>
              </w:tc>
              <w:tc>
                <w:tcPr>
                  <w:tcW w:w="340" w:type="dxa"/>
                  <w:vAlign w:val="center"/>
                </w:tcPr>
                <w:p w14:paraId="68523B33">
                  <w:pPr>
                    <w:pStyle w:val="24"/>
                    <w:rPr>
                      <w:b/>
                      <w:bCs/>
                      <w:color w:val="000000" w:themeColor="text1"/>
                      <w14:textFill>
                        <w14:solidFill>
                          <w14:schemeClr w14:val="tx1"/>
                        </w14:solidFill>
                      </w14:textFill>
                    </w:rPr>
                  </w:pPr>
                  <w:r>
                    <w:rPr>
                      <w:b/>
                      <w:bCs/>
                      <w:color w:val="000000" w:themeColor="text1"/>
                      <w14:textFill>
                        <w14:solidFill>
                          <w14:schemeClr w14:val="tx1"/>
                        </w14:solidFill>
                      </w14:textFill>
                    </w:rPr>
                    <w:t>相符性分析</w:t>
                  </w:r>
                </w:p>
              </w:tc>
            </w:tr>
            <w:tr w14:paraId="4064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2384B11A">
                  <w:pPr>
                    <w:pStyle w:val="24"/>
                    <w:rPr>
                      <w:color w:val="000000" w:themeColor="text1"/>
                      <w14:textFill>
                        <w14:solidFill>
                          <w14:schemeClr w14:val="tx1"/>
                        </w14:solidFill>
                      </w14:textFill>
                    </w:rPr>
                  </w:pPr>
                  <w:r>
                    <w:rPr>
                      <w:color w:val="000000" w:themeColor="text1"/>
                      <w14:textFill>
                        <w14:solidFill>
                          <w14:schemeClr w14:val="tx1"/>
                        </w14:solidFill>
                      </w14:textFill>
                    </w:rPr>
                    <w:t>1</w:t>
                  </w:r>
                </w:p>
              </w:tc>
              <w:tc>
                <w:tcPr>
                  <w:tcW w:w="340" w:type="dxa"/>
                  <w:vAlign w:val="center"/>
                </w:tcPr>
                <w:p w14:paraId="348AF356">
                  <w:pPr>
                    <w:pStyle w:val="24"/>
                    <w:rPr>
                      <w:color w:val="000000" w:themeColor="text1"/>
                      <w14:textFill>
                        <w14:solidFill>
                          <w14:schemeClr w14:val="tx1"/>
                        </w14:solidFill>
                      </w14:textFill>
                    </w:rPr>
                  </w:pPr>
                  <w:r>
                    <w:rPr>
                      <w:color w:val="000000" w:themeColor="text1"/>
                      <w14:textFill>
                        <w14:solidFill>
                          <w14:schemeClr w14:val="tx1"/>
                        </w14:solidFill>
                      </w14:textFill>
                    </w:rPr>
                    <w:t>固定顶罐罐体应保持完好，不应有孔洞、缝隙</w:t>
                  </w:r>
                </w:p>
              </w:tc>
              <w:tc>
                <w:tcPr>
                  <w:tcW w:w="340" w:type="dxa"/>
                  <w:vAlign w:val="center"/>
                </w:tcPr>
                <w:p w14:paraId="51A5E942">
                  <w:pPr>
                    <w:pStyle w:val="24"/>
                    <w:rPr>
                      <w:color w:val="000000" w:themeColor="text1"/>
                      <w14:textFill>
                        <w14:solidFill>
                          <w14:schemeClr w14:val="tx1"/>
                        </w14:solidFill>
                      </w14:textFill>
                    </w:rPr>
                  </w:pPr>
                  <w:r>
                    <w:rPr>
                      <w:color w:val="000000" w:themeColor="text1"/>
                      <w14:textFill>
                        <w14:solidFill>
                          <w14:schemeClr w14:val="tx1"/>
                        </w14:solidFill>
                      </w14:textFill>
                    </w:rPr>
                    <w:t>项目埋地储罐为全密闭设置</w:t>
                  </w:r>
                </w:p>
              </w:tc>
              <w:tc>
                <w:tcPr>
                  <w:tcW w:w="340" w:type="dxa"/>
                  <w:vAlign w:val="center"/>
                </w:tcPr>
                <w:p w14:paraId="64F25999">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765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E328F6B">
                  <w:pPr>
                    <w:pStyle w:val="24"/>
                    <w:rPr>
                      <w:color w:val="000000" w:themeColor="text1"/>
                      <w14:textFill>
                        <w14:solidFill>
                          <w14:schemeClr w14:val="tx1"/>
                        </w14:solidFill>
                      </w14:textFill>
                    </w:rPr>
                  </w:pPr>
                  <w:r>
                    <w:rPr>
                      <w:color w:val="000000" w:themeColor="text1"/>
                      <w14:textFill>
                        <w14:solidFill>
                          <w14:schemeClr w14:val="tx1"/>
                        </w14:solidFill>
                      </w14:textFill>
                    </w:rPr>
                    <w:t>2</w:t>
                  </w:r>
                </w:p>
              </w:tc>
              <w:tc>
                <w:tcPr>
                  <w:tcW w:w="340" w:type="dxa"/>
                  <w:vAlign w:val="center"/>
                </w:tcPr>
                <w:p w14:paraId="54B4E8BE">
                  <w:pPr>
                    <w:pStyle w:val="24"/>
                    <w:rPr>
                      <w:color w:val="000000" w:themeColor="text1"/>
                      <w14:textFill>
                        <w14:solidFill>
                          <w14:schemeClr w14:val="tx1"/>
                        </w14:solidFill>
                      </w14:textFill>
                    </w:rPr>
                  </w:pPr>
                  <w:r>
                    <w:rPr>
                      <w:color w:val="000000" w:themeColor="text1"/>
                      <w14:textFill>
                        <w14:solidFill>
                          <w14:schemeClr w14:val="tx1"/>
                        </w14:solidFill>
                      </w14:textFill>
                    </w:rPr>
                    <w:t>储罐附件开口（孔），除采样、计量、例行检查、维护和其他正常活动外，应密闭</w:t>
                  </w:r>
                </w:p>
              </w:tc>
              <w:tc>
                <w:tcPr>
                  <w:tcW w:w="340" w:type="dxa"/>
                  <w:vAlign w:val="center"/>
                </w:tcPr>
                <w:p w14:paraId="3B5197F1">
                  <w:pPr>
                    <w:pStyle w:val="24"/>
                    <w:rPr>
                      <w:color w:val="000000" w:themeColor="text1"/>
                      <w14:textFill>
                        <w14:solidFill>
                          <w14:schemeClr w14:val="tx1"/>
                        </w14:solidFill>
                      </w14:textFill>
                    </w:rPr>
                  </w:pPr>
                  <w:r>
                    <w:rPr>
                      <w:color w:val="000000" w:themeColor="text1"/>
                      <w14:textFill>
                        <w14:solidFill>
                          <w14:schemeClr w14:val="tx1"/>
                        </w14:solidFill>
                      </w14:textFill>
                    </w:rPr>
                    <w:t>项目埋地储罐为全密闭设置</w:t>
                  </w:r>
                </w:p>
              </w:tc>
              <w:tc>
                <w:tcPr>
                  <w:tcW w:w="340" w:type="dxa"/>
                  <w:vAlign w:val="center"/>
                </w:tcPr>
                <w:p w14:paraId="443EC700">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4A88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F48B202">
                  <w:pPr>
                    <w:pStyle w:val="24"/>
                    <w:rPr>
                      <w:color w:val="000000" w:themeColor="text1"/>
                      <w14:textFill>
                        <w14:solidFill>
                          <w14:schemeClr w14:val="tx1"/>
                        </w14:solidFill>
                      </w14:textFill>
                    </w:rPr>
                  </w:pPr>
                  <w:r>
                    <w:rPr>
                      <w:color w:val="000000" w:themeColor="text1"/>
                      <w14:textFill>
                        <w14:solidFill>
                          <w14:schemeClr w14:val="tx1"/>
                        </w14:solidFill>
                      </w14:textFill>
                    </w:rPr>
                    <w:t>3</w:t>
                  </w:r>
                </w:p>
              </w:tc>
              <w:tc>
                <w:tcPr>
                  <w:tcW w:w="340" w:type="dxa"/>
                  <w:vAlign w:val="center"/>
                </w:tcPr>
                <w:p w14:paraId="62E1D8BB">
                  <w:pPr>
                    <w:pStyle w:val="24"/>
                    <w:rPr>
                      <w:color w:val="000000" w:themeColor="text1"/>
                      <w14:textFill>
                        <w14:solidFill>
                          <w14:schemeClr w14:val="tx1"/>
                        </w14:solidFill>
                      </w14:textFill>
                    </w:rPr>
                  </w:pPr>
                  <w:r>
                    <w:rPr>
                      <w:color w:val="000000" w:themeColor="text1"/>
                      <w14:textFill>
                        <w14:solidFill>
                          <w14:schemeClr w14:val="tx1"/>
                        </w14:solidFill>
                      </w14:textFill>
                    </w:rPr>
                    <w:t>定期检查呼吸阀的定压是否符合设定要求</w:t>
                  </w:r>
                </w:p>
              </w:tc>
              <w:tc>
                <w:tcPr>
                  <w:tcW w:w="340" w:type="dxa"/>
                  <w:vAlign w:val="center"/>
                </w:tcPr>
                <w:p w14:paraId="0D446E41">
                  <w:pPr>
                    <w:pStyle w:val="24"/>
                    <w:rPr>
                      <w:color w:val="000000" w:themeColor="text1"/>
                      <w14:textFill>
                        <w14:solidFill>
                          <w14:schemeClr w14:val="tx1"/>
                        </w14:solidFill>
                      </w14:textFill>
                    </w:rPr>
                  </w:pPr>
                  <w:r>
                    <w:rPr>
                      <w:color w:val="000000" w:themeColor="text1"/>
                      <w14:textFill>
                        <w14:solidFill>
                          <w14:schemeClr w14:val="tx1"/>
                        </w14:solidFill>
                      </w14:textFill>
                    </w:rPr>
                    <w:t>加油站定期检查呼吸阀的密闭性</w:t>
                  </w:r>
                </w:p>
              </w:tc>
              <w:tc>
                <w:tcPr>
                  <w:tcW w:w="340" w:type="dxa"/>
                  <w:vAlign w:val="center"/>
                </w:tcPr>
                <w:p w14:paraId="154671CF">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7AB59F4B">
            <w:pPr>
              <w:ind w:firstLine="48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（3）与《加油站大气污染物排放标准》（GB20952-2020）的相符性分析</w:t>
            </w:r>
          </w:p>
          <w:p w14:paraId="24AD040C">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与《加油站大气污染物排放标准》（GB20952-2020）的相符性分析</w:t>
            </w:r>
            <w:r>
              <w:rPr>
                <w:rFonts w:hint="eastAsia"/>
                <w:color w:val="000000" w:themeColor="text1"/>
                <w14:textFill>
                  <w14:solidFill>
                    <w14:schemeClr w14:val="tx1"/>
                  </w14:solidFill>
                </w14:textFill>
              </w:rPr>
              <w:t>如下：</w:t>
            </w:r>
          </w:p>
          <w:p w14:paraId="1C810752">
            <w:pPr>
              <w:pStyle w:val="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油气排放控制基本要求</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688"/>
              <w:gridCol w:w="2067"/>
              <w:gridCol w:w="1422"/>
            </w:tblGrid>
            <w:tr w14:paraId="0D1E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1" w:type="dxa"/>
                  <w:vAlign w:val="center"/>
                </w:tcPr>
                <w:p w14:paraId="1D0288CB">
                  <w:pPr>
                    <w:pStyle w:val="24"/>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694" w:type="dxa"/>
                  <w:vAlign w:val="center"/>
                </w:tcPr>
                <w:p w14:paraId="05468979">
                  <w:pPr>
                    <w:pStyle w:val="24"/>
                    <w:rPr>
                      <w:color w:val="000000" w:themeColor="text1"/>
                      <w14:textFill>
                        <w14:solidFill>
                          <w14:schemeClr w14:val="tx1"/>
                        </w14:solidFill>
                      </w14:textFill>
                    </w:rPr>
                  </w:pPr>
                  <w:r>
                    <w:rPr>
                      <w:color w:val="000000" w:themeColor="text1"/>
                      <w14:textFill>
                        <w14:solidFill>
                          <w14:schemeClr w14:val="tx1"/>
                        </w14:solidFill>
                      </w14:textFill>
                    </w:rPr>
                    <w:t>标准内容</w:t>
                  </w:r>
                </w:p>
              </w:tc>
              <w:tc>
                <w:tcPr>
                  <w:tcW w:w="2071" w:type="dxa"/>
                  <w:vAlign w:val="center"/>
                </w:tcPr>
                <w:p w14:paraId="7E14A37F">
                  <w:pPr>
                    <w:pStyle w:val="24"/>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1425" w:type="dxa"/>
                  <w:vAlign w:val="center"/>
                </w:tcPr>
                <w:p w14:paraId="78D13658">
                  <w:pPr>
                    <w:pStyle w:val="24"/>
                    <w:rPr>
                      <w:color w:val="000000" w:themeColor="text1"/>
                      <w14:textFill>
                        <w14:solidFill>
                          <w14:schemeClr w14:val="tx1"/>
                        </w14:solidFill>
                      </w14:textFill>
                    </w:rPr>
                  </w:pPr>
                  <w:r>
                    <w:rPr>
                      <w:color w:val="000000" w:themeColor="text1"/>
                      <w14:textFill>
                        <w14:solidFill>
                          <w14:schemeClr w14:val="tx1"/>
                        </w14:solidFill>
                      </w14:textFill>
                    </w:rPr>
                    <w:t>相符性分析</w:t>
                  </w:r>
                </w:p>
              </w:tc>
            </w:tr>
            <w:tr w14:paraId="31C5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1" w:type="dxa"/>
                  <w:vAlign w:val="center"/>
                </w:tcPr>
                <w:p w14:paraId="71CCC03F">
                  <w:pPr>
                    <w:pStyle w:val="24"/>
                    <w:rPr>
                      <w:color w:val="000000" w:themeColor="text1"/>
                      <w14:textFill>
                        <w14:solidFill>
                          <w14:schemeClr w14:val="tx1"/>
                        </w14:solidFill>
                      </w14:textFill>
                    </w:rPr>
                  </w:pPr>
                  <w:r>
                    <w:rPr>
                      <w:color w:val="000000" w:themeColor="text1"/>
                      <w14:textFill>
                        <w14:solidFill>
                          <w14:schemeClr w14:val="tx1"/>
                        </w14:solidFill>
                      </w14:textFill>
                    </w:rPr>
                    <w:t>1</w:t>
                  </w:r>
                </w:p>
              </w:tc>
              <w:tc>
                <w:tcPr>
                  <w:tcW w:w="2694" w:type="dxa"/>
                  <w:vAlign w:val="center"/>
                </w:tcPr>
                <w:p w14:paraId="56F821BA">
                  <w:pPr>
                    <w:pStyle w:val="24"/>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加油站卸油、储油和加油时排放的油气，应采用以密闭收集为基础的油气回收方法进行控制</w:t>
                  </w:r>
                </w:p>
              </w:tc>
              <w:tc>
                <w:tcPr>
                  <w:tcW w:w="2071" w:type="dxa"/>
                  <w:vAlign w:val="center"/>
                </w:tcPr>
                <w:p w14:paraId="0832CBB1">
                  <w:pPr>
                    <w:pStyle w:val="24"/>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拟</w:t>
                  </w:r>
                  <w:r>
                    <w:rPr>
                      <w:color w:val="000000" w:themeColor="text1"/>
                      <w14:textFill>
                        <w14:solidFill>
                          <w14:schemeClr w14:val="tx1"/>
                        </w14:solidFill>
                      </w14:textFill>
                    </w:rPr>
                    <w:t>采用的</w:t>
                  </w:r>
                  <w:r>
                    <w:rPr>
                      <w:rFonts w:hint="eastAsia"/>
                      <w:color w:val="000000" w:themeColor="text1"/>
                      <w14:textFill>
                        <w14:solidFill>
                          <w14:schemeClr w14:val="tx1"/>
                        </w14:solidFill>
                      </w14:textFill>
                    </w:rPr>
                    <w:t>三</w:t>
                  </w:r>
                  <w:r>
                    <w:rPr>
                      <w:color w:val="000000" w:themeColor="text1"/>
                      <w14:textFill>
                        <w14:solidFill>
                          <w14:schemeClr w14:val="tx1"/>
                        </w14:solidFill>
                      </w14:textFill>
                    </w:rPr>
                    <w:t>次油气回收系统回收方式</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为密闭收集</w:t>
                  </w:r>
                </w:p>
              </w:tc>
              <w:tc>
                <w:tcPr>
                  <w:tcW w:w="1425" w:type="dxa"/>
                  <w:vAlign w:val="center"/>
                </w:tcPr>
                <w:p w14:paraId="1FBD0717">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774D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1" w:type="dxa"/>
                  <w:vAlign w:val="center"/>
                </w:tcPr>
                <w:p w14:paraId="0AE0CD3D">
                  <w:pPr>
                    <w:pStyle w:val="24"/>
                    <w:rPr>
                      <w:color w:val="000000" w:themeColor="text1"/>
                      <w14:textFill>
                        <w14:solidFill>
                          <w14:schemeClr w14:val="tx1"/>
                        </w14:solidFill>
                      </w14:textFill>
                    </w:rPr>
                  </w:pPr>
                  <w:r>
                    <w:rPr>
                      <w:color w:val="000000" w:themeColor="text1"/>
                      <w14:textFill>
                        <w14:solidFill>
                          <w14:schemeClr w14:val="tx1"/>
                        </w14:solidFill>
                      </w14:textFill>
                    </w:rPr>
                    <w:t>2</w:t>
                  </w:r>
                </w:p>
              </w:tc>
              <w:tc>
                <w:tcPr>
                  <w:tcW w:w="2694" w:type="dxa"/>
                  <w:vAlign w:val="center"/>
                </w:tcPr>
                <w:p w14:paraId="6D2E6636">
                  <w:pPr>
                    <w:pStyle w:val="24"/>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.1.2加油站应建立油气回收施工图纸、油气回收系统测试校核、系统参数设置等技术档案，制定加油站油气回收系统管理、操作规程，定期进行检查、维护、维修并记录留档。</w:t>
                  </w:r>
                </w:p>
              </w:tc>
              <w:tc>
                <w:tcPr>
                  <w:tcW w:w="2071" w:type="dxa"/>
                  <w:vAlign w:val="center"/>
                </w:tcPr>
                <w:p w14:paraId="281429A5">
                  <w:pPr>
                    <w:pStyle w:val="24"/>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设计图纸完善，运营期定期检查维护设备，并记录台账。</w:t>
                  </w:r>
                </w:p>
              </w:tc>
              <w:tc>
                <w:tcPr>
                  <w:tcW w:w="1425" w:type="dxa"/>
                  <w:vAlign w:val="center"/>
                </w:tcPr>
                <w:p w14:paraId="288E5484">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3D8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1" w:type="dxa"/>
                  <w:vAlign w:val="center"/>
                </w:tcPr>
                <w:p w14:paraId="64F4D6D2">
                  <w:pPr>
                    <w:pStyle w:val="24"/>
                    <w:rPr>
                      <w:color w:val="000000" w:themeColor="text1"/>
                      <w14:textFill>
                        <w14:solidFill>
                          <w14:schemeClr w14:val="tx1"/>
                        </w14:solidFill>
                      </w14:textFill>
                    </w:rPr>
                  </w:pPr>
                  <w:r>
                    <w:rPr>
                      <w:color w:val="000000" w:themeColor="text1"/>
                      <w14:textFill>
                        <w14:solidFill>
                          <w14:schemeClr w14:val="tx1"/>
                        </w14:solidFill>
                      </w14:textFill>
                    </w:rPr>
                    <w:t>3</w:t>
                  </w:r>
                </w:p>
              </w:tc>
              <w:tc>
                <w:tcPr>
                  <w:tcW w:w="2694" w:type="dxa"/>
                  <w:vAlign w:val="center"/>
                </w:tcPr>
                <w:p w14:paraId="1FE23572">
                  <w:pPr>
                    <w:pStyle w:val="24"/>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1.3加油站应按照环境监测管理规定和技术规范的要求，设计、建设、维护采样口或采样测试平台。</w:t>
                  </w:r>
                </w:p>
              </w:tc>
              <w:tc>
                <w:tcPr>
                  <w:tcW w:w="2071" w:type="dxa"/>
                  <w:vAlign w:val="center"/>
                </w:tcPr>
                <w:p w14:paraId="44291342">
                  <w:pPr>
                    <w:pStyle w:val="24"/>
                    <w:rPr>
                      <w:color w:val="000000" w:themeColor="text1"/>
                      <w14:textFill>
                        <w14:solidFill>
                          <w14:schemeClr w14:val="tx1"/>
                        </w14:solidFill>
                      </w14:textFill>
                    </w:rPr>
                  </w:pPr>
                  <w:r>
                    <w:rPr>
                      <w:color w:val="000000" w:themeColor="text1"/>
                      <w14:textFill>
                        <w14:solidFill>
                          <w14:schemeClr w14:val="tx1"/>
                        </w14:solidFill>
                      </w14:textFill>
                    </w:rPr>
                    <w:t>本项目拟按照标准要求</w:t>
                  </w:r>
                  <w:r>
                    <w:rPr>
                      <w:rFonts w:hint="eastAsia"/>
                      <w:color w:val="000000" w:themeColor="text1"/>
                      <w14:textFill>
                        <w14:solidFill>
                          <w14:schemeClr w14:val="tx1"/>
                        </w14:solidFill>
                      </w14:textFill>
                    </w:rPr>
                    <w:t>设计建设。</w:t>
                  </w:r>
                </w:p>
              </w:tc>
              <w:tc>
                <w:tcPr>
                  <w:tcW w:w="1425" w:type="dxa"/>
                  <w:vAlign w:val="center"/>
                </w:tcPr>
                <w:p w14:paraId="76D49155">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4544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1" w:type="dxa"/>
                  <w:vAlign w:val="center"/>
                </w:tcPr>
                <w:p w14:paraId="2DE3B68D">
                  <w:pPr>
                    <w:pStyle w:val="24"/>
                    <w:rPr>
                      <w:color w:val="000000" w:themeColor="text1"/>
                      <w14:textFill>
                        <w14:solidFill>
                          <w14:schemeClr w14:val="tx1"/>
                        </w14:solidFill>
                      </w14:textFill>
                    </w:rPr>
                  </w:pPr>
                  <w:r>
                    <w:rPr>
                      <w:color w:val="000000" w:themeColor="text1"/>
                      <w14:textFill>
                        <w14:solidFill>
                          <w14:schemeClr w14:val="tx1"/>
                        </w14:solidFill>
                      </w14:textFill>
                    </w:rPr>
                    <w:t>4</w:t>
                  </w:r>
                </w:p>
              </w:tc>
              <w:tc>
                <w:tcPr>
                  <w:tcW w:w="2694" w:type="dxa"/>
                  <w:vAlign w:val="center"/>
                </w:tcPr>
                <w:p w14:paraId="13DF06B5">
                  <w:pPr>
                    <w:pStyle w:val="24"/>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.1.4油气回收系统、油气处理装置、在线监测系统应采用标准化连接。</w:t>
                  </w:r>
                </w:p>
              </w:tc>
              <w:tc>
                <w:tcPr>
                  <w:tcW w:w="2071" w:type="dxa"/>
                  <w:vAlign w:val="center"/>
                </w:tcPr>
                <w:p w14:paraId="6E110C2B">
                  <w:pPr>
                    <w:pStyle w:val="24"/>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油气回收系统采用标准化连接。</w:t>
                  </w:r>
                </w:p>
              </w:tc>
              <w:tc>
                <w:tcPr>
                  <w:tcW w:w="1425" w:type="dxa"/>
                  <w:vAlign w:val="center"/>
                </w:tcPr>
                <w:p w14:paraId="1F0CB33A">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E6D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1" w:type="dxa"/>
                  <w:vAlign w:val="center"/>
                </w:tcPr>
                <w:p w14:paraId="6E9F175B">
                  <w:pPr>
                    <w:pStyle w:val="24"/>
                    <w:rPr>
                      <w:color w:val="000000" w:themeColor="text1"/>
                      <w14:textFill>
                        <w14:solidFill>
                          <w14:schemeClr w14:val="tx1"/>
                        </w14:solidFill>
                      </w14:textFill>
                    </w:rPr>
                  </w:pPr>
                  <w:r>
                    <w:rPr>
                      <w:color w:val="000000" w:themeColor="text1"/>
                      <w14:textFill>
                        <w14:solidFill>
                          <w14:schemeClr w14:val="tx1"/>
                        </w14:solidFill>
                      </w14:textFill>
                    </w:rPr>
                    <w:t>5</w:t>
                  </w:r>
                </w:p>
              </w:tc>
              <w:tc>
                <w:tcPr>
                  <w:tcW w:w="2694" w:type="dxa"/>
                  <w:vAlign w:val="center"/>
                </w:tcPr>
                <w:p w14:paraId="684FE0BD">
                  <w:pPr>
                    <w:pStyle w:val="24"/>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.1.5在进行包括加油油气排放控制在内的油气回收设计和施工时，应将在线监测系统、油气处理装置等设备管线预先埋设。</w:t>
                  </w:r>
                </w:p>
              </w:tc>
              <w:tc>
                <w:tcPr>
                  <w:tcW w:w="2071" w:type="dxa"/>
                  <w:vAlign w:val="center"/>
                </w:tcPr>
                <w:p w14:paraId="5B6D950A">
                  <w:pPr>
                    <w:pStyle w:val="24"/>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预留在线监测系统、油气处理装置等设备管线。</w:t>
                  </w:r>
                </w:p>
              </w:tc>
              <w:tc>
                <w:tcPr>
                  <w:tcW w:w="1425" w:type="dxa"/>
                  <w:vAlign w:val="center"/>
                </w:tcPr>
                <w:p w14:paraId="15FB8D6E">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7A90B136">
            <w:pPr>
              <w:spacing w:before="38" w:line="358" w:lineRule="auto"/>
              <w:ind w:right="105" w:firstLine="476" w:firstLineChars="200"/>
              <w:rPr>
                <w:color w:val="000000" w:themeColor="text1"/>
                <w14:textFill>
                  <w14:solidFill>
                    <w14:schemeClr w14:val="tx1"/>
                  </w14:solidFill>
                </w14:textFill>
              </w:rPr>
            </w:pPr>
            <w:r>
              <w:rPr>
                <w:color w:val="000000" w:themeColor="text1"/>
                <w:spacing w:val="-1"/>
                <w14:textFill>
                  <w14:solidFill>
                    <w14:schemeClr w14:val="tx1"/>
                  </w14:solidFill>
                </w14:textFill>
              </w:rPr>
              <w:t>由上述分析可知，本项目拟采取大气污染物排放控制措施，均符合</w:t>
            </w:r>
            <w:r>
              <w:rPr>
                <w:color w:val="000000" w:themeColor="text1"/>
                <w14:textFill>
                  <w14:solidFill>
                    <w14:schemeClr w14:val="tx1"/>
                  </w14:solidFill>
                </w14:textFill>
              </w:rPr>
              <w:t>《加油站大气污染物排放标准》（GB20952-2020）</w:t>
            </w:r>
            <w:r>
              <w:rPr>
                <w:rFonts w:hint="eastAsia"/>
                <w:color w:val="000000" w:themeColor="text1"/>
                <w14:textFill>
                  <w14:solidFill>
                    <w14:schemeClr w14:val="tx1"/>
                  </w14:solidFill>
                </w14:textFill>
              </w:rPr>
              <w:t>中</w:t>
            </w:r>
            <w:r>
              <w:rPr>
                <w:color w:val="000000" w:themeColor="text1"/>
                <w:spacing w:val="-5"/>
                <w14:textFill>
                  <w14:solidFill>
                    <w14:schemeClr w14:val="tx1"/>
                  </w14:solidFill>
                </w14:textFill>
              </w:rPr>
              <w:t>的</w:t>
            </w:r>
            <w:r>
              <w:rPr>
                <w:rFonts w:hint="eastAsia"/>
                <w:color w:val="000000" w:themeColor="text1"/>
                <w:spacing w:val="-1"/>
                <w14:textFill>
                  <w14:solidFill>
                    <w14:schemeClr w14:val="tx1"/>
                  </w14:solidFill>
                </w14:textFill>
              </w:rPr>
              <w:t>油气排放控制基本</w:t>
            </w:r>
            <w:r>
              <w:rPr>
                <w:color w:val="000000" w:themeColor="text1"/>
                <w:spacing w:val="-1"/>
                <w14:textFill>
                  <w14:solidFill>
                    <w14:schemeClr w14:val="tx1"/>
                  </w14:solidFill>
                </w14:textFill>
              </w:rPr>
              <w:t>要求</w:t>
            </w:r>
            <w:r>
              <w:rPr>
                <w:color w:val="000000" w:themeColor="text1"/>
                <w:spacing w:val="-5"/>
                <w14:textFill>
                  <w14:solidFill>
                    <w14:schemeClr w14:val="tx1"/>
                  </w14:solidFill>
                </w14:textFill>
              </w:rPr>
              <w:t>。</w:t>
            </w:r>
          </w:p>
          <w:p w14:paraId="1BEB6B6A">
            <w:pPr>
              <w:numPr>
                <w:ilvl w:val="0"/>
                <w:numId w:val="2"/>
              </w:numPr>
              <w:ind w:firstLine="48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与《加油站地下水污染防治技术指南（试行）》的相符性分析</w:t>
            </w:r>
          </w:p>
          <w:p w14:paraId="318492A8">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与《加油站地下水污染防治技术指南（试行）》的相符性分析</w:t>
            </w:r>
            <w:r>
              <w:rPr>
                <w:rFonts w:hint="eastAsia"/>
                <w:color w:val="000000" w:themeColor="text1"/>
                <w14:textFill>
                  <w14:solidFill>
                    <w14:schemeClr w14:val="tx1"/>
                  </w14:solidFill>
                </w14:textFill>
              </w:rPr>
              <w:t>如下：</w:t>
            </w:r>
          </w:p>
          <w:p w14:paraId="45FB0601">
            <w:pPr>
              <w:pStyle w:val="6"/>
              <w:rPr>
                <w:color w:val="000000" w:themeColor="text1"/>
                <w:sz w:val="21"/>
                <w:szCs w:val="21"/>
                <w14:textFill>
                  <w14:solidFill>
                    <w14:schemeClr w14:val="tx1"/>
                  </w14:solidFill>
                </w14:textFill>
              </w:rPr>
            </w:pPr>
            <w:r>
              <w:rPr>
                <w:color w:val="000000" w:themeColor="text1"/>
                <w14:textFill>
                  <w14:solidFill>
                    <w14:schemeClr w14:val="tx1"/>
                  </w14:solidFill>
                </w14:textFill>
              </w:rPr>
              <w:t xml:space="preserve">表 </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sz w:val="21"/>
                <w:szCs w:val="21"/>
                <w14:textFill>
                  <w14:solidFill>
                    <w14:schemeClr w14:val="tx1"/>
                  </w14:solidFill>
                </w14:textFill>
              </w:rPr>
              <w:t>与《加油站地下水污染防治技术指南（试行）》的相符性分析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6"/>
              <w:gridCol w:w="3390"/>
              <w:gridCol w:w="1755"/>
              <w:gridCol w:w="1196"/>
            </w:tblGrid>
            <w:tr w14:paraId="1BD4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7" w:type="dxa"/>
                  <w:vAlign w:val="center"/>
                </w:tcPr>
                <w:p w14:paraId="4A223F6F">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390" w:type="dxa"/>
                  <w:vAlign w:val="center"/>
                </w:tcPr>
                <w:p w14:paraId="1EE874D2">
                  <w:pPr>
                    <w:pStyle w:val="24"/>
                    <w:rPr>
                      <w:color w:val="000000" w:themeColor="text1"/>
                      <w14:textFill>
                        <w14:solidFill>
                          <w14:schemeClr w14:val="tx1"/>
                        </w14:solidFill>
                      </w14:textFill>
                    </w:rPr>
                  </w:pPr>
                  <w:r>
                    <w:rPr>
                      <w:color w:val="000000" w:themeColor="text1"/>
                      <w14:textFill>
                        <w14:solidFill>
                          <w14:schemeClr w14:val="tx1"/>
                        </w14:solidFill>
                      </w14:textFill>
                    </w:rPr>
                    <w:t>标准内容</w:t>
                  </w:r>
                </w:p>
              </w:tc>
              <w:tc>
                <w:tcPr>
                  <w:tcW w:w="1755" w:type="dxa"/>
                  <w:vAlign w:val="center"/>
                </w:tcPr>
                <w:p w14:paraId="56D65A8E">
                  <w:pPr>
                    <w:pStyle w:val="24"/>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1196" w:type="dxa"/>
                  <w:vAlign w:val="center"/>
                </w:tcPr>
                <w:p w14:paraId="785CD140">
                  <w:pPr>
                    <w:pStyle w:val="24"/>
                    <w:rPr>
                      <w:color w:val="000000" w:themeColor="text1"/>
                      <w14:textFill>
                        <w14:solidFill>
                          <w14:schemeClr w14:val="tx1"/>
                        </w14:solidFill>
                      </w14:textFill>
                    </w:rPr>
                  </w:pPr>
                  <w:r>
                    <w:rPr>
                      <w:color w:val="000000" w:themeColor="text1"/>
                      <w14:textFill>
                        <w14:solidFill>
                          <w14:schemeClr w14:val="tx1"/>
                        </w14:solidFill>
                      </w14:textFill>
                    </w:rPr>
                    <w:t>相符性分析</w:t>
                  </w:r>
                </w:p>
              </w:tc>
            </w:tr>
            <w:tr w14:paraId="2194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7" w:type="dxa"/>
                  <w:vAlign w:val="center"/>
                </w:tcPr>
                <w:p w14:paraId="402707B4">
                  <w:pPr>
                    <w:pStyle w:val="24"/>
                    <w:rPr>
                      <w:color w:val="000000" w:themeColor="text1"/>
                      <w14:textFill>
                        <w14:solidFill>
                          <w14:schemeClr w14:val="tx1"/>
                        </w14:solidFill>
                      </w14:textFill>
                    </w:rPr>
                  </w:pPr>
                  <w:r>
                    <w:rPr>
                      <w:color w:val="000000" w:themeColor="text1"/>
                      <w14:textFill>
                        <w14:solidFill>
                          <w14:schemeClr w14:val="tx1"/>
                        </w14:solidFill>
                      </w14:textFill>
                    </w:rPr>
                    <w:t>1</w:t>
                  </w:r>
                </w:p>
              </w:tc>
              <w:tc>
                <w:tcPr>
                  <w:tcW w:w="3390" w:type="dxa"/>
                  <w:vAlign w:val="center"/>
                </w:tcPr>
                <w:p w14:paraId="345F4EB8">
                  <w:pPr>
                    <w:pStyle w:val="24"/>
                    <w:rPr>
                      <w:color w:val="000000" w:themeColor="text1"/>
                      <w14:textFill>
                        <w14:solidFill>
                          <w14:schemeClr w14:val="tx1"/>
                        </w14:solidFill>
                      </w14:textFill>
                    </w:rPr>
                  </w:pPr>
                  <w:r>
                    <w:rPr>
                      <w:color w:val="000000" w:themeColor="text1"/>
                      <w14:textFill>
                        <w14:solidFill>
                          <w14:schemeClr w14:val="tx1"/>
                        </w14:solidFill>
                      </w14:textFill>
                    </w:rPr>
                    <w:t>为防止加油站油品泄漏，污染土壤和地下水，加油站需要采取防渗漏和防渗漏检测措施。所有加油站的油罐需要更新为双层罐或者设置防渗池，双层罐和防渗池应符合《汽车加油加气</w:t>
                  </w:r>
                  <w:r>
                    <w:rPr>
                      <w:rFonts w:hint="eastAsia"/>
                      <w:color w:val="000000" w:themeColor="text1"/>
                      <w14:textFill>
                        <w14:solidFill>
                          <w14:schemeClr w14:val="tx1"/>
                        </w14:solidFill>
                      </w14:textFill>
                    </w:rPr>
                    <w:t>加氢</w:t>
                  </w:r>
                  <w:r>
                    <w:rPr>
                      <w:color w:val="000000" w:themeColor="text1"/>
                      <w14:textFill>
                        <w14:solidFill>
                          <w14:schemeClr w14:val="tx1"/>
                        </w14:solidFill>
                      </w14:textFill>
                    </w:rPr>
                    <w:t>站</w:t>
                  </w:r>
                  <w:r>
                    <w:rPr>
                      <w:rFonts w:hint="eastAsia"/>
                      <w:color w:val="000000" w:themeColor="text1"/>
                      <w14:textFill>
                        <w14:solidFill>
                          <w14:schemeClr w14:val="tx1"/>
                        </w14:solidFill>
                      </w14:textFill>
                    </w:rPr>
                    <w:t>技术标准</w:t>
                  </w:r>
                  <w:r>
                    <w:rPr>
                      <w:color w:val="000000" w:themeColor="text1"/>
                      <w14:textFill>
                        <w14:solidFill>
                          <w14:schemeClr w14:val="tx1"/>
                        </w14:solidFill>
                      </w14:textFill>
                    </w:rPr>
                    <w:t>》（GB50156-20</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）的要求，设置时可进行自行检查，检查内容见附录。加油站需要开展渗漏检测，设置常规地下水监测井，开展地下水常规监测。</w:t>
                  </w:r>
                </w:p>
              </w:tc>
              <w:tc>
                <w:tcPr>
                  <w:tcW w:w="1755" w:type="dxa"/>
                  <w:vAlign w:val="center"/>
                </w:tcPr>
                <w:p w14:paraId="475BC9E0">
                  <w:pPr>
                    <w:pStyle w:val="24"/>
                    <w:rPr>
                      <w:color w:val="000000" w:themeColor="text1"/>
                      <w14:textFill>
                        <w14:solidFill>
                          <w14:schemeClr w14:val="tx1"/>
                        </w14:solidFill>
                      </w14:textFill>
                    </w:rPr>
                  </w:pPr>
                  <w:r>
                    <w:rPr>
                      <w:color w:val="000000" w:themeColor="text1"/>
                      <w14:textFill>
                        <w14:solidFill>
                          <w14:schemeClr w14:val="tx1"/>
                        </w14:solidFill>
                      </w14:textFill>
                    </w:rPr>
                    <w:t>本项目油罐均为双层罐，且拟设置地下水监测井，开展地下水常规监测。</w:t>
                  </w:r>
                </w:p>
              </w:tc>
              <w:tc>
                <w:tcPr>
                  <w:tcW w:w="1196" w:type="dxa"/>
                  <w:vAlign w:val="center"/>
                </w:tcPr>
                <w:p w14:paraId="275C78D5">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09EB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7" w:type="dxa"/>
                  <w:vAlign w:val="center"/>
                </w:tcPr>
                <w:p w14:paraId="51EBD47C">
                  <w:pPr>
                    <w:pStyle w:val="24"/>
                    <w:rPr>
                      <w:color w:val="000000" w:themeColor="text1"/>
                      <w14:textFill>
                        <w14:solidFill>
                          <w14:schemeClr w14:val="tx1"/>
                        </w14:solidFill>
                      </w14:textFill>
                    </w:rPr>
                  </w:pPr>
                  <w:r>
                    <w:rPr>
                      <w:color w:val="000000" w:themeColor="text1"/>
                      <w14:textFill>
                        <w14:solidFill>
                          <w14:schemeClr w14:val="tx1"/>
                        </w14:solidFill>
                      </w14:textFill>
                    </w:rPr>
                    <w:t>2</w:t>
                  </w:r>
                </w:p>
              </w:tc>
              <w:tc>
                <w:tcPr>
                  <w:tcW w:w="3390" w:type="dxa"/>
                  <w:vAlign w:val="center"/>
                </w:tcPr>
                <w:p w14:paraId="5F436BFE">
                  <w:pPr>
                    <w:pStyle w:val="24"/>
                    <w:rPr>
                      <w:color w:val="000000" w:themeColor="text1"/>
                      <w14:textFill>
                        <w14:solidFill>
                          <w14:schemeClr w14:val="tx1"/>
                        </w14:solidFill>
                      </w14:textFill>
                    </w:rPr>
                  </w:pPr>
                  <w:r>
                    <w:rPr>
                      <w:color w:val="000000" w:themeColor="text1"/>
                      <w14:textFill>
                        <w14:solidFill>
                          <w14:schemeClr w14:val="tx1"/>
                        </w14:solidFill>
                      </w14:textFill>
                    </w:rPr>
                    <w:t>埋地油罐采用双层油罐时，可采用双层钢制油罐、双层玻璃纤维增强塑料油罐、内钢外玻璃纤维增强塑料双层油罐。既有加油站的埋地单层钢制油罐改造为双层油罐时，可采用玻璃纤增强塑料等满足强度和防渗要求的材料进行衬里改造。</w:t>
                  </w:r>
                </w:p>
              </w:tc>
              <w:tc>
                <w:tcPr>
                  <w:tcW w:w="1755" w:type="dxa"/>
                  <w:vAlign w:val="center"/>
                </w:tcPr>
                <w:p w14:paraId="3892CC09">
                  <w:pPr>
                    <w:pStyle w:val="24"/>
                    <w:rPr>
                      <w:color w:val="000000" w:themeColor="text1"/>
                      <w14:textFill>
                        <w14:solidFill>
                          <w14:schemeClr w14:val="tx1"/>
                        </w14:solidFill>
                      </w14:textFill>
                    </w:rPr>
                  </w:pPr>
                  <w:r>
                    <w:rPr>
                      <w:color w:val="000000" w:themeColor="text1"/>
                      <w14:textFill>
                        <w14:solidFill>
                          <w14:schemeClr w14:val="tx1"/>
                        </w14:solidFill>
                      </w14:textFill>
                    </w:rPr>
                    <w:t>本项目为新建项目，且采用双层罐（内钢外玻璃纤维增强塑料双层油罐）。</w:t>
                  </w:r>
                </w:p>
              </w:tc>
              <w:tc>
                <w:tcPr>
                  <w:tcW w:w="1196" w:type="dxa"/>
                  <w:vAlign w:val="center"/>
                </w:tcPr>
                <w:p w14:paraId="72AA4A29">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CED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7" w:type="dxa"/>
                  <w:vAlign w:val="center"/>
                </w:tcPr>
                <w:p w14:paraId="3DB10913">
                  <w:pPr>
                    <w:pStyle w:val="24"/>
                    <w:rPr>
                      <w:color w:val="000000" w:themeColor="text1"/>
                      <w14:textFill>
                        <w14:solidFill>
                          <w14:schemeClr w14:val="tx1"/>
                        </w14:solidFill>
                      </w14:textFill>
                    </w:rPr>
                  </w:pPr>
                  <w:r>
                    <w:rPr>
                      <w:color w:val="000000" w:themeColor="text1"/>
                      <w14:textFill>
                        <w14:solidFill>
                          <w14:schemeClr w14:val="tx1"/>
                        </w14:solidFill>
                      </w14:textFill>
                    </w:rPr>
                    <w:t>3</w:t>
                  </w:r>
                </w:p>
              </w:tc>
              <w:tc>
                <w:tcPr>
                  <w:tcW w:w="3390" w:type="dxa"/>
                  <w:vAlign w:val="center"/>
                </w:tcPr>
                <w:p w14:paraId="4BB5F9C4">
                  <w:pPr>
                    <w:pStyle w:val="24"/>
                    <w:rPr>
                      <w:color w:val="000000" w:themeColor="text1"/>
                      <w14:textFill>
                        <w14:solidFill>
                          <w14:schemeClr w14:val="tx1"/>
                        </w14:solidFill>
                      </w14:textFill>
                    </w:rPr>
                  </w:pPr>
                  <w:r>
                    <w:rPr>
                      <w:color w:val="000000" w:themeColor="text1"/>
                      <w14:textFill>
                        <w14:solidFill>
                          <w14:schemeClr w14:val="tx1"/>
                        </w14:solidFill>
                      </w14:textFill>
                    </w:rPr>
                    <w:t>装有潜油泵的油罐人孔操作井、卸油口井、加油机底槽等可能发生油品渗漏的部位，也应采取相应的防渗措施。</w:t>
                  </w:r>
                </w:p>
              </w:tc>
              <w:tc>
                <w:tcPr>
                  <w:tcW w:w="1755" w:type="dxa"/>
                  <w:vAlign w:val="center"/>
                </w:tcPr>
                <w:p w14:paraId="1F3BA235">
                  <w:pPr>
                    <w:pStyle w:val="24"/>
                    <w:rPr>
                      <w:color w:val="000000" w:themeColor="text1"/>
                      <w14:textFill>
                        <w14:solidFill>
                          <w14:schemeClr w14:val="tx1"/>
                        </w14:solidFill>
                      </w14:textFill>
                    </w:rPr>
                  </w:pPr>
                  <w:r>
                    <w:rPr>
                      <w:color w:val="000000" w:themeColor="text1"/>
                      <w14:textFill>
                        <w14:solidFill>
                          <w14:schemeClr w14:val="tx1"/>
                        </w14:solidFill>
                      </w14:textFill>
                    </w:rPr>
                    <w:t>本项目可能发生油品渗漏的部位，均拟采取相应的防渗措施。</w:t>
                  </w:r>
                </w:p>
              </w:tc>
              <w:tc>
                <w:tcPr>
                  <w:tcW w:w="1196" w:type="dxa"/>
                  <w:vAlign w:val="center"/>
                </w:tcPr>
                <w:p w14:paraId="4DCA821A">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521E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37" w:type="dxa"/>
                  <w:vAlign w:val="center"/>
                </w:tcPr>
                <w:p w14:paraId="0047B9C8">
                  <w:pPr>
                    <w:pStyle w:val="24"/>
                    <w:rPr>
                      <w:color w:val="000000" w:themeColor="text1"/>
                      <w14:textFill>
                        <w14:solidFill>
                          <w14:schemeClr w14:val="tx1"/>
                        </w14:solidFill>
                      </w14:textFill>
                    </w:rPr>
                  </w:pPr>
                  <w:r>
                    <w:rPr>
                      <w:color w:val="000000" w:themeColor="text1"/>
                      <w14:textFill>
                        <w14:solidFill>
                          <w14:schemeClr w14:val="tx1"/>
                        </w14:solidFill>
                      </w14:textFill>
                    </w:rPr>
                    <w:t>4</w:t>
                  </w:r>
                </w:p>
              </w:tc>
              <w:tc>
                <w:tcPr>
                  <w:tcW w:w="3390" w:type="dxa"/>
                  <w:vAlign w:val="center"/>
                </w:tcPr>
                <w:p w14:paraId="5AAEE687">
                  <w:pPr>
                    <w:pStyle w:val="24"/>
                    <w:rPr>
                      <w:color w:val="000000" w:themeColor="text1"/>
                      <w14:textFill>
                        <w14:solidFill>
                          <w14:schemeClr w14:val="tx1"/>
                        </w14:solidFill>
                      </w14:textFill>
                    </w:rPr>
                  </w:pPr>
                  <w:r>
                    <w:rPr>
                      <w:color w:val="000000" w:themeColor="text1"/>
                      <w14:textFill>
                        <w14:solidFill>
                          <w14:schemeClr w14:val="tx1"/>
                        </w14:solidFill>
                      </w14:textFill>
                    </w:rPr>
                    <w:t>采取防渗漏措施的加油站，其埋地加油管道应采用双层管道。具体设计要求应符合《汽车加油加气</w:t>
                  </w:r>
                  <w:r>
                    <w:rPr>
                      <w:rFonts w:hint="eastAsia"/>
                      <w:color w:val="000000" w:themeColor="text1"/>
                      <w14:textFill>
                        <w14:solidFill>
                          <w14:schemeClr w14:val="tx1"/>
                        </w14:solidFill>
                      </w14:textFill>
                    </w:rPr>
                    <w:t>加氢</w:t>
                  </w:r>
                  <w:r>
                    <w:rPr>
                      <w:color w:val="000000" w:themeColor="text1"/>
                      <w14:textFill>
                        <w14:solidFill>
                          <w14:schemeClr w14:val="tx1"/>
                        </w14:solidFill>
                      </w14:textFill>
                    </w:rPr>
                    <w:t>站</w:t>
                  </w:r>
                  <w:r>
                    <w:rPr>
                      <w:rFonts w:hint="eastAsia"/>
                      <w:color w:val="000000" w:themeColor="text1"/>
                      <w14:textFill>
                        <w14:solidFill>
                          <w14:schemeClr w14:val="tx1"/>
                        </w14:solidFill>
                      </w14:textFill>
                    </w:rPr>
                    <w:t>技术标准</w:t>
                  </w:r>
                  <w:r>
                    <w:rPr>
                      <w:color w:val="000000" w:themeColor="text1"/>
                      <w14:textFill>
                        <w14:solidFill>
                          <w14:schemeClr w14:val="tx1"/>
                        </w14:solidFill>
                      </w14:textFill>
                    </w:rPr>
                    <w:t>》（GB50156-20</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）的规定。双层油罐、防渗池和管道系统的渗漏检测宜采用在线监测系统。采用液体传感器监测时，传感器的检测精度不应大于3.5mm。其他设置要求可参见《汽车加油加气</w:t>
                  </w:r>
                  <w:r>
                    <w:rPr>
                      <w:rFonts w:hint="eastAsia"/>
                      <w:color w:val="000000" w:themeColor="text1"/>
                      <w14:textFill>
                        <w14:solidFill>
                          <w14:schemeClr w14:val="tx1"/>
                        </w14:solidFill>
                      </w14:textFill>
                    </w:rPr>
                    <w:t>加氢</w:t>
                  </w:r>
                  <w:r>
                    <w:rPr>
                      <w:color w:val="000000" w:themeColor="text1"/>
                      <w14:textFill>
                        <w14:solidFill>
                          <w14:schemeClr w14:val="tx1"/>
                        </w14:solidFill>
                      </w14:textFill>
                    </w:rPr>
                    <w:t>站</w:t>
                  </w:r>
                  <w:r>
                    <w:rPr>
                      <w:rFonts w:hint="eastAsia"/>
                      <w:color w:val="000000" w:themeColor="text1"/>
                      <w14:textFill>
                        <w14:solidFill>
                          <w14:schemeClr w14:val="tx1"/>
                        </w14:solidFill>
                      </w14:textFill>
                    </w:rPr>
                    <w:t>技术标准</w:t>
                  </w:r>
                  <w:r>
                    <w:rPr>
                      <w:color w:val="000000" w:themeColor="text1"/>
                      <w14:textFill>
                        <w14:solidFill>
                          <w14:schemeClr w14:val="tx1"/>
                        </w14:solidFill>
                      </w14:textFill>
                    </w:rPr>
                    <w:t>》（GB50156-20</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）及《石油化工防渗工程技术规范》（GB/T 50934）。</w:t>
                  </w:r>
                </w:p>
              </w:tc>
              <w:tc>
                <w:tcPr>
                  <w:tcW w:w="1755" w:type="dxa"/>
                  <w:vAlign w:val="center"/>
                </w:tcPr>
                <w:p w14:paraId="02CE9DB8">
                  <w:pPr>
                    <w:pStyle w:val="24"/>
                    <w:rPr>
                      <w:color w:val="000000" w:themeColor="text1"/>
                      <w14:textFill>
                        <w14:solidFill>
                          <w14:schemeClr w14:val="tx1"/>
                        </w14:solidFill>
                      </w14:textFill>
                    </w:rPr>
                  </w:pPr>
                  <w:r>
                    <w:rPr>
                      <w:color w:val="000000" w:themeColor="text1"/>
                      <w14:textFill>
                        <w14:solidFill>
                          <w14:schemeClr w14:val="tx1"/>
                        </w14:solidFill>
                      </w14:textFill>
                    </w:rPr>
                    <w:t>本项目按照《汽车加油加气</w:t>
                  </w:r>
                  <w:r>
                    <w:rPr>
                      <w:rFonts w:hint="eastAsia"/>
                      <w:color w:val="000000" w:themeColor="text1"/>
                      <w14:textFill>
                        <w14:solidFill>
                          <w14:schemeClr w14:val="tx1"/>
                        </w14:solidFill>
                      </w14:textFill>
                    </w:rPr>
                    <w:t>加氢</w:t>
                  </w:r>
                  <w:r>
                    <w:rPr>
                      <w:color w:val="000000" w:themeColor="text1"/>
                      <w14:textFill>
                        <w14:solidFill>
                          <w14:schemeClr w14:val="tx1"/>
                        </w14:solidFill>
                      </w14:textFill>
                    </w:rPr>
                    <w:t>站</w:t>
                  </w:r>
                  <w:r>
                    <w:rPr>
                      <w:rFonts w:hint="eastAsia"/>
                      <w:color w:val="000000" w:themeColor="text1"/>
                      <w14:textFill>
                        <w14:solidFill>
                          <w14:schemeClr w14:val="tx1"/>
                        </w14:solidFill>
                      </w14:textFill>
                    </w:rPr>
                    <w:t>技术标准</w:t>
                  </w:r>
                  <w:r>
                    <w:rPr>
                      <w:color w:val="000000" w:themeColor="text1"/>
                      <w14:textFill>
                        <w14:solidFill>
                          <w14:schemeClr w14:val="tx1"/>
                        </w14:solidFill>
                      </w14:textFill>
                    </w:rPr>
                    <w:t>》（GB50156-20</w:t>
                  </w:r>
                  <w:r>
                    <w:rPr>
                      <w:rFonts w:hint="eastAsia"/>
                      <w:color w:val="000000" w:themeColor="text1"/>
                      <w14:textFill>
                        <w14:solidFill>
                          <w14:schemeClr w14:val="tx1"/>
                        </w14:solidFill>
                      </w14:textFill>
                    </w:rPr>
                    <w:t>21</w:t>
                  </w:r>
                  <w:r>
                    <w:rPr>
                      <w:color w:val="000000" w:themeColor="text1"/>
                      <w14:textFill>
                        <w14:solidFill>
                          <w14:schemeClr w14:val="tx1"/>
                        </w14:solidFill>
                      </w14:textFill>
                    </w:rPr>
                    <w:t>）的规定设置双层管道。</w:t>
                  </w:r>
                  <w:r>
                    <w:rPr>
                      <w:rFonts w:hint="eastAsia"/>
                      <w:color w:val="000000" w:themeColor="text1"/>
                      <w14:textFill>
                        <w14:solidFill>
                          <w14:schemeClr w14:val="tx1"/>
                        </w14:solidFill>
                      </w14:textFill>
                    </w:rPr>
                    <w:t>已预留</w:t>
                  </w:r>
                  <w:r>
                    <w:rPr>
                      <w:color w:val="000000" w:themeColor="text1"/>
                      <w14:textFill>
                        <w14:solidFill>
                          <w14:schemeClr w14:val="tx1"/>
                        </w14:solidFill>
                      </w14:textFill>
                    </w:rPr>
                    <w:t>在线监测系统。</w:t>
                  </w:r>
                </w:p>
              </w:tc>
              <w:tc>
                <w:tcPr>
                  <w:tcW w:w="1196" w:type="dxa"/>
                  <w:vAlign w:val="center"/>
                </w:tcPr>
                <w:p w14:paraId="4B854115">
                  <w:pPr>
                    <w:pStyle w:val="24"/>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7CFADE08">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由上述分析可知，项目拟采取的地下水防治措施符合《加油站地下水污染防治技术指南（试行）》的相关要求。</w:t>
            </w:r>
          </w:p>
          <w:p w14:paraId="3F24C9F9">
            <w:pPr>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（5）与《汽车加油加气加氢站技术标准》（</w:t>
            </w:r>
            <w:r>
              <w:rPr>
                <w:b/>
                <w:bCs/>
                <w:color w:val="000000" w:themeColor="text1"/>
                <w14:textFill>
                  <w14:solidFill>
                    <w14:schemeClr w14:val="tx1"/>
                  </w14:solidFill>
                </w14:textFill>
              </w:rPr>
              <w:t>GB50156-2021</w:t>
            </w:r>
            <w:r>
              <w:rPr>
                <w:rFonts w:hint="eastAsia"/>
                <w:b/>
                <w:bCs/>
                <w:color w:val="000000" w:themeColor="text1"/>
                <w14:textFill>
                  <w14:solidFill>
                    <w14:schemeClr w14:val="tx1"/>
                  </w14:solidFill>
                </w14:textFill>
              </w:rPr>
              <w:t>）相符性分析</w:t>
            </w:r>
          </w:p>
          <w:p w14:paraId="0165330C">
            <w:pPr>
              <w:ind w:firstLine="464" w:firstLineChars="200"/>
              <w:rPr>
                <w:color w:val="000000" w:themeColor="text1"/>
                <w14:textFill>
                  <w14:solidFill>
                    <w14:schemeClr w14:val="tx1"/>
                  </w14:solidFill>
                </w14:textFill>
              </w:rPr>
            </w:pPr>
            <w:r>
              <w:rPr>
                <w:color w:val="000000" w:themeColor="text1"/>
                <w:spacing w:val="-4"/>
                <w14:textFill>
                  <w14:solidFill>
                    <w14:schemeClr w14:val="tx1"/>
                  </w14:solidFill>
                </w14:textFill>
              </w:rPr>
              <w:t>项</w:t>
            </w:r>
            <w:r>
              <w:rPr>
                <w:color w:val="000000" w:themeColor="text1"/>
                <w14:textFill>
                  <w14:solidFill>
                    <w14:schemeClr w14:val="tx1"/>
                  </w14:solidFill>
                </w14:textFill>
              </w:rPr>
              <w:t>目位于</w:t>
            </w:r>
            <w:r>
              <w:rPr>
                <w:rFonts w:hint="eastAsia"/>
                <w:color w:val="000000" w:themeColor="text1"/>
                <w14:textFill>
                  <w14:solidFill>
                    <w14:schemeClr w14:val="tx1"/>
                  </w14:solidFill>
                </w14:textFill>
              </w:rPr>
              <w:t>安徽省淮南经济技术开发区G206与朝阳路交叉口西南角</w:t>
            </w:r>
            <w:r>
              <w:rPr>
                <w:color w:val="000000" w:themeColor="text1"/>
                <w14:textFill>
                  <w14:solidFill>
                    <w14:schemeClr w14:val="tx1"/>
                  </w14:solidFill>
                </w14:textFill>
              </w:rPr>
              <w:t>，交通便利，</w:t>
            </w:r>
            <w:r>
              <w:rPr>
                <w:rFonts w:hint="eastAsia"/>
                <w:color w:val="000000" w:themeColor="text1"/>
                <w:lang w:eastAsia="zh-CN"/>
                <w14:textFill>
                  <w14:solidFill>
                    <w14:schemeClr w14:val="tx1"/>
                  </w14:solidFill>
                </w14:textFill>
              </w:rPr>
              <w:t>进出车辆</w:t>
            </w:r>
            <w:r>
              <w:rPr>
                <w:color w:val="000000" w:themeColor="text1"/>
                <w14:textFill>
                  <w14:solidFill>
                    <w14:schemeClr w14:val="tx1"/>
                  </w14:solidFill>
                </w14:textFill>
              </w:rPr>
              <w:t>较多，且不在城市干道的交叉口位置，总体符合《汽车加油加气加氢站技术标准》（G</w:t>
            </w:r>
            <w:r>
              <w:rPr>
                <w:color w:val="000000" w:themeColor="text1"/>
                <w:spacing w:val="-1"/>
                <w14:textFill>
                  <w14:solidFill>
                    <w14:schemeClr w14:val="tx1"/>
                  </w14:solidFill>
                </w14:textFill>
              </w:rPr>
              <w:t>B50156</w:t>
            </w:r>
            <w:r>
              <w:rPr>
                <w:color w:val="000000" w:themeColor="text1"/>
                <w:spacing w:val="-2"/>
                <w14:textFill>
                  <w14:solidFill>
                    <w14:schemeClr w14:val="tx1"/>
                  </w14:solidFill>
                </w14:textFill>
              </w:rPr>
              <w:t>-</w:t>
            </w:r>
            <w:r>
              <w:rPr>
                <w:color w:val="000000" w:themeColor="text1"/>
                <w:spacing w:val="-1"/>
                <w14:textFill>
                  <w14:solidFill>
                    <w14:schemeClr w14:val="tx1"/>
                  </w14:solidFill>
                </w14:textFill>
              </w:rPr>
              <w:t>2021</w:t>
            </w:r>
            <w:r>
              <w:rPr>
                <w:color w:val="000000" w:themeColor="text1"/>
                <w:spacing w:val="-157"/>
                <w14:textFill>
                  <w14:solidFill>
                    <w14:schemeClr w14:val="tx1"/>
                  </w14:solidFill>
                </w14:textFill>
              </w:rPr>
              <w:t>）</w:t>
            </w:r>
            <w:r>
              <w:rPr>
                <w:color w:val="000000" w:themeColor="text1"/>
                <w14:textFill>
                  <w14:solidFill>
                    <w14:schemeClr w14:val="tx1"/>
                  </w14:solidFill>
                </w14:textFill>
              </w:rPr>
              <w:t>）相关规范要求。</w:t>
            </w:r>
          </w:p>
          <w:p w14:paraId="226401D1">
            <w:pPr>
              <w:pStyle w:val="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加油加气站选址原则</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729"/>
              <w:gridCol w:w="2165"/>
              <w:gridCol w:w="1302"/>
            </w:tblGrid>
            <w:tr w14:paraId="2311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71A67A14">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735" w:type="dxa"/>
                  <w:vAlign w:val="center"/>
                </w:tcPr>
                <w:p w14:paraId="1AA63DBA">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标准要求</w:t>
                  </w:r>
                </w:p>
              </w:tc>
              <w:tc>
                <w:tcPr>
                  <w:tcW w:w="2169" w:type="dxa"/>
                  <w:vAlign w:val="center"/>
                </w:tcPr>
                <w:p w14:paraId="769ACC61">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1304" w:type="dxa"/>
                  <w:vAlign w:val="center"/>
                </w:tcPr>
                <w:p w14:paraId="2B9F8DD7">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3202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66FC9409">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735" w:type="dxa"/>
                  <w:vAlign w:val="center"/>
                </w:tcPr>
                <w:p w14:paraId="02C80EF1">
                  <w:pPr>
                    <w:pStyle w:val="24"/>
                    <w:rPr>
                      <w:color w:val="000000" w:themeColor="text1"/>
                      <w14:textFill>
                        <w14:solidFill>
                          <w14:schemeClr w14:val="tx1"/>
                        </w14:solidFill>
                      </w14:textFill>
                    </w:rPr>
                  </w:pPr>
                  <w:r>
                    <w:rPr>
                      <w:color w:val="000000" w:themeColor="text1"/>
                      <w14:textFill>
                        <w14:solidFill>
                          <w14:schemeClr w14:val="tx1"/>
                        </w14:solidFill>
                      </w14:textFill>
                    </w:rPr>
                    <w:t>汽车加油加气加氢站的站址选择应符合有关规划、环境保护和防火安全的要求，并应选在交通便利、用户使用方便的地点。</w:t>
                  </w:r>
                </w:p>
              </w:tc>
              <w:tc>
                <w:tcPr>
                  <w:tcW w:w="2169" w:type="dxa"/>
                  <w:vAlign w:val="center"/>
                </w:tcPr>
                <w:p w14:paraId="4FF1D5B8">
                  <w:pPr>
                    <w:pStyle w:val="24"/>
                    <w:rPr>
                      <w:color w:val="000000" w:themeColor="text1"/>
                      <w14:textFill>
                        <w14:solidFill>
                          <w14:schemeClr w14:val="tx1"/>
                        </w14:solidFill>
                      </w14:textFill>
                    </w:rPr>
                  </w:pPr>
                  <w:r>
                    <w:rPr>
                      <w:color w:val="000000" w:themeColor="text1"/>
                      <w14:textFill>
                        <w14:solidFill>
                          <w14:schemeClr w14:val="tx1"/>
                        </w14:solidFill>
                      </w14:textFill>
                    </w:rPr>
                    <w:t>项目位于</w:t>
                  </w:r>
                  <w:r>
                    <w:rPr>
                      <w:rFonts w:hint="eastAsia"/>
                      <w:color w:val="000000" w:themeColor="text1"/>
                      <w14:textFill>
                        <w14:solidFill>
                          <w14:schemeClr w14:val="tx1"/>
                        </w14:solidFill>
                      </w14:textFill>
                    </w:rPr>
                    <w:t>安徽省淮南经济技术开发区G206与朝阳路交叉口西南角</w:t>
                  </w:r>
                  <w:r>
                    <w:rPr>
                      <w:color w:val="000000" w:themeColor="text1"/>
                      <w14:textFill>
                        <w14:solidFill>
                          <w14:schemeClr w14:val="tx1"/>
                        </w14:solidFill>
                      </w14:textFill>
                    </w:rPr>
                    <w:t>，交通便利，使用方便，符合要求；汽车加油站的站址选择符合有关规划、环境保护和防火安全的要求。</w:t>
                  </w:r>
                </w:p>
              </w:tc>
              <w:tc>
                <w:tcPr>
                  <w:tcW w:w="1304" w:type="dxa"/>
                  <w:vAlign w:val="center"/>
                </w:tcPr>
                <w:p w14:paraId="0BA0C718">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4910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2ABF5032">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735" w:type="dxa"/>
                  <w:vAlign w:val="center"/>
                </w:tcPr>
                <w:p w14:paraId="0874629D">
                  <w:pPr>
                    <w:pStyle w:val="24"/>
                    <w:rPr>
                      <w:color w:val="000000" w:themeColor="text1"/>
                      <w14:textFill>
                        <w14:solidFill>
                          <w14:schemeClr w14:val="tx1"/>
                        </w14:solidFill>
                      </w14:textFill>
                    </w:rPr>
                  </w:pPr>
                  <w:r>
                    <w:rPr>
                      <w:color w:val="000000" w:themeColor="text1"/>
                      <w14:textFill>
                        <w14:solidFill>
                          <w14:schemeClr w14:val="tx1"/>
                        </w14:solidFill>
                      </w14:textFill>
                    </w:rPr>
                    <w:t>在城市中心区不应建一级汽车加油加气加氢站，CNG加气母站。</w:t>
                  </w:r>
                </w:p>
              </w:tc>
              <w:tc>
                <w:tcPr>
                  <w:tcW w:w="2169" w:type="dxa"/>
                  <w:vAlign w:val="center"/>
                </w:tcPr>
                <w:p w14:paraId="73F7C958">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本项目为二级综合能源站，符合要求</w:t>
                  </w:r>
                  <w:r>
                    <w:rPr>
                      <w:color w:val="000000" w:themeColor="text1"/>
                      <w14:textFill>
                        <w14:solidFill>
                          <w14:schemeClr w14:val="tx1"/>
                        </w14:solidFill>
                      </w14:textFill>
                    </w:rPr>
                    <w:t>。</w:t>
                  </w:r>
                </w:p>
              </w:tc>
              <w:tc>
                <w:tcPr>
                  <w:tcW w:w="1304" w:type="dxa"/>
                  <w:vAlign w:val="center"/>
                </w:tcPr>
                <w:p w14:paraId="03F42A89">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2C9F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189BEBD2">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735" w:type="dxa"/>
                  <w:vAlign w:val="center"/>
                </w:tcPr>
                <w:p w14:paraId="30B2928F">
                  <w:pPr>
                    <w:pStyle w:val="24"/>
                    <w:rPr>
                      <w:color w:val="000000" w:themeColor="text1"/>
                      <w14:textFill>
                        <w14:solidFill>
                          <w14:schemeClr w14:val="tx1"/>
                        </w14:solidFill>
                      </w14:textFill>
                    </w:rPr>
                  </w:pPr>
                  <w:r>
                    <w:rPr>
                      <w:color w:val="000000" w:themeColor="text1"/>
                      <w14:textFill>
                        <w14:solidFill>
                          <w14:schemeClr w14:val="tx1"/>
                        </w14:solidFill>
                      </w14:textFill>
                    </w:rPr>
                    <w:t>城市建成区内的汽车加油加气加氢站宜靠近城市道路，不宜选在城市干道的交叉路口附近。</w:t>
                  </w:r>
                </w:p>
              </w:tc>
              <w:tc>
                <w:tcPr>
                  <w:tcW w:w="2169" w:type="dxa"/>
                  <w:vAlign w:val="center"/>
                </w:tcPr>
                <w:p w14:paraId="4DAD456D">
                  <w:pPr>
                    <w:pStyle w:val="24"/>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位置靠近城市道路，</w:t>
                  </w:r>
                  <w:r>
                    <w:rPr>
                      <w:color w:val="000000" w:themeColor="text1"/>
                      <w14:textFill>
                        <w14:solidFill>
                          <w14:schemeClr w14:val="tx1"/>
                        </w14:solidFill>
                      </w14:textFill>
                    </w:rPr>
                    <w:t>不在城市干道交叉路口附近，符合要求。</w:t>
                  </w:r>
                </w:p>
              </w:tc>
              <w:tc>
                <w:tcPr>
                  <w:tcW w:w="1304" w:type="dxa"/>
                  <w:vAlign w:val="center"/>
                </w:tcPr>
                <w:p w14:paraId="0B4D3966">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134A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03C3F318">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735" w:type="dxa"/>
                  <w:vAlign w:val="center"/>
                </w:tcPr>
                <w:p w14:paraId="0F518ABB">
                  <w:pPr>
                    <w:pStyle w:val="24"/>
                    <w:rPr>
                      <w:color w:val="000000" w:themeColor="text1"/>
                      <w14:textFill>
                        <w14:solidFill>
                          <w14:schemeClr w14:val="tx1"/>
                        </w14:solidFill>
                      </w14:textFill>
                    </w:rPr>
                  </w:pPr>
                  <w:r>
                    <w:rPr>
                      <w:color w:val="000000" w:themeColor="text1"/>
                      <w14:textFill>
                        <w14:solidFill>
                          <w14:schemeClr w14:val="tx1"/>
                        </w14:solidFill>
                      </w14:textFill>
                    </w:rPr>
                    <w:t>加油站、各类合建站中的汽油、柴油工艺设备与站外建（构）筑物的安全间距，不应小于表4.0.4的规定。</w:t>
                  </w:r>
                </w:p>
              </w:tc>
              <w:tc>
                <w:tcPr>
                  <w:tcW w:w="2169" w:type="dxa"/>
                  <w:vAlign w:val="center"/>
                </w:tcPr>
                <w:p w14:paraId="4643E573">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项目综合能源站工艺设备与站外建构物安全间距符合表4.0.4中规定</w:t>
                  </w:r>
                  <w:r>
                    <w:rPr>
                      <w:color w:val="000000" w:themeColor="text1"/>
                      <w14:textFill>
                        <w14:solidFill>
                          <w14:schemeClr w14:val="tx1"/>
                        </w14:solidFill>
                      </w14:textFill>
                    </w:rPr>
                    <w:t>。</w:t>
                  </w:r>
                </w:p>
              </w:tc>
              <w:tc>
                <w:tcPr>
                  <w:tcW w:w="1304" w:type="dxa"/>
                  <w:vAlign w:val="center"/>
                </w:tcPr>
                <w:p w14:paraId="35C64B7D">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5DEB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366787D3">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735" w:type="dxa"/>
                  <w:vAlign w:val="center"/>
                </w:tcPr>
                <w:p w14:paraId="3CD269DE">
                  <w:pPr>
                    <w:pStyle w:val="24"/>
                    <w:rPr>
                      <w:color w:val="000000" w:themeColor="text1"/>
                      <w14:textFill>
                        <w14:solidFill>
                          <w14:schemeClr w14:val="tx1"/>
                        </w14:solidFill>
                      </w14:textFill>
                    </w:rPr>
                  </w:pPr>
                  <w:r>
                    <w:rPr>
                      <w:color w:val="000000" w:themeColor="text1"/>
                      <w14:textFill>
                        <w14:solidFill>
                          <w14:schemeClr w14:val="tx1"/>
                        </w14:solidFill>
                      </w14:textFill>
                    </w:rPr>
                    <w:t>架空电力线路不应跨越汽车加油加气加氢站的作业区，架空通信线路不应跨越加气站、加氢合建站中加氢设施的作业区。</w:t>
                  </w:r>
                </w:p>
              </w:tc>
              <w:tc>
                <w:tcPr>
                  <w:tcW w:w="2169" w:type="dxa"/>
                  <w:vAlign w:val="center"/>
                </w:tcPr>
                <w:p w14:paraId="6F3436AC">
                  <w:pPr>
                    <w:pStyle w:val="24"/>
                    <w:rPr>
                      <w:color w:val="000000" w:themeColor="text1"/>
                      <w14:textFill>
                        <w14:solidFill>
                          <w14:schemeClr w14:val="tx1"/>
                        </w14:solidFill>
                      </w14:textFill>
                    </w:rPr>
                  </w:pPr>
                  <w:r>
                    <w:rPr>
                      <w:color w:val="000000" w:themeColor="text1"/>
                      <w14:textFill>
                        <w14:solidFill>
                          <w14:schemeClr w14:val="tx1"/>
                        </w14:solidFill>
                      </w14:textFill>
                    </w:rPr>
                    <w:t>项目加油作业区无架空电力线路跨越，符合要求。</w:t>
                  </w:r>
                </w:p>
              </w:tc>
              <w:tc>
                <w:tcPr>
                  <w:tcW w:w="1304" w:type="dxa"/>
                  <w:vAlign w:val="center"/>
                </w:tcPr>
                <w:p w14:paraId="41225A32">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14:paraId="027B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3" w:type="dxa"/>
                  <w:vAlign w:val="center"/>
                </w:tcPr>
                <w:p w14:paraId="1EFC823E">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735" w:type="dxa"/>
                  <w:vAlign w:val="center"/>
                </w:tcPr>
                <w:p w14:paraId="581D408A">
                  <w:pPr>
                    <w:pStyle w:val="24"/>
                    <w:rPr>
                      <w:color w:val="000000" w:themeColor="text1"/>
                      <w14:textFill>
                        <w14:solidFill>
                          <w14:schemeClr w14:val="tx1"/>
                        </w14:solidFill>
                      </w14:textFill>
                    </w:rPr>
                  </w:pPr>
                  <w:r>
                    <w:rPr>
                      <w:color w:val="000000" w:themeColor="text1"/>
                      <w14:textFill>
                        <w14:solidFill>
                          <w14:schemeClr w14:val="tx1"/>
                        </w14:solidFill>
                      </w14:textFill>
                    </w:rPr>
                    <w:t>与汽车加油加气加氢站无关的可燃介质管道不应穿越汽车加油加气加氢站的用地范围。</w:t>
                  </w:r>
                </w:p>
              </w:tc>
              <w:tc>
                <w:tcPr>
                  <w:tcW w:w="2169" w:type="dxa"/>
                  <w:vAlign w:val="center"/>
                </w:tcPr>
                <w:p w14:paraId="7541DAED">
                  <w:pPr>
                    <w:pStyle w:val="24"/>
                    <w:rPr>
                      <w:color w:val="000000" w:themeColor="text1"/>
                      <w14:textFill>
                        <w14:solidFill>
                          <w14:schemeClr w14:val="tx1"/>
                        </w14:solidFill>
                      </w14:textFill>
                    </w:rPr>
                  </w:pPr>
                  <w:r>
                    <w:rPr>
                      <w:color w:val="000000" w:themeColor="text1"/>
                      <w14:textFill>
                        <w14:solidFill>
                          <w14:schemeClr w14:val="tx1"/>
                        </w14:solidFill>
                      </w14:textFill>
                    </w:rPr>
                    <w:t>项目用地范围内无与汽车加油站无关的可燃介质管道穿越。</w:t>
                  </w:r>
                </w:p>
              </w:tc>
              <w:tc>
                <w:tcPr>
                  <w:tcW w:w="1304" w:type="dxa"/>
                  <w:vAlign w:val="center"/>
                </w:tcPr>
                <w:p w14:paraId="7A78AC68">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14:paraId="4559CEB5">
            <w:pPr>
              <w:pStyle w:val="6"/>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bCs/>
                <w:color w:val="000000" w:themeColor="text1"/>
                <w:szCs w:val="18"/>
                <w14:textFill>
                  <w14:solidFill>
                    <w14:schemeClr w14:val="tx1"/>
                  </w14:solidFill>
                </w14:textFill>
              </w:rPr>
              <w:t>设备与站外建（构）筑物的安全间距</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5"/>
              <w:gridCol w:w="801"/>
              <w:gridCol w:w="876"/>
              <w:gridCol w:w="1307"/>
              <w:gridCol w:w="655"/>
              <w:gridCol w:w="714"/>
              <w:gridCol w:w="655"/>
              <w:gridCol w:w="655"/>
              <w:gridCol w:w="655"/>
            </w:tblGrid>
            <w:tr w14:paraId="2582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472" w:type="dxa"/>
                  <w:gridSpan w:val="3"/>
                  <w:vMerge w:val="restart"/>
                  <w:shd w:val="clear" w:color="auto" w:fill="auto"/>
                  <w:vAlign w:val="center"/>
                </w:tcPr>
                <w:p w14:paraId="215BE21B">
                  <w:pPr>
                    <w:pStyle w:val="24"/>
                  </w:pPr>
                  <w:r>
                    <w:t>站外建（构）筑物</w:t>
                  </w:r>
                </w:p>
              </w:tc>
              <w:tc>
                <w:tcPr>
                  <w:tcW w:w="2084" w:type="dxa"/>
                  <w:gridSpan w:val="2"/>
                  <w:shd w:val="clear" w:color="auto" w:fill="auto"/>
                  <w:vAlign w:val="center"/>
                </w:tcPr>
                <w:p w14:paraId="5CFDE2F3">
                  <w:pPr>
                    <w:pStyle w:val="24"/>
                  </w:pPr>
                  <w:r>
                    <w:t>埋地油罐</w:t>
                  </w:r>
                </w:p>
              </w:tc>
              <w:tc>
                <w:tcPr>
                  <w:tcW w:w="2145" w:type="dxa"/>
                  <w:gridSpan w:val="3"/>
                  <w:shd w:val="clear" w:color="auto" w:fill="auto"/>
                  <w:vAlign w:val="center"/>
                </w:tcPr>
                <w:p w14:paraId="12F86683">
                  <w:pPr>
                    <w:pStyle w:val="24"/>
                  </w:pPr>
                  <w:r>
                    <w:t>加油机、通风管管口</w:t>
                  </w:r>
                </w:p>
              </w:tc>
              <w:tc>
                <w:tcPr>
                  <w:tcW w:w="694" w:type="dxa"/>
                  <w:vMerge w:val="restart"/>
                  <w:shd w:val="clear" w:color="auto" w:fill="auto"/>
                  <w:vAlign w:val="center"/>
                </w:tcPr>
                <w:p w14:paraId="5E816816">
                  <w:pPr>
                    <w:pStyle w:val="24"/>
                  </w:pPr>
                  <w:r>
                    <w:t>结论</w:t>
                  </w:r>
                </w:p>
              </w:tc>
            </w:tr>
            <w:tr w14:paraId="601F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72" w:type="dxa"/>
                  <w:gridSpan w:val="3"/>
                  <w:vMerge w:val="continue"/>
                  <w:shd w:val="clear" w:color="auto" w:fill="auto"/>
                  <w:vAlign w:val="center"/>
                </w:tcPr>
                <w:p w14:paraId="2AAB98E6">
                  <w:pPr>
                    <w:pStyle w:val="24"/>
                  </w:pPr>
                </w:p>
              </w:tc>
              <w:tc>
                <w:tcPr>
                  <w:tcW w:w="1390" w:type="dxa"/>
                  <w:vMerge w:val="restart"/>
                  <w:shd w:val="clear" w:color="auto" w:fill="auto"/>
                  <w:vAlign w:val="center"/>
                </w:tcPr>
                <w:p w14:paraId="14157085">
                  <w:pPr>
                    <w:pStyle w:val="24"/>
                  </w:pPr>
                  <w:r>
                    <w:t>有卸油和加油油气回收系统</w:t>
                  </w:r>
                </w:p>
              </w:tc>
              <w:tc>
                <w:tcPr>
                  <w:tcW w:w="694" w:type="dxa"/>
                  <w:vMerge w:val="restart"/>
                  <w:shd w:val="clear" w:color="auto" w:fill="auto"/>
                  <w:vAlign w:val="center"/>
                </w:tcPr>
                <w:p w14:paraId="158A644D">
                  <w:pPr>
                    <w:pStyle w:val="24"/>
                  </w:pPr>
                  <w:r>
                    <w:t>实际</w:t>
                  </w:r>
                </w:p>
                <w:p w14:paraId="7936AA79">
                  <w:pPr>
                    <w:pStyle w:val="24"/>
                  </w:pPr>
                  <w:r>
                    <w:t>距离</w:t>
                  </w:r>
                </w:p>
              </w:tc>
              <w:tc>
                <w:tcPr>
                  <w:tcW w:w="757" w:type="dxa"/>
                  <w:vMerge w:val="restart"/>
                  <w:shd w:val="clear" w:color="auto" w:fill="auto"/>
                  <w:vAlign w:val="center"/>
                </w:tcPr>
                <w:p w14:paraId="4136CF41">
                  <w:pPr>
                    <w:pStyle w:val="24"/>
                  </w:pPr>
                  <w:r>
                    <w:t>有卸油和加油油气回收系统</w:t>
                  </w:r>
                </w:p>
              </w:tc>
              <w:tc>
                <w:tcPr>
                  <w:tcW w:w="1388" w:type="dxa"/>
                  <w:gridSpan w:val="2"/>
                  <w:shd w:val="clear" w:color="auto" w:fill="auto"/>
                  <w:vAlign w:val="center"/>
                </w:tcPr>
                <w:p w14:paraId="6EB9CEA5">
                  <w:pPr>
                    <w:pStyle w:val="24"/>
                  </w:pPr>
                  <w:r>
                    <w:t>实际距离</w:t>
                  </w:r>
                </w:p>
              </w:tc>
              <w:tc>
                <w:tcPr>
                  <w:tcW w:w="694" w:type="dxa"/>
                  <w:vMerge w:val="continue"/>
                  <w:shd w:val="clear" w:color="auto" w:fill="auto"/>
                  <w:vAlign w:val="center"/>
                </w:tcPr>
                <w:p w14:paraId="69398E91">
                  <w:pPr>
                    <w:pStyle w:val="24"/>
                  </w:pPr>
                </w:p>
              </w:tc>
            </w:tr>
            <w:tr w14:paraId="06D8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72" w:type="dxa"/>
                  <w:gridSpan w:val="3"/>
                  <w:vMerge w:val="continue"/>
                  <w:shd w:val="clear" w:color="auto" w:fill="auto"/>
                  <w:vAlign w:val="center"/>
                </w:tcPr>
                <w:p w14:paraId="2C4C1AF7">
                  <w:pPr>
                    <w:pStyle w:val="24"/>
                  </w:pPr>
                </w:p>
              </w:tc>
              <w:tc>
                <w:tcPr>
                  <w:tcW w:w="1390" w:type="dxa"/>
                  <w:vMerge w:val="continue"/>
                  <w:shd w:val="clear" w:color="auto" w:fill="auto"/>
                  <w:vAlign w:val="center"/>
                </w:tcPr>
                <w:p w14:paraId="7EB333D8">
                  <w:pPr>
                    <w:pStyle w:val="24"/>
                  </w:pPr>
                </w:p>
              </w:tc>
              <w:tc>
                <w:tcPr>
                  <w:tcW w:w="694" w:type="dxa"/>
                  <w:vMerge w:val="continue"/>
                  <w:shd w:val="clear" w:color="auto" w:fill="auto"/>
                  <w:vAlign w:val="center"/>
                </w:tcPr>
                <w:p w14:paraId="3BD8D590">
                  <w:pPr>
                    <w:pStyle w:val="24"/>
                  </w:pPr>
                </w:p>
              </w:tc>
              <w:tc>
                <w:tcPr>
                  <w:tcW w:w="757" w:type="dxa"/>
                  <w:vMerge w:val="continue"/>
                  <w:shd w:val="clear" w:color="auto" w:fill="auto"/>
                  <w:vAlign w:val="center"/>
                </w:tcPr>
                <w:p w14:paraId="0885C4F7">
                  <w:pPr>
                    <w:pStyle w:val="24"/>
                  </w:pPr>
                </w:p>
              </w:tc>
              <w:tc>
                <w:tcPr>
                  <w:tcW w:w="694" w:type="dxa"/>
                  <w:shd w:val="clear" w:color="auto" w:fill="auto"/>
                  <w:vAlign w:val="center"/>
                </w:tcPr>
                <w:p w14:paraId="0EE1EE6E">
                  <w:pPr>
                    <w:pStyle w:val="24"/>
                  </w:pPr>
                  <w:r>
                    <w:t>加油机</w:t>
                  </w:r>
                </w:p>
              </w:tc>
              <w:tc>
                <w:tcPr>
                  <w:tcW w:w="694" w:type="dxa"/>
                  <w:shd w:val="clear" w:color="auto" w:fill="auto"/>
                  <w:vAlign w:val="center"/>
                </w:tcPr>
                <w:p w14:paraId="0C84BC5E">
                  <w:pPr>
                    <w:pStyle w:val="24"/>
                  </w:pPr>
                  <w:r>
                    <w:t>通风管管口</w:t>
                  </w:r>
                </w:p>
              </w:tc>
              <w:tc>
                <w:tcPr>
                  <w:tcW w:w="694" w:type="dxa"/>
                  <w:vMerge w:val="continue"/>
                  <w:shd w:val="clear" w:color="auto" w:fill="auto"/>
                  <w:vAlign w:val="center"/>
                </w:tcPr>
                <w:p w14:paraId="5B3B23C9">
                  <w:pPr>
                    <w:pStyle w:val="24"/>
                  </w:pPr>
                </w:p>
              </w:tc>
            </w:tr>
            <w:tr w14:paraId="6A81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472" w:type="dxa"/>
                  <w:gridSpan w:val="3"/>
                  <w:shd w:val="clear" w:color="auto" w:fill="auto"/>
                  <w:vAlign w:val="center"/>
                </w:tcPr>
                <w:p w14:paraId="428BD4D6">
                  <w:pPr>
                    <w:pStyle w:val="24"/>
                  </w:pPr>
                  <w:r>
                    <w:t>重要公共建筑物</w:t>
                  </w:r>
                </w:p>
              </w:tc>
              <w:tc>
                <w:tcPr>
                  <w:tcW w:w="1390" w:type="dxa"/>
                  <w:shd w:val="clear" w:color="auto" w:fill="auto"/>
                  <w:vAlign w:val="center"/>
                </w:tcPr>
                <w:p w14:paraId="0970DE0D">
                  <w:pPr>
                    <w:pStyle w:val="24"/>
                  </w:pPr>
                  <w:r>
                    <w:t>35</w:t>
                  </w:r>
                </w:p>
              </w:tc>
              <w:tc>
                <w:tcPr>
                  <w:tcW w:w="694" w:type="dxa"/>
                  <w:shd w:val="clear" w:color="auto" w:fill="auto"/>
                  <w:vAlign w:val="center"/>
                </w:tcPr>
                <w:p w14:paraId="4A035710">
                  <w:pPr>
                    <w:pStyle w:val="24"/>
                  </w:pPr>
                  <w:r>
                    <w:rPr>
                      <w:rFonts w:hint="eastAsia"/>
                    </w:rPr>
                    <w:t>/</w:t>
                  </w:r>
                </w:p>
              </w:tc>
              <w:tc>
                <w:tcPr>
                  <w:tcW w:w="757" w:type="dxa"/>
                  <w:shd w:val="clear" w:color="auto" w:fill="auto"/>
                  <w:vAlign w:val="center"/>
                </w:tcPr>
                <w:p w14:paraId="7D2FDF72">
                  <w:pPr>
                    <w:pStyle w:val="24"/>
                  </w:pPr>
                  <w:r>
                    <w:t>35</w:t>
                  </w:r>
                </w:p>
              </w:tc>
              <w:tc>
                <w:tcPr>
                  <w:tcW w:w="694" w:type="dxa"/>
                  <w:shd w:val="clear" w:color="auto" w:fill="auto"/>
                  <w:vAlign w:val="center"/>
                </w:tcPr>
                <w:p w14:paraId="309C0210">
                  <w:pPr>
                    <w:pStyle w:val="24"/>
                  </w:pPr>
                  <w:r>
                    <w:rPr>
                      <w:rFonts w:hint="eastAsia"/>
                    </w:rPr>
                    <w:t>/</w:t>
                  </w:r>
                </w:p>
              </w:tc>
              <w:tc>
                <w:tcPr>
                  <w:tcW w:w="694" w:type="dxa"/>
                  <w:shd w:val="clear" w:color="auto" w:fill="auto"/>
                  <w:vAlign w:val="center"/>
                </w:tcPr>
                <w:p w14:paraId="6C07FE25">
                  <w:pPr>
                    <w:pStyle w:val="24"/>
                  </w:pPr>
                  <w:r>
                    <w:rPr>
                      <w:rFonts w:hint="eastAsia"/>
                    </w:rPr>
                    <w:t>/</w:t>
                  </w:r>
                </w:p>
              </w:tc>
              <w:tc>
                <w:tcPr>
                  <w:tcW w:w="694" w:type="dxa"/>
                  <w:shd w:val="clear" w:color="auto" w:fill="auto"/>
                  <w:vAlign w:val="center"/>
                </w:tcPr>
                <w:p w14:paraId="09ADC595">
                  <w:pPr>
                    <w:pStyle w:val="24"/>
                  </w:pPr>
                  <w:r>
                    <w:t>满足</w:t>
                  </w:r>
                </w:p>
              </w:tc>
            </w:tr>
            <w:tr w14:paraId="3ACC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472" w:type="dxa"/>
                  <w:gridSpan w:val="3"/>
                  <w:shd w:val="clear" w:color="auto" w:fill="auto"/>
                  <w:vAlign w:val="center"/>
                </w:tcPr>
                <w:p w14:paraId="0BED1FC6">
                  <w:pPr>
                    <w:pStyle w:val="24"/>
                  </w:pPr>
                  <w:r>
                    <w:t>明火地点或散发火花地点</w:t>
                  </w:r>
                </w:p>
              </w:tc>
              <w:tc>
                <w:tcPr>
                  <w:tcW w:w="1390" w:type="dxa"/>
                  <w:shd w:val="clear" w:color="auto" w:fill="auto"/>
                  <w:vAlign w:val="center"/>
                </w:tcPr>
                <w:p w14:paraId="22E89EF6">
                  <w:pPr>
                    <w:pStyle w:val="24"/>
                  </w:pPr>
                  <w:r>
                    <w:rPr>
                      <w:rFonts w:hint="eastAsia"/>
                    </w:rPr>
                    <w:t>17.5</w:t>
                  </w:r>
                </w:p>
              </w:tc>
              <w:tc>
                <w:tcPr>
                  <w:tcW w:w="694" w:type="dxa"/>
                  <w:shd w:val="clear" w:color="auto" w:fill="auto"/>
                  <w:vAlign w:val="center"/>
                </w:tcPr>
                <w:p w14:paraId="51270767">
                  <w:pPr>
                    <w:pStyle w:val="24"/>
                  </w:pPr>
                  <w:r>
                    <w:rPr>
                      <w:rFonts w:hint="eastAsia"/>
                    </w:rPr>
                    <w:t>/</w:t>
                  </w:r>
                </w:p>
              </w:tc>
              <w:tc>
                <w:tcPr>
                  <w:tcW w:w="757" w:type="dxa"/>
                  <w:shd w:val="clear" w:color="auto" w:fill="auto"/>
                  <w:vAlign w:val="center"/>
                </w:tcPr>
                <w:p w14:paraId="6153D18F">
                  <w:pPr>
                    <w:pStyle w:val="24"/>
                  </w:pPr>
                  <w:r>
                    <w:t>12.5</w:t>
                  </w:r>
                </w:p>
              </w:tc>
              <w:tc>
                <w:tcPr>
                  <w:tcW w:w="694" w:type="dxa"/>
                  <w:shd w:val="clear" w:color="auto" w:fill="auto"/>
                  <w:vAlign w:val="center"/>
                </w:tcPr>
                <w:p w14:paraId="679B3E4D">
                  <w:pPr>
                    <w:pStyle w:val="24"/>
                  </w:pPr>
                  <w:r>
                    <w:rPr>
                      <w:rFonts w:hint="eastAsia"/>
                    </w:rPr>
                    <w:t>/</w:t>
                  </w:r>
                </w:p>
              </w:tc>
              <w:tc>
                <w:tcPr>
                  <w:tcW w:w="694" w:type="dxa"/>
                  <w:shd w:val="clear" w:color="auto" w:fill="auto"/>
                  <w:vAlign w:val="center"/>
                </w:tcPr>
                <w:p w14:paraId="49B20AA1">
                  <w:pPr>
                    <w:pStyle w:val="24"/>
                  </w:pPr>
                  <w:r>
                    <w:rPr>
                      <w:rFonts w:hint="eastAsia"/>
                    </w:rPr>
                    <w:t>/</w:t>
                  </w:r>
                </w:p>
              </w:tc>
              <w:tc>
                <w:tcPr>
                  <w:tcW w:w="694" w:type="dxa"/>
                  <w:vMerge w:val="restart"/>
                  <w:shd w:val="clear" w:color="auto" w:fill="auto"/>
                  <w:vAlign w:val="center"/>
                </w:tcPr>
                <w:p w14:paraId="4E4EA997">
                  <w:pPr>
                    <w:pStyle w:val="24"/>
                  </w:pPr>
                  <w:r>
                    <w:rPr>
                      <w:rFonts w:hint="eastAsia"/>
                    </w:rPr>
                    <w:t>满足</w:t>
                  </w:r>
                </w:p>
              </w:tc>
            </w:tr>
            <w:tr w14:paraId="1F92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93" w:type="dxa"/>
                  <w:vMerge w:val="restart"/>
                  <w:shd w:val="clear" w:color="auto" w:fill="auto"/>
                  <w:vAlign w:val="center"/>
                </w:tcPr>
                <w:p w14:paraId="60528579">
                  <w:pPr>
                    <w:pStyle w:val="24"/>
                  </w:pPr>
                  <w:r>
                    <w:t>民用建筑物保护类别</w:t>
                  </w:r>
                </w:p>
              </w:tc>
              <w:tc>
                <w:tcPr>
                  <w:tcW w:w="849" w:type="dxa"/>
                  <w:shd w:val="clear" w:color="auto" w:fill="auto"/>
                  <w:vAlign w:val="center"/>
                </w:tcPr>
                <w:p w14:paraId="58D75D21">
                  <w:pPr>
                    <w:pStyle w:val="24"/>
                  </w:pPr>
                  <w:r>
                    <w:t>一类保护物</w:t>
                  </w:r>
                </w:p>
              </w:tc>
              <w:tc>
                <w:tcPr>
                  <w:tcW w:w="930" w:type="dxa"/>
                  <w:shd w:val="clear" w:color="auto" w:fill="auto"/>
                  <w:vAlign w:val="center"/>
                </w:tcPr>
                <w:p w14:paraId="591CA396">
                  <w:pPr>
                    <w:pStyle w:val="24"/>
                  </w:pPr>
                  <w:r>
                    <w:rPr>
                      <w:rFonts w:hint="eastAsia"/>
                    </w:rPr>
                    <w:t>/</w:t>
                  </w:r>
                </w:p>
              </w:tc>
              <w:tc>
                <w:tcPr>
                  <w:tcW w:w="1390" w:type="dxa"/>
                  <w:shd w:val="clear" w:color="auto" w:fill="auto"/>
                  <w:vAlign w:val="center"/>
                </w:tcPr>
                <w:p w14:paraId="3ABCA136">
                  <w:pPr>
                    <w:pStyle w:val="24"/>
                  </w:pPr>
                  <w:r>
                    <w:rPr>
                      <w:rFonts w:hint="eastAsia"/>
                    </w:rPr>
                    <w:t>14</w:t>
                  </w:r>
                </w:p>
              </w:tc>
              <w:tc>
                <w:tcPr>
                  <w:tcW w:w="694" w:type="dxa"/>
                  <w:shd w:val="clear" w:color="auto" w:fill="auto"/>
                  <w:vAlign w:val="center"/>
                </w:tcPr>
                <w:p w14:paraId="718167C9">
                  <w:pPr>
                    <w:pStyle w:val="24"/>
                  </w:pPr>
                  <w:r>
                    <w:rPr>
                      <w:rFonts w:hint="eastAsia"/>
                    </w:rPr>
                    <w:t>/</w:t>
                  </w:r>
                </w:p>
              </w:tc>
              <w:tc>
                <w:tcPr>
                  <w:tcW w:w="757" w:type="dxa"/>
                  <w:shd w:val="clear" w:color="auto" w:fill="auto"/>
                  <w:vAlign w:val="center"/>
                </w:tcPr>
                <w:p w14:paraId="0C777BB0">
                  <w:pPr>
                    <w:pStyle w:val="24"/>
                  </w:pPr>
                  <w:r>
                    <w:t>11</w:t>
                  </w:r>
                </w:p>
              </w:tc>
              <w:tc>
                <w:tcPr>
                  <w:tcW w:w="694" w:type="dxa"/>
                  <w:shd w:val="clear" w:color="auto" w:fill="auto"/>
                  <w:vAlign w:val="center"/>
                </w:tcPr>
                <w:p w14:paraId="5ED0D78B">
                  <w:pPr>
                    <w:pStyle w:val="24"/>
                  </w:pPr>
                  <w:r>
                    <w:rPr>
                      <w:rFonts w:hint="eastAsia"/>
                    </w:rPr>
                    <w:t>/</w:t>
                  </w:r>
                </w:p>
              </w:tc>
              <w:tc>
                <w:tcPr>
                  <w:tcW w:w="694" w:type="dxa"/>
                  <w:shd w:val="clear" w:color="auto" w:fill="auto"/>
                  <w:vAlign w:val="center"/>
                </w:tcPr>
                <w:p w14:paraId="0CE9C9B7">
                  <w:pPr>
                    <w:pStyle w:val="24"/>
                  </w:pPr>
                  <w:r>
                    <w:rPr>
                      <w:rFonts w:hint="eastAsia"/>
                    </w:rPr>
                    <w:t>/</w:t>
                  </w:r>
                </w:p>
              </w:tc>
              <w:tc>
                <w:tcPr>
                  <w:tcW w:w="694" w:type="dxa"/>
                  <w:vMerge w:val="continue"/>
                  <w:shd w:val="clear" w:color="auto" w:fill="auto"/>
                  <w:vAlign w:val="center"/>
                </w:tcPr>
                <w:p w14:paraId="7FEC1944">
                  <w:pPr>
                    <w:pStyle w:val="24"/>
                  </w:pPr>
                </w:p>
              </w:tc>
            </w:tr>
            <w:tr w14:paraId="48B8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93" w:type="dxa"/>
                  <w:vMerge w:val="continue"/>
                  <w:shd w:val="clear" w:color="auto" w:fill="auto"/>
                  <w:vAlign w:val="center"/>
                </w:tcPr>
                <w:p w14:paraId="4668EB72">
                  <w:pPr>
                    <w:pStyle w:val="24"/>
                  </w:pPr>
                </w:p>
              </w:tc>
              <w:tc>
                <w:tcPr>
                  <w:tcW w:w="849" w:type="dxa"/>
                  <w:shd w:val="clear" w:color="auto" w:fill="auto"/>
                  <w:vAlign w:val="center"/>
                </w:tcPr>
                <w:p w14:paraId="421D3C7F">
                  <w:pPr>
                    <w:pStyle w:val="24"/>
                  </w:pPr>
                  <w:r>
                    <w:t>二类保护物</w:t>
                  </w:r>
                </w:p>
              </w:tc>
              <w:tc>
                <w:tcPr>
                  <w:tcW w:w="930" w:type="dxa"/>
                  <w:shd w:val="clear" w:color="auto" w:fill="auto"/>
                  <w:vAlign w:val="center"/>
                </w:tcPr>
                <w:p w14:paraId="76A6A3EF">
                  <w:pPr>
                    <w:pStyle w:val="24"/>
                  </w:pPr>
                  <w:r>
                    <w:rPr>
                      <w:rFonts w:hint="eastAsia"/>
                    </w:rPr>
                    <w:t>北侧停车位</w:t>
                  </w:r>
                </w:p>
              </w:tc>
              <w:tc>
                <w:tcPr>
                  <w:tcW w:w="1390" w:type="dxa"/>
                  <w:shd w:val="clear" w:color="auto" w:fill="auto"/>
                  <w:vAlign w:val="center"/>
                </w:tcPr>
                <w:p w14:paraId="71EBF2D2">
                  <w:pPr>
                    <w:pStyle w:val="24"/>
                  </w:pPr>
                  <w:r>
                    <w:rPr>
                      <w:rFonts w:hint="eastAsia"/>
                    </w:rPr>
                    <w:t>11</w:t>
                  </w:r>
                </w:p>
              </w:tc>
              <w:tc>
                <w:tcPr>
                  <w:tcW w:w="694" w:type="dxa"/>
                  <w:shd w:val="clear" w:color="auto" w:fill="auto"/>
                  <w:vAlign w:val="center"/>
                </w:tcPr>
                <w:p w14:paraId="03CF4AD1">
                  <w:pPr>
                    <w:pStyle w:val="24"/>
                  </w:pPr>
                  <w:r>
                    <w:rPr>
                      <w:rFonts w:hint="eastAsia"/>
                    </w:rPr>
                    <w:t>26.8</w:t>
                  </w:r>
                </w:p>
              </w:tc>
              <w:tc>
                <w:tcPr>
                  <w:tcW w:w="757" w:type="dxa"/>
                  <w:shd w:val="clear" w:color="auto" w:fill="auto"/>
                  <w:vAlign w:val="center"/>
                </w:tcPr>
                <w:p w14:paraId="4275F663">
                  <w:pPr>
                    <w:pStyle w:val="24"/>
                  </w:pPr>
                  <w:r>
                    <w:t>8.5</w:t>
                  </w:r>
                </w:p>
              </w:tc>
              <w:tc>
                <w:tcPr>
                  <w:tcW w:w="694" w:type="dxa"/>
                  <w:shd w:val="clear" w:color="auto" w:fill="auto"/>
                  <w:vAlign w:val="center"/>
                </w:tcPr>
                <w:p w14:paraId="427A123A">
                  <w:pPr>
                    <w:pStyle w:val="24"/>
                  </w:pPr>
                  <w:r>
                    <w:rPr>
                      <w:rFonts w:hint="eastAsia"/>
                    </w:rPr>
                    <w:t>22.9</w:t>
                  </w:r>
                </w:p>
              </w:tc>
              <w:tc>
                <w:tcPr>
                  <w:tcW w:w="694" w:type="dxa"/>
                  <w:shd w:val="clear" w:color="auto" w:fill="auto"/>
                  <w:vAlign w:val="center"/>
                </w:tcPr>
                <w:p w14:paraId="601A01E0">
                  <w:pPr>
                    <w:pStyle w:val="24"/>
                  </w:pPr>
                  <w:r>
                    <w:rPr>
                      <w:rFonts w:hint="eastAsia"/>
                    </w:rPr>
                    <w:t>23.2</w:t>
                  </w:r>
                </w:p>
              </w:tc>
              <w:tc>
                <w:tcPr>
                  <w:tcW w:w="694" w:type="dxa"/>
                  <w:vMerge w:val="continue"/>
                  <w:shd w:val="clear" w:color="auto" w:fill="auto"/>
                  <w:vAlign w:val="center"/>
                </w:tcPr>
                <w:p w14:paraId="60C6E12A">
                  <w:pPr>
                    <w:pStyle w:val="24"/>
                  </w:pPr>
                </w:p>
              </w:tc>
            </w:tr>
            <w:tr w14:paraId="4685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93" w:type="dxa"/>
                  <w:vMerge w:val="continue"/>
                  <w:shd w:val="clear" w:color="auto" w:fill="auto"/>
                  <w:vAlign w:val="center"/>
                </w:tcPr>
                <w:p w14:paraId="795918A5">
                  <w:pPr>
                    <w:pStyle w:val="24"/>
                  </w:pPr>
                </w:p>
              </w:tc>
              <w:tc>
                <w:tcPr>
                  <w:tcW w:w="849" w:type="dxa"/>
                  <w:shd w:val="clear" w:color="auto" w:fill="auto"/>
                  <w:vAlign w:val="center"/>
                </w:tcPr>
                <w:p w14:paraId="6A137031">
                  <w:pPr>
                    <w:pStyle w:val="24"/>
                  </w:pPr>
                  <w:r>
                    <w:t>三类保护物</w:t>
                  </w:r>
                </w:p>
              </w:tc>
              <w:tc>
                <w:tcPr>
                  <w:tcW w:w="930" w:type="dxa"/>
                  <w:shd w:val="clear" w:color="auto" w:fill="auto"/>
                  <w:vAlign w:val="center"/>
                </w:tcPr>
                <w:p w14:paraId="06C40A8E">
                  <w:pPr>
                    <w:pStyle w:val="24"/>
                  </w:pPr>
                  <w:r>
                    <w:rPr>
                      <w:rFonts w:hint="eastAsia"/>
                    </w:rPr>
                    <w:t>预留换电设备</w:t>
                  </w:r>
                </w:p>
              </w:tc>
              <w:tc>
                <w:tcPr>
                  <w:tcW w:w="1390" w:type="dxa"/>
                  <w:shd w:val="clear" w:color="auto" w:fill="auto"/>
                  <w:vAlign w:val="center"/>
                </w:tcPr>
                <w:p w14:paraId="29D59BA4">
                  <w:pPr>
                    <w:pStyle w:val="24"/>
                  </w:pPr>
                  <w:r>
                    <w:rPr>
                      <w:rFonts w:hint="eastAsia"/>
                    </w:rPr>
                    <w:t>8.5</w:t>
                  </w:r>
                </w:p>
              </w:tc>
              <w:tc>
                <w:tcPr>
                  <w:tcW w:w="694" w:type="dxa"/>
                  <w:shd w:val="clear" w:color="auto" w:fill="auto"/>
                  <w:vAlign w:val="center"/>
                </w:tcPr>
                <w:p w14:paraId="02C0A2F2">
                  <w:pPr>
                    <w:pStyle w:val="24"/>
                  </w:pPr>
                  <w:r>
                    <w:rPr>
                      <w:rFonts w:hint="eastAsia"/>
                    </w:rPr>
                    <w:t>15.4</w:t>
                  </w:r>
                </w:p>
              </w:tc>
              <w:tc>
                <w:tcPr>
                  <w:tcW w:w="757" w:type="dxa"/>
                  <w:shd w:val="clear" w:color="auto" w:fill="auto"/>
                  <w:vAlign w:val="center"/>
                </w:tcPr>
                <w:p w14:paraId="3337D284">
                  <w:pPr>
                    <w:pStyle w:val="24"/>
                  </w:pPr>
                  <w:r>
                    <w:t>7</w:t>
                  </w:r>
                </w:p>
              </w:tc>
              <w:tc>
                <w:tcPr>
                  <w:tcW w:w="694" w:type="dxa"/>
                  <w:shd w:val="clear" w:color="auto" w:fill="auto"/>
                  <w:vAlign w:val="center"/>
                </w:tcPr>
                <w:p w14:paraId="7F93D90F">
                  <w:pPr>
                    <w:pStyle w:val="24"/>
                  </w:pPr>
                  <w:r>
                    <w:rPr>
                      <w:rFonts w:hint="eastAsia"/>
                    </w:rPr>
                    <w:t>14.6</w:t>
                  </w:r>
                </w:p>
              </w:tc>
              <w:tc>
                <w:tcPr>
                  <w:tcW w:w="694" w:type="dxa"/>
                  <w:shd w:val="clear" w:color="auto" w:fill="auto"/>
                  <w:vAlign w:val="center"/>
                </w:tcPr>
                <w:p w14:paraId="65FB13C0">
                  <w:pPr>
                    <w:pStyle w:val="24"/>
                  </w:pPr>
                  <w:r>
                    <w:rPr>
                      <w:rFonts w:hint="eastAsia"/>
                    </w:rPr>
                    <w:t>13.5</w:t>
                  </w:r>
                </w:p>
              </w:tc>
              <w:tc>
                <w:tcPr>
                  <w:tcW w:w="694" w:type="dxa"/>
                  <w:vMerge w:val="continue"/>
                  <w:shd w:val="clear" w:color="auto" w:fill="auto"/>
                  <w:vAlign w:val="center"/>
                </w:tcPr>
                <w:p w14:paraId="6C319DF7">
                  <w:pPr>
                    <w:pStyle w:val="24"/>
                  </w:pPr>
                </w:p>
              </w:tc>
            </w:tr>
            <w:tr w14:paraId="7B3A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472" w:type="dxa"/>
                  <w:gridSpan w:val="3"/>
                  <w:shd w:val="clear" w:color="auto" w:fill="auto"/>
                  <w:vAlign w:val="center"/>
                </w:tcPr>
                <w:p w14:paraId="1C8EC279">
                  <w:pPr>
                    <w:pStyle w:val="24"/>
                  </w:pPr>
                  <w:r>
                    <w:t>甲、乙类物品生产厂房、库房和甲、乙类液体储罐</w:t>
                  </w:r>
                </w:p>
              </w:tc>
              <w:tc>
                <w:tcPr>
                  <w:tcW w:w="1390" w:type="dxa"/>
                  <w:shd w:val="clear" w:color="auto" w:fill="auto"/>
                  <w:vAlign w:val="center"/>
                </w:tcPr>
                <w:p w14:paraId="2BC7538E">
                  <w:pPr>
                    <w:pStyle w:val="24"/>
                  </w:pPr>
                  <w:r>
                    <w:rPr>
                      <w:rFonts w:hint="eastAsia"/>
                    </w:rPr>
                    <w:t>15.5</w:t>
                  </w:r>
                </w:p>
              </w:tc>
              <w:tc>
                <w:tcPr>
                  <w:tcW w:w="694" w:type="dxa"/>
                  <w:shd w:val="clear" w:color="auto" w:fill="auto"/>
                  <w:vAlign w:val="center"/>
                </w:tcPr>
                <w:p w14:paraId="18DD3FE3">
                  <w:pPr>
                    <w:pStyle w:val="24"/>
                  </w:pPr>
                  <w:r>
                    <w:rPr>
                      <w:rFonts w:hint="eastAsia"/>
                    </w:rPr>
                    <w:t>/</w:t>
                  </w:r>
                </w:p>
              </w:tc>
              <w:tc>
                <w:tcPr>
                  <w:tcW w:w="757" w:type="dxa"/>
                  <w:shd w:val="clear" w:color="auto" w:fill="auto"/>
                  <w:vAlign w:val="center"/>
                </w:tcPr>
                <w:p w14:paraId="7AE89E02">
                  <w:pPr>
                    <w:pStyle w:val="24"/>
                  </w:pPr>
                  <w:r>
                    <w:t>12.5</w:t>
                  </w:r>
                </w:p>
              </w:tc>
              <w:tc>
                <w:tcPr>
                  <w:tcW w:w="694" w:type="dxa"/>
                  <w:shd w:val="clear" w:color="auto" w:fill="auto"/>
                  <w:vAlign w:val="center"/>
                </w:tcPr>
                <w:p w14:paraId="4902BBEC">
                  <w:pPr>
                    <w:pStyle w:val="24"/>
                  </w:pPr>
                  <w:r>
                    <w:rPr>
                      <w:rFonts w:hint="eastAsia"/>
                    </w:rPr>
                    <w:t>/</w:t>
                  </w:r>
                </w:p>
              </w:tc>
              <w:tc>
                <w:tcPr>
                  <w:tcW w:w="694" w:type="dxa"/>
                  <w:shd w:val="clear" w:color="auto" w:fill="auto"/>
                  <w:vAlign w:val="center"/>
                </w:tcPr>
                <w:p w14:paraId="08F016B1">
                  <w:pPr>
                    <w:pStyle w:val="24"/>
                  </w:pPr>
                  <w:r>
                    <w:rPr>
                      <w:rFonts w:hint="eastAsia"/>
                    </w:rPr>
                    <w:t>/</w:t>
                  </w:r>
                </w:p>
              </w:tc>
              <w:tc>
                <w:tcPr>
                  <w:tcW w:w="694" w:type="dxa"/>
                  <w:vMerge w:val="continue"/>
                  <w:shd w:val="clear" w:color="auto" w:fill="auto"/>
                  <w:vAlign w:val="center"/>
                </w:tcPr>
                <w:p w14:paraId="7DA3427D">
                  <w:pPr>
                    <w:pStyle w:val="24"/>
                  </w:pPr>
                </w:p>
              </w:tc>
            </w:tr>
            <w:tr w14:paraId="47A7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472" w:type="dxa"/>
                  <w:gridSpan w:val="3"/>
                  <w:shd w:val="clear" w:color="auto" w:fill="auto"/>
                  <w:vAlign w:val="center"/>
                </w:tcPr>
                <w:p w14:paraId="14F76990">
                  <w:pPr>
                    <w:pStyle w:val="24"/>
                  </w:pPr>
                  <w:r>
                    <w:t>丙、丁、戊类物品生产厂房、库房和丙类液体储罐以及容积不大于50m</w:t>
                  </w:r>
                  <w:r>
                    <w:rPr>
                      <w:vertAlign w:val="superscript"/>
                    </w:rPr>
                    <w:t>3</w:t>
                  </w:r>
                  <w:r>
                    <w:t>的埋地甲、乙类液体储罐</w:t>
                  </w:r>
                </w:p>
              </w:tc>
              <w:tc>
                <w:tcPr>
                  <w:tcW w:w="1390" w:type="dxa"/>
                  <w:shd w:val="clear" w:color="auto" w:fill="auto"/>
                  <w:vAlign w:val="center"/>
                </w:tcPr>
                <w:p w14:paraId="7299776D">
                  <w:pPr>
                    <w:pStyle w:val="24"/>
                  </w:pPr>
                  <w:r>
                    <w:rPr>
                      <w:rFonts w:hint="eastAsia"/>
                    </w:rPr>
                    <w:t>11</w:t>
                  </w:r>
                </w:p>
              </w:tc>
              <w:tc>
                <w:tcPr>
                  <w:tcW w:w="694" w:type="dxa"/>
                  <w:shd w:val="clear" w:color="auto" w:fill="auto"/>
                  <w:vAlign w:val="center"/>
                </w:tcPr>
                <w:p w14:paraId="048780B2">
                  <w:pPr>
                    <w:pStyle w:val="24"/>
                  </w:pPr>
                  <w:r>
                    <w:rPr>
                      <w:rFonts w:hint="eastAsia"/>
                    </w:rPr>
                    <w:t>/</w:t>
                  </w:r>
                </w:p>
              </w:tc>
              <w:tc>
                <w:tcPr>
                  <w:tcW w:w="757" w:type="dxa"/>
                  <w:shd w:val="clear" w:color="auto" w:fill="auto"/>
                  <w:vAlign w:val="center"/>
                </w:tcPr>
                <w:p w14:paraId="5D60D5F3">
                  <w:pPr>
                    <w:pStyle w:val="24"/>
                  </w:pPr>
                  <w:r>
                    <w:t>10.5</w:t>
                  </w:r>
                </w:p>
              </w:tc>
              <w:tc>
                <w:tcPr>
                  <w:tcW w:w="694" w:type="dxa"/>
                  <w:shd w:val="clear" w:color="auto" w:fill="auto"/>
                  <w:vAlign w:val="center"/>
                </w:tcPr>
                <w:p w14:paraId="66FCA856">
                  <w:pPr>
                    <w:pStyle w:val="24"/>
                  </w:pPr>
                  <w:r>
                    <w:rPr>
                      <w:rFonts w:hint="eastAsia"/>
                    </w:rPr>
                    <w:t>/</w:t>
                  </w:r>
                </w:p>
              </w:tc>
              <w:tc>
                <w:tcPr>
                  <w:tcW w:w="694" w:type="dxa"/>
                  <w:shd w:val="clear" w:color="auto" w:fill="auto"/>
                  <w:vAlign w:val="center"/>
                </w:tcPr>
                <w:p w14:paraId="05D2DC03">
                  <w:pPr>
                    <w:pStyle w:val="24"/>
                  </w:pPr>
                  <w:r>
                    <w:rPr>
                      <w:rFonts w:hint="eastAsia"/>
                    </w:rPr>
                    <w:t>/</w:t>
                  </w:r>
                </w:p>
              </w:tc>
              <w:tc>
                <w:tcPr>
                  <w:tcW w:w="694" w:type="dxa"/>
                  <w:vMerge w:val="continue"/>
                  <w:shd w:val="clear" w:color="auto" w:fill="auto"/>
                  <w:vAlign w:val="center"/>
                </w:tcPr>
                <w:p w14:paraId="054F20BB">
                  <w:pPr>
                    <w:pStyle w:val="24"/>
                  </w:pPr>
                </w:p>
              </w:tc>
            </w:tr>
            <w:tr w14:paraId="7C6D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472" w:type="dxa"/>
                  <w:gridSpan w:val="3"/>
                  <w:shd w:val="clear" w:color="auto" w:fill="auto"/>
                  <w:vAlign w:val="center"/>
                </w:tcPr>
                <w:p w14:paraId="7ACA5B0E">
                  <w:pPr>
                    <w:pStyle w:val="24"/>
                  </w:pPr>
                  <w:r>
                    <w:t>室外变配电站</w:t>
                  </w:r>
                </w:p>
              </w:tc>
              <w:tc>
                <w:tcPr>
                  <w:tcW w:w="1390" w:type="dxa"/>
                  <w:shd w:val="clear" w:color="auto" w:fill="auto"/>
                  <w:vAlign w:val="center"/>
                </w:tcPr>
                <w:p w14:paraId="401416C1">
                  <w:pPr>
                    <w:pStyle w:val="24"/>
                  </w:pPr>
                  <w:r>
                    <w:rPr>
                      <w:rFonts w:hint="eastAsia"/>
                    </w:rPr>
                    <w:t>15.5</w:t>
                  </w:r>
                </w:p>
              </w:tc>
              <w:tc>
                <w:tcPr>
                  <w:tcW w:w="694" w:type="dxa"/>
                  <w:shd w:val="clear" w:color="auto" w:fill="auto"/>
                  <w:vAlign w:val="center"/>
                </w:tcPr>
                <w:p w14:paraId="5DB9CEE4">
                  <w:pPr>
                    <w:pStyle w:val="24"/>
                  </w:pPr>
                  <w:r>
                    <w:rPr>
                      <w:rFonts w:hint="eastAsia"/>
                    </w:rPr>
                    <w:t>/</w:t>
                  </w:r>
                </w:p>
              </w:tc>
              <w:tc>
                <w:tcPr>
                  <w:tcW w:w="757" w:type="dxa"/>
                  <w:shd w:val="clear" w:color="auto" w:fill="auto"/>
                  <w:vAlign w:val="center"/>
                </w:tcPr>
                <w:p w14:paraId="3C42E66E">
                  <w:pPr>
                    <w:pStyle w:val="24"/>
                  </w:pPr>
                  <w:r>
                    <w:t>12.5</w:t>
                  </w:r>
                </w:p>
              </w:tc>
              <w:tc>
                <w:tcPr>
                  <w:tcW w:w="694" w:type="dxa"/>
                  <w:shd w:val="clear" w:color="auto" w:fill="auto"/>
                  <w:vAlign w:val="center"/>
                </w:tcPr>
                <w:p w14:paraId="6D8EEF7C">
                  <w:pPr>
                    <w:pStyle w:val="24"/>
                  </w:pPr>
                  <w:r>
                    <w:rPr>
                      <w:rFonts w:hint="eastAsia"/>
                    </w:rPr>
                    <w:t>/</w:t>
                  </w:r>
                </w:p>
              </w:tc>
              <w:tc>
                <w:tcPr>
                  <w:tcW w:w="694" w:type="dxa"/>
                  <w:shd w:val="clear" w:color="auto" w:fill="auto"/>
                  <w:vAlign w:val="center"/>
                </w:tcPr>
                <w:p w14:paraId="1F866CF9">
                  <w:pPr>
                    <w:pStyle w:val="24"/>
                  </w:pPr>
                  <w:r>
                    <w:rPr>
                      <w:rFonts w:hint="eastAsia"/>
                    </w:rPr>
                    <w:t>/</w:t>
                  </w:r>
                </w:p>
              </w:tc>
              <w:tc>
                <w:tcPr>
                  <w:tcW w:w="694" w:type="dxa"/>
                  <w:vMerge w:val="continue"/>
                  <w:shd w:val="clear" w:color="auto" w:fill="auto"/>
                  <w:vAlign w:val="center"/>
                </w:tcPr>
                <w:p w14:paraId="030F48EE">
                  <w:pPr>
                    <w:pStyle w:val="24"/>
                  </w:pPr>
                </w:p>
              </w:tc>
            </w:tr>
            <w:tr w14:paraId="0CF5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472" w:type="dxa"/>
                  <w:gridSpan w:val="3"/>
                  <w:shd w:val="clear" w:color="auto" w:fill="auto"/>
                  <w:vAlign w:val="center"/>
                </w:tcPr>
                <w:p w14:paraId="0E53D569">
                  <w:pPr>
                    <w:pStyle w:val="24"/>
                  </w:pPr>
                  <w:r>
                    <w:t>铁路、地上城市轨道线路</w:t>
                  </w:r>
                </w:p>
              </w:tc>
              <w:tc>
                <w:tcPr>
                  <w:tcW w:w="1390" w:type="dxa"/>
                  <w:shd w:val="clear" w:color="auto" w:fill="auto"/>
                  <w:vAlign w:val="center"/>
                </w:tcPr>
                <w:p w14:paraId="412EE29A">
                  <w:pPr>
                    <w:pStyle w:val="24"/>
                  </w:pPr>
                  <w:r>
                    <w:t>15.5</w:t>
                  </w:r>
                </w:p>
              </w:tc>
              <w:tc>
                <w:tcPr>
                  <w:tcW w:w="694" w:type="dxa"/>
                  <w:shd w:val="clear" w:color="auto" w:fill="auto"/>
                  <w:vAlign w:val="center"/>
                </w:tcPr>
                <w:p w14:paraId="3EB81665">
                  <w:pPr>
                    <w:pStyle w:val="24"/>
                  </w:pPr>
                  <w:r>
                    <w:rPr>
                      <w:rFonts w:hint="eastAsia"/>
                    </w:rPr>
                    <w:t>/</w:t>
                  </w:r>
                </w:p>
              </w:tc>
              <w:tc>
                <w:tcPr>
                  <w:tcW w:w="757" w:type="dxa"/>
                  <w:shd w:val="clear" w:color="auto" w:fill="auto"/>
                  <w:vAlign w:val="center"/>
                </w:tcPr>
                <w:p w14:paraId="37400279">
                  <w:pPr>
                    <w:pStyle w:val="24"/>
                  </w:pPr>
                  <w:r>
                    <w:t>15.5</w:t>
                  </w:r>
                </w:p>
              </w:tc>
              <w:tc>
                <w:tcPr>
                  <w:tcW w:w="694" w:type="dxa"/>
                  <w:shd w:val="clear" w:color="auto" w:fill="auto"/>
                  <w:vAlign w:val="center"/>
                </w:tcPr>
                <w:p w14:paraId="2DABB75F">
                  <w:pPr>
                    <w:pStyle w:val="24"/>
                  </w:pPr>
                  <w:r>
                    <w:rPr>
                      <w:rFonts w:hint="eastAsia"/>
                    </w:rPr>
                    <w:t>/</w:t>
                  </w:r>
                </w:p>
              </w:tc>
              <w:tc>
                <w:tcPr>
                  <w:tcW w:w="694" w:type="dxa"/>
                  <w:shd w:val="clear" w:color="auto" w:fill="auto"/>
                  <w:vAlign w:val="center"/>
                </w:tcPr>
                <w:p w14:paraId="2FA68211">
                  <w:pPr>
                    <w:pStyle w:val="24"/>
                  </w:pPr>
                  <w:r>
                    <w:rPr>
                      <w:rFonts w:hint="eastAsia"/>
                    </w:rPr>
                    <w:t>/</w:t>
                  </w:r>
                </w:p>
              </w:tc>
              <w:tc>
                <w:tcPr>
                  <w:tcW w:w="694" w:type="dxa"/>
                  <w:vMerge w:val="continue"/>
                  <w:shd w:val="clear" w:color="auto" w:fill="auto"/>
                  <w:vAlign w:val="center"/>
                </w:tcPr>
                <w:p w14:paraId="21D895C0">
                  <w:pPr>
                    <w:pStyle w:val="24"/>
                  </w:pPr>
                </w:p>
              </w:tc>
            </w:tr>
            <w:tr w14:paraId="0771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93" w:type="dxa"/>
                  <w:vMerge w:val="restart"/>
                  <w:shd w:val="clear" w:color="auto" w:fill="auto"/>
                  <w:vAlign w:val="center"/>
                </w:tcPr>
                <w:p w14:paraId="4A5A78FE">
                  <w:pPr>
                    <w:pStyle w:val="24"/>
                  </w:pPr>
                  <w:r>
                    <w:t>城市道路</w:t>
                  </w:r>
                </w:p>
              </w:tc>
              <w:tc>
                <w:tcPr>
                  <w:tcW w:w="849" w:type="dxa"/>
                  <w:shd w:val="clear" w:color="auto" w:fill="auto"/>
                  <w:vAlign w:val="center"/>
                </w:tcPr>
                <w:p w14:paraId="0BE08FE7">
                  <w:pPr>
                    <w:pStyle w:val="24"/>
                  </w:pPr>
                  <w:r>
                    <w:t>快速路、主干路</w:t>
                  </w:r>
                  <w:r>
                    <w:rPr>
                      <w:rFonts w:hint="eastAsia"/>
                    </w:rPr>
                    <w:t>、高速公路</w:t>
                  </w:r>
                </w:p>
              </w:tc>
              <w:tc>
                <w:tcPr>
                  <w:tcW w:w="930" w:type="dxa"/>
                  <w:shd w:val="clear" w:color="auto" w:fill="auto"/>
                  <w:vAlign w:val="center"/>
                </w:tcPr>
                <w:p w14:paraId="40FD4C69">
                  <w:pPr>
                    <w:pStyle w:val="24"/>
                  </w:pPr>
                  <w:r>
                    <w:rPr>
                      <w:rFonts w:hint="eastAsia"/>
                    </w:rPr>
                    <w:t>G206</w:t>
                  </w:r>
                </w:p>
              </w:tc>
              <w:tc>
                <w:tcPr>
                  <w:tcW w:w="1390" w:type="dxa"/>
                  <w:shd w:val="clear" w:color="auto" w:fill="auto"/>
                  <w:vAlign w:val="center"/>
                </w:tcPr>
                <w:p w14:paraId="50693A86">
                  <w:pPr>
                    <w:pStyle w:val="24"/>
                  </w:pPr>
                  <w:r>
                    <w:rPr>
                      <w:rFonts w:hint="eastAsia"/>
                    </w:rPr>
                    <w:t>5.5</w:t>
                  </w:r>
                </w:p>
              </w:tc>
              <w:tc>
                <w:tcPr>
                  <w:tcW w:w="694" w:type="dxa"/>
                  <w:shd w:val="clear" w:color="auto" w:fill="auto"/>
                  <w:vAlign w:val="center"/>
                </w:tcPr>
                <w:p w14:paraId="6FF71379">
                  <w:pPr>
                    <w:pStyle w:val="24"/>
                  </w:pPr>
                  <w:r>
                    <w:rPr>
                      <w:rFonts w:hint="eastAsia"/>
                    </w:rPr>
                    <w:t>65.6</w:t>
                  </w:r>
                </w:p>
              </w:tc>
              <w:tc>
                <w:tcPr>
                  <w:tcW w:w="757" w:type="dxa"/>
                  <w:shd w:val="clear" w:color="auto" w:fill="auto"/>
                  <w:vAlign w:val="center"/>
                </w:tcPr>
                <w:p w14:paraId="74B2FF44">
                  <w:pPr>
                    <w:pStyle w:val="24"/>
                  </w:pPr>
                  <w:r>
                    <w:t>5</w:t>
                  </w:r>
                </w:p>
              </w:tc>
              <w:tc>
                <w:tcPr>
                  <w:tcW w:w="694" w:type="dxa"/>
                  <w:shd w:val="clear" w:color="auto" w:fill="auto"/>
                  <w:vAlign w:val="center"/>
                </w:tcPr>
                <w:p w14:paraId="11F7CCB7">
                  <w:pPr>
                    <w:pStyle w:val="24"/>
                  </w:pPr>
                  <w:r>
                    <w:rPr>
                      <w:rFonts w:hint="eastAsia"/>
                    </w:rPr>
                    <w:t>71</w:t>
                  </w:r>
                </w:p>
              </w:tc>
              <w:tc>
                <w:tcPr>
                  <w:tcW w:w="694" w:type="dxa"/>
                  <w:shd w:val="clear" w:color="auto" w:fill="auto"/>
                  <w:vAlign w:val="center"/>
                </w:tcPr>
                <w:p w14:paraId="6A754971">
                  <w:pPr>
                    <w:pStyle w:val="24"/>
                  </w:pPr>
                  <w:r>
                    <w:rPr>
                      <w:rFonts w:hint="eastAsia"/>
                    </w:rPr>
                    <w:t>80.8</w:t>
                  </w:r>
                </w:p>
              </w:tc>
              <w:tc>
                <w:tcPr>
                  <w:tcW w:w="694" w:type="dxa"/>
                  <w:shd w:val="clear" w:color="auto" w:fill="auto"/>
                  <w:vAlign w:val="center"/>
                </w:tcPr>
                <w:p w14:paraId="308F6066">
                  <w:pPr>
                    <w:pStyle w:val="24"/>
                  </w:pPr>
                  <w:r>
                    <w:t>满足</w:t>
                  </w:r>
                </w:p>
              </w:tc>
            </w:tr>
            <w:tr w14:paraId="28F6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93" w:type="dxa"/>
                  <w:vMerge w:val="continue"/>
                  <w:shd w:val="clear" w:color="auto" w:fill="auto"/>
                  <w:vAlign w:val="center"/>
                </w:tcPr>
                <w:p w14:paraId="39E633E2">
                  <w:pPr>
                    <w:pStyle w:val="24"/>
                  </w:pPr>
                </w:p>
              </w:tc>
              <w:tc>
                <w:tcPr>
                  <w:tcW w:w="849" w:type="dxa"/>
                  <w:shd w:val="clear" w:color="auto" w:fill="auto"/>
                  <w:vAlign w:val="center"/>
                </w:tcPr>
                <w:p w14:paraId="4F614323">
                  <w:pPr>
                    <w:pStyle w:val="24"/>
                  </w:pPr>
                  <w:r>
                    <w:t>次干路、支路</w:t>
                  </w:r>
                </w:p>
              </w:tc>
              <w:tc>
                <w:tcPr>
                  <w:tcW w:w="930" w:type="dxa"/>
                  <w:shd w:val="clear" w:color="auto" w:fill="auto"/>
                  <w:vAlign w:val="center"/>
                </w:tcPr>
                <w:p w14:paraId="61596DFB">
                  <w:pPr>
                    <w:pStyle w:val="24"/>
                  </w:pPr>
                  <w:r>
                    <w:rPr>
                      <w:rFonts w:hint="eastAsia"/>
                    </w:rPr>
                    <w:t xml:space="preserve">北纬三路 </w:t>
                  </w:r>
                </w:p>
              </w:tc>
              <w:tc>
                <w:tcPr>
                  <w:tcW w:w="1390" w:type="dxa"/>
                  <w:shd w:val="clear" w:color="auto" w:fill="auto"/>
                  <w:vAlign w:val="center"/>
                </w:tcPr>
                <w:p w14:paraId="3EDD0EF9">
                  <w:pPr>
                    <w:pStyle w:val="24"/>
                  </w:pPr>
                  <w:r>
                    <w:rPr>
                      <w:rFonts w:hint="eastAsia"/>
                    </w:rPr>
                    <w:t>5</w:t>
                  </w:r>
                </w:p>
              </w:tc>
              <w:tc>
                <w:tcPr>
                  <w:tcW w:w="694" w:type="dxa"/>
                  <w:shd w:val="clear" w:color="auto" w:fill="auto"/>
                  <w:vAlign w:val="center"/>
                </w:tcPr>
                <w:p w14:paraId="419449AA">
                  <w:pPr>
                    <w:pStyle w:val="24"/>
                  </w:pPr>
                  <w:r>
                    <w:rPr>
                      <w:rFonts w:hint="eastAsia"/>
                    </w:rPr>
                    <w:t>21.8</w:t>
                  </w:r>
                </w:p>
              </w:tc>
              <w:tc>
                <w:tcPr>
                  <w:tcW w:w="757" w:type="dxa"/>
                  <w:shd w:val="clear" w:color="auto" w:fill="auto"/>
                  <w:vAlign w:val="center"/>
                </w:tcPr>
                <w:p w14:paraId="70DAC51D">
                  <w:pPr>
                    <w:pStyle w:val="24"/>
                  </w:pPr>
                  <w:r>
                    <w:t>5</w:t>
                  </w:r>
                </w:p>
              </w:tc>
              <w:tc>
                <w:tcPr>
                  <w:tcW w:w="694" w:type="dxa"/>
                  <w:shd w:val="clear" w:color="auto" w:fill="auto"/>
                  <w:vAlign w:val="center"/>
                </w:tcPr>
                <w:p w14:paraId="13C8D8E2">
                  <w:pPr>
                    <w:pStyle w:val="24"/>
                  </w:pPr>
                  <w:r>
                    <w:rPr>
                      <w:rFonts w:hint="eastAsia"/>
                    </w:rPr>
                    <w:t>23</w:t>
                  </w:r>
                </w:p>
              </w:tc>
              <w:tc>
                <w:tcPr>
                  <w:tcW w:w="694" w:type="dxa"/>
                  <w:shd w:val="clear" w:color="auto" w:fill="auto"/>
                  <w:vAlign w:val="center"/>
                </w:tcPr>
                <w:p w14:paraId="1B350695">
                  <w:pPr>
                    <w:pStyle w:val="24"/>
                  </w:pPr>
                  <w:r>
                    <w:rPr>
                      <w:rFonts w:hint="eastAsia"/>
                    </w:rPr>
                    <w:t>32.7</w:t>
                  </w:r>
                </w:p>
              </w:tc>
              <w:tc>
                <w:tcPr>
                  <w:tcW w:w="694" w:type="dxa"/>
                  <w:shd w:val="clear" w:color="auto" w:fill="auto"/>
                  <w:vAlign w:val="center"/>
                </w:tcPr>
                <w:p w14:paraId="5C4A499C">
                  <w:pPr>
                    <w:pStyle w:val="24"/>
                  </w:pPr>
                  <w:r>
                    <w:t>满足</w:t>
                  </w:r>
                </w:p>
              </w:tc>
            </w:tr>
            <w:tr w14:paraId="31F1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472" w:type="dxa"/>
                  <w:gridSpan w:val="3"/>
                  <w:shd w:val="clear" w:color="auto" w:fill="auto"/>
                  <w:vAlign w:val="center"/>
                </w:tcPr>
                <w:p w14:paraId="1EC18362">
                  <w:pPr>
                    <w:pStyle w:val="24"/>
                  </w:pPr>
                  <w:r>
                    <w:t>架空通信线和通信发射塔</w:t>
                  </w:r>
                </w:p>
              </w:tc>
              <w:tc>
                <w:tcPr>
                  <w:tcW w:w="1390" w:type="dxa"/>
                  <w:shd w:val="clear" w:color="auto" w:fill="auto"/>
                  <w:vAlign w:val="center"/>
                </w:tcPr>
                <w:p w14:paraId="00DA05C5">
                  <w:pPr>
                    <w:pStyle w:val="24"/>
                  </w:pPr>
                  <w:r>
                    <w:rPr>
                      <w:rFonts w:hint="eastAsia"/>
                    </w:rPr>
                    <w:t>5</w:t>
                  </w:r>
                </w:p>
              </w:tc>
              <w:tc>
                <w:tcPr>
                  <w:tcW w:w="694" w:type="dxa"/>
                  <w:shd w:val="clear" w:color="auto" w:fill="auto"/>
                  <w:vAlign w:val="center"/>
                </w:tcPr>
                <w:p w14:paraId="471C0EC3">
                  <w:pPr>
                    <w:pStyle w:val="24"/>
                  </w:pPr>
                  <w:r>
                    <w:rPr>
                      <w:rFonts w:hint="eastAsia"/>
                    </w:rPr>
                    <w:t>/</w:t>
                  </w:r>
                </w:p>
              </w:tc>
              <w:tc>
                <w:tcPr>
                  <w:tcW w:w="757" w:type="dxa"/>
                  <w:shd w:val="clear" w:color="auto" w:fill="auto"/>
                  <w:vAlign w:val="center"/>
                </w:tcPr>
                <w:p w14:paraId="1A6F3186">
                  <w:pPr>
                    <w:pStyle w:val="24"/>
                  </w:pPr>
                  <w:r>
                    <w:t>5</w:t>
                  </w:r>
                </w:p>
              </w:tc>
              <w:tc>
                <w:tcPr>
                  <w:tcW w:w="694" w:type="dxa"/>
                  <w:shd w:val="clear" w:color="auto" w:fill="auto"/>
                  <w:vAlign w:val="center"/>
                </w:tcPr>
                <w:p w14:paraId="36CBA916">
                  <w:pPr>
                    <w:pStyle w:val="24"/>
                  </w:pPr>
                  <w:r>
                    <w:rPr>
                      <w:rFonts w:hint="eastAsia"/>
                    </w:rPr>
                    <w:t>/</w:t>
                  </w:r>
                </w:p>
              </w:tc>
              <w:tc>
                <w:tcPr>
                  <w:tcW w:w="694" w:type="dxa"/>
                  <w:shd w:val="clear" w:color="auto" w:fill="auto"/>
                  <w:vAlign w:val="center"/>
                </w:tcPr>
                <w:p w14:paraId="3E228ECE">
                  <w:pPr>
                    <w:pStyle w:val="24"/>
                  </w:pPr>
                  <w:r>
                    <w:rPr>
                      <w:rFonts w:hint="eastAsia"/>
                    </w:rPr>
                    <w:t>/</w:t>
                  </w:r>
                </w:p>
              </w:tc>
              <w:tc>
                <w:tcPr>
                  <w:tcW w:w="694" w:type="dxa"/>
                  <w:vMerge w:val="restart"/>
                  <w:shd w:val="clear" w:color="auto" w:fill="auto"/>
                  <w:vAlign w:val="center"/>
                </w:tcPr>
                <w:p w14:paraId="4ECD3832">
                  <w:pPr>
                    <w:pStyle w:val="24"/>
                  </w:pPr>
                  <w:r>
                    <w:rPr>
                      <w:rFonts w:hint="eastAsia"/>
                    </w:rPr>
                    <w:t>不涉及</w:t>
                  </w:r>
                </w:p>
              </w:tc>
            </w:tr>
            <w:tr w14:paraId="0212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93" w:type="dxa"/>
                  <w:vMerge w:val="restart"/>
                  <w:shd w:val="clear" w:color="auto" w:fill="auto"/>
                  <w:vAlign w:val="center"/>
                </w:tcPr>
                <w:p w14:paraId="21ABF482">
                  <w:pPr>
                    <w:pStyle w:val="24"/>
                  </w:pPr>
                  <w:r>
                    <w:t>架空电力线路</w:t>
                  </w:r>
                </w:p>
              </w:tc>
              <w:tc>
                <w:tcPr>
                  <w:tcW w:w="1779" w:type="dxa"/>
                  <w:gridSpan w:val="2"/>
                  <w:shd w:val="clear" w:color="auto" w:fill="auto"/>
                  <w:vAlign w:val="center"/>
                </w:tcPr>
                <w:p w14:paraId="5CCFF026">
                  <w:pPr>
                    <w:pStyle w:val="24"/>
                  </w:pPr>
                  <w:r>
                    <w:t>无绝缘层</w:t>
                  </w:r>
                </w:p>
              </w:tc>
              <w:tc>
                <w:tcPr>
                  <w:tcW w:w="1390" w:type="dxa"/>
                  <w:shd w:val="clear" w:color="auto" w:fill="auto"/>
                  <w:vAlign w:val="center"/>
                </w:tcPr>
                <w:p w14:paraId="303CC23D">
                  <w:pPr>
                    <w:pStyle w:val="24"/>
                  </w:pPr>
                  <w:r>
                    <w:rPr>
                      <w:rFonts w:hint="eastAsia"/>
                    </w:rPr>
                    <w:t>1.0H，且</w:t>
                  </w:r>
                  <w:r>
                    <w:t>≥6.5</w:t>
                  </w:r>
                  <w:r>
                    <w:rPr>
                      <w:rFonts w:hint="eastAsia"/>
                    </w:rPr>
                    <w:t>m</w:t>
                  </w:r>
                </w:p>
              </w:tc>
              <w:tc>
                <w:tcPr>
                  <w:tcW w:w="694" w:type="dxa"/>
                  <w:shd w:val="clear" w:color="auto" w:fill="auto"/>
                  <w:vAlign w:val="center"/>
                </w:tcPr>
                <w:p w14:paraId="25F46F3C">
                  <w:pPr>
                    <w:pStyle w:val="24"/>
                  </w:pPr>
                  <w:r>
                    <w:rPr>
                      <w:rFonts w:hint="eastAsia"/>
                    </w:rPr>
                    <w:t>/</w:t>
                  </w:r>
                </w:p>
              </w:tc>
              <w:tc>
                <w:tcPr>
                  <w:tcW w:w="757" w:type="dxa"/>
                  <w:shd w:val="clear" w:color="auto" w:fill="auto"/>
                  <w:vAlign w:val="center"/>
                </w:tcPr>
                <w:p w14:paraId="2D5C18CE">
                  <w:pPr>
                    <w:pStyle w:val="24"/>
                  </w:pPr>
                  <w:r>
                    <w:t>6.5</w:t>
                  </w:r>
                </w:p>
              </w:tc>
              <w:tc>
                <w:tcPr>
                  <w:tcW w:w="694" w:type="dxa"/>
                  <w:shd w:val="clear" w:color="auto" w:fill="auto"/>
                  <w:vAlign w:val="center"/>
                </w:tcPr>
                <w:p w14:paraId="41305FAB">
                  <w:pPr>
                    <w:pStyle w:val="24"/>
                    <w:rPr>
                      <w:color w:val="0000FF"/>
                    </w:rPr>
                  </w:pPr>
                  <w:r>
                    <w:rPr>
                      <w:rFonts w:hint="eastAsia"/>
                      <w:color w:val="0000FF"/>
                    </w:rPr>
                    <w:t>/</w:t>
                  </w:r>
                </w:p>
              </w:tc>
              <w:tc>
                <w:tcPr>
                  <w:tcW w:w="694" w:type="dxa"/>
                  <w:shd w:val="clear" w:color="auto" w:fill="auto"/>
                  <w:vAlign w:val="center"/>
                </w:tcPr>
                <w:p w14:paraId="77D2EBE0">
                  <w:pPr>
                    <w:pStyle w:val="24"/>
                    <w:rPr>
                      <w:color w:val="0000FF"/>
                    </w:rPr>
                  </w:pPr>
                  <w:r>
                    <w:rPr>
                      <w:rFonts w:hint="eastAsia"/>
                      <w:color w:val="0000FF"/>
                    </w:rPr>
                    <w:t>/</w:t>
                  </w:r>
                </w:p>
              </w:tc>
              <w:tc>
                <w:tcPr>
                  <w:tcW w:w="694" w:type="dxa"/>
                  <w:vMerge w:val="continue"/>
                  <w:shd w:val="clear" w:color="auto" w:fill="auto"/>
                  <w:vAlign w:val="center"/>
                </w:tcPr>
                <w:p w14:paraId="71AFD886">
                  <w:pPr>
                    <w:pStyle w:val="24"/>
                    <w:rPr>
                      <w:color w:val="0000FF"/>
                    </w:rPr>
                  </w:pPr>
                </w:p>
              </w:tc>
            </w:tr>
            <w:tr w14:paraId="759D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93" w:type="dxa"/>
                  <w:vMerge w:val="continue"/>
                  <w:shd w:val="clear" w:color="auto" w:fill="auto"/>
                  <w:vAlign w:val="center"/>
                </w:tcPr>
                <w:p w14:paraId="19BCADFE">
                  <w:pPr>
                    <w:pStyle w:val="24"/>
                  </w:pPr>
                </w:p>
              </w:tc>
              <w:tc>
                <w:tcPr>
                  <w:tcW w:w="1779" w:type="dxa"/>
                  <w:gridSpan w:val="2"/>
                  <w:shd w:val="clear" w:color="auto" w:fill="auto"/>
                  <w:vAlign w:val="center"/>
                </w:tcPr>
                <w:p w14:paraId="766BB10E">
                  <w:pPr>
                    <w:pStyle w:val="24"/>
                  </w:pPr>
                  <w:r>
                    <w:t>有绝缘层</w:t>
                  </w:r>
                </w:p>
              </w:tc>
              <w:tc>
                <w:tcPr>
                  <w:tcW w:w="1390" w:type="dxa"/>
                  <w:shd w:val="clear" w:color="auto" w:fill="auto"/>
                  <w:vAlign w:val="center"/>
                </w:tcPr>
                <w:p w14:paraId="1C745761">
                  <w:pPr>
                    <w:pStyle w:val="24"/>
                  </w:pPr>
                  <w:r>
                    <w:rPr>
                      <w:rFonts w:hint="eastAsia"/>
                    </w:rPr>
                    <w:t>0.75H，且</w:t>
                  </w:r>
                  <w:r>
                    <w:t>≥5</w:t>
                  </w:r>
                  <w:r>
                    <w:rPr>
                      <w:rFonts w:hint="eastAsia"/>
                    </w:rPr>
                    <w:t>m</w:t>
                  </w:r>
                </w:p>
              </w:tc>
              <w:tc>
                <w:tcPr>
                  <w:tcW w:w="694" w:type="dxa"/>
                  <w:shd w:val="clear" w:color="auto" w:fill="auto"/>
                  <w:vAlign w:val="center"/>
                </w:tcPr>
                <w:p w14:paraId="3648F04B">
                  <w:pPr>
                    <w:pStyle w:val="24"/>
                  </w:pPr>
                  <w:r>
                    <w:rPr>
                      <w:rFonts w:hint="eastAsia"/>
                    </w:rPr>
                    <w:t>/</w:t>
                  </w:r>
                </w:p>
              </w:tc>
              <w:tc>
                <w:tcPr>
                  <w:tcW w:w="757" w:type="dxa"/>
                  <w:shd w:val="clear" w:color="auto" w:fill="auto"/>
                  <w:vAlign w:val="center"/>
                </w:tcPr>
                <w:p w14:paraId="27372EBC">
                  <w:pPr>
                    <w:pStyle w:val="24"/>
                  </w:pPr>
                  <w:r>
                    <w:t>5</w:t>
                  </w:r>
                </w:p>
              </w:tc>
              <w:tc>
                <w:tcPr>
                  <w:tcW w:w="694" w:type="dxa"/>
                  <w:shd w:val="clear" w:color="auto" w:fill="auto"/>
                  <w:vAlign w:val="center"/>
                </w:tcPr>
                <w:p w14:paraId="0B08B2B3">
                  <w:pPr>
                    <w:pStyle w:val="24"/>
                    <w:rPr>
                      <w:color w:val="0000FF"/>
                    </w:rPr>
                  </w:pPr>
                  <w:r>
                    <w:rPr>
                      <w:rFonts w:hint="eastAsia"/>
                      <w:color w:val="0000FF"/>
                    </w:rPr>
                    <w:t>/</w:t>
                  </w:r>
                </w:p>
              </w:tc>
              <w:tc>
                <w:tcPr>
                  <w:tcW w:w="694" w:type="dxa"/>
                  <w:shd w:val="clear" w:color="auto" w:fill="auto"/>
                  <w:vAlign w:val="center"/>
                </w:tcPr>
                <w:p w14:paraId="67BC2CAE">
                  <w:pPr>
                    <w:pStyle w:val="24"/>
                    <w:rPr>
                      <w:color w:val="0000FF"/>
                    </w:rPr>
                  </w:pPr>
                  <w:r>
                    <w:rPr>
                      <w:rFonts w:hint="eastAsia"/>
                      <w:color w:val="0000FF"/>
                    </w:rPr>
                    <w:t>/</w:t>
                  </w:r>
                </w:p>
              </w:tc>
              <w:tc>
                <w:tcPr>
                  <w:tcW w:w="694" w:type="dxa"/>
                  <w:vMerge w:val="continue"/>
                  <w:shd w:val="clear" w:color="auto" w:fill="auto"/>
                  <w:vAlign w:val="center"/>
                </w:tcPr>
                <w:p w14:paraId="390AFD22">
                  <w:pPr>
                    <w:pStyle w:val="24"/>
                    <w:rPr>
                      <w:color w:val="0000FF"/>
                    </w:rPr>
                  </w:pPr>
                </w:p>
              </w:tc>
            </w:tr>
          </w:tbl>
          <w:p w14:paraId="40DDFBC7">
            <w:pPr>
              <w:ind w:firstLine="480" w:firstLineChars="200"/>
              <w:rPr>
                <w:b/>
                <w:bCs/>
              </w:rPr>
            </w:pPr>
            <w:r>
              <w:rPr>
                <w:rFonts w:hint="eastAsia"/>
              </w:rPr>
              <w:t>综上分析，</w:t>
            </w:r>
            <w:r>
              <w:t>项目选址距相关站外建、构筑物的</w:t>
            </w:r>
            <w:r>
              <w:rPr>
                <w:rFonts w:hint="eastAsia"/>
              </w:rPr>
              <w:t>安全间距</w:t>
            </w:r>
            <w:r>
              <w:t>指标均满足《汽车加油加气加氢站技术标准》（GB50156-2021）要求</w:t>
            </w:r>
            <w:r>
              <w:rPr>
                <w:rFonts w:hint="eastAsia"/>
              </w:rPr>
              <w:t>。</w:t>
            </w:r>
          </w:p>
          <w:p w14:paraId="1F10E746">
            <w:pPr>
              <w:numPr>
                <w:ilvl w:val="0"/>
                <w:numId w:val="3"/>
              </w:numPr>
              <w:ind w:firstLine="482" w:firstLineChars="200"/>
              <w:rPr>
                <w:b/>
                <w:bCs/>
              </w:rPr>
            </w:pPr>
            <w:r>
              <w:rPr>
                <w:rFonts w:hint="eastAsia"/>
                <w:b/>
                <w:bCs/>
              </w:rPr>
              <w:t>选址符合性分析</w:t>
            </w:r>
          </w:p>
          <w:p w14:paraId="66852412">
            <w:pPr>
              <w:ind w:firstLine="480" w:firstLineChars="200"/>
              <w:rPr>
                <w:lang w:val="zh-CN"/>
              </w:rPr>
            </w:pPr>
            <w:r>
              <w:rPr>
                <w:lang w:val="zh-CN"/>
              </w:rPr>
              <w:t>该项目位于</w:t>
            </w:r>
            <w:r>
              <w:rPr>
                <w:rFonts w:hint="eastAsia"/>
                <w:lang w:val="zh-CN"/>
              </w:rPr>
              <w:t>淮南经济技术开发区G206与朝阳路交叉口西南角</w:t>
            </w:r>
            <w:r>
              <w:rPr>
                <w:lang w:val="zh-CN"/>
              </w:rPr>
              <w:t>，</w:t>
            </w:r>
            <w:r>
              <w:rPr>
                <w:rFonts w:hint="eastAsia"/>
                <w:lang w:val="zh-CN"/>
              </w:rPr>
              <w:t>根据《淮南经济技术开发区</w:t>
            </w:r>
            <w:r>
              <w:rPr>
                <w:rFonts w:hint="eastAsia"/>
              </w:rPr>
              <w:t>D06-C1</w:t>
            </w:r>
            <w:r>
              <w:rPr>
                <w:rFonts w:hint="eastAsia"/>
                <w:lang w:val="zh-CN"/>
              </w:rPr>
              <w:t>地块详细规划》，本项目地块规划用地性质为社会停车场用地。</w:t>
            </w:r>
            <w:r>
              <w:rPr>
                <w:lang w:val="zh-CN"/>
              </w:rPr>
              <w:t>项目区域既不涉及饮用水源保护区、自然保护区等依法设立的自然、文化保护地，也不是基本农田、基本森林、重要湿地等生态敏感与脆弱区，同时也不是具历史、文化、科学、民族意义的保护区及社会关注区。通过本次环评对污染物采取一定的防治措施，污染物均达标排放，对周围环境影响较小。</w:t>
            </w:r>
          </w:p>
          <w:p w14:paraId="1CC5B6DC">
            <w:pPr>
              <w:ind w:firstLine="480" w:firstLineChars="200"/>
              <w:rPr>
                <w:b/>
                <w:bCs/>
                <w:color w:val="0000FF"/>
              </w:rPr>
            </w:pPr>
            <w:r>
              <w:rPr>
                <w:rFonts w:hint="eastAsia"/>
                <w:lang w:val="zh-CN"/>
              </w:rPr>
              <w:t>综上所述</w:t>
            </w:r>
            <w:r>
              <w:rPr>
                <w:lang w:val="zh-CN"/>
              </w:rPr>
              <w:t>，外环境不会对本项目产生制约，故选址不存在外界环境制约因素，因此本项目选址合理。</w:t>
            </w:r>
          </w:p>
        </w:tc>
      </w:tr>
    </w:tbl>
    <w:p w14:paraId="1C4A2D3C">
      <w:pPr>
        <w:rPr>
          <w:color w:val="0000FF"/>
        </w:rPr>
      </w:pPr>
      <w:r>
        <w:rPr>
          <w:color w:val="0000FF"/>
        </w:rPr>
        <w:br w:type="page"/>
      </w:r>
    </w:p>
    <w:p w14:paraId="64B62253">
      <w:pPr>
        <w:pStyle w:val="2"/>
        <w:numPr>
          <w:ilvl w:val="0"/>
          <w:numId w:val="4"/>
        </w:numPr>
        <w:spacing w:before="0" w:after="0"/>
      </w:pPr>
      <w:bookmarkStart w:id="12" w:name="_Toc28519"/>
      <w:r>
        <w:rPr>
          <w:rFonts w:hint="eastAsia"/>
        </w:rPr>
        <w:t>建设项目工程分析</w:t>
      </w:r>
      <w:bookmarkEnd w:id="12"/>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0112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0" w:type="dxa"/>
            <w:vAlign w:val="center"/>
          </w:tcPr>
          <w:p w14:paraId="3A4FA797">
            <w:pPr>
              <w:overflowPunct w:val="0"/>
              <w:autoSpaceDE w:val="0"/>
              <w:autoSpaceDN w:val="0"/>
              <w:jc w:val="center"/>
              <w:rPr>
                <w:color w:val="0000FF"/>
              </w:rPr>
            </w:pPr>
            <w:r>
              <w:rPr>
                <w:rFonts w:hint="eastAsia"/>
              </w:rPr>
              <w:t>建设内容</w:t>
            </w:r>
          </w:p>
        </w:tc>
        <w:tc>
          <w:tcPr>
            <w:tcW w:w="7942" w:type="dxa"/>
          </w:tcPr>
          <w:p w14:paraId="1CDD12BD">
            <w:pPr>
              <w:overflowPunct w:val="0"/>
              <w:autoSpaceDE w:val="0"/>
              <w:autoSpaceDN w:val="0"/>
              <w:ind w:firstLine="480" w:firstLineChars="200"/>
            </w:pPr>
            <w:r>
              <w:rPr>
                <w:rFonts w:hint="eastAsia"/>
              </w:rPr>
              <w:t>1、项目由来</w:t>
            </w:r>
          </w:p>
          <w:p w14:paraId="6824B00E">
            <w:pPr>
              <w:ind w:firstLine="480" w:firstLineChars="200"/>
              <w:rPr>
                <w:color w:val="0000FF"/>
              </w:rPr>
            </w:pPr>
            <w:r>
              <w:rPr>
                <w:rFonts w:hint="eastAsia"/>
              </w:rPr>
              <w:t>为营造良好道路交通运输环境，促进运输市场活力恢复，优化基础设施供给，带动产业高质量发展，切实解决淮南市货运车辆停车难问题，淮南交控物流服务有限公司拟在淮南经济技术开发区规划建设淮南经开区农场城市综合交通驿站项目，主要建设货运</w:t>
            </w:r>
            <w:r>
              <w:t>网络信息服务中心</w:t>
            </w:r>
            <w:r>
              <w:rPr>
                <w:rFonts w:hint="eastAsia"/>
              </w:rPr>
              <w:t>1座（建筑面积3000m</w:t>
            </w:r>
            <w:r>
              <w:rPr>
                <w:rFonts w:hint="eastAsia"/>
                <w:vertAlign w:val="superscript"/>
              </w:rPr>
              <w:t>2</w:t>
            </w:r>
            <w:r>
              <w:rPr>
                <w:rFonts w:hint="eastAsia"/>
              </w:rPr>
              <w:t>）、货车应急维修中心1座；建设内部综合能源站1座；建设约35</w:t>
            </w:r>
            <w:r>
              <w:rPr>
                <w:rFonts w:hint="eastAsia"/>
                <w:lang w:val="en-US" w:eastAsia="zh-CN"/>
              </w:rPr>
              <w:t>4</w:t>
            </w:r>
            <w:r>
              <w:rPr>
                <w:rFonts w:hint="eastAsia"/>
              </w:rPr>
              <w:t>个机动车</w:t>
            </w:r>
            <w:r>
              <w:t>停</w:t>
            </w:r>
            <w:r>
              <w:rPr>
                <w:rFonts w:hint="eastAsia"/>
              </w:rPr>
              <w:t>车位（含充电桩）、</w:t>
            </w:r>
            <w:r>
              <w:rPr>
                <w:rFonts w:hint="eastAsia"/>
                <w:lang w:val="en-US" w:eastAsia="zh-CN"/>
              </w:rPr>
              <w:t>227</w:t>
            </w:r>
            <w:r>
              <w:rPr>
                <w:rFonts w:hint="eastAsia"/>
              </w:rPr>
              <w:t>个非机动车停车位、公交场站及配套建设公用工程及附属工程。该项目于</w:t>
            </w:r>
            <w:r>
              <w:t>2024</w:t>
            </w:r>
            <w:r>
              <w:rPr>
                <w:rFonts w:hint="eastAsia"/>
              </w:rPr>
              <w:t>年8月15</w:t>
            </w:r>
            <w:r>
              <w:rPr>
                <w:rFonts w:hint="eastAsia"/>
                <w:kern w:val="0"/>
                <w:lang w:bidi="ar"/>
              </w:rPr>
              <w:t>日经</w:t>
            </w:r>
            <w:r>
              <w:rPr>
                <w:rFonts w:hint="eastAsia" w:ascii="宋体" w:hAnsi="宋体" w:cs="宋体"/>
                <w:kern w:val="0"/>
                <w:lang w:bidi="ar"/>
              </w:rPr>
              <w:t>淮南经济技术开发区管委会经济发展局备案，项目代码为</w:t>
            </w:r>
            <w:r>
              <w:rPr>
                <w:rFonts w:hint="eastAsia"/>
              </w:rPr>
              <w:t>2408-340461-04-01-800507</w:t>
            </w:r>
            <w:r>
              <w:rPr>
                <w:rFonts w:hint="eastAsia" w:ascii="宋体" w:hAnsi="宋体" w:cs="宋体"/>
                <w:kern w:val="0"/>
                <w:lang w:bidi="ar"/>
              </w:rPr>
              <w:t>。</w:t>
            </w:r>
          </w:p>
          <w:p w14:paraId="6282E94B">
            <w:pPr>
              <w:overflowPunct w:val="0"/>
              <w:autoSpaceDE w:val="0"/>
              <w:autoSpaceDN w:val="0"/>
              <w:adjustRightInd w:val="0"/>
              <w:snapToGrid w:val="0"/>
              <w:spacing w:before="24"/>
              <w:ind w:firstLine="480" w:firstLineChars="200"/>
            </w:pPr>
            <w:r>
              <w:rPr>
                <w:rFonts w:hint="eastAsia"/>
              </w:rPr>
              <w:t>根据《中华人民共和国环境保护法》、《中华人民共和国环境影响评价法》、《建设项目环境保护管理条例》（国令第682号）、《建设项目环境影响评价分类管理名录》（2021年版）等法规文件。本项目位于城市建成区内，属于“五十、社会事业与服务业-加油、加气站-城市建成区新建、扩建加油站”，故确定项目环评形式为环境影响评价报告表。受淮南交控物流服务有限公司的委托，我公司承担本项目的环境影响评价工作。接受委托后，我公司组织技术人员收集相关资料并进行现场踏勘调查，在了解项目所在地及周围环境概况后，本着客观、公正、科学、规范的原则，编制了本环境影响评价报告表。</w:t>
            </w:r>
          </w:p>
          <w:p w14:paraId="533CC4C7">
            <w:pPr>
              <w:pStyle w:val="6"/>
              <w:overflowPunct w:val="0"/>
              <w:autoSpaceDE w:val="0"/>
              <w:autoSpaceDN w:val="0"/>
              <w:rPr>
                <w:color w:val="0000FF"/>
              </w:rPr>
            </w:pPr>
            <w:r>
              <w:t xml:space="preserve">表 </w:t>
            </w:r>
            <w:r>
              <w:rPr>
                <w:rFonts w:hint="eastAsia"/>
              </w:rPr>
              <w:t>2-</w:t>
            </w:r>
            <w:r>
              <w:fldChar w:fldCharType="begin"/>
            </w:r>
            <w:r>
              <w:instrText xml:space="preserve"> SEQ 表 \* ARABIC \s 1 </w:instrText>
            </w:r>
            <w:r>
              <w:fldChar w:fldCharType="separate"/>
            </w:r>
            <w:r>
              <w:t>1</w:t>
            </w:r>
            <w:r>
              <w:fldChar w:fldCharType="end"/>
            </w:r>
            <w:r>
              <w:rPr>
                <w:rFonts w:hint="eastAsia"/>
              </w:rPr>
              <w:t xml:space="preserve"> 《建设项目环境影响评价分类管理名录》（</w:t>
            </w:r>
            <w:r>
              <w:t>2021</w:t>
            </w:r>
            <w:r>
              <w:rPr>
                <w:rFonts w:hint="eastAsia"/>
              </w:rPr>
              <w:t>年版）摘录</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2285"/>
              <w:gridCol w:w="1666"/>
              <w:gridCol w:w="1858"/>
              <w:gridCol w:w="1277"/>
            </w:tblGrid>
            <w:tr w14:paraId="6E57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005" w:type="dxa"/>
                  <w:gridSpan w:val="2"/>
                  <w:vAlign w:val="center"/>
                </w:tcPr>
                <w:p w14:paraId="5D55DAA9">
                  <w:pPr>
                    <w:pStyle w:val="24"/>
                    <w:overflowPunct w:val="0"/>
                    <w:autoSpaceDE w:val="0"/>
                    <w:autoSpaceDN w:val="0"/>
                    <w:jc w:val="both"/>
                    <w:rPr>
                      <w:b/>
                      <w:bCs/>
                    </w:rPr>
                  </w:pPr>
                </w:p>
                <w:p w14:paraId="41B27377">
                  <w:pPr>
                    <w:pStyle w:val="24"/>
                    <w:overflowPunct w:val="0"/>
                    <w:autoSpaceDE w:val="0"/>
                    <w:autoSpaceDN w:val="0"/>
                    <w:jc w:val="both"/>
                    <w:rPr>
                      <w:b/>
                      <w:bCs/>
                    </w:rPr>
                  </w:pPr>
                  <w:r>
                    <w:rPr>
                      <w:rFonts w:hint="eastAsia"/>
                      <w:b/>
                      <w:bCs/>
                    </w:rPr>
                    <w:t>项目类别</w:t>
                  </w:r>
                </w:p>
                <w:p w14:paraId="76046F8C">
                  <w:pPr>
                    <w:pStyle w:val="24"/>
                    <w:overflowPunct w:val="0"/>
                    <w:autoSpaceDE w:val="0"/>
                    <w:autoSpaceDN w:val="0"/>
                    <w:jc w:val="both"/>
                    <w:rPr>
                      <w:b/>
                      <w:bCs/>
                    </w:rPr>
                  </w:pPr>
                  <w:r>
                    <w:rPr>
                      <w:rFonts w:hint="eastAsia"/>
                      <w:b/>
                      <w:bCs/>
                    </w:rPr>
                    <w:t>环评类别</w:t>
                  </w:r>
                </w:p>
              </w:tc>
              <w:tc>
                <w:tcPr>
                  <w:tcW w:w="1649" w:type="dxa"/>
                  <w:vAlign w:val="center"/>
                </w:tcPr>
                <w:p w14:paraId="23384D77">
                  <w:pPr>
                    <w:pStyle w:val="24"/>
                    <w:overflowPunct w:val="0"/>
                    <w:autoSpaceDE w:val="0"/>
                    <w:autoSpaceDN w:val="0"/>
                    <w:rPr>
                      <w:b/>
                      <w:bCs/>
                    </w:rPr>
                  </w:pPr>
                  <w:r>
                    <w:rPr>
                      <w:rFonts w:hint="eastAsia"/>
                      <w:b/>
                      <w:bCs/>
                    </w:rPr>
                    <w:t>报告书</w:t>
                  </w:r>
                </w:p>
              </w:tc>
              <w:tc>
                <w:tcPr>
                  <w:tcW w:w="1839" w:type="dxa"/>
                  <w:vAlign w:val="center"/>
                </w:tcPr>
                <w:p w14:paraId="42008E98">
                  <w:pPr>
                    <w:pStyle w:val="24"/>
                    <w:overflowPunct w:val="0"/>
                    <w:autoSpaceDE w:val="0"/>
                    <w:autoSpaceDN w:val="0"/>
                    <w:rPr>
                      <w:b/>
                      <w:bCs/>
                    </w:rPr>
                  </w:pPr>
                  <w:r>
                    <w:rPr>
                      <w:rFonts w:hint="eastAsia"/>
                      <w:b/>
                      <w:bCs/>
                    </w:rPr>
                    <w:t>报告表</w:t>
                  </w:r>
                </w:p>
              </w:tc>
              <w:tc>
                <w:tcPr>
                  <w:tcW w:w="1264" w:type="dxa"/>
                  <w:vAlign w:val="center"/>
                </w:tcPr>
                <w:p w14:paraId="2A6B382F">
                  <w:pPr>
                    <w:pStyle w:val="24"/>
                    <w:overflowPunct w:val="0"/>
                    <w:autoSpaceDE w:val="0"/>
                    <w:autoSpaceDN w:val="0"/>
                    <w:rPr>
                      <w:b/>
                      <w:bCs/>
                    </w:rPr>
                  </w:pPr>
                  <w:r>
                    <w:rPr>
                      <w:rFonts w:hint="eastAsia"/>
                      <w:b/>
                      <w:bCs/>
                    </w:rPr>
                    <w:t>登记表</w:t>
                  </w:r>
                </w:p>
              </w:tc>
            </w:tr>
            <w:tr w14:paraId="341E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7" w:type="dxa"/>
                  <w:gridSpan w:val="5"/>
                  <w:vAlign w:val="center"/>
                </w:tcPr>
                <w:p w14:paraId="20FA0F03">
                  <w:pPr>
                    <w:pStyle w:val="24"/>
                    <w:overflowPunct w:val="0"/>
                    <w:autoSpaceDE w:val="0"/>
                    <w:autoSpaceDN w:val="0"/>
                    <w:jc w:val="both"/>
                  </w:pPr>
                  <w:r>
                    <w:rPr>
                      <w:rFonts w:hint="eastAsia"/>
                    </w:rPr>
                    <w:t>五十、社会事业与服务业</w:t>
                  </w:r>
                </w:p>
              </w:tc>
            </w:tr>
            <w:tr w14:paraId="26EF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vAlign w:val="center"/>
                </w:tcPr>
                <w:p w14:paraId="19CFE97B">
                  <w:pPr>
                    <w:pStyle w:val="24"/>
                    <w:overflowPunct w:val="0"/>
                    <w:autoSpaceDE w:val="0"/>
                    <w:autoSpaceDN w:val="0"/>
                  </w:pPr>
                  <w:r>
                    <w:rPr>
                      <w:rFonts w:hint="eastAsia"/>
                    </w:rPr>
                    <w:t>118</w:t>
                  </w:r>
                </w:p>
              </w:tc>
              <w:tc>
                <w:tcPr>
                  <w:tcW w:w="2262" w:type="dxa"/>
                  <w:vAlign w:val="center"/>
                </w:tcPr>
                <w:p w14:paraId="583CDD7D">
                  <w:pPr>
                    <w:pStyle w:val="24"/>
                    <w:overflowPunct w:val="0"/>
                    <w:autoSpaceDE w:val="0"/>
                    <w:autoSpaceDN w:val="0"/>
                  </w:pPr>
                  <w:r>
                    <w:rPr>
                      <w:rFonts w:hint="eastAsia"/>
                    </w:rPr>
                    <w:t>驾驶员训练基地、公交枢纽、长途客运站、大型停车场、机动车检测场</w:t>
                  </w:r>
                </w:p>
              </w:tc>
              <w:tc>
                <w:tcPr>
                  <w:tcW w:w="1649" w:type="dxa"/>
                  <w:vAlign w:val="center"/>
                </w:tcPr>
                <w:p w14:paraId="3209DB07">
                  <w:pPr>
                    <w:pStyle w:val="24"/>
                    <w:overflowPunct w:val="0"/>
                    <w:autoSpaceDE w:val="0"/>
                    <w:autoSpaceDN w:val="0"/>
                  </w:pPr>
                  <w:r>
                    <w:rPr>
                      <w:rFonts w:hint="eastAsia"/>
                    </w:rPr>
                    <w:t>/</w:t>
                  </w:r>
                </w:p>
              </w:tc>
              <w:tc>
                <w:tcPr>
                  <w:tcW w:w="1839" w:type="dxa"/>
                  <w:vAlign w:val="center"/>
                </w:tcPr>
                <w:p w14:paraId="3F24747C">
                  <w:pPr>
                    <w:pStyle w:val="24"/>
                    <w:overflowPunct w:val="0"/>
                    <w:autoSpaceDE w:val="0"/>
                    <w:autoSpaceDN w:val="0"/>
                  </w:pPr>
                  <w:r>
                    <w:rPr>
                      <w:rFonts w:hint="eastAsia"/>
                    </w:rPr>
                    <w:t>涉及环境敏感区的</w:t>
                  </w:r>
                </w:p>
              </w:tc>
              <w:tc>
                <w:tcPr>
                  <w:tcW w:w="1264" w:type="dxa"/>
                  <w:vAlign w:val="center"/>
                </w:tcPr>
                <w:p w14:paraId="749583D3">
                  <w:pPr>
                    <w:pStyle w:val="24"/>
                    <w:overflowPunct w:val="0"/>
                    <w:autoSpaceDE w:val="0"/>
                    <w:autoSpaceDN w:val="0"/>
                  </w:pPr>
                  <w:r>
                    <w:rPr>
                      <w:rFonts w:hint="eastAsia"/>
                    </w:rPr>
                    <w:t>/</w:t>
                  </w:r>
                </w:p>
              </w:tc>
            </w:tr>
            <w:tr w14:paraId="3820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3" w:type="dxa"/>
                  <w:vAlign w:val="center"/>
                </w:tcPr>
                <w:p w14:paraId="3DCA5428">
                  <w:pPr>
                    <w:pStyle w:val="24"/>
                    <w:overflowPunct w:val="0"/>
                    <w:autoSpaceDE w:val="0"/>
                    <w:autoSpaceDN w:val="0"/>
                  </w:pPr>
                  <w:r>
                    <w:rPr>
                      <w:rFonts w:hint="eastAsia"/>
                    </w:rPr>
                    <w:t>119</w:t>
                  </w:r>
                </w:p>
              </w:tc>
              <w:tc>
                <w:tcPr>
                  <w:tcW w:w="2262" w:type="dxa"/>
                  <w:vAlign w:val="center"/>
                </w:tcPr>
                <w:p w14:paraId="160B5927">
                  <w:pPr>
                    <w:pStyle w:val="24"/>
                    <w:overflowPunct w:val="0"/>
                    <w:autoSpaceDE w:val="0"/>
                    <w:autoSpaceDN w:val="0"/>
                  </w:pPr>
                  <w:r>
                    <w:rPr>
                      <w:rFonts w:hint="eastAsia"/>
                    </w:rPr>
                    <w:t>加油、加气站</w:t>
                  </w:r>
                </w:p>
              </w:tc>
              <w:tc>
                <w:tcPr>
                  <w:tcW w:w="1649" w:type="dxa"/>
                  <w:vAlign w:val="center"/>
                </w:tcPr>
                <w:p w14:paraId="4C67DFBE">
                  <w:pPr>
                    <w:pStyle w:val="24"/>
                    <w:overflowPunct w:val="0"/>
                    <w:autoSpaceDE w:val="0"/>
                    <w:autoSpaceDN w:val="0"/>
                  </w:pPr>
                  <w:r>
                    <w:rPr>
                      <w:rFonts w:hint="eastAsia"/>
                    </w:rPr>
                    <w:t>/</w:t>
                  </w:r>
                </w:p>
              </w:tc>
              <w:tc>
                <w:tcPr>
                  <w:tcW w:w="1839" w:type="dxa"/>
                  <w:vAlign w:val="center"/>
                </w:tcPr>
                <w:p w14:paraId="47FF6D2A">
                  <w:pPr>
                    <w:pStyle w:val="24"/>
                    <w:overflowPunct w:val="0"/>
                    <w:autoSpaceDE w:val="0"/>
                    <w:autoSpaceDN w:val="0"/>
                  </w:pPr>
                  <w:r>
                    <w:rPr>
                      <w:rFonts w:hint="eastAsia"/>
                    </w:rPr>
                    <w:t>城市</w:t>
                  </w:r>
                  <w:bookmarkStart w:id="13" w:name="OLE_LINK16"/>
                  <w:r>
                    <w:rPr>
                      <w:rFonts w:hint="eastAsia"/>
                    </w:rPr>
                    <w:t>建成区新建、扩建加油站</w:t>
                  </w:r>
                  <w:bookmarkEnd w:id="13"/>
                  <w:r>
                    <w:rPr>
                      <w:rFonts w:hint="eastAsia"/>
                    </w:rPr>
                    <w:t>；涉及环境敏感区的</w:t>
                  </w:r>
                </w:p>
              </w:tc>
              <w:tc>
                <w:tcPr>
                  <w:tcW w:w="1264" w:type="dxa"/>
                  <w:vAlign w:val="center"/>
                </w:tcPr>
                <w:p w14:paraId="2D0BC8BD">
                  <w:pPr>
                    <w:pStyle w:val="24"/>
                    <w:overflowPunct w:val="0"/>
                    <w:autoSpaceDE w:val="0"/>
                    <w:autoSpaceDN w:val="0"/>
                  </w:pPr>
                  <w:r>
                    <w:rPr>
                      <w:rFonts w:hint="eastAsia"/>
                    </w:rPr>
                    <w:t>/</w:t>
                  </w:r>
                </w:p>
              </w:tc>
            </w:tr>
          </w:tbl>
          <w:p w14:paraId="5C1AFFFA">
            <w:pPr>
              <w:overflowPunct w:val="0"/>
              <w:autoSpaceDE w:val="0"/>
              <w:autoSpaceDN w:val="0"/>
              <w:ind w:firstLine="480" w:firstLineChars="200"/>
            </w:pPr>
            <w:r>
              <w:rPr>
                <w:rFonts w:hint="eastAsia"/>
              </w:rPr>
              <w:t>2、项目组成</w:t>
            </w:r>
          </w:p>
          <w:p w14:paraId="12DAF6E2">
            <w:pPr>
              <w:overflowPunct w:val="0"/>
              <w:autoSpaceDE w:val="0"/>
              <w:autoSpaceDN w:val="0"/>
              <w:ind w:firstLine="480" w:firstLineChars="200"/>
            </w:pPr>
            <w:r>
              <w:rPr>
                <w:rFonts w:hint="eastAsia"/>
              </w:rPr>
              <w:t>2.1基本概况</w:t>
            </w:r>
          </w:p>
          <w:p w14:paraId="753E0681">
            <w:pPr>
              <w:overflowPunct w:val="0"/>
              <w:autoSpaceDE w:val="0"/>
              <w:autoSpaceDN w:val="0"/>
              <w:ind w:firstLine="480" w:firstLineChars="200"/>
            </w:pPr>
            <w:r>
              <w:rPr>
                <w:rFonts w:hint="eastAsia"/>
              </w:rPr>
              <w:t>（1）项目名称：淮南经开区农场城市综合交通驿站项目</w:t>
            </w:r>
          </w:p>
          <w:p w14:paraId="678C6ADD">
            <w:pPr>
              <w:overflowPunct w:val="0"/>
              <w:autoSpaceDE w:val="0"/>
              <w:autoSpaceDN w:val="0"/>
              <w:ind w:firstLine="480" w:firstLineChars="200"/>
            </w:pPr>
            <w:r>
              <w:rPr>
                <w:rFonts w:hint="eastAsia"/>
              </w:rPr>
              <w:t>（2）建设单位：淮南交控物流服务有限公司</w:t>
            </w:r>
          </w:p>
          <w:p w14:paraId="10EC7EA0">
            <w:pPr>
              <w:overflowPunct w:val="0"/>
              <w:autoSpaceDE w:val="0"/>
              <w:autoSpaceDN w:val="0"/>
              <w:ind w:firstLine="480" w:firstLineChars="200"/>
            </w:pPr>
            <w:r>
              <w:rPr>
                <w:rFonts w:hint="eastAsia"/>
              </w:rPr>
              <w:t>（3）建设性质：新建</w:t>
            </w:r>
          </w:p>
          <w:p w14:paraId="5BC26789">
            <w:pPr>
              <w:overflowPunct w:val="0"/>
              <w:autoSpaceDE w:val="0"/>
              <w:autoSpaceDN w:val="0"/>
              <w:ind w:firstLine="480" w:firstLineChars="200"/>
              <w:rPr>
                <w:color w:val="0000FF"/>
              </w:rPr>
            </w:pPr>
            <w:r>
              <w:rPr>
                <w:rFonts w:hint="eastAsia"/>
              </w:rPr>
              <w:t>（4）建设规模：项目规划建设淮南经开区农场城市综合交通驿站项目，主要建设货运网络信息服务中心、货车应急维修中心、内部综合能源站、公交场站和货车停车场。</w:t>
            </w:r>
          </w:p>
          <w:p w14:paraId="4C0AE170">
            <w:pPr>
              <w:overflowPunct w:val="0"/>
              <w:autoSpaceDE w:val="0"/>
              <w:autoSpaceDN w:val="0"/>
              <w:ind w:firstLine="480" w:firstLineChars="200"/>
            </w:pPr>
            <w:r>
              <w:rPr>
                <w:rFonts w:hint="eastAsia"/>
              </w:rPr>
              <w:t>2.2建设地点</w:t>
            </w:r>
          </w:p>
          <w:p w14:paraId="58776A64">
            <w:pPr>
              <w:overflowPunct w:val="0"/>
              <w:autoSpaceDE w:val="0"/>
              <w:autoSpaceDN w:val="0"/>
              <w:ind w:firstLine="480" w:firstLineChars="200"/>
              <w:rPr>
                <w:color w:val="0000FF"/>
              </w:rPr>
            </w:pPr>
            <w:r>
              <w:rPr>
                <w:rFonts w:hint="eastAsia"/>
              </w:rPr>
              <w:t>本项目位于淮南经济技术开发区G206与朝阳路交叉口西南角，用地性质为社会停车场用地和公共交通场站用地。项</w:t>
            </w:r>
            <w:r>
              <w:rPr>
                <w:rFonts w:hint="eastAsia"/>
                <w:bCs/>
              </w:rPr>
              <w:t>目东侧为G206（洛九路），隔G206为益康小区、淮南农场（办事处）、幸福村，西侧为淮南农场大棚，南侧</w:t>
            </w:r>
            <w:r>
              <w:rPr>
                <w:rFonts w:hint="eastAsia"/>
                <w:lang w:val="zh-CN"/>
              </w:rPr>
              <w:t>为</w:t>
            </w:r>
            <w:r>
              <w:rPr>
                <w:rFonts w:hint="eastAsia"/>
              </w:rPr>
              <w:t>耕地</w:t>
            </w:r>
            <w:r>
              <w:rPr>
                <w:rFonts w:hint="eastAsia"/>
                <w:bCs/>
              </w:rPr>
              <w:t>，北侧为朝阳路，隔朝阳路为耕地。</w:t>
            </w:r>
          </w:p>
          <w:p w14:paraId="78395CF6">
            <w:pPr>
              <w:pStyle w:val="6"/>
            </w:pPr>
            <w:r>
              <w:t xml:space="preserve">表 </w:t>
            </w:r>
            <w:r>
              <w:rPr>
                <w:rFonts w:hint="eastAsia"/>
              </w:rPr>
              <w:t>2-</w:t>
            </w:r>
            <w:r>
              <w:fldChar w:fldCharType="begin"/>
            </w:r>
            <w:r>
              <w:instrText xml:space="preserve"> SEQ 表 \* ARABIC \s 1 </w:instrText>
            </w:r>
            <w:r>
              <w:fldChar w:fldCharType="separate"/>
            </w:r>
            <w:r>
              <w:t>2</w:t>
            </w:r>
            <w:r>
              <w:fldChar w:fldCharType="end"/>
            </w:r>
            <w:r>
              <w:rPr>
                <w:rFonts w:hint="eastAsia"/>
              </w:rPr>
              <w:t xml:space="preserve"> 项目周边环境概况</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1"/>
              <w:gridCol w:w="2490"/>
              <w:gridCol w:w="3506"/>
            </w:tblGrid>
            <w:tr w14:paraId="0141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Align w:val="center"/>
                </w:tcPr>
                <w:p w14:paraId="4BB03304">
                  <w:pPr>
                    <w:pStyle w:val="24"/>
                    <w:rPr>
                      <w:b/>
                      <w:bCs/>
                    </w:rPr>
                  </w:pPr>
                  <w:r>
                    <w:rPr>
                      <w:b/>
                      <w:bCs/>
                    </w:rPr>
                    <w:t>方位</w:t>
                  </w:r>
                </w:p>
              </w:tc>
              <w:tc>
                <w:tcPr>
                  <w:tcW w:w="340" w:type="dxa"/>
                  <w:vAlign w:val="center"/>
                </w:tcPr>
                <w:p w14:paraId="41A1FECA">
                  <w:pPr>
                    <w:pStyle w:val="24"/>
                    <w:rPr>
                      <w:b/>
                      <w:bCs/>
                    </w:rPr>
                  </w:pPr>
                  <w:r>
                    <w:rPr>
                      <w:b/>
                      <w:bCs/>
                    </w:rPr>
                    <w:t>最近距离</w:t>
                  </w:r>
                </w:p>
              </w:tc>
              <w:tc>
                <w:tcPr>
                  <w:tcW w:w="340" w:type="dxa"/>
                  <w:vAlign w:val="center"/>
                </w:tcPr>
                <w:p w14:paraId="7EB85928">
                  <w:pPr>
                    <w:pStyle w:val="24"/>
                    <w:rPr>
                      <w:b/>
                      <w:bCs/>
                    </w:rPr>
                  </w:pPr>
                  <w:r>
                    <w:rPr>
                      <w:b/>
                      <w:bCs/>
                    </w:rPr>
                    <w:t>环境现状</w:t>
                  </w:r>
                </w:p>
              </w:tc>
            </w:tr>
            <w:tr w14:paraId="5AD9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Merge w:val="restart"/>
                  <w:vAlign w:val="center"/>
                </w:tcPr>
                <w:p w14:paraId="3F95834E">
                  <w:pPr>
                    <w:pStyle w:val="24"/>
                  </w:pPr>
                  <w:r>
                    <w:t>东侧</w:t>
                  </w:r>
                </w:p>
              </w:tc>
              <w:tc>
                <w:tcPr>
                  <w:tcW w:w="340" w:type="dxa"/>
                  <w:vAlign w:val="center"/>
                </w:tcPr>
                <w:p w14:paraId="65DB2CF0">
                  <w:pPr>
                    <w:pStyle w:val="24"/>
                  </w:pPr>
                  <w:r>
                    <w:t>紧邻</w:t>
                  </w:r>
                </w:p>
              </w:tc>
              <w:tc>
                <w:tcPr>
                  <w:tcW w:w="340" w:type="dxa"/>
                  <w:vAlign w:val="center"/>
                </w:tcPr>
                <w:p w14:paraId="2457E42E">
                  <w:pPr>
                    <w:pStyle w:val="24"/>
                  </w:pPr>
                  <w:r>
                    <w:rPr>
                      <w:rFonts w:hint="eastAsia"/>
                    </w:rPr>
                    <w:t>G206国道</w:t>
                  </w:r>
                </w:p>
              </w:tc>
            </w:tr>
            <w:tr w14:paraId="0266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Merge w:val="continue"/>
                  <w:vAlign w:val="center"/>
                </w:tcPr>
                <w:p w14:paraId="67598295">
                  <w:pPr>
                    <w:pStyle w:val="24"/>
                  </w:pPr>
                </w:p>
              </w:tc>
              <w:tc>
                <w:tcPr>
                  <w:tcW w:w="340" w:type="dxa"/>
                  <w:vAlign w:val="center"/>
                </w:tcPr>
                <w:p w14:paraId="6FF38364">
                  <w:pPr>
                    <w:pStyle w:val="24"/>
                  </w:pPr>
                  <w:r>
                    <w:rPr>
                      <w:rFonts w:hint="eastAsia"/>
                    </w:rPr>
                    <w:t>38m</w:t>
                  </w:r>
                </w:p>
              </w:tc>
              <w:tc>
                <w:tcPr>
                  <w:tcW w:w="340" w:type="dxa"/>
                  <w:vAlign w:val="center"/>
                </w:tcPr>
                <w:p w14:paraId="6C04776E">
                  <w:pPr>
                    <w:pStyle w:val="24"/>
                    <w:rPr>
                      <w:bCs/>
                    </w:rPr>
                  </w:pPr>
                  <w:r>
                    <w:rPr>
                      <w:rFonts w:hint="eastAsia"/>
                      <w:bCs/>
                    </w:rPr>
                    <w:t>益康小区、淮南农场（办事处）、幸福村</w:t>
                  </w:r>
                </w:p>
              </w:tc>
            </w:tr>
            <w:tr w14:paraId="0153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Align w:val="center"/>
                </w:tcPr>
                <w:p w14:paraId="37AAADBB">
                  <w:pPr>
                    <w:pStyle w:val="24"/>
                  </w:pPr>
                  <w:r>
                    <w:t>南侧</w:t>
                  </w:r>
                </w:p>
              </w:tc>
              <w:tc>
                <w:tcPr>
                  <w:tcW w:w="340" w:type="dxa"/>
                  <w:vAlign w:val="center"/>
                </w:tcPr>
                <w:p w14:paraId="29D7C118">
                  <w:pPr>
                    <w:pStyle w:val="24"/>
                  </w:pPr>
                  <w:r>
                    <w:t>紧邻</w:t>
                  </w:r>
                </w:p>
              </w:tc>
              <w:tc>
                <w:tcPr>
                  <w:tcW w:w="340" w:type="dxa"/>
                  <w:vAlign w:val="center"/>
                </w:tcPr>
                <w:p w14:paraId="55177E40">
                  <w:pPr>
                    <w:pStyle w:val="24"/>
                  </w:pPr>
                  <w:r>
                    <w:rPr>
                      <w:rFonts w:hint="eastAsia"/>
                    </w:rPr>
                    <w:t>耕地</w:t>
                  </w:r>
                </w:p>
              </w:tc>
            </w:tr>
            <w:tr w14:paraId="0142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40" w:type="dxa"/>
                  <w:vAlign w:val="center"/>
                </w:tcPr>
                <w:p w14:paraId="6F784A68">
                  <w:pPr>
                    <w:pStyle w:val="24"/>
                  </w:pPr>
                  <w:r>
                    <w:t>西侧</w:t>
                  </w:r>
                </w:p>
              </w:tc>
              <w:tc>
                <w:tcPr>
                  <w:tcW w:w="340" w:type="dxa"/>
                  <w:vAlign w:val="center"/>
                </w:tcPr>
                <w:p w14:paraId="74CB628D">
                  <w:pPr>
                    <w:pStyle w:val="24"/>
                  </w:pPr>
                  <w:r>
                    <w:t>紧邻</w:t>
                  </w:r>
                </w:p>
              </w:tc>
              <w:tc>
                <w:tcPr>
                  <w:tcW w:w="340" w:type="dxa"/>
                  <w:vAlign w:val="center"/>
                </w:tcPr>
                <w:p w14:paraId="3990C0D2">
                  <w:pPr>
                    <w:pStyle w:val="24"/>
                  </w:pPr>
                  <w:r>
                    <w:rPr>
                      <w:rFonts w:hint="eastAsia"/>
                    </w:rPr>
                    <w:t>淮南农场大棚</w:t>
                  </w:r>
                </w:p>
              </w:tc>
            </w:tr>
            <w:tr w14:paraId="682E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Merge w:val="restart"/>
                  <w:vAlign w:val="center"/>
                </w:tcPr>
                <w:p w14:paraId="5DFAD674">
                  <w:pPr>
                    <w:pStyle w:val="24"/>
                  </w:pPr>
                  <w:r>
                    <w:t>北侧</w:t>
                  </w:r>
                </w:p>
              </w:tc>
              <w:tc>
                <w:tcPr>
                  <w:tcW w:w="340" w:type="dxa"/>
                  <w:vAlign w:val="center"/>
                </w:tcPr>
                <w:p w14:paraId="7B020537">
                  <w:pPr>
                    <w:pStyle w:val="24"/>
                  </w:pPr>
                  <w:r>
                    <w:rPr>
                      <w:rFonts w:hint="eastAsia"/>
                    </w:rPr>
                    <w:t>紧邻</w:t>
                  </w:r>
                </w:p>
              </w:tc>
              <w:tc>
                <w:tcPr>
                  <w:tcW w:w="340" w:type="dxa"/>
                  <w:vAlign w:val="center"/>
                </w:tcPr>
                <w:p w14:paraId="178F1BEC">
                  <w:pPr>
                    <w:pStyle w:val="24"/>
                  </w:pPr>
                  <w:r>
                    <w:rPr>
                      <w:rFonts w:hint="eastAsia"/>
                    </w:rPr>
                    <w:t>朝阳路</w:t>
                  </w:r>
                </w:p>
              </w:tc>
            </w:tr>
            <w:tr w14:paraId="1771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Merge w:val="continue"/>
                  <w:vAlign w:val="center"/>
                </w:tcPr>
                <w:p w14:paraId="6D335D0F">
                  <w:pPr>
                    <w:pStyle w:val="24"/>
                  </w:pPr>
                </w:p>
              </w:tc>
              <w:tc>
                <w:tcPr>
                  <w:tcW w:w="340" w:type="dxa"/>
                  <w:vAlign w:val="center"/>
                </w:tcPr>
                <w:p w14:paraId="6685EBE1">
                  <w:pPr>
                    <w:pStyle w:val="24"/>
                  </w:pPr>
                  <w:r>
                    <w:rPr>
                      <w:rFonts w:hint="eastAsia"/>
                    </w:rPr>
                    <w:t>70m</w:t>
                  </w:r>
                </w:p>
              </w:tc>
              <w:tc>
                <w:tcPr>
                  <w:tcW w:w="340" w:type="dxa"/>
                  <w:vAlign w:val="center"/>
                </w:tcPr>
                <w:p w14:paraId="3AB6F214">
                  <w:pPr>
                    <w:pStyle w:val="24"/>
                  </w:pPr>
                  <w:r>
                    <w:rPr>
                      <w:rFonts w:hint="eastAsia"/>
                    </w:rPr>
                    <w:t>耕地</w:t>
                  </w:r>
                </w:p>
              </w:tc>
            </w:tr>
          </w:tbl>
          <w:p w14:paraId="7F00FAE3">
            <w:pPr>
              <w:pStyle w:val="6"/>
              <w:rPr>
                <w:color w:val="0000FF"/>
              </w:rPr>
            </w:pPr>
            <w:r>
              <w:drawing>
                <wp:inline distT="0" distB="0" distL="114300" distR="114300">
                  <wp:extent cx="4874895" cy="3274060"/>
                  <wp:effectExtent l="9525" t="9525" r="11430" b="1206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6"/>
                          <a:stretch>
                            <a:fillRect/>
                          </a:stretch>
                        </pic:blipFill>
                        <pic:spPr>
                          <a:xfrm>
                            <a:off x="0" y="0"/>
                            <a:ext cx="4874895" cy="3274060"/>
                          </a:xfrm>
                          <a:prstGeom prst="rect">
                            <a:avLst/>
                          </a:prstGeom>
                          <a:noFill/>
                          <a:ln>
                            <a:solidFill>
                              <a:schemeClr val="tx1"/>
                            </a:solidFill>
                          </a:ln>
                        </pic:spPr>
                      </pic:pic>
                    </a:graphicData>
                  </a:graphic>
                </wp:inline>
              </w:drawing>
            </w:r>
          </w:p>
          <w:p w14:paraId="63A5D28B">
            <w:pPr>
              <w:pStyle w:val="6"/>
            </w:pPr>
            <w:r>
              <w:t xml:space="preserve">图 </w:t>
            </w:r>
            <w:r>
              <w:rPr>
                <w:rFonts w:hint="eastAsia"/>
              </w:rPr>
              <w:t>2-</w:t>
            </w:r>
            <w:r>
              <w:fldChar w:fldCharType="begin"/>
            </w:r>
            <w:r>
              <w:instrText xml:space="preserve"> SEQ 图 \* ARABIC </w:instrText>
            </w:r>
            <w:r>
              <w:fldChar w:fldCharType="separate"/>
            </w:r>
            <w:r>
              <w:t>2</w:t>
            </w:r>
            <w:r>
              <w:fldChar w:fldCharType="end"/>
            </w:r>
            <w:r>
              <w:rPr>
                <w:rFonts w:hint="eastAsia"/>
              </w:rPr>
              <w:t xml:space="preserve"> 项目</w:t>
            </w:r>
            <w:bookmarkStart w:id="14" w:name="OLE_LINK11"/>
            <w:r>
              <w:rPr>
                <w:rFonts w:hint="eastAsia"/>
              </w:rPr>
              <w:t>四周概况图</w:t>
            </w:r>
            <w:bookmarkEnd w:id="14"/>
          </w:p>
          <w:p w14:paraId="6B8B16E7">
            <w:pPr>
              <w:overflowPunct w:val="0"/>
              <w:autoSpaceDE w:val="0"/>
              <w:autoSpaceDN w:val="0"/>
              <w:ind w:firstLine="480" w:firstLineChars="200"/>
            </w:pPr>
            <w:r>
              <w:rPr>
                <w:rFonts w:hint="eastAsia"/>
              </w:rPr>
              <w:t>2.3项目主要建设内容</w:t>
            </w:r>
          </w:p>
          <w:p w14:paraId="51FA9826">
            <w:pPr>
              <w:overflowPunct w:val="0"/>
              <w:autoSpaceDE w:val="0"/>
              <w:autoSpaceDN w:val="0"/>
              <w:ind w:firstLine="480" w:firstLineChars="200"/>
            </w:pPr>
            <w:r>
              <w:rPr>
                <w:rFonts w:hint="eastAsia"/>
              </w:rPr>
              <w:t>本项目位于淮南经济技术开发区G206与朝阳路交叉口西南角，主要建设货运网络信息服务中心汽车应急维修厂、汽车检测站、综合能源站、公交场站和货运停车场。主要工程内容及规模见下表。</w:t>
            </w:r>
          </w:p>
          <w:p w14:paraId="15ABC9F1">
            <w:pPr>
              <w:pStyle w:val="6"/>
              <w:overflowPunct w:val="0"/>
              <w:autoSpaceDE w:val="0"/>
              <w:autoSpaceDN w:val="0"/>
            </w:pPr>
            <w:r>
              <w:t xml:space="preserve">表 </w:t>
            </w:r>
            <w:r>
              <w:rPr>
                <w:rFonts w:hint="eastAsia"/>
              </w:rPr>
              <w:t>2-</w:t>
            </w:r>
            <w:r>
              <w:fldChar w:fldCharType="begin"/>
            </w:r>
            <w:r>
              <w:instrText xml:space="preserve"> SEQ 表 \* ARABIC \s 1 </w:instrText>
            </w:r>
            <w:r>
              <w:fldChar w:fldCharType="separate"/>
            </w:r>
            <w:r>
              <w:t>3</w:t>
            </w:r>
            <w:r>
              <w:fldChar w:fldCharType="end"/>
            </w:r>
            <w:r>
              <w:rPr>
                <w:rFonts w:hint="eastAsia"/>
              </w:rPr>
              <w:t xml:space="preserve"> 项目主要建设内容一览表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071"/>
              <w:gridCol w:w="1557"/>
              <w:gridCol w:w="3068"/>
              <w:gridCol w:w="1071"/>
            </w:tblGrid>
            <w:tr w14:paraId="2007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trPr>
              <w:tc>
                <w:tcPr>
                  <w:tcW w:w="1070" w:type="dxa"/>
                  <w:vAlign w:val="center"/>
                </w:tcPr>
                <w:p w14:paraId="7A6ED7BF">
                  <w:pPr>
                    <w:pStyle w:val="24"/>
                    <w:overflowPunct w:val="0"/>
                    <w:autoSpaceDE w:val="0"/>
                    <w:autoSpaceDN w:val="0"/>
                  </w:pPr>
                  <w:r>
                    <w:t>工程类别</w:t>
                  </w:r>
                </w:p>
              </w:tc>
              <w:tc>
                <w:tcPr>
                  <w:tcW w:w="2628" w:type="dxa"/>
                  <w:gridSpan w:val="2"/>
                  <w:vAlign w:val="center"/>
                </w:tcPr>
                <w:p w14:paraId="0957B93E">
                  <w:pPr>
                    <w:pStyle w:val="24"/>
                    <w:overflowPunct w:val="0"/>
                    <w:autoSpaceDE w:val="0"/>
                    <w:autoSpaceDN w:val="0"/>
                  </w:pPr>
                  <w:r>
                    <w:t>工程名称</w:t>
                  </w:r>
                </w:p>
              </w:tc>
              <w:tc>
                <w:tcPr>
                  <w:tcW w:w="3068" w:type="dxa"/>
                  <w:vAlign w:val="center"/>
                </w:tcPr>
                <w:p w14:paraId="056A46EF">
                  <w:pPr>
                    <w:pStyle w:val="24"/>
                    <w:overflowPunct w:val="0"/>
                    <w:autoSpaceDE w:val="0"/>
                    <w:autoSpaceDN w:val="0"/>
                  </w:pPr>
                  <w:r>
                    <w:t>工程内容及规模</w:t>
                  </w:r>
                </w:p>
              </w:tc>
              <w:tc>
                <w:tcPr>
                  <w:tcW w:w="1071" w:type="dxa"/>
                  <w:vAlign w:val="center"/>
                </w:tcPr>
                <w:p w14:paraId="592FF645">
                  <w:pPr>
                    <w:pStyle w:val="24"/>
                    <w:overflowPunct w:val="0"/>
                    <w:autoSpaceDE w:val="0"/>
                    <w:autoSpaceDN w:val="0"/>
                  </w:pPr>
                  <w:r>
                    <w:rPr>
                      <w:rFonts w:hint="eastAsia"/>
                    </w:rPr>
                    <w:t>备注</w:t>
                  </w:r>
                </w:p>
              </w:tc>
            </w:tr>
            <w:tr w14:paraId="7C63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restart"/>
                  <w:vAlign w:val="center"/>
                </w:tcPr>
                <w:p w14:paraId="5F639089">
                  <w:pPr>
                    <w:pStyle w:val="24"/>
                    <w:overflowPunct w:val="0"/>
                    <w:autoSpaceDE w:val="0"/>
                    <w:autoSpaceDN w:val="0"/>
                  </w:pPr>
                  <w:r>
                    <w:rPr>
                      <w:rFonts w:hint="eastAsia"/>
                    </w:rPr>
                    <w:t>主体工程</w:t>
                  </w:r>
                </w:p>
              </w:tc>
              <w:tc>
                <w:tcPr>
                  <w:tcW w:w="1071" w:type="dxa"/>
                  <w:vMerge w:val="restart"/>
                  <w:vAlign w:val="center"/>
                </w:tcPr>
                <w:p w14:paraId="09ACB9DB">
                  <w:pPr>
                    <w:pStyle w:val="24"/>
                    <w:overflowPunct w:val="0"/>
                    <w:autoSpaceDE w:val="0"/>
                    <w:autoSpaceDN w:val="0"/>
                  </w:pPr>
                  <w:r>
                    <w:rPr>
                      <w:rFonts w:hint="eastAsia"/>
                    </w:rPr>
                    <w:t>综合能源站</w:t>
                  </w:r>
                </w:p>
              </w:tc>
              <w:tc>
                <w:tcPr>
                  <w:tcW w:w="1557" w:type="dxa"/>
                  <w:vAlign w:val="center"/>
                </w:tcPr>
                <w:p w14:paraId="4262B11E">
                  <w:pPr>
                    <w:pStyle w:val="24"/>
                    <w:overflowPunct w:val="0"/>
                    <w:autoSpaceDE w:val="0"/>
                    <w:autoSpaceDN w:val="0"/>
                  </w:pPr>
                  <w:r>
                    <w:rPr>
                      <w:rFonts w:hint="eastAsia"/>
                    </w:rPr>
                    <w:t>罩棚</w:t>
                  </w:r>
                </w:p>
              </w:tc>
              <w:tc>
                <w:tcPr>
                  <w:tcW w:w="3068" w:type="dxa"/>
                  <w:vAlign w:val="center"/>
                </w:tcPr>
                <w:p w14:paraId="5F31AC54">
                  <w:pPr>
                    <w:pStyle w:val="24"/>
                    <w:rPr>
                      <w:color w:val="0000FF"/>
                    </w:rPr>
                  </w:pPr>
                  <w:bookmarkStart w:id="15" w:name="OLE_LINK3"/>
                  <w:r>
                    <w:rPr>
                      <w:rFonts w:hint="eastAsia"/>
                    </w:rPr>
                    <w:t>新建钢网架结构罩棚1座，水平投影面积为614m</w:t>
                  </w:r>
                  <w:r>
                    <w:rPr>
                      <w:rFonts w:hint="eastAsia"/>
                      <w:vertAlign w:val="superscript"/>
                    </w:rPr>
                    <w:t>2</w:t>
                  </w:r>
                  <w:r>
                    <w:rPr>
                      <w:rFonts w:hint="eastAsia"/>
                    </w:rPr>
                    <w:t>，净空高度7m，建筑面积为307m</w:t>
                  </w:r>
                  <w:r>
                    <w:rPr>
                      <w:rFonts w:hint="eastAsia"/>
                      <w:vertAlign w:val="superscript"/>
                    </w:rPr>
                    <w:t>2</w:t>
                  </w:r>
                  <w:r>
                    <w:rPr>
                      <w:rFonts w:hint="eastAsia"/>
                    </w:rPr>
                    <w:t>。罩棚下共设置4台四枪双油品潜油泵加油机；站区设置卸油及加油油气回收系统，配套建设电气系统、消防给排水系统、监控系统及其他的辅助设施。</w:t>
                  </w:r>
                  <w:bookmarkEnd w:id="15"/>
                </w:p>
              </w:tc>
              <w:tc>
                <w:tcPr>
                  <w:tcW w:w="1071" w:type="dxa"/>
                  <w:vAlign w:val="center"/>
                </w:tcPr>
                <w:p w14:paraId="0FAD09F4">
                  <w:pPr>
                    <w:pStyle w:val="24"/>
                    <w:overflowPunct w:val="0"/>
                    <w:autoSpaceDE w:val="0"/>
                    <w:autoSpaceDN w:val="0"/>
                  </w:pPr>
                  <w:r>
                    <w:rPr>
                      <w:rFonts w:hint="eastAsia"/>
                    </w:rPr>
                    <w:t>新建</w:t>
                  </w:r>
                </w:p>
              </w:tc>
            </w:tr>
            <w:tr w14:paraId="11C2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continue"/>
                  <w:vAlign w:val="center"/>
                </w:tcPr>
                <w:p w14:paraId="14A3B223">
                  <w:pPr>
                    <w:pStyle w:val="24"/>
                    <w:overflowPunct w:val="0"/>
                    <w:autoSpaceDE w:val="0"/>
                    <w:autoSpaceDN w:val="0"/>
                  </w:pPr>
                </w:p>
              </w:tc>
              <w:tc>
                <w:tcPr>
                  <w:tcW w:w="1071" w:type="dxa"/>
                  <w:vMerge w:val="continue"/>
                  <w:vAlign w:val="center"/>
                </w:tcPr>
                <w:p w14:paraId="66F5B178">
                  <w:pPr>
                    <w:pStyle w:val="24"/>
                    <w:overflowPunct w:val="0"/>
                    <w:autoSpaceDE w:val="0"/>
                    <w:autoSpaceDN w:val="0"/>
                  </w:pPr>
                </w:p>
              </w:tc>
              <w:tc>
                <w:tcPr>
                  <w:tcW w:w="1557" w:type="dxa"/>
                  <w:vAlign w:val="center"/>
                </w:tcPr>
                <w:p w14:paraId="7AA630BE">
                  <w:pPr>
                    <w:pStyle w:val="24"/>
                    <w:overflowPunct w:val="0"/>
                    <w:autoSpaceDE w:val="0"/>
                    <w:autoSpaceDN w:val="0"/>
                  </w:pPr>
                  <w:r>
                    <w:rPr>
                      <w:rFonts w:hint="eastAsia"/>
                    </w:rPr>
                    <w:t>埋地油罐区</w:t>
                  </w:r>
                </w:p>
              </w:tc>
              <w:tc>
                <w:tcPr>
                  <w:tcW w:w="3068" w:type="dxa"/>
                  <w:vAlign w:val="center"/>
                </w:tcPr>
                <w:p w14:paraId="54A8D54B">
                  <w:pPr>
                    <w:pStyle w:val="24"/>
                  </w:pPr>
                  <w:r>
                    <w:rPr>
                      <w:rFonts w:hint="eastAsia"/>
                    </w:rPr>
                    <w:t>位于加油区中部，埋设</w:t>
                  </w:r>
                  <w:r>
                    <w:rPr>
                      <w:rFonts w:hint="eastAsia"/>
                      <w:lang w:val="en-US" w:eastAsia="zh-CN"/>
                    </w:rPr>
                    <w:t>2</w:t>
                  </w:r>
                  <w:r>
                    <w:rPr>
                      <w:rFonts w:hint="eastAsia"/>
                    </w:rPr>
                    <w:t>台30</w:t>
                  </w:r>
                  <w:r>
                    <w:t>m</w:t>
                  </w:r>
                  <w:r>
                    <w:rPr>
                      <w:vertAlign w:val="superscript"/>
                    </w:rPr>
                    <w:t>3</w:t>
                  </w:r>
                  <w:r>
                    <w:rPr>
                      <w:rFonts w:hint="eastAsia"/>
                    </w:rPr>
                    <w:t>汽油储罐，</w:t>
                  </w:r>
                  <w:r>
                    <w:rPr>
                      <w:rFonts w:hint="eastAsia"/>
                      <w:lang w:val="en-US" w:eastAsia="zh-CN"/>
                    </w:rPr>
                    <w:t>3</w:t>
                  </w:r>
                  <w:r>
                    <w:rPr>
                      <w:rFonts w:hint="eastAsia"/>
                    </w:rPr>
                    <w:t>台50</w:t>
                  </w:r>
                  <w:r>
                    <w:t>m</w:t>
                  </w:r>
                  <w:r>
                    <w:rPr>
                      <w:vertAlign w:val="superscript"/>
                    </w:rPr>
                    <w:t>3</w:t>
                  </w:r>
                  <w:r>
                    <w:rPr>
                      <w:rFonts w:hint="eastAsia"/>
                    </w:rPr>
                    <w:t>柴油储罐。占地面积约200m</w:t>
                  </w:r>
                  <w:r>
                    <w:rPr>
                      <w:rFonts w:hint="eastAsia"/>
                      <w:vertAlign w:val="superscript"/>
                    </w:rPr>
                    <w:t>2</w:t>
                  </w:r>
                  <w:r>
                    <w:rPr>
                      <w:rFonts w:hint="eastAsia"/>
                    </w:rPr>
                    <w:t>。</w:t>
                  </w:r>
                </w:p>
              </w:tc>
              <w:tc>
                <w:tcPr>
                  <w:tcW w:w="1071" w:type="dxa"/>
                  <w:vAlign w:val="center"/>
                </w:tcPr>
                <w:p w14:paraId="6C0B8A37">
                  <w:pPr>
                    <w:pStyle w:val="24"/>
                    <w:overflowPunct w:val="0"/>
                    <w:autoSpaceDE w:val="0"/>
                    <w:autoSpaceDN w:val="0"/>
                  </w:pPr>
                  <w:r>
                    <w:rPr>
                      <w:rFonts w:hint="eastAsia"/>
                    </w:rPr>
                    <w:t>新建</w:t>
                  </w:r>
                </w:p>
              </w:tc>
            </w:tr>
            <w:tr w14:paraId="11FB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continue"/>
                  <w:vAlign w:val="center"/>
                </w:tcPr>
                <w:p w14:paraId="000DF536">
                  <w:pPr>
                    <w:pStyle w:val="24"/>
                    <w:overflowPunct w:val="0"/>
                    <w:autoSpaceDE w:val="0"/>
                    <w:autoSpaceDN w:val="0"/>
                  </w:pPr>
                </w:p>
              </w:tc>
              <w:tc>
                <w:tcPr>
                  <w:tcW w:w="1071" w:type="dxa"/>
                  <w:vMerge w:val="continue"/>
                  <w:vAlign w:val="center"/>
                </w:tcPr>
                <w:p w14:paraId="3284BC5C">
                  <w:pPr>
                    <w:pStyle w:val="24"/>
                    <w:overflowPunct w:val="0"/>
                    <w:autoSpaceDE w:val="0"/>
                    <w:autoSpaceDN w:val="0"/>
                  </w:pPr>
                </w:p>
              </w:tc>
              <w:tc>
                <w:tcPr>
                  <w:tcW w:w="1557" w:type="dxa"/>
                  <w:vAlign w:val="center"/>
                </w:tcPr>
                <w:p w14:paraId="293AE18D">
                  <w:pPr>
                    <w:pStyle w:val="24"/>
                    <w:overflowPunct w:val="0"/>
                    <w:autoSpaceDE w:val="0"/>
                    <w:autoSpaceDN w:val="0"/>
                    <w:jc w:val="both"/>
                  </w:pPr>
                  <w:r>
                    <w:rPr>
                      <w:rFonts w:hint="eastAsia"/>
                    </w:rPr>
                    <w:t>充电设备区（储能区）</w:t>
                  </w:r>
                </w:p>
              </w:tc>
              <w:tc>
                <w:tcPr>
                  <w:tcW w:w="3068" w:type="dxa"/>
                  <w:vAlign w:val="center"/>
                </w:tcPr>
                <w:p w14:paraId="52EBB450">
                  <w:pPr>
                    <w:pStyle w:val="24"/>
                    <w:overflowPunct w:val="0"/>
                    <w:autoSpaceDE w:val="0"/>
                    <w:autoSpaceDN w:val="0"/>
                  </w:pPr>
                  <w:r>
                    <w:rPr>
                      <w:rFonts w:hint="eastAsia"/>
                    </w:rPr>
                    <w:t>充电设备1套，设置充电桩6个。</w:t>
                  </w:r>
                </w:p>
              </w:tc>
              <w:tc>
                <w:tcPr>
                  <w:tcW w:w="1071" w:type="dxa"/>
                  <w:vAlign w:val="center"/>
                </w:tcPr>
                <w:p w14:paraId="377155F4">
                  <w:pPr>
                    <w:pStyle w:val="24"/>
                    <w:overflowPunct w:val="0"/>
                    <w:autoSpaceDE w:val="0"/>
                    <w:autoSpaceDN w:val="0"/>
                  </w:pPr>
                  <w:r>
                    <w:rPr>
                      <w:rFonts w:hint="eastAsia"/>
                    </w:rPr>
                    <w:t>新建</w:t>
                  </w:r>
                </w:p>
              </w:tc>
            </w:tr>
            <w:tr w14:paraId="264E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continue"/>
                  <w:vAlign w:val="center"/>
                </w:tcPr>
                <w:p w14:paraId="6CDCA9C6">
                  <w:pPr>
                    <w:pStyle w:val="24"/>
                    <w:overflowPunct w:val="0"/>
                    <w:autoSpaceDE w:val="0"/>
                    <w:autoSpaceDN w:val="0"/>
                  </w:pPr>
                </w:p>
              </w:tc>
              <w:tc>
                <w:tcPr>
                  <w:tcW w:w="1071" w:type="dxa"/>
                  <w:vMerge w:val="restart"/>
                  <w:vAlign w:val="center"/>
                </w:tcPr>
                <w:p w14:paraId="6869F34F">
                  <w:pPr>
                    <w:pStyle w:val="24"/>
                    <w:overflowPunct w:val="0"/>
                    <w:autoSpaceDE w:val="0"/>
                    <w:autoSpaceDN w:val="0"/>
                  </w:pPr>
                  <w:r>
                    <w:rPr>
                      <w:rFonts w:hint="eastAsia"/>
                    </w:rPr>
                    <w:t>交通驿站</w:t>
                  </w:r>
                </w:p>
              </w:tc>
              <w:tc>
                <w:tcPr>
                  <w:tcW w:w="1557" w:type="dxa"/>
                  <w:vAlign w:val="center"/>
                </w:tcPr>
                <w:p w14:paraId="43A80A92">
                  <w:pPr>
                    <w:pStyle w:val="24"/>
                    <w:overflowPunct w:val="0"/>
                    <w:autoSpaceDE w:val="0"/>
                    <w:autoSpaceDN w:val="0"/>
                  </w:pPr>
                  <w:r>
                    <w:rPr>
                      <w:rFonts w:hint="eastAsia"/>
                    </w:rPr>
                    <w:t>停车场</w:t>
                  </w:r>
                </w:p>
              </w:tc>
              <w:tc>
                <w:tcPr>
                  <w:tcW w:w="3068" w:type="dxa"/>
                  <w:vAlign w:val="center"/>
                </w:tcPr>
                <w:p w14:paraId="20AA59F5">
                  <w:pPr>
                    <w:pStyle w:val="24"/>
                    <w:overflowPunct w:val="0"/>
                    <w:autoSpaceDE w:val="0"/>
                    <w:autoSpaceDN w:val="0"/>
                  </w:pPr>
                  <w:r>
                    <w:rPr>
                      <w:rFonts w:hint="eastAsia"/>
                    </w:rPr>
                    <w:t>建设约354个机动车停车位（含大货车车位183个，中货车车位35个，小货车车位50个，小汽车车位86个）；227个非机动车停车位。</w:t>
                  </w:r>
                </w:p>
              </w:tc>
              <w:tc>
                <w:tcPr>
                  <w:tcW w:w="1071" w:type="dxa"/>
                  <w:vMerge w:val="restart"/>
                  <w:vAlign w:val="center"/>
                </w:tcPr>
                <w:p w14:paraId="4249DA74">
                  <w:pPr>
                    <w:pStyle w:val="24"/>
                    <w:overflowPunct w:val="0"/>
                    <w:autoSpaceDE w:val="0"/>
                    <w:autoSpaceDN w:val="0"/>
                  </w:pPr>
                  <w:r>
                    <w:rPr>
                      <w:rFonts w:hint="eastAsia"/>
                    </w:rPr>
                    <w:t>新建</w:t>
                  </w:r>
                </w:p>
              </w:tc>
            </w:tr>
            <w:tr w14:paraId="78E8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continue"/>
                  <w:vAlign w:val="center"/>
                </w:tcPr>
                <w:p w14:paraId="2AE39C17">
                  <w:pPr>
                    <w:pStyle w:val="24"/>
                    <w:overflowPunct w:val="0"/>
                    <w:autoSpaceDE w:val="0"/>
                    <w:autoSpaceDN w:val="0"/>
                    <w:rPr>
                      <w:color w:val="0000FF"/>
                    </w:rPr>
                  </w:pPr>
                </w:p>
              </w:tc>
              <w:tc>
                <w:tcPr>
                  <w:tcW w:w="1071" w:type="dxa"/>
                  <w:vMerge w:val="continue"/>
                  <w:vAlign w:val="center"/>
                </w:tcPr>
                <w:p w14:paraId="78E7D9FF">
                  <w:pPr>
                    <w:pStyle w:val="24"/>
                    <w:overflowPunct w:val="0"/>
                    <w:autoSpaceDE w:val="0"/>
                    <w:autoSpaceDN w:val="0"/>
                    <w:rPr>
                      <w:color w:val="0000FF"/>
                    </w:rPr>
                  </w:pPr>
                </w:p>
              </w:tc>
              <w:tc>
                <w:tcPr>
                  <w:tcW w:w="1557" w:type="dxa"/>
                  <w:vAlign w:val="center"/>
                </w:tcPr>
                <w:p w14:paraId="71A2FBF4">
                  <w:pPr>
                    <w:pStyle w:val="24"/>
                    <w:overflowPunct w:val="0"/>
                    <w:autoSpaceDE w:val="0"/>
                    <w:autoSpaceDN w:val="0"/>
                  </w:pPr>
                  <w:r>
                    <w:t>货车应急维修中心</w:t>
                  </w:r>
                </w:p>
              </w:tc>
              <w:tc>
                <w:tcPr>
                  <w:tcW w:w="3068" w:type="dxa"/>
                  <w:vAlign w:val="center"/>
                </w:tcPr>
                <w:p w14:paraId="14A8A446">
                  <w:pPr>
                    <w:pStyle w:val="24"/>
                    <w:overflowPunct w:val="0"/>
                    <w:autoSpaceDE w:val="0"/>
                    <w:autoSpaceDN w:val="0"/>
                  </w:pPr>
                  <w:r>
                    <w:rPr>
                      <w:rFonts w:hint="eastAsia"/>
                    </w:rPr>
                    <w:t>位于项目北侧，1层，建筑面积5600m</w:t>
                  </w:r>
                  <w:r>
                    <w:rPr>
                      <w:rFonts w:hint="eastAsia"/>
                      <w:vertAlign w:val="superscript"/>
                    </w:rPr>
                    <w:t>2</w:t>
                  </w:r>
                  <w:r>
                    <w:rPr>
                      <w:rFonts w:hint="eastAsia"/>
                    </w:rPr>
                    <w:t>，主要进行汽车车辆维修的活动。</w:t>
                  </w:r>
                </w:p>
              </w:tc>
              <w:tc>
                <w:tcPr>
                  <w:tcW w:w="1071" w:type="dxa"/>
                  <w:vMerge w:val="continue"/>
                  <w:vAlign w:val="center"/>
                </w:tcPr>
                <w:p w14:paraId="24B2C2CF">
                  <w:pPr>
                    <w:pStyle w:val="24"/>
                    <w:overflowPunct w:val="0"/>
                    <w:autoSpaceDE w:val="0"/>
                    <w:autoSpaceDN w:val="0"/>
                    <w:rPr>
                      <w:color w:val="0000FF"/>
                    </w:rPr>
                  </w:pPr>
                </w:p>
              </w:tc>
            </w:tr>
            <w:tr w14:paraId="3E46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restart"/>
                  <w:vAlign w:val="center"/>
                </w:tcPr>
                <w:p w14:paraId="02F4DA18">
                  <w:pPr>
                    <w:pStyle w:val="24"/>
                    <w:overflowPunct w:val="0"/>
                    <w:autoSpaceDE w:val="0"/>
                    <w:autoSpaceDN w:val="0"/>
                    <w:rPr>
                      <w:color w:val="0000FF"/>
                    </w:rPr>
                  </w:pPr>
                  <w:r>
                    <w:rPr>
                      <w:rFonts w:hint="eastAsia"/>
                    </w:rPr>
                    <w:t>辅助工程</w:t>
                  </w:r>
                </w:p>
              </w:tc>
              <w:tc>
                <w:tcPr>
                  <w:tcW w:w="2628" w:type="dxa"/>
                  <w:gridSpan w:val="2"/>
                  <w:vAlign w:val="center"/>
                </w:tcPr>
                <w:p w14:paraId="065F8E88">
                  <w:pPr>
                    <w:pStyle w:val="24"/>
                    <w:overflowPunct w:val="0"/>
                    <w:autoSpaceDE w:val="0"/>
                    <w:autoSpaceDN w:val="0"/>
                  </w:pPr>
                  <w:r>
                    <w:rPr>
                      <w:rFonts w:hint="eastAsia"/>
                    </w:rPr>
                    <w:t>站房</w:t>
                  </w:r>
                </w:p>
              </w:tc>
              <w:tc>
                <w:tcPr>
                  <w:tcW w:w="3068" w:type="dxa"/>
                  <w:vAlign w:val="center"/>
                </w:tcPr>
                <w:p w14:paraId="1AEBB9A6">
                  <w:pPr>
                    <w:pStyle w:val="24"/>
                    <w:overflowPunct w:val="0"/>
                    <w:autoSpaceDE w:val="0"/>
                    <w:autoSpaceDN w:val="0"/>
                  </w:pPr>
                  <w:r>
                    <w:t>位于加油区</w:t>
                  </w:r>
                  <w:r>
                    <w:rPr>
                      <w:rFonts w:hint="eastAsia"/>
                    </w:rPr>
                    <w:t>北侧</w:t>
                  </w:r>
                  <w:r>
                    <w:t>，建筑面积为</w:t>
                  </w:r>
                  <w:r>
                    <w:rPr>
                      <w:rFonts w:hint="eastAsia"/>
                    </w:rPr>
                    <w:t>384</w:t>
                  </w:r>
                  <w:r>
                    <w:t>m</w:t>
                  </w:r>
                  <w:r>
                    <w:rPr>
                      <w:vertAlign w:val="superscript"/>
                    </w:rPr>
                    <w:t>2</w:t>
                  </w:r>
                  <w:r>
                    <w:t>，为1层</w:t>
                  </w:r>
                  <w:r>
                    <w:rPr>
                      <w:rFonts w:hint="eastAsia"/>
                    </w:rPr>
                    <w:t>框架</w:t>
                  </w:r>
                  <w:r>
                    <w:t>结构建筑</w:t>
                  </w:r>
                  <w:r>
                    <w:rPr>
                      <w:rFonts w:hint="eastAsia"/>
                    </w:rPr>
                    <w:t>。</w:t>
                  </w:r>
                </w:p>
              </w:tc>
              <w:tc>
                <w:tcPr>
                  <w:tcW w:w="1071" w:type="dxa"/>
                  <w:vAlign w:val="center"/>
                </w:tcPr>
                <w:p w14:paraId="603DCF4A">
                  <w:pPr>
                    <w:pStyle w:val="24"/>
                    <w:overflowPunct w:val="0"/>
                    <w:autoSpaceDE w:val="0"/>
                    <w:autoSpaceDN w:val="0"/>
                  </w:pPr>
                  <w:r>
                    <w:rPr>
                      <w:rFonts w:hint="eastAsia"/>
                    </w:rPr>
                    <w:t>新建</w:t>
                  </w:r>
                </w:p>
              </w:tc>
            </w:tr>
            <w:tr w14:paraId="1F4D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trPr>
              <w:tc>
                <w:tcPr>
                  <w:tcW w:w="1070" w:type="dxa"/>
                  <w:vMerge w:val="continue"/>
                  <w:vAlign w:val="center"/>
                </w:tcPr>
                <w:p w14:paraId="24F0651B">
                  <w:pPr>
                    <w:pStyle w:val="24"/>
                    <w:overflowPunct w:val="0"/>
                    <w:autoSpaceDE w:val="0"/>
                    <w:autoSpaceDN w:val="0"/>
                    <w:rPr>
                      <w:color w:val="0000FF"/>
                    </w:rPr>
                  </w:pPr>
                </w:p>
              </w:tc>
              <w:tc>
                <w:tcPr>
                  <w:tcW w:w="2628" w:type="dxa"/>
                  <w:gridSpan w:val="2"/>
                  <w:vAlign w:val="center"/>
                </w:tcPr>
                <w:p w14:paraId="35637C6C">
                  <w:pPr>
                    <w:pStyle w:val="24"/>
                    <w:overflowPunct w:val="0"/>
                    <w:autoSpaceDE w:val="0"/>
                    <w:autoSpaceDN w:val="0"/>
                  </w:pPr>
                  <w:r>
                    <w:rPr>
                      <w:rFonts w:hint="eastAsia"/>
                    </w:rPr>
                    <w:t>货运</w:t>
                  </w:r>
                  <w:r>
                    <w:t>网络信息服务中心</w:t>
                  </w:r>
                </w:p>
              </w:tc>
              <w:tc>
                <w:tcPr>
                  <w:tcW w:w="3068" w:type="dxa"/>
                  <w:vAlign w:val="center"/>
                </w:tcPr>
                <w:p w14:paraId="44A91D3E">
                  <w:pPr>
                    <w:pStyle w:val="24"/>
                    <w:overflowPunct w:val="0"/>
                    <w:autoSpaceDE w:val="0"/>
                    <w:autoSpaceDN w:val="0"/>
                  </w:pPr>
                  <w:r>
                    <w:rPr>
                      <w:rFonts w:hint="eastAsia"/>
                    </w:rPr>
                    <w:t>位于项目东南侧，共2层，建筑面积共2240m</w:t>
                  </w:r>
                  <w:r>
                    <w:rPr>
                      <w:rFonts w:hint="eastAsia"/>
                      <w:vertAlign w:val="superscript"/>
                    </w:rPr>
                    <w:t>2</w:t>
                  </w:r>
                  <w:r>
                    <w:rPr>
                      <w:rFonts w:hint="eastAsia"/>
                    </w:rPr>
                    <w:t>。主要建设便利店、厨房、餐饮</w:t>
                  </w:r>
                  <w:r>
                    <w:rPr>
                      <w:rFonts w:hint="eastAsia"/>
                      <w:lang w:eastAsia="zh-CN"/>
                    </w:rPr>
                    <w:t>中心经营</w:t>
                  </w:r>
                  <w:r>
                    <w:rPr>
                      <w:rFonts w:hint="eastAsia"/>
                    </w:rPr>
                    <w:t>、值班室、监控室、办公室、休息区、</w:t>
                  </w:r>
                  <w:r>
                    <w:t>货运</w:t>
                  </w:r>
                  <w:r>
                    <w:rPr>
                      <w:rFonts w:hint="eastAsia"/>
                    </w:rPr>
                    <w:t>信息服务中心等内容。</w:t>
                  </w:r>
                </w:p>
              </w:tc>
              <w:tc>
                <w:tcPr>
                  <w:tcW w:w="1071" w:type="dxa"/>
                  <w:vAlign w:val="center"/>
                </w:tcPr>
                <w:p w14:paraId="26D39D7B">
                  <w:pPr>
                    <w:pStyle w:val="24"/>
                  </w:pPr>
                  <w:r>
                    <w:rPr>
                      <w:rFonts w:hint="eastAsia"/>
                    </w:rPr>
                    <w:t>新建</w:t>
                  </w:r>
                </w:p>
              </w:tc>
            </w:tr>
            <w:tr w14:paraId="337F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continue"/>
                  <w:vAlign w:val="center"/>
                </w:tcPr>
                <w:p w14:paraId="7018A312">
                  <w:pPr>
                    <w:pStyle w:val="24"/>
                    <w:overflowPunct w:val="0"/>
                    <w:autoSpaceDE w:val="0"/>
                    <w:autoSpaceDN w:val="0"/>
                    <w:rPr>
                      <w:color w:val="0000FF"/>
                    </w:rPr>
                  </w:pPr>
                </w:p>
              </w:tc>
              <w:tc>
                <w:tcPr>
                  <w:tcW w:w="2628" w:type="dxa"/>
                  <w:gridSpan w:val="2"/>
                  <w:vAlign w:val="center"/>
                </w:tcPr>
                <w:p w14:paraId="7C34DB6D">
                  <w:pPr>
                    <w:pStyle w:val="24"/>
                    <w:overflowPunct w:val="0"/>
                    <w:autoSpaceDE w:val="0"/>
                    <w:autoSpaceDN w:val="0"/>
                  </w:pPr>
                  <w:r>
                    <w:rPr>
                      <w:rFonts w:hint="eastAsia"/>
                    </w:rPr>
                    <w:t>公交场站</w:t>
                  </w:r>
                </w:p>
              </w:tc>
              <w:tc>
                <w:tcPr>
                  <w:tcW w:w="3068" w:type="dxa"/>
                  <w:vAlign w:val="center"/>
                </w:tcPr>
                <w:p w14:paraId="12D2E866">
                  <w:pPr>
                    <w:pStyle w:val="24"/>
                    <w:overflowPunct w:val="0"/>
                    <w:autoSpaceDE w:val="0"/>
                    <w:autoSpaceDN w:val="0"/>
                  </w:pPr>
                  <w:r>
                    <w:rPr>
                      <w:rFonts w:hint="eastAsia"/>
                    </w:rPr>
                    <w:t>位于项目南侧，建设公交车停车位30个，小汽车停车位8个，非机动车停车位10个。</w:t>
                  </w:r>
                </w:p>
              </w:tc>
              <w:tc>
                <w:tcPr>
                  <w:tcW w:w="1071" w:type="dxa"/>
                  <w:vAlign w:val="center"/>
                </w:tcPr>
                <w:p w14:paraId="402A5803">
                  <w:pPr>
                    <w:pStyle w:val="24"/>
                  </w:pPr>
                  <w:r>
                    <w:rPr>
                      <w:rFonts w:hint="eastAsia"/>
                    </w:rPr>
                    <w:t>新建</w:t>
                  </w:r>
                </w:p>
              </w:tc>
            </w:tr>
            <w:tr w14:paraId="435D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restart"/>
                  <w:vAlign w:val="center"/>
                </w:tcPr>
                <w:p w14:paraId="34984F3B">
                  <w:pPr>
                    <w:pStyle w:val="24"/>
                    <w:overflowPunct w:val="0"/>
                    <w:autoSpaceDE w:val="0"/>
                    <w:autoSpaceDN w:val="0"/>
                  </w:pPr>
                  <w:r>
                    <w:rPr>
                      <w:rFonts w:hint="eastAsia"/>
                    </w:rPr>
                    <w:t>公用工程</w:t>
                  </w:r>
                </w:p>
              </w:tc>
              <w:tc>
                <w:tcPr>
                  <w:tcW w:w="2628" w:type="dxa"/>
                  <w:gridSpan w:val="2"/>
                  <w:vAlign w:val="center"/>
                </w:tcPr>
                <w:p w14:paraId="522446FA">
                  <w:pPr>
                    <w:pStyle w:val="24"/>
                    <w:overflowPunct w:val="0"/>
                    <w:autoSpaceDE w:val="0"/>
                    <w:autoSpaceDN w:val="0"/>
                  </w:pPr>
                  <w:r>
                    <w:t>供电</w:t>
                  </w:r>
                </w:p>
              </w:tc>
              <w:tc>
                <w:tcPr>
                  <w:tcW w:w="3068" w:type="dxa"/>
                  <w:vAlign w:val="center"/>
                </w:tcPr>
                <w:p w14:paraId="54C3B5AB">
                  <w:pPr>
                    <w:pStyle w:val="24"/>
                    <w:overflowPunct w:val="0"/>
                    <w:autoSpaceDE w:val="0"/>
                    <w:autoSpaceDN w:val="0"/>
                  </w:pPr>
                  <w:r>
                    <w:t>市政电网供应，年用电量</w:t>
                  </w:r>
                  <w:r>
                    <w:rPr>
                      <w:rFonts w:hint="eastAsia"/>
                    </w:rPr>
                    <w:t>296</w:t>
                  </w:r>
                  <w:r>
                    <w:t>万kW·h。</w:t>
                  </w:r>
                </w:p>
              </w:tc>
              <w:tc>
                <w:tcPr>
                  <w:tcW w:w="1071" w:type="dxa"/>
                  <w:vAlign w:val="center"/>
                </w:tcPr>
                <w:p w14:paraId="731D3A95">
                  <w:pPr>
                    <w:pStyle w:val="24"/>
                    <w:overflowPunct w:val="0"/>
                    <w:autoSpaceDE w:val="0"/>
                    <w:autoSpaceDN w:val="0"/>
                  </w:pPr>
                  <w:r>
                    <w:rPr>
                      <w:rFonts w:hint="eastAsia"/>
                    </w:rPr>
                    <w:t>新建</w:t>
                  </w:r>
                </w:p>
              </w:tc>
            </w:tr>
            <w:tr w14:paraId="729F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continue"/>
                  <w:vAlign w:val="center"/>
                </w:tcPr>
                <w:p w14:paraId="707964A4">
                  <w:pPr>
                    <w:pStyle w:val="24"/>
                    <w:overflowPunct w:val="0"/>
                    <w:autoSpaceDE w:val="0"/>
                    <w:autoSpaceDN w:val="0"/>
                  </w:pPr>
                </w:p>
              </w:tc>
              <w:tc>
                <w:tcPr>
                  <w:tcW w:w="2628" w:type="dxa"/>
                  <w:gridSpan w:val="2"/>
                  <w:vAlign w:val="center"/>
                </w:tcPr>
                <w:p w14:paraId="7C16E142">
                  <w:pPr>
                    <w:pStyle w:val="24"/>
                    <w:overflowPunct w:val="0"/>
                    <w:autoSpaceDE w:val="0"/>
                    <w:autoSpaceDN w:val="0"/>
                  </w:pPr>
                  <w:r>
                    <w:t>消防</w:t>
                  </w:r>
                </w:p>
              </w:tc>
              <w:tc>
                <w:tcPr>
                  <w:tcW w:w="3068" w:type="dxa"/>
                  <w:vAlign w:val="center"/>
                </w:tcPr>
                <w:p w14:paraId="14CCA095">
                  <w:pPr>
                    <w:pStyle w:val="24"/>
                    <w:overflowPunct w:val="0"/>
                    <w:autoSpaceDE w:val="0"/>
                    <w:autoSpaceDN w:val="0"/>
                  </w:pPr>
                  <w:r>
                    <w:rPr>
                      <w:rFonts w:hint="eastAsia"/>
                    </w:rPr>
                    <w:t>每2台加油机应设置不少于2只4kg手提式干粉灭火器；地下储罐应设35kg推车式干粉灭火器1个；二级加油加气站应配置灭火毯5块，沙子2m</w:t>
                  </w:r>
                  <w:r>
                    <w:rPr>
                      <w:rFonts w:hint="eastAsia"/>
                      <w:vertAlign w:val="superscript"/>
                    </w:rPr>
                    <w:t>3</w:t>
                  </w:r>
                  <w:r>
                    <w:rPr>
                      <w:rFonts w:hint="eastAsia"/>
                    </w:rPr>
                    <w:t>。</w:t>
                  </w:r>
                </w:p>
              </w:tc>
              <w:tc>
                <w:tcPr>
                  <w:tcW w:w="1071" w:type="dxa"/>
                  <w:vAlign w:val="center"/>
                </w:tcPr>
                <w:p w14:paraId="0939347F">
                  <w:pPr>
                    <w:pStyle w:val="24"/>
                    <w:overflowPunct w:val="0"/>
                    <w:autoSpaceDE w:val="0"/>
                    <w:autoSpaceDN w:val="0"/>
                  </w:pPr>
                  <w:r>
                    <w:rPr>
                      <w:rFonts w:hint="eastAsia"/>
                    </w:rPr>
                    <w:t>新建</w:t>
                  </w:r>
                </w:p>
              </w:tc>
            </w:tr>
            <w:tr w14:paraId="3DA0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continue"/>
                  <w:vAlign w:val="center"/>
                </w:tcPr>
                <w:p w14:paraId="70E639C4">
                  <w:pPr>
                    <w:pStyle w:val="24"/>
                    <w:overflowPunct w:val="0"/>
                    <w:autoSpaceDE w:val="0"/>
                    <w:autoSpaceDN w:val="0"/>
                  </w:pPr>
                </w:p>
              </w:tc>
              <w:tc>
                <w:tcPr>
                  <w:tcW w:w="2628" w:type="dxa"/>
                  <w:gridSpan w:val="2"/>
                  <w:vAlign w:val="center"/>
                </w:tcPr>
                <w:p w14:paraId="4B42FC94">
                  <w:pPr>
                    <w:pStyle w:val="24"/>
                    <w:overflowPunct w:val="0"/>
                    <w:autoSpaceDE w:val="0"/>
                    <w:autoSpaceDN w:val="0"/>
                  </w:pPr>
                  <w:r>
                    <w:t>给水</w:t>
                  </w:r>
                </w:p>
              </w:tc>
              <w:tc>
                <w:tcPr>
                  <w:tcW w:w="3068" w:type="dxa"/>
                  <w:vAlign w:val="center"/>
                </w:tcPr>
                <w:p w14:paraId="63E094A7">
                  <w:pPr>
                    <w:pStyle w:val="24"/>
                    <w:overflowPunct w:val="0"/>
                    <w:autoSpaceDE w:val="0"/>
                    <w:autoSpaceDN w:val="0"/>
                  </w:pPr>
                  <w:r>
                    <w:t>市政管网自来水供应，用水量</w:t>
                  </w:r>
                  <w:r>
                    <w:rPr>
                      <w:rFonts w:hint="eastAsia"/>
                    </w:rPr>
                    <w:t>5175</w:t>
                  </w:r>
                  <w:r>
                    <w:t>t/a。</w:t>
                  </w:r>
                </w:p>
              </w:tc>
              <w:tc>
                <w:tcPr>
                  <w:tcW w:w="1071" w:type="dxa"/>
                  <w:vAlign w:val="center"/>
                </w:tcPr>
                <w:p w14:paraId="39B3B12C">
                  <w:pPr>
                    <w:pStyle w:val="24"/>
                    <w:overflowPunct w:val="0"/>
                    <w:autoSpaceDE w:val="0"/>
                    <w:autoSpaceDN w:val="0"/>
                  </w:pPr>
                  <w:r>
                    <w:rPr>
                      <w:rFonts w:hint="eastAsia"/>
                    </w:rPr>
                    <w:t>新建</w:t>
                  </w:r>
                </w:p>
              </w:tc>
            </w:tr>
            <w:tr w14:paraId="1444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continue"/>
                  <w:vAlign w:val="center"/>
                </w:tcPr>
                <w:p w14:paraId="57CE9877">
                  <w:pPr>
                    <w:pStyle w:val="24"/>
                    <w:overflowPunct w:val="0"/>
                    <w:autoSpaceDE w:val="0"/>
                    <w:autoSpaceDN w:val="0"/>
                  </w:pPr>
                </w:p>
              </w:tc>
              <w:tc>
                <w:tcPr>
                  <w:tcW w:w="2628" w:type="dxa"/>
                  <w:gridSpan w:val="2"/>
                  <w:vAlign w:val="center"/>
                </w:tcPr>
                <w:p w14:paraId="2BBBF469">
                  <w:pPr>
                    <w:pStyle w:val="24"/>
                    <w:overflowPunct w:val="0"/>
                    <w:autoSpaceDE w:val="0"/>
                    <w:autoSpaceDN w:val="0"/>
                  </w:pPr>
                  <w:r>
                    <w:t>排水</w:t>
                  </w:r>
                </w:p>
              </w:tc>
              <w:tc>
                <w:tcPr>
                  <w:tcW w:w="3068" w:type="dxa"/>
                  <w:vAlign w:val="center"/>
                </w:tcPr>
                <w:p w14:paraId="649C1830">
                  <w:pPr>
                    <w:pStyle w:val="24"/>
                    <w:overflowPunct w:val="0"/>
                    <w:autoSpaceDE w:val="0"/>
                    <w:autoSpaceDN w:val="0"/>
                  </w:pPr>
                  <w:r>
                    <w:rPr>
                      <w:rFonts w:hint="eastAsia"/>
                    </w:rPr>
                    <w:t>采用雨污分流，雨水排入市政雨水管网；餐饮废水经隔油池（10m</w:t>
                  </w:r>
                  <w:r>
                    <w:rPr>
                      <w:rFonts w:hint="eastAsia"/>
                      <w:vertAlign w:val="superscript"/>
                    </w:rPr>
                    <w:t>3</w:t>
                  </w:r>
                  <w:r>
                    <w:rPr>
                      <w:rFonts w:hint="eastAsia"/>
                    </w:rPr>
                    <w:t>）预处理汇同生活污水经化粪池（20m</w:t>
                  </w:r>
                  <w:r>
                    <w:rPr>
                      <w:rFonts w:hint="eastAsia"/>
                      <w:vertAlign w:val="superscript"/>
                    </w:rPr>
                    <w:t>3</w:t>
                  </w:r>
                  <w:r>
                    <w:rPr>
                      <w:rFonts w:hint="eastAsia"/>
                    </w:rPr>
                    <w:t>）处理后排至市政污水管网；</w:t>
                  </w:r>
                  <w:bookmarkStart w:id="16" w:name="OLE_LINK15"/>
                  <w:r>
                    <w:rPr>
                      <w:rFonts w:hint="eastAsia"/>
                    </w:rPr>
                    <w:t>加油站地面冲洗废水、加油站初期雨水经1套三级油水分离池（15m</w:t>
                  </w:r>
                  <w:r>
                    <w:rPr>
                      <w:rFonts w:hint="eastAsia"/>
                      <w:vertAlign w:val="superscript"/>
                    </w:rPr>
                    <w:t>3</w:t>
                  </w:r>
                  <w:r>
                    <w:rPr>
                      <w:rFonts w:hint="eastAsia"/>
                    </w:rPr>
                    <w:t>）、水封井排至市政污水管网</w:t>
                  </w:r>
                  <w:bookmarkEnd w:id="16"/>
                  <w:r>
                    <w:rPr>
                      <w:rFonts w:hint="eastAsia"/>
                    </w:rPr>
                    <w:t>；货车应急维修中心地面冲洗废水、洗车废水经1座隔油沉淀池（15m</w:t>
                  </w:r>
                  <w:r>
                    <w:rPr>
                      <w:rFonts w:hint="eastAsia"/>
                      <w:vertAlign w:val="superscript"/>
                    </w:rPr>
                    <w:t>3</w:t>
                  </w:r>
                  <w:r>
                    <w:rPr>
                      <w:rFonts w:hint="eastAsia"/>
                    </w:rPr>
                    <w:t>）处理后纳入市政污水管网，通过经济技术开发区工业污水处理厂处理后排放至淮河。</w:t>
                  </w:r>
                </w:p>
              </w:tc>
              <w:tc>
                <w:tcPr>
                  <w:tcW w:w="1071" w:type="dxa"/>
                  <w:vAlign w:val="center"/>
                </w:tcPr>
                <w:p w14:paraId="5358E48B">
                  <w:pPr>
                    <w:pStyle w:val="24"/>
                    <w:overflowPunct w:val="0"/>
                    <w:autoSpaceDE w:val="0"/>
                    <w:autoSpaceDN w:val="0"/>
                    <w:rPr>
                      <w:color w:val="0000FF"/>
                    </w:rPr>
                  </w:pPr>
                  <w:r>
                    <w:rPr>
                      <w:rFonts w:hint="eastAsia"/>
                    </w:rPr>
                    <w:t>新建</w:t>
                  </w:r>
                </w:p>
              </w:tc>
            </w:tr>
            <w:tr w14:paraId="6E08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restart"/>
                  <w:vAlign w:val="center"/>
                </w:tcPr>
                <w:p w14:paraId="25C9F214">
                  <w:pPr>
                    <w:pStyle w:val="24"/>
                    <w:overflowPunct w:val="0"/>
                    <w:autoSpaceDE w:val="0"/>
                    <w:autoSpaceDN w:val="0"/>
                  </w:pPr>
                  <w:r>
                    <w:rPr>
                      <w:rFonts w:hint="eastAsia"/>
                    </w:rPr>
                    <w:t>环保工程</w:t>
                  </w:r>
                </w:p>
              </w:tc>
              <w:tc>
                <w:tcPr>
                  <w:tcW w:w="2628" w:type="dxa"/>
                  <w:gridSpan w:val="2"/>
                  <w:vAlign w:val="center"/>
                </w:tcPr>
                <w:p w14:paraId="4F589E04">
                  <w:pPr>
                    <w:pStyle w:val="24"/>
                    <w:overflowPunct w:val="0"/>
                    <w:autoSpaceDE w:val="0"/>
                    <w:autoSpaceDN w:val="0"/>
                  </w:pPr>
                  <w:r>
                    <w:t>废水治理</w:t>
                  </w:r>
                </w:p>
              </w:tc>
              <w:tc>
                <w:tcPr>
                  <w:tcW w:w="3068" w:type="dxa"/>
                  <w:vAlign w:val="center"/>
                </w:tcPr>
                <w:p w14:paraId="15B2D480">
                  <w:pPr>
                    <w:pStyle w:val="24"/>
                    <w:overflowPunct w:val="0"/>
                    <w:autoSpaceDE w:val="0"/>
                    <w:autoSpaceDN w:val="0"/>
                    <w:jc w:val="left"/>
                    <w:rPr>
                      <w:color w:val="0000FF"/>
                    </w:rPr>
                  </w:pPr>
                  <w:bookmarkStart w:id="17" w:name="OLE_LINK17"/>
                  <w:r>
                    <w:t>采取雨污分流管制</w:t>
                  </w:r>
                  <w:r>
                    <w:rPr>
                      <w:rFonts w:hint="eastAsia"/>
                    </w:rPr>
                    <w:t>。</w:t>
                  </w:r>
                  <w:r>
                    <w:t>雨水排入市政雨水管网</w:t>
                  </w:r>
                  <w:r>
                    <w:rPr>
                      <w:rFonts w:hint="eastAsia"/>
                    </w:rPr>
                    <w:t>；餐饮废水经隔油池处理后与生活污水一同汇入</w:t>
                  </w:r>
                  <w:r>
                    <w:t>化粪池预处理</w:t>
                  </w:r>
                  <w:r>
                    <w:rPr>
                      <w:rFonts w:hint="eastAsia"/>
                    </w:rPr>
                    <w:t>后</w:t>
                  </w:r>
                  <w:r>
                    <w:t>经市政污水管网</w:t>
                  </w:r>
                  <w:r>
                    <w:rPr>
                      <w:rFonts w:hint="eastAsia"/>
                    </w:rPr>
                    <w:t>；加油站地面冲洗废水、初期雨水经三级油水分离池处理后排入市政污水管网；货车应急维修中心地面冲洗废水和维修过程中产生的洗车废水经隔油沉淀池处理达标后汇同其他废水一同进入市政污水管网</w:t>
                  </w:r>
                  <w:r>
                    <w:t>进入</w:t>
                  </w:r>
                  <w:r>
                    <w:rPr>
                      <w:rFonts w:hint="eastAsia"/>
                    </w:rPr>
                    <w:t>经济技术开发区工业污水处理厂</w:t>
                  </w:r>
                  <w:r>
                    <w:t>处理，处理达标后尾水排入淮河</w:t>
                  </w:r>
                  <w:r>
                    <w:rPr>
                      <w:rFonts w:hint="eastAsia"/>
                    </w:rPr>
                    <w:t>。</w:t>
                  </w:r>
                  <w:bookmarkEnd w:id="17"/>
                </w:p>
              </w:tc>
              <w:tc>
                <w:tcPr>
                  <w:tcW w:w="1071" w:type="dxa"/>
                  <w:vAlign w:val="center"/>
                </w:tcPr>
                <w:p w14:paraId="088EEC33">
                  <w:pPr>
                    <w:pStyle w:val="24"/>
                    <w:overflowPunct w:val="0"/>
                    <w:autoSpaceDE w:val="0"/>
                    <w:autoSpaceDN w:val="0"/>
                  </w:pPr>
                  <w:r>
                    <w:rPr>
                      <w:rFonts w:hint="eastAsia"/>
                    </w:rPr>
                    <w:t>新建</w:t>
                  </w:r>
                </w:p>
              </w:tc>
            </w:tr>
            <w:tr w14:paraId="3744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continue"/>
                  <w:vAlign w:val="center"/>
                </w:tcPr>
                <w:p w14:paraId="462B0516">
                  <w:pPr>
                    <w:pStyle w:val="24"/>
                    <w:overflowPunct w:val="0"/>
                    <w:autoSpaceDE w:val="0"/>
                    <w:autoSpaceDN w:val="0"/>
                  </w:pPr>
                </w:p>
              </w:tc>
              <w:tc>
                <w:tcPr>
                  <w:tcW w:w="2628" w:type="dxa"/>
                  <w:gridSpan w:val="2"/>
                  <w:vAlign w:val="center"/>
                </w:tcPr>
                <w:p w14:paraId="7B6F0A4F">
                  <w:pPr>
                    <w:pStyle w:val="24"/>
                    <w:overflowPunct w:val="0"/>
                    <w:autoSpaceDE w:val="0"/>
                    <w:autoSpaceDN w:val="0"/>
                  </w:pPr>
                  <w:r>
                    <w:t>废气治理</w:t>
                  </w:r>
                </w:p>
              </w:tc>
              <w:tc>
                <w:tcPr>
                  <w:tcW w:w="3068" w:type="dxa"/>
                  <w:vAlign w:val="center"/>
                </w:tcPr>
                <w:p w14:paraId="6DEB796C">
                  <w:pPr>
                    <w:pStyle w:val="24"/>
                    <w:overflowPunct w:val="0"/>
                    <w:autoSpaceDE w:val="0"/>
                    <w:autoSpaceDN w:val="0"/>
                    <w:rPr>
                      <w:color w:val="0000FF"/>
                    </w:rPr>
                  </w:pPr>
                  <w:r>
                    <w:rPr>
                      <w:rFonts w:hint="eastAsia"/>
                    </w:rPr>
                    <w:t>储油罐油气采用一套油气回收系统，汽车油箱挥发的油气通过加油枪外套管、加油机内的油气泵，收集送至地下油罐，减少加油时的油气挥发溢出；</w:t>
                  </w:r>
                  <w:r>
                    <w:t>餐饮油烟经油烟净化器处理后由烟道引至楼顶排放</w:t>
                  </w:r>
                  <w:r>
                    <w:rPr>
                      <w:rFonts w:hint="eastAsia"/>
                    </w:rPr>
                    <w:t>。</w:t>
                  </w:r>
                </w:p>
              </w:tc>
              <w:tc>
                <w:tcPr>
                  <w:tcW w:w="1071" w:type="dxa"/>
                  <w:vAlign w:val="center"/>
                </w:tcPr>
                <w:p w14:paraId="7D9E26D5">
                  <w:pPr>
                    <w:pStyle w:val="24"/>
                    <w:overflowPunct w:val="0"/>
                    <w:autoSpaceDE w:val="0"/>
                    <w:autoSpaceDN w:val="0"/>
                  </w:pPr>
                  <w:r>
                    <w:rPr>
                      <w:rFonts w:hint="eastAsia"/>
                    </w:rPr>
                    <w:t>新建</w:t>
                  </w:r>
                </w:p>
              </w:tc>
            </w:tr>
            <w:tr w14:paraId="4DB1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continue"/>
                  <w:vAlign w:val="center"/>
                </w:tcPr>
                <w:p w14:paraId="6045F542">
                  <w:pPr>
                    <w:pStyle w:val="24"/>
                    <w:overflowPunct w:val="0"/>
                    <w:autoSpaceDE w:val="0"/>
                    <w:autoSpaceDN w:val="0"/>
                    <w:rPr>
                      <w:color w:val="0000FF"/>
                    </w:rPr>
                  </w:pPr>
                </w:p>
              </w:tc>
              <w:tc>
                <w:tcPr>
                  <w:tcW w:w="2628" w:type="dxa"/>
                  <w:gridSpan w:val="2"/>
                  <w:vAlign w:val="center"/>
                </w:tcPr>
                <w:p w14:paraId="76DEC209">
                  <w:pPr>
                    <w:pStyle w:val="24"/>
                    <w:overflowPunct w:val="0"/>
                    <w:autoSpaceDE w:val="0"/>
                    <w:autoSpaceDN w:val="0"/>
                  </w:pPr>
                  <w:r>
                    <w:t>噪声治理</w:t>
                  </w:r>
                </w:p>
              </w:tc>
              <w:tc>
                <w:tcPr>
                  <w:tcW w:w="3068" w:type="dxa"/>
                  <w:vAlign w:val="center"/>
                </w:tcPr>
                <w:p w14:paraId="5AC6C409">
                  <w:pPr>
                    <w:pStyle w:val="24"/>
                    <w:overflowPunct w:val="0"/>
                    <w:autoSpaceDE w:val="0"/>
                    <w:autoSpaceDN w:val="0"/>
                    <w:rPr>
                      <w:color w:val="0000FF"/>
                    </w:rPr>
                  </w:pPr>
                  <w:r>
                    <w:rPr>
                      <w:lang w:val="en-GB"/>
                    </w:rPr>
                    <w:t>采取隔音措施并相应在室内安设吸音材料。加强员工管理，积极引导加油车辆，减少</w:t>
                  </w:r>
                  <w:r>
                    <w:rPr>
                      <w:rFonts w:hint="eastAsia"/>
                      <w:lang w:val="en-GB"/>
                    </w:rPr>
                    <w:t>出行</w:t>
                  </w:r>
                  <w:r>
                    <w:rPr>
                      <w:lang w:val="en-GB"/>
                    </w:rPr>
                    <w:t>高峰期的噪声污染等措施</w:t>
                  </w:r>
                  <w:r>
                    <w:rPr>
                      <w:rFonts w:hint="eastAsia"/>
                      <w:lang w:val="en-GB"/>
                    </w:rPr>
                    <w:t>。</w:t>
                  </w:r>
                </w:p>
              </w:tc>
              <w:tc>
                <w:tcPr>
                  <w:tcW w:w="1071" w:type="dxa"/>
                  <w:vAlign w:val="center"/>
                </w:tcPr>
                <w:p w14:paraId="165B7559">
                  <w:pPr>
                    <w:pStyle w:val="24"/>
                    <w:overflowPunct w:val="0"/>
                    <w:autoSpaceDE w:val="0"/>
                    <w:autoSpaceDN w:val="0"/>
                  </w:pPr>
                  <w:r>
                    <w:rPr>
                      <w:rFonts w:hint="eastAsia"/>
                    </w:rPr>
                    <w:t>新建</w:t>
                  </w:r>
                </w:p>
              </w:tc>
            </w:tr>
            <w:tr w14:paraId="597C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continue"/>
                  <w:vAlign w:val="center"/>
                </w:tcPr>
                <w:p w14:paraId="30DEC516">
                  <w:pPr>
                    <w:pStyle w:val="24"/>
                    <w:overflowPunct w:val="0"/>
                    <w:autoSpaceDE w:val="0"/>
                    <w:autoSpaceDN w:val="0"/>
                    <w:rPr>
                      <w:color w:val="0000FF"/>
                    </w:rPr>
                  </w:pPr>
                </w:p>
              </w:tc>
              <w:tc>
                <w:tcPr>
                  <w:tcW w:w="2628" w:type="dxa"/>
                  <w:gridSpan w:val="2"/>
                  <w:vAlign w:val="center"/>
                </w:tcPr>
                <w:p w14:paraId="6D3BA5AC">
                  <w:pPr>
                    <w:pStyle w:val="24"/>
                    <w:overflowPunct w:val="0"/>
                    <w:autoSpaceDE w:val="0"/>
                    <w:autoSpaceDN w:val="0"/>
                  </w:pPr>
                  <w:r>
                    <w:t>固废处理设施</w:t>
                  </w:r>
                </w:p>
              </w:tc>
              <w:tc>
                <w:tcPr>
                  <w:tcW w:w="3068" w:type="dxa"/>
                  <w:vAlign w:val="center"/>
                </w:tcPr>
                <w:p w14:paraId="244F98AB">
                  <w:pPr>
                    <w:pStyle w:val="24"/>
                    <w:overflowPunct w:val="0"/>
                    <w:autoSpaceDE w:val="0"/>
                    <w:autoSpaceDN w:val="0"/>
                  </w:pPr>
                  <w:r>
                    <w:rPr>
                      <w:rFonts w:hint="eastAsia"/>
                    </w:rPr>
                    <w:t>生活垃圾委托环卫部门清运；一般固废暂存于一般固废间（10m</w:t>
                  </w:r>
                  <w:r>
                    <w:rPr>
                      <w:rFonts w:hint="eastAsia"/>
                      <w:vertAlign w:val="superscript"/>
                    </w:rPr>
                    <w:t>2</w:t>
                  </w:r>
                  <w:r>
                    <w:rPr>
                      <w:rFonts w:hint="eastAsia"/>
                    </w:rPr>
                    <w:t>），定期外售；危险废物设置10m</w:t>
                  </w:r>
                  <w:r>
                    <w:rPr>
                      <w:rFonts w:hint="eastAsia"/>
                      <w:vertAlign w:val="superscript"/>
                    </w:rPr>
                    <w:t>2</w:t>
                  </w:r>
                  <w:r>
                    <w:rPr>
                      <w:rFonts w:hint="eastAsia"/>
                    </w:rPr>
                    <w:t>危废暂存间暂存，并委托有危废处理资质的单位处置。</w:t>
                  </w:r>
                </w:p>
              </w:tc>
              <w:tc>
                <w:tcPr>
                  <w:tcW w:w="1071" w:type="dxa"/>
                  <w:vAlign w:val="center"/>
                </w:tcPr>
                <w:p w14:paraId="1CA0A23A">
                  <w:pPr>
                    <w:pStyle w:val="24"/>
                    <w:overflowPunct w:val="0"/>
                    <w:autoSpaceDE w:val="0"/>
                    <w:autoSpaceDN w:val="0"/>
                  </w:pPr>
                  <w:r>
                    <w:rPr>
                      <w:rFonts w:hint="eastAsia"/>
                    </w:rPr>
                    <w:t>新建</w:t>
                  </w:r>
                </w:p>
              </w:tc>
            </w:tr>
            <w:tr w14:paraId="0DE7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dxa"/>
                  <w:vMerge w:val="continue"/>
                  <w:vAlign w:val="center"/>
                </w:tcPr>
                <w:p w14:paraId="122A07FC">
                  <w:pPr>
                    <w:pStyle w:val="24"/>
                    <w:overflowPunct w:val="0"/>
                    <w:autoSpaceDE w:val="0"/>
                    <w:autoSpaceDN w:val="0"/>
                    <w:rPr>
                      <w:color w:val="0000FF"/>
                    </w:rPr>
                  </w:pPr>
                </w:p>
              </w:tc>
              <w:tc>
                <w:tcPr>
                  <w:tcW w:w="2628" w:type="dxa"/>
                  <w:gridSpan w:val="2"/>
                  <w:vAlign w:val="center"/>
                </w:tcPr>
                <w:p w14:paraId="71811AD2">
                  <w:pPr>
                    <w:pStyle w:val="24"/>
                    <w:overflowPunct w:val="0"/>
                    <w:autoSpaceDE w:val="0"/>
                    <w:autoSpaceDN w:val="0"/>
                  </w:pPr>
                  <w:r>
                    <w:t>地下水、</w:t>
                  </w:r>
                  <w:r>
                    <w:rPr>
                      <w:rFonts w:hint="eastAsia"/>
                    </w:rPr>
                    <w:t>土</w:t>
                  </w:r>
                  <w:r>
                    <w:t>壤防治措施</w:t>
                  </w:r>
                </w:p>
              </w:tc>
              <w:tc>
                <w:tcPr>
                  <w:tcW w:w="3068" w:type="dxa"/>
                  <w:vAlign w:val="center"/>
                </w:tcPr>
                <w:p w14:paraId="00EEE70D">
                  <w:pPr>
                    <w:pStyle w:val="24"/>
                    <w:overflowPunct w:val="0"/>
                    <w:autoSpaceDE w:val="0"/>
                    <w:autoSpaceDN w:val="0"/>
                  </w:pPr>
                  <w:r>
                    <w:rPr>
                      <w:rFonts w:hint="eastAsia"/>
                    </w:rPr>
                    <w:t>采用埋地式双层储油罐，输油管线采用导静电双层热塑性管道，采取分区防渗措施。</w:t>
                  </w:r>
                </w:p>
              </w:tc>
              <w:tc>
                <w:tcPr>
                  <w:tcW w:w="1071" w:type="dxa"/>
                  <w:vAlign w:val="center"/>
                </w:tcPr>
                <w:p w14:paraId="68227B78">
                  <w:pPr>
                    <w:pStyle w:val="24"/>
                    <w:overflowPunct w:val="0"/>
                    <w:autoSpaceDE w:val="0"/>
                    <w:autoSpaceDN w:val="0"/>
                  </w:pPr>
                  <w:r>
                    <w:rPr>
                      <w:rFonts w:hint="eastAsia"/>
                    </w:rPr>
                    <w:t>新建</w:t>
                  </w:r>
                </w:p>
              </w:tc>
            </w:tr>
          </w:tbl>
          <w:p w14:paraId="06744C18">
            <w:pPr>
              <w:overflowPunct w:val="0"/>
              <w:autoSpaceDE w:val="0"/>
              <w:autoSpaceDN w:val="0"/>
              <w:ind w:firstLine="480" w:firstLineChars="200"/>
            </w:pPr>
            <w:r>
              <w:rPr>
                <w:rFonts w:hint="eastAsia"/>
              </w:rPr>
              <w:t>2.3产品方案</w:t>
            </w:r>
          </w:p>
          <w:p w14:paraId="3697DB02">
            <w:pPr>
              <w:ind w:firstLine="480" w:firstLineChars="200"/>
            </w:pPr>
            <w:r>
              <w:rPr>
                <w:rFonts w:hint="eastAsia"/>
              </w:rPr>
              <w:t>项目建设内部综合能源站</w:t>
            </w:r>
            <w:r>
              <w:rPr>
                <w:rStyle w:val="23"/>
                <w:rFonts w:hint="eastAsia"/>
                <w:lang w:eastAsia="zh-CN"/>
              </w:rPr>
              <w:t>，主要服务于交通驿站内停留车辆</w:t>
            </w:r>
            <w:r>
              <w:rPr>
                <w:rFonts w:hint="eastAsia"/>
              </w:rPr>
              <w:t>，建成后年周转柴油2555t、年周转汽油1095t。具体产品方案见下表：</w:t>
            </w:r>
          </w:p>
          <w:p w14:paraId="7AB9AE98">
            <w:pPr>
              <w:pStyle w:val="6"/>
            </w:pPr>
            <w:r>
              <w:t xml:space="preserve">表 </w:t>
            </w:r>
            <w:r>
              <w:rPr>
                <w:rFonts w:hint="eastAsia"/>
              </w:rPr>
              <w:t>2-</w:t>
            </w:r>
            <w:r>
              <w:fldChar w:fldCharType="begin"/>
            </w:r>
            <w:r>
              <w:instrText xml:space="preserve"> SEQ 表 \* ARABIC \s 1 </w:instrText>
            </w:r>
            <w:r>
              <w:fldChar w:fldCharType="separate"/>
            </w:r>
            <w:r>
              <w:t>4</w:t>
            </w:r>
            <w:r>
              <w:fldChar w:fldCharType="end"/>
            </w:r>
            <w:r>
              <w:rPr>
                <w:rFonts w:hint="eastAsia"/>
              </w:rPr>
              <w:t xml:space="preserve"> 主要产品方案一览表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2894"/>
              <w:gridCol w:w="2415"/>
              <w:gridCol w:w="1265"/>
            </w:tblGrid>
            <w:tr w14:paraId="4C53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1" w:type="dxa"/>
                  <w:vAlign w:val="center"/>
                </w:tcPr>
                <w:p w14:paraId="406BF960">
                  <w:pPr>
                    <w:pStyle w:val="24"/>
                  </w:pPr>
                  <w:r>
                    <w:t>序号</w:t>
                  </w:r>
                </w:p>
              </w:tc>
              <w:tc>
                <w:tcPr>
                  <w:tcW w:w="2864" w:type="dxa"/>
                  <w:vAlign w:val="center"/>
                </w:tcPr>
                <w:p w14:paraId="094AB0F8">
                  <w:pPr>
                    <w:pStyle w:val="24"/>
                  </w:pPr>
                  <w:r>
                    <w:t>名称</w:t>
                  </w:r>
                </w:p>
              </w:tc>
              <w:tc>
                <w:tcPr>
                  <w:tcW w:w="2390" w:type="dxa"/>
                  <w:vAlign w:val="center"/>
                </w:tcPr>
                <w:p w14:paraId="1173CC73">
                  <w:pPr>
                    <w:pStyle w:val="24"/>
                  </w:pPr>
                  <w:r>
                    <w:rPr>
                      <w:rFonts w:hint="eastAsia"/>
                    </w:rPr>
                    <w:t>周转量</w:t>
                  </w:r>
                </w:p>
              </w:tc>
              <w:tc>
                <w:tcPr>
                  <w:tcW w:w="1252" w:type="dxa"/>
                  <w:vAlign w:val="center"/>
                </w:tcPr>
                <w:p w14:paraId="22770DA7">
                  <w:pPr>
                    <w:pStyle w:val="24"/>
                  </w:pPr>
                  <w:r>
                    <w:rPr>
                      <w:rFonts w:hint="eastAsia"/>
                    </w:rPr>
                    <w:t>备注</w:t>
                  </w:r>
                </w:p>
              </w:tc>
            </w:tr>
            <w:tr w14:paraId="49F4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1" w:type="dxa"/>
                  <w:vAlign w:val="center"/>
                </w:tcPr>
                <w:p w14:paraId="3BE79C69">
                  <w:pPr>
                    <w:pStyle w:val="24"/>
                  </w:pPr>
                  <w:r>
                    <w:rPr>
                      <w:rFonts w:hint="eastAsia"/>
                    </w:rPr>
                    <w:t>1</w:t>
                  </w:r>
                </w:p>
              </w:tc>
              <w:tc>
                <w:tcPr>
                  <w:tcW w:w="2864" w:type="dxa"/>
                  <w:vAlign w:val="center"/>
                </w:tcPr>
                <w:p w14:paraId="3F68425C">
                  <w:pPr>
                    <w:pStyle w:val="24"/>
                  </w:pPr>
                  <w:r>
                    <w:t>汽油（92#）</w:t>
                  </w:r>
                </w:p>
              </w:tc>
              <w:tc>
                <w:tcPr>
                  <w:tcW w:w="2390" w:type="dxa"/>
                  <w:vMerge w:val="restart"/>
                  <w:vAlign w:val="center"/>
                </w:tcPr>
                <w:p w14:paraId="1DC69193">
                  <w:pPr>
                    <w:pStyle w:val="24"/>
                  </w:pPr>
                  <w:r>
                    <w:rPr>
                      <w:rFonts w:hint="eastAsia"/>
                    </w:rPr>
                    <w:t>1095t/a</w:t>
                  </w:r>
                </w:p>
              </w:tc>
              <w:tc>
                <w:tcPr>
                  <w:tcW w:w="1252" w:type="dxa"/>
                  <w:vMerge w:val="restart"/>
                  <w:vAlign w:val="center"/>
                </w:tcPr>
                <w:p w14:paraId="65CB792F">
                  <w:pPr>
                    <w:pStyle w:val="24"/>
                  </w:pPr>
                  <w:r>
                    <w:rPr>
                      <w:rFonts w:hint="eastAsia"/>
                    </w:rPr>
                    <w:t>外购</w:t>
                  </w:r>
                </w:p>
              </w:tc>
            </w:tr>
            <w:tr w14:paraId="34B5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51" w:type="dxa"/>
                  <w:vAlign w:val="center"/>
                </w:tcPr>
                <w:p w14:paraId="55A2C647">
                  <w:pPr>
                    <w:pStyle w:val="24"/>
                  </w:pPr>
                  <w:r>
                    <w:rPr>
                      <w:rFonts w:hint="eastAsia"/>
                    </w:rPr>
                    <w:t>2</w:t>
                  </w:r>
                </w:p>
              </w:tc>
              <w:tc>
                <w:tcPr>
                  <w:tcW w:w="2864" w:type="dxa"/>
                  <w:vAlign w:val="center"/>
                </w:tcPr>
                <w:p w14:paraId="609D69D5">
                  <w:pPr>
                    <w:pStyle w:val="24"/>
                  </w:pPr>
                  <w:r>
                    <w:t>汽油（95#）</w:t>
                  </w:r>
                </w:p>
              </w:tc>
              <w:tc>
                <w:tcPr>
                  <w:tcW w:w="2390" w:type="dxa"/>
                  <w:vMerge w:val="continue"/>
                  <w:vAlign w:val="center"/>
                </w:tcPr>
                <w:p w14:paraId="11F1FAA1">
                  <w:pPr>
                    <w:pStyle w:val="24"/>
                  </w:pPr>
                </w:p>
              </w:tc>
              <w:tc>
                <w:tcPr>
                  <w:tcW w:w="1252" w:type="dxa"/>
                  <w:vMerge w:val="continue"/>
                  <w:vAlign w:val="center"/>
                </w:tcPr>
                <w:p w14:paraId="0B28BBB2">
                  <w:pPr>
                    <w:pStyle w:val="24"/>
                  </w:pPr>
                </w:p>
              </w:tc>
            </w:tr>
            <w:tr w14:paraId="4478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51" w:type="dxa"/>
                  <w:vAlign w:val="center"/>
                </w:tcPr>
                <w:p w14:paraId="2D532B1A">
                  <w:pPr>
                    <w:pStyle w:val="24"/>
                  </w:pPr>
                  <w:r>
                    <w:rPr>
                      <w:rFonts w:hint="eastAsia"/>
                    </w:rPr>
                    <w:t>4</w:t>
                  </w:r>
                </w:p>
              </w:tc>
              <w:tc>
                <w:tcPr>
                  <w:tcW w:w="2864" w:type="dxa"/>
                  <w:vAlign w:val="center"/>
                </w:tcPr>
                <w:p w14:paraId="6AA94C39">
                  <w:pPr>
                    <w:pStyle w:val="24"/>
                  </w:pPr>
                  <w:r>
                    <w:t>柴油（0#）</w:t>
                  </w:r>
                </w:p>
              </w:tc>
              <w:tc>
                <w:tcPr>
                  <w:tcW w:w="2390" w:type="dxa"/>
                  <w:vMerge w:val="restart"/>
                  <w:vAlign w:val="center"/>
                </w:tcPr>
                <w:p w14:paraId="7BDE275B">
                  <w:pPr>
                    <w:pStyle w:val="24"/>
                  </w:pPr>
                  <w:r>
                    <w:rPr>
                      <w:rFonts w:hint="eastAsia"/>
                    </w:rPr>
                    <w:t>2555t/a</w:t>
                  </w:r>
                </w:p>
              </w:tc>
              <w:tc>
                <w:tcPr>
                  <w:tcW w:w="1252" w:type="dxa"/>
                  <w:vMerge w:val="restart"/>
                  <w:vAlign w:val="center"/>
                </w:tcPr>
                <w:p w14:paraId="1498C98B">
                  <w:pPr>
                    <w:pStyle w:val="24"/>
                  </w:pPr>
                  <w:r>
                    <w:rPr>
                      <w:rFonts w:hint="eastAsia"/>
                    </w:rPr>
                    <w:t>外购</w:t>
                  </w:r>
                </w:p>
              </w:tc>
            </w:tr>
            <w:tr w14:paraId="1909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1" w:type="dxa"/>
                  <w:vAlign w:val="center"/>
                </w:tcPr>
                <w:p w14:paraId="61BEE75E">
                  <w:pPr>
                    <w:pStyle w:val="24"/>
                  </w:pPr>
                  <w:r>
                    <w:rPr>
                      <w:rFonts w:hint="eastAsia"/>
                    </w:rPr>
                    <w:t>5</w:t>
                  </w:r>
                </w:p>
              </w:tc>
              <w:tc>
                <w:tcPr>
                  <w:tcW w:w="2864" w:type="dxa"/>
                  <w:vAlign w:val="center"/>
                </w:tcPr>
                <w:p w14:paraId="73BEDE22">
                  <w:pPr>
                    <w:pStyle w:val="24"/>
                  </w:pPr>
                  <w:r>
                    <w:t>柴油（</w:t>
                  </w:r>
                  <w:r>
                    <w:rPr>
                      <w:rFonts w:hint="eastAsia"/>
                    </w:rPr>
                    <w:t>-1</w:t>
                  </w:r>
                  <w:r>
                    <w:t>0#）</w:t>
                  </w:r>
                </w:p>
              </w:tc>
              <w:tc>
                <w:tcPr>
                  <w:tcW w:w="2390" w:type="dxa"/>
                  <w:vMerge w:val="continue"/>
                  <w:vAlign w:val="center"/>
                </w:tcPr>
                <w:p w14:paraId="7C5CA826">
                  <w:pPr>
                    <w:pStyle w:val="24"/>
                  </w:pPr>
                </w:p>
              </w:tc>
              <w:tc>
                <w:tcPr>
                  <w:tcW w:w="1252" w:type="dxa"/>
                  <w:vMerge w:val="continue"/>
                  <w:vAlign w:val="center"/>
                </w:tcPr>
                <w:p w14:paraId="09ABA5EE">
                  <w:pPr>
                    <w:pStyle w:val="24"/>
                  </w:pPr>
                </w:p>
              </w:tc>
            </w:tr>
          </w:tbl>
          <w:p w14:paraId="15C7179F">
            <w:pPr>
              <w:ind w:firstLine="420"/>
            </w:pPr>
            <w:r>
              <w:rPr>
                <w:rFonts w:hint="eastAsia"/>
              </w:rPr>
              <w:t>项目货车应急维修中心</w:t>
            </w:r>
            <w:r>
              <w:t>主要从事</w:t>
            </w:r>
            <w:r>
              <w:rPr>
                <w:rFonts w:hint="eastAsia"/>
              </w:rPr>
              <w:t>货车</w:t>
            </w:r>
            <w:r>
              <w:t>维修服务，</w:t>
            </w:r>
            <w:r>
              <w:rPr>
                <w:rFonts w:hint="eastAsia"/>
              </w:rPr>
              <w:t>不涉及</w:t>
            </w:r>
            <w:r>
              <w:t>喷漆工序，</w:t>
            </w:r>
            <w:r>
              <w:rPr>
                <w:rFonts w:hint="eastAsia"/>
              </w:rPr>
              <w:t>车辆维修后进行简单冲洗，</w:t>
            </w:r>
            <w:r>
              <w:t>维修</w:t>
            </w:r>
            <w:r>
              <w:rPr>
                <w:rFonts w:hint="eastAsia"/>
              </w:rPr>
              <w:t>车辆约2300</w:t>
            </w:r>
            <w:r>
              <w:t>辆/年。</w:t>
            </w:r>
          </w:p>
          <w:p w14:paraId="11E1E131">
            <w:pPr>
              <w:pStyle w:val="6"/>
            </w:pPr>
            <w:r>
              <w:t xml:space="preserve">表 </w:t>
            </w:r>
            <w:r>
              <w:rPr>
                <w:rFonts w:hint="eastAsia"/>
              </w:rPr>
              <w:t>2-</w:t>
            </w:r>
            <w:r>
              <w:fldChar w:fldCharType="begin"/>
            </w:r>
            <w:r>
              <w:instrText xml:space="preserve"> SEQ 表 \* ARABIC \s 1 </w:instrText>
            </w:r>
            <w:r>
              <w:fldChar w:fldCharType="separate"/>
            </w:r>
            <w:r>
              <w:t>5</w:t>
            </w:r>
            <w:r>
              <w:fldChar w:fldCharType="end"/>
            </w:r>
            <w:r>
              <w:rPr>
                <w:rFonts w:hint="eastAsia"/>
              </w:rPr>
              <w:t xml:space="preserve"> 货车应急维修中心经营规模一览表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327"/>
              <w:gridCol w:w="1327"/>
              <w:gridCol w:w="1930"/>
              <w:gridCol w:w="1930"/>
            </w:tblGrid>
            <w:tr w14:paraId="1A7D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shd w:val="clear" w:color="auto" w:fill="auto"/>
                  <w:vAlign w:val="center"/>
                </w:tcPr>
                <w:p w14:paraId="2188D1A5">
                  <w:pPr>
                    <w:pStyle w:val="24"/>
                  </w:pPr>
                  <w:r>
                    <w:t>名称</w:t>
                  </w:r>
                </w:p>
              </w:tc>
              <w:tc>
                <w:tcPr>
                  <w:tcW w:w="340" w:type="dxa"/>
                  <w:shd w:val="clear" w:color="auto" w:fill="auto"/>
                  <w:vAlign w:val="center"/>
                </w:tcPr>
                <w:p w14:paraId="18DF6D4D">
                  <w:pPr>
                    <w:pStyle w:val="24"/>
                  </w:pPr>
                  <w:r>
                    <w:t>单位</w:t>
                  </w:r>
                </w:p>
              </w:tc>
              <w:tc>
                <w:tcPr>
                  <w:tcW w:w="340" w:type="dxa"/>
                  <w:gridSpan w:val="2"/>
                  <w:shd w:val="clear" w:color="auto" w:fill="auto"/>
                  <w:vAlign w:val="center"/>
                </w:tcPr>
                <w:p w14:paraId="4E70EBF4">
                  <w:pPr>
                    <w:pStyle w:val="24"/>
                  </w:pPr>
                  <w:r>
                    <w:t>规模</w:t>
                  </w:r>
                </w:p>
              </w:tc>
              <w:tc>
                <w:tcPr>
                  <w:tcW w:w="340" w:type="dxa"/>
                  <w:shd w:val="clear" w:color="auto" w:fill="auto"/>
                  <w:vAlign w:val="center"/>
                </w:tcPr>
                <w:p w14:paraId="5D18C655">
                  <w:pPr>
                    <w:pStyle w:val="24"/>
                  </w:pPr>
                  <w:r>
                    <w:rPr>
                      <w:rFonts w:hint="eastAsia"/>
                    </w:rPr>
                    <w:t>总计</w:t>
                  </w:r>
                </w:p>
              </w:tc>
            </w:tr>
            <w:tr w14:paraId="4313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restart"/>
                  <w:shd w:val="clear" w:color="auto" w:fill="auto"/>
                  <w:vAlign w:val="center"/>
                </w:tcPr>
                <w:p w14:paraId="5D422E0A">
                  <w:pPr>
                    <w:pStyle w:val="24"/>
                  </w:pPr>
                  <w:r>
                    <w:t>车辆维修</w:t>
                  </w:r>
                </w:p>
              </w:tc>
              <w:tc>
                <w:tcPr>
                  <w:tcW w:w="340" w:type="dxa"/>
                  <w:vMerge w:val="restart"/>
                  <w:shd w:val="clear" w:color="auto" w:fill="auto"/>
                  <w:vAlign w:val="center"/>
                </w:tcPr>
                <w:p w14:paraId="4EED1A7C">
                  <w:pPr>
                    <w:pStyle w:val="24"/>
                  </w:pPr>
                  <w:r>
                    <w:t>辆/年</w:t>
                  </w:r>
                </w:p>
              </w:tc>
              <w:tc>
                <w:tcPr>
                  <w:tcW w:w="340" w:type="dxa"/>
                  <w:shd w:val="clear" w:color="auto" w:fill="auto"/>
                  <w:vAlign w:val="center"/>
                </w:tcPr>
                <w:p w14:paraId="791DF39D">
                  <w:pPr>
                    <w:pStyle w:val="24"/>
                  </w:pPr>
                  <w:r>
                    <w:rPr>
                      <w:rFonts w:hint="eastAsia"/>
                    </w:rPr>
                    <w:t>大型</w:t>
                  </w:r>
                </w:p>
              </w:tc>
              <w:tc>
                <w:tcPr>
                  <w:tcW w:w="340" w:type="dxa"/>
                  <w:shd w:val="clear" w:color="auto" w:fill="auto"/>
                  <w:vAlign w:val="center"/>
                </w:tcPr>
                <w:p w14:paraId="0D17D5CF">
                  <w:pPr>
                    <w:pStyle w:val="24"/>
                  </w:pPr>
                  <w:r>
                    <w:rPr>
                      <w:rFonts w:hint="eastAsia"/>
                    </w:rPr>
                    <w:t>1000</w:t>
                  </w:r>
                </w:p>
              </w:tc>
              <w:tc>
                <w:tcPr>
                  <w:tcW w:w="340" w:type="dxa"/>
                  <w:vMerge w:val="restart"/>
                  <w:shd w:val="clear" w:color="auto" w:fill="auto"/>
                  <w:vAlign w:val="center"/>
                </w:tcPr>
                <w:p w14:paraId="66721EC5">
                  <w:pPr>
                    <w:pStyle w:val="24"/>
                  </w:pPr>
                  <w:r>
                    <w:rPr>
                      <w:rFonts w:hint="eastAsia"/>
                    </w:rPr>
                    <w:t>2300</w:t>
                  </w:r>
                </w:p>
              </w:tc>
            </w:tr>
            <w:tr w14:paraId="72E2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shd w:val="clear" w:color="auto" w:fill="auto"/>
                  <w:vAlign w:val="center"/>
                </w:tcPr>
                <w:p w14:paraId="56268F45">
                  <w:pPr>
                    <w:pStyle w:val="24"/>
                  </w:pPr>
                </w:p>
              </w:tc>
              <w:tc>
                <w:tcPr>
                  <w:tcW w:w="340" w:type="dxa"/>
                  <w:vMerge w:val="continue"/>
                  <w:shd w:val="clear" w:color="auto" w:fill="auto"/>
                  <w:vAlign w:val="center"/>
                </w:tcPr>
                <w:p w14:paraId="205331C5">
                  <w:pPr>
                    <w:pStyle w:val="24"/>
                  </w:pPr>
                </w:p>
              </w:tc>
              <w:tc>
                <w:tcPr>
                  <w:tcW w:w="340" w:type="dxa"/>
                  <w:shd w:val="clear" w:color="auto" w:fill="auto"/>
                  <w:vAlign w:val="center"/>
                </w:tcPr>
                <w:p w14:paraId="32A91507">
                  <w:pPr>
                    <w:pStyle w:val="24"/>
                  </w:pPr>
                  <w:r>
                    <w:rPr>
                      <w:rFonts w:hint="eastAsia"/>
                    </w:rPr>
                    <w:t>中型</w:t>
                  </w:r>
                </w:p>
              </w:tc>
              <w:tc>
                <w:tcPr>
                  <w:tcW w:w="340" w:type="dxa"/>
                  <w:shd w:val="clear" w:color="auto" w:fill="auto"/>
                  <w:vAlign w:val="center"/>
                </w:tcPr>
                <w:p w14:paraId="1B988BCE">
                  <w:pPr>
                    <w:pStyle w:val="24"/>
                  </w:pPr>
                  <w:r>
                    <w:rPr>
                      <w:rFonts w:hint="eastAsia"/>
                    </w:rPr>
                    <w:t>800</w:t>
                  </w:r>
                </w:p>
              </w:tc>
              <w:tc>
                <w:tcPr>
                  <w:tcW w:w="340" w:type="dxa"/>
                  <w:vMerge w:val="continue"/>
                  <w:shd w:val="clear" w:color="auto" w:fill="auto"/>
                  <w:vAlign w:val="center"/>
                </w:tcPr>
                <w:p w14:paraId="463824A5">
                  <w:pPr>
                    <w:pStyle w:val="24"/>
                    <w:rPr>
                      <w:color w:val="0000FF"/>
                    </w:rPr>
                  </w:pPr>
                </w:p>
              </w:tc>
            </w:tr>
            <w:tr w14:paraId="119A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shd w:val="clear" w:color="auto" w:fill="auto"/>
                  <w:vAlign w:val="center"/>
                </w:tcPr>
                <w:p w14:paraId="7A48EC79">
                  <w:pPr>
                    <w:pStyle w:val="24"/>
                  </w:pPr>
                </w:p>
              </w:tc>
              <w:tc>
                <w:tcPr>
                  <w:tcW w:w="340" w:type="dxa"/>
                  <w:vMerge w:val="continue"/>
                  <w:shd w:val="clear" w:color="auto" w:fill="auto"/>
                  <w:vAlign w:val="center"/>
                </w:tcPr>
                <w:p w14:paraId="5AA4E68D">
                  <w:pPr>
                    <w:pStyle w:val="24"/>
                  </w:pPr>
                </w:p>
              </w:tc>
              <w:tc>
                <w:tcPr>
                  <w:tcW w:w="340" w:type="dxa"/>
                  <w:shd w:val="clear" w:color="auto" w:fill="auto"/>
                  <w:vAlign w:val="center"/>
                </w:tcPr>
                <w:p w14:paraId="032D8E29">
                  <w:pPr>
                    <w:pStyle w:val="24"/>
                  </w:pPr>
                  <w:r>
                    <w:rPr>
                      <w:rFonts w:hint="eastAsia"/>
                    </w:rPr>
                    <w:t>小型</w:t>
                  </w:r>
                </w:p>
              </w:tc>
              <w:tc>
                <w:tcPr>
                  <w:tcW w:w="340" w:type="dxa"/>
                  <w:shd w:val="clear" w:color="auto" w:fill="auto"/>
                  <w:vAlign w:val="center"/>
                </w:tcPr>
                <w:p w14:paraId="05B373B2">
                  <w:pPr>
                    <w:pStyle w:val="24"/>
                  </w:pPr>
                  <w:r>
                    <w:rPr>
                      <w:rFonts w:hint="eastAsia"/>
                    </w:rPr>
                    <w:t>500</w:t>
                  </w:r>
                </w:p>
              </w:tc>
              <w:tc>
                <w:tcPr>
                  <w:tcW w:w="340" w:type="dxa"/>
                  <w:vMerge w:val="continue"/>
                  <w:shd w:val="clear" w:color="auto" w:fill="auto"/>
                  <w:vAlign w:val="center"/>
                </w:tcPr>
                <w:p w14:paraId="506A1B01">
                  <w:pPr>
                    <w:pStyle w:val="24"/>
                    <w:rPr>
                      <w:color w:val="0000FF"/>
                    </w:rPr>
                  </w:pPr>
                </w:p>
              </w:tc>
            </w:tr>
          </w:tbl>
          <w:p w14:paraId="7AD1F622">
            <w:pPr>
              <w:overflowPunct w:val="0"/>
              <w:autoSpaceDE w:val="0"/>
              <w:autoSpaceDN w:val="0"/>
              <w:ind w:firstLine="480" w:firstLineChars="200"/>
            </w:pPr>
            <w:r>
              <w:t>2.</w:t>
            </w:r>
            <w:r>
              <w:rPr>
                <w:rFonts w:hint="eastAsia"/>
              </w:rPr>
              <w:t>4加油站等级</w:t>
            </w:r>
          </w:p>
          <w:p w14:paraId="63DC79B3">
            <w:pPr>
              <w:overflowPunct w:val="0"/>
              <w:autoSpaceDE w:val="0"/>
              <w:autoSpaceDN w:val="0"/>
              <w:ind w:firstLine="480" w:firstLineChars="200"/>
            </w:pPr>
            <w:r>
              <w:rPr>
                <w:rFonts w:hint="eastAsia"/>
              </w:rPr>
              <w:t>加油站埋地油罐区内设置2台30</w:t>
            </w:r>
            <w:r>
              <w:t>m</w:t>
            </w:r>
            <w:r>
              <w:rPr>
                <w:vertAlign w:val="superscript"/>
              </w:rPr>
              <w:t>3</w:t>
            </w:r>
            <w:r>
              <w:rPr>
                <w:rFonts w:hint="eastAsia"/>
              </w:rPr>
              <w:t>汽油储罐，3台50</w:t>
            </w:r>
            <w:r>
              <w:t>m</w:t>
            </w:r>
            <w:r>
              <w:rPr>
                <w:vertAlign w:val="superscript"/>
              </w:rPr>
              <w:t>3</w:t>
            </w:r>
            <w:r>
              <w:rPr>
                <w:rFonts w:hint="eastAsia"/>
              </w:rPr>
              <w:t>柴油储罐，</w:t>
            </w:r>
            <w:r>
              <w:t>折合</w:t>
            </w:r>
            <w:r>
              <w:rPr>
                <w:rFonts w:hint="eastAsia"/>
              </w:rPr>
              <w:t>汽油</w:t>
            </w:r>
            <w:r>
              <w:t>后总容量为</w:t>
            </w:r>
            <w:r>
              <w:rPr>
                <w:rFonts w:hint="eastAsia"/>
              </w:rPr>
              <w:t>135</w:t>
            </w:r>
            <w:r>
              <w:t>m</w:t>
            </w:r>
            <w:r>
              <w:rPr>
                <w:vertAlign w:val="superscript"/>
              </w:rPr>
              <w:t>3</w:t>
            </w:r>
            <w:r>
              <w:rPr>
                <w:rFonts w:hint="eastAsia"/>
              </w:rPr>
              <w:t>（柴油折半计算）。</w:t>
            </w:r>
          </w:p>
          <w:p w14:paraId="1C35B1E7">
            <w:pPr>
              <w:overflowPunct w:val="0"/>
              <w:autoSpaceDE w:val="0"/>
              <w:autoSpaceDN w:val="0"/>
              <w:ind w:firstLine="480" w:firstLineChars="200"/>
            </w:pPr>
            <w:r>
              <w:rPr>
                <w:rFonts w:hint="eastAsia"/>
              </w:rPr>
              <w:t>依据《汽车加油加气加氢站技术标准》GB50156-2021，本站为二级加油站。</w:t>
            </w:r>
          </w:p>
          <w:p w14:paraId="52F6B7A5">
            <w:pPr>
              <w:pStyle w:val="6"/>
              <w:overflowPunct w:val="0"/>
              <w:autoSpaceDE w:val="0"/>
              <w:autoSpaceDN w:val="0"/>
            </w:pPr>
            <w:r>
              <w:t xml:space="preserve">表 </w:t>
            </w:r>
            <w:r>
              <w:rPr>
                <w:rFonts w:hint="eastAsia"/>
              </w:rPr>
              <w:t>2-</w:t>
            </w:r>
            <w:r>
              <w:fldChar w:fldCharType="begin"/>
            </w:r>
            <w:r>
              <w:instrText xml:space="preserve"> SEQ 表 \* ARABIC \s 1 </w:instrText>
            </w:r>
            <w:r>
              <w:fldChar w:fldCharType="separate"/>
            </w:r>
            <w:r>
              <w:t>6</w:t>
            </w:r>
            <w:r>
              <w:fldChar w:fldCharType="end"/>
            </w:r>
            <w:r>
              <w:rPr>
                <w:rFonts w:hint="eastAsia"/>
              </w:rPr>
              <w:t xml:space="preserve"> 加油站等级划分表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2447"/>
              <w:gridCol w:w="3399"/>
            </w:tblGrid>
            <w:tr w14:paraId="4171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vMerge w:val="restart"/>
                  <w:vAlign w:val="center"/>
                </w:tcPr>
                <w:p w14:paraId="5DF00EC7">
                  <w:pPr>
                    <w:pStyle w:val="24"/>
                  </w:pPr>
                  <w:r>
                    <w:rPr>
                      <w:rFonts w:hint="eastAsia"/>
                    </w:rPr>
                    <w:t>加油站等级</w:t>
                  </w:r>
                </w:p>
              </w:tc>
              <w:tc>
                <w:tcPr>
                  <w:tcW w:w="340" w:type="dxa"/>
                  <w:gridSpan w:val="2"/>
                  <w:vAlign w:val="center"/>
                </w:tcPr>
                <w:p w14:paraId="5D73E054">
                  <w:pPr>
                    <w:pStyle w:val="24"/>
                  </w:pPr>
                  <w:r>
                    <w:rPr>
                      <w:rFonts w:hint="eastAsia"/>
                    </w:rPr>
                    <w:t>加油站油罐容积（m</w:t>
                  </w:r>
                  <w:r>
                    <w:rPr>
                      <w:rFonts w:hint="eastAsia"/>
                      <w:vertAlign w:val="superscript"/>
                    </w:rPr>
                    <w:t>3</w:t>
                  </w:r>
                  <w:r>
                    <w:rPr>
                      <w:rFonts w:hint="eastAsia"/>
                    </w:rPr>
                    <w:t>）</w:t>
                  </w:r>
                </w:p>
              </w:tc>
            </w:tr>
            <w:tr w14:paraId="722E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vAlign w:val="center"/>
                </w:tcPr>
                <w:p w14:paraId="4641C582">
                  <w:pPr>
                    <w:pStyle w:val="24"/>
                  </w:pPr>
                </w:p>
              </w:tc>
              <w:tc>
                <w:tcPr>
                  <w:tcW w:w="340" w:type="dxa"/>
                  <w:vAlign w:val="center"/>
                </w:tcPr>
                <w:p w14:paraId="6442D7FA">
                  <w:pPr>
                    <w:pStyle w:val="24"/>
                  </w:pPr>
                  <w:r>
                    <w:rPr>
                      <w:rFonts w:hint="eastAsia"/>
                    </w:rPr>
                    <w:t>总容积V</w:t>
                  </w:r>
                </w:p>
              </w:tc>
              <w:tc>
                <w:tcPr>
                  <w:tcW w:w="340" w:type="dxa"/>
                  <w:vAlign w:val="center"/>
                </w:tcPr>
                <w:p w14:paraId="73648428">
                  <w:pPr>
                    <w:pStyle w:val="24"/>
                  </w:pPr>
                  <w:r>
                    <w:rPr>
                      <w:rFonts w:hint="eastAsia"/>
                    </w:rPr>
                    <w:t>单罐容积</w:t>
                  </w:r>
                </w:p>
              </w:tc>
            </w:tr>
            <w:tr w14:paraId="7273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F311BE4">
                  <w:pPr>
                    <w:pStyle w:val="24"/>
                  </w:pPr>
                  <w:r>
                    <w:rPr>
                      <w:rFonts w:hint="eastAsia"/>
                    </w:rPr>
                    <w:t>一级</w:t>
                  </w:r>
                </w:p>
              </w:tc>
              <w:tc>
                <w:tcPr>
                  <w:tcW w:w="340" w:type="dxa"/>
                  <w:vAlign w:val="center"/>
                </w:tcPr>
                <w:p w14:paraId="6A07B026">
                  <w:pPr>
                    <w:pStyle w:val="24"/>
                  </w:pPr>
                  <w:r>
                    <w:rPr>
                      <w:rFonts w:hint="eastAsia"/>
                    </w:rPr>
                    <w:t>150＜V≤210</w:t>
                  </w:r>
                </w:p>
              </w:tc>
              <w:tc>
                <w:tcPr>
                  <w:tcW w:w="340" w:type="dxa"/>
                  <w:vAlign w:val="center"/>
                </w:tcPr>
                <w:p w14:paraId="43FD9618">
                  <w:pPr>
                    <w:pStyle w:val="24"/>
                  </w:pPr>
                  <w:r>
                    <w:rPr>
                      <w:rFonts w:hint="eastAsia"/>
                    </w:rPr>
                    <w:t>≤50</w:t>
                  </w:r>
                </w:p>
              </w:tc>
            </w:tr>
            <w:tr w14:paraId="1689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645675D4">
                  <w:pPr>
                    <w:pStyle w:val="24"/>
                  </w:pPr>
                  <w:r>
                    <w:rPr>
                      <w:rFonts w:hint="eastAsia"/>
                    </w:rPr>
                    <w:t>二级</w:t>
                  </w:r>
                </w:p>
              </w:tc>
              <w:tc>
                <w:tcPr>
                  <w:tcW w:w="340" w:type="dxa"/>
                  <w:vAlign w:val="center"/>
                </w:tcPr>
                <w:p w14:paraId="63F3258C">
                  <w:pPr>
                    <w:pStyle w:val="24"/>
                  </w:pPr>
                  <w:r>
                    <w:rPr>
                      <w:rFonts w:hint="eastAsia"/>
                    </w:rPr>
                    <w:t>90＜V≤210</w:t>
                  </w:r>
                </w:p>
              </w:tc>
              <w:tc>
                <w:tcPr>
                  <w:tcW w:w="340" w:type="dxa"/>
                  <w:vAlign w:val="center"/>
                </w:tcPr>
                <w:p w14:paraId="01F45C68">
                  <w:pPr>
                    <w:pStyle w:val="24"/>
                  </w:pPr>
                  <w:r>
                    <w:rPr>
                      <w:rFonts w:hint="eastAsia"/>
                    </w:rPr>
                    <w:t>≤50</w:t>
                  </w:r>
                </w:p>
              </w:tc>
            </w:tr>
            <w:tr w14:paraId="51D4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AF8C24A">
                  <w:pPr>
                    <w:pStyle w:val="24"/>
                  </w:pPr>
                  <w:r>
                    <w:rPr>
                      <w:rFonts w:hint="eastAsia"/>
                    </w:rPr>
                    <w:t>三级</w:t>
                  </w:r>
                </w:p>
              </w:tc>
              <w:tc>
                <w:tcPr>
                  <w:tcW w:w="340" w:type="dxa"/>
                  <w:vAlign w:val="center"/>
                </w:tcPr>
                <w:p w14:paraId="74427489">
                  <w:pPr>
                    <w:pStyle w:val="24"/>
                  </w:pPr>
                  <w:r>
                    <w:rPr>
                      <w:rFonts w:hint="eastAsia"/>
                    </w:rPr>
                    <w:t>V≤90</w:t>
                  </w:r>
                </w:p>
              </w:tc>
              <w:tc>
                <w:tcPr>
                  <w:tcW w:w="340" w:type="dxa"/>
                  <w:vAlign w:val="center"/>
                </w:tcPr>
                <w:p w14:paraId="347D9BF0">
                  <w:pPr>
                    <w:pStyle w:val="24"/>
                  </w:pPr>
                  <w:r>
                    <w:t>汽油罐≤30，柴油罐≤50</w:t>
                  </w:r>
                </w:p>
              </w:tc>
            </w:tr>
          </w:tbl>
          <w:p w14:paraId="5164C3A5">
            <w:pPr>
              <w:overflowPunct w:val="0"/>
              <w:autoSpaceDE w:val="0"/>
              <w:autoSpaceDN w:val="0"/>
              <w:ind w:firstLine="480" w:firstLineChars="200"/>
            </w:pPr>
            <w:r>
              <w:t>2.</w:t>
            </w:r>
            <w:r>
              <w:rPr>
                <w:rFonts w:hint="eastAsia"/>
              </w:rPr>
              <w:t>5主要设备参数</w:t>
            </w:r>
          </w:p>
          <w:p w14:paraId="21B27DF7">
            <w:pPr>
              <w:pStyle w:val="6"/>
              <w:overflowPunct w:val="0"/>
              <w:autoSpaceDE w:val="0"/>
              <w:autoSpaceDN w:val="0"/>
            </w:pPr>
            <w:r>
              <w:t xml:space="preserve">表 </w:t>
            </w:r>
            <w:r>
              <w:rPr>
                <w:rFonts w:hint="eastAsia"/>
              </w:rPr>
              <w:t>2-</w:t>
            </w:r>
            <w:r>
              <w:fldChar w:fldCharType="begin"/>
            </w:r>
            <w:r>
              <w:instrText xml:space="preserve"> SEQ 表 \* ARABIC \s 1 </w:instrText>
            </w:r>
            <w:r>
              <w:fldChar w:fldCharType="separate"/>
            </w:r>
            <w:r>
              <w:t>7</w:t>
            </w:r>
            <w:r>
              <w:fldChar w:fldCharType="end"/>
            </w:r>
            <w:r>
              <w:rPr>
                <w:rFonts w:hint="eastAsia"/>
              </w:rPr>
              <w:t xml:space="preserve"> </w:t>
            </w:r>
            <w:r>
              <w:rPr>
                <w:rFonts w:ascii="宋体" w:hAnsi="宋体" w:cs="宋体"/>
                <w:bCs/>
              </w:rPr>
              <w:t>项目</w:t>
            </w:r>
            <w:r>
              <w:rPr>
                <w:rFonts w:hint="eastAsia" w:ascii="宋体" w:hAnsi="宋体" w:cs="宋体"/>
                <w:bCs/>
              </w:rPr>
              <w:t>综合能源站主要设备</w:t>
            </w:r>
            <w:r>
              <w:rPr>
                <w:rFonts w:ascii="宋体" w:hAnsi="宋体" w:cs="宋体"/>
                <w:bCs/>
              </w:rPr>
              <w:t>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106"/>
              <w:gridCol w:w="1704"/>
              <w:gridCol w:w="877"/>
              <w:gridCol w:w="854"/>
              <w:gridCol w:w="2425"/>
            </w:tblGrid>
            <w:tr w14:paraId="2833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2" w:type="dxa"/>
                  <w:vAlign w:val="center"/>
                </w:tcPr>
                <w:p w14:paraId="57972B38">
                  <w:pPr>
                    <w:pStyle w:val="24"/>
                    <w:overflowPunct w:val="0"/>
                    <w:autoSpaceDE w:val="0"/>
                    <w:autoSpaceDN w:val="0"/>
                  </w:pPr>
                  <w:r>
                    <w:rPr>
                      <w:rFonts w:hint="eastAsia"/>
                    </w:rPr>
                    <w:t>序号</w:t>
                  </w:r>
                </w:p>
              </w:tc>
              <w:tc>
                <w:tcPr>
                  <w:tcW w:w="1095" w:type="dxa"/>
                  <w:vAlign w:val="center"/>
                </w:tcPr>
                <w:p w14:paraId="5D61EFEA">
                  <w:pPr>
                    <w:pStyle w:val="24"/>
                    <w:overflowPunct w:val="0"/>
                    <w:autoSpaceDE w:val="0"/>
                    <w:autoSpaceDN w:val="0"/>
                  </w:pPr>
                  <w:r>
                    <w:rPr>
                      <w:rFonts w:hint="eastAsia"/>
                    </w:rPr>
                    <w:t>设备名称</w:t>
                  </w:r>
                </w:p>
              </w:tc>
              <w:tc>
                <w:tcPr>
                  <w:tcW w:w="1687" w:type="dxa"/>
                  <w:vAlign w:val="center"/>
                </w:tcPr>
                <w:p w14:paraId="113DC56B">
                  <w:pPr>
                    <w:pStyle w:val="24"/>
                    <w:overflowPunct w:val="0"/>
                    <w:autoSpaceDE w:val="0"/>
                    <w:autoSpaceDN w:val="0"/>
                  </w:pPr>
                  <w:r>
                    <w:rPr>
                      <w:rFonts w:hint="eastAsia"/>
                    </w:rPr>
                    <w:t>规格型号</w:t>
                  </w:r>
                </w:p>
              </w:tc>
              <w:tc>
                <w:tcPr>
                  <w:tcW w:w="868" w:type="dxa"/>
                  <w:vAlign w:val="center"/>
                </w:tcPr>
                <w:p w14:paraId="09CB5272">
                  <w:pPr>
                    <w:pStyle w:val="24"/>
                    <w:overflowPunct w:val="0"/>
                    <w:autoSpaceDE w:val="0"/>
                    <w:autoSpaceDN w:val="0"/>
                  </w:pPr>
                  <w:r>
                    <w:rPr>
                      <w:rFonts w:hint="eastAsia"/>
                    </w:rPr>
                    <w:t>单位</w:t>
                  </w:r>
                </w:p>
              </w:tc>
              <w:tc>
                <w:tcPr>
                  <w:tcW w:w="845" w:type="dxa"/>
                  <w:vAlign w:val="center"/>
                </w:tcPr>
                <w:p w14:paraId="58269835">
                  <w:pPr>
                    <w:pStyle w:val="24"/>
                    <w:overflowPunct w:val="0"/>
                    <w:autoSpaceDE w:val="0"/>
                    <w:autoSpaceDN w:val="0"/>
                  </w:pPr>
                  <w:r>
                    <w:rPr>
                      <w:rFonts w:hint="eastAsia"/>
                    </w:rPr>
                    <w:t>数量</w:t>
                  </w:r>
                </w:p>
              </w:tc>
              <w:tc>
                <w:tcPr>
                  <w:tcW w:w="2400" w:type="dxa"/>
                  <w:vAlign w:val="center"/>
                </w:tcPr>
                <w:p w14:paraId="5BAA1D51">
                  <w:pPr>
                    <w:pStyle w:val="24"/>
                    <w:overflowPunct w:val="0"/>
                    <w:autoSpaceDE w:val="0"/>
                    <w:autoSpaceDN w:val="0"/>
                  </w:pPr>
                  <w:r>
                    <w:rPr>
                      <w:rFonts w:hint="eastAsia"/>
                    </w:rPr>
                    <w:t>备注</w:t>
                  </w:r>
                </w:p>
              </w:tc>
            </w:tr>
            <w:tr w14:paraId="50ED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2" w:type="dxa"/>
                  <w:vAlign w:val="center"/>
                </w:tcPr>
                <w:p w14:paraId="5DC67873">
                  <w:pPr>
                    <w:pStyle w:val="24"/>
                    <w:overflowPunct w:val="0"/>
                    <w:autoSpaceDE w:val="0"/>
                    <w:autoSpaceDN w:val="0"/>
                  </w:pPr>
                  <w:r>
                    <w:rPr>
                      <w:rFonts w:hint="eastAsia"/>
                    </w:rPr>
                    <w:t>1</w:t>
                  </w:r>
                </w:p>
              </w:tc>
              <w:tc>
                <w:tcPr>
                  <w:tcW w:w="1095" w:type="dxa"/>
                  <w:vAlign w:val="center"/>
                </w:tcPr>
                <w:p w14:paraId="2207B20A">
                  <w:pPr>
                    <w:pStyle w:val="24"/>
                    <w:overflowPunct w:val="0"/>
                    <w:autoSpaceDE w:val="0"/>
                    <w:autoSpaceDN w:val="0"/>
                  </w:pPr>
                  <w:r>
                    <w:rPr>
                      <w:rFonts w:hint="eastAsia"/>
                    </w:rPr>
                    <w:t>汽油储罐</w:t>
                  </w:r>
                </w:p>
              </w:tc>
              <w:tc>
                <w:tcPr>
                  <w:tcW w:w="1687" w:type="dxa"/>
                  <w:vAlign w:val="center"/>
                </w:tcPr>
                <w:p w14:paraId="1C45F071">
                  <w:pPr>
                    <w:pStyle w:val="24"/>
                    <w:overflowPunct w:val="0"/>
                    <w:autoSpaceDE w:val="0"/>
                    <w:autoSpaceDN w:val="0"/>
                  </w:pPr>
                  <w:r>
                    <w:rPr>
                      <w:rFonts w:hint="eastAsia"/>
                    </w:rPr>
                    <w:t>30m</w:t>
                  </w:r>
                  <w:r>
                    <w:rPr>
                      <w:rFonts w:hint="eastAsia"/>
                      <w:vertAlign w:val="superscript"/>
                    </w:rPr>
                    <w:t>3</w:t>
                  </w:r>
                </w:p>
              </w:tc>
              <w:tc>
                <w:tcPr>
                  <w:tcW w:w="868" w:type="dxa"/>
                  <w:vAlign w:val="center"/>
                </w:tcPr>
                <w:p w14:paraId="4225EB7A">
                  <w:pPr>
                    <w:pStyle w:val="24"/>
                    <w:overflowPunct w:val="0"/>
                    <w:autoSpaceDE w:val="0"/>
                    <w:autoSpaceDN w:val="0"/>
                  </w:pPr>
                  <w:r>
                    <w:rPr>
                      <w:rFonts w:hint="eastAsia"/>
                    </w:rPr>
                    <w:t>个</w:t>
                  </w:r>
                </w:p>
              </w:tc>
              <w:tc>
                <w:tcPr>
                  <w:tcW w:w="845" w:type="dxa"/>
                  <w:vAlign w:val="center"/>
                </w:tcPr>
                <w:p w14:paraId="43C78BA6">
                  <w:pPr>
                    <w:pStyle w:val="24"/>
                    <w:overflowPunct w:val="0"/>
                    <w:autoSpaceDE w:val="0"/>
                    <w:autoSpaceDN w:val="0"/>
                    <w:rPr>
                      <w:rFonts w:hint="eastAsia" w:eastAsia="宋体"/>
                      <w:lang w:eastAsia="zh-CN"/>
                    </w:rPr>
                  </w:pPr>
                  <w:r>
                    <w:rPr>
                      <w:rFonts w:hint="eastAsia"/>
                      <w:lang w:val="en-US" w:eastAsia="zh-CN"/>
                    </w:rPr>
                    <w:t>2</w:t>
                  </w:r>
                </w:p>
              </w:tc>
              <w:tc>
                <w:tcPr>
                  <w:tcW w:w="2400" w:type="dxa"/>
                  <w:vAlign w:val="center"/>
                </w:tcPr>
                <w:p w14:paraId="59454176">
                  <w:pPr>
                    <w:pStyle w:val="24"/>
                    <w:overflowPunct w:val="0"/>
                    <w:autoSpaceDE w:val="0"/>
                    <w:autoSpaceDN w:val="0"/>
                  </w:pPr>
                  <w:r>
                    <w:rPr>
                      <w:rFonts w:hint="eastAsia"/>
                    </w:rPr>
                    <w:t>卧式</w:t>
                  </w:r>
                  <w:r>
                    <w:t>埋地罐（双层罐）</w:t>
                  </w:r>
                  <w:r>
                    <w:rPr>
                      <w:rFonts w:hint="eastAsia"/>
                    </w:rPr>
                    <w:t>，采用电子液位仪进行密闭测量</w:t>
                  </w:r>
                </w:p>
              </w:tc>
            </w:tr>
            <w:tr w14:paraId="6A8D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2" w:type="dxa"/>
                  <w:vAlign w:val="center"/>
                </w:tcPr>
                <w:p w14:paraId="3481A5CA">
                  <w:pPr>
                    <w:pStyle w:val="24"/>
                    <w:overflowPunct w:val="0"/>
                    <w:autoSpaceDE w:val="0"/>
                    <w:autoSpaceDN w:val="0"/>
                  </w:pPr>
                  <w:r>
                    <w:rPr>
                      <w:rFonts w:hint="eastAsia"/>
                    </w:rPr>
                    <w:t>2</w:t>
                  </w:r>
                </w:p>
              </w:tc>
              <w:tc>
                <w:tcPr>
                  <w:tcW w:w="1095" w:type="dxa"/>
                  <w:vAlign w:val="center"/>
                </w:tcPr>
                <w:p w14:paraId="6CC207D4">
                  <w:pPr>
                    <w:pStyle w:val="24"/>
                    <w:overflowPunct w:val="0"/>
                    <w:autoSpaceDE w:val="0"/>
                    <w:autoSpaceDN w:val="0"/>
                  </w:pPr>
                  <w:r>
                    <w:rPr>
                      <w:rFonts w:hint="eastAsia"/>
                    </w:rPr>
                    <w:t>柴油储罐</w:t>
                  </w:r>
                </w:p>
              </w:tc>
              <w:tc>
                <w:tcPr>
                  <w:tcW w:w="1687" w:type="dxa"/>
                  <w:vAlign w:val="center"/>
                </w:tcPr>
                <w:p w14:paraId="6AB33ADC">
                  <w:pPr>
                    <w:pStyle w:val="24"/>
                    <w:overflowPunct w:val="0"/>
                    <w:autoSpaceDE w:val="0"/>
                    <w:autoSpaceDN w:val="0"/>
                  </w:pPr>
                  <w:r>
                    <w:rPr>
                      <w:rFonts w:hint="eastAsia"/>
                    </w:rPr>
                    <w:t>50m</w:t>
                  </w:r>
                  <w:r>
                    <w:rPr>
                      <w:rFonts w:hint="eastAsia"/>
                      <w:vertAlign w:val="superscript"/>
                    </w:rPr>
                    <w:t>3</w:t>
                  </w:r>
                </w:p>
              </w:tc>
              <w:tc>
                <w:tcPr>
                  <w:tcW w:w="868" w:type="dxa"/>
                  <w:vAlign w:val="center"/>
                </w:tcPr>
                <w:p w14:paraId="78E60B05">
                  <w:pPr>
                    <w:pStyle w:val="24"/>
                    <w:overflowPunct w:val="0"/>
                    <w:autoSpaceDE w:val="0"/>
                    <w:autoSpaceDN w:val="0"/>
                  </w:pPr>
                  <w:r>
                    <w:rPr>
                      <w:rFonts w:hint="eastAsia"/>
                    </w:rPr>
                    <w:t>个</w:t>
                  </w:r>
                </w:p>
              </w:tc>
              <w:tc>
                <w:tcPr>
                  <w:tcW w:w="845" w:type="dxa"/>
                  <w:vAlign w:val="center"/>
                </w:tcPr>
                <w:p w14:paraId="2C41BDBF">
                  <w:pPr>
                    <w:pStyle w:val="24"/>
                    <w:overflowPunct w:val="0"/>
                    <w:autoSpaceDE w:val="0"/>
                    <w:autoSpaceDN w:val="0"/>
                    <w:rPr>
                      <w:rFonts w:hint="eastAsia" w:eastAsia="宋体"/>
                      <w:lang w:eastAsia="zh-CN"/>
                    </w:rPr>
                  </w:pPr>
                  <w:r>
                    <w:rPr>
                      <w:rFonts w:hint="eastAsia"/>
                      <w:lang w:val="en-US" w:eastAsia="zh-CN"/>
                    </w:rPr>
                    <w:t>3</w:t>
                  </w:r>
                </w:p>
              </w:tc>
              <w:tc>
                <w:tcPr>
                  <w:tcW w:w="2400" w:type="dxa"/>
                  <w:vAlign w:val="center"/>
                </w:tcPr>
                <w:p w14:paraId="711916D5">
                  <w:pPr>
                    <w:pStyle w:val="24"/>
                    <w:overflowPunct w:val="0"/>
                    <w:autoSpaceDE w:val="0"/>
                    <w:autoSpaceDN w:val="0"/>
                  </w:pPr>
                  <w:r>
                    <w:rPr>
                      <w:rFonts w:hint="eastAsia"/>
                    </w:rPr>
                    <w:t>卧式</w:t>
                  </w:r>
                  <w:r>
                    <w:t>埋地罐（双层罐）</w:t>
                  </w:r>
                </w:p>
              </w:tc>
            </w:tr>
            <w:tr w14:paraId="2EE5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2" w:type="dxa"/>
                  <w:vAlign w:val="center"/>
                </w:tcPr>
                <w:p w14:paraId="624C5F2E">
                  <w:pPr>
                    <w:pStyle w:val="24"/>
                    <w:overflowPunct w:val="0"/>
                    <w:autoSpaceDE w:val="0"/>
                    <w:autoSpaceDN w:val="0"/>
                  </w:pPr>
                  <w:r>
                    <w:rPr>
                      <w:rFonts w:hint="eastAsia"/>
                    </w:rPr>
                    <w:t>3</w:t>
                  </w:r>
                </w:p>
              </w:tc>
              <w:tc>
                <w:tcPr>
                  <w:tcW w:w="1095" w:type="dxa"/>
                  <w:vAlign w:val="center"/>
                </w:tcPr>
                <w:p w14:paraId="26EC57A8">
                  <w:pPr>
                    <w:pStyle w:val="24"/>
                    <w:overflowPunct w:val="0"/>
                    <w:autoSpaceDE w:val="0"/>
                    <w:autoSpaceDN w:val="0"/>
                  </w:pPr>
                  <w:r>
                    <w:rPr>
                      <w:rFonts w:hint="eastAsia"/>
                    </w:rPr>
                    <w:t>加油机</w:t>
                  </w:r>
                </w:p>
              </w:tc>
              <w:tc>
                <w:tcPr>
                  <w:tcW w:w="1687" w:type="dxa"/>
                  <w:vAlign w:val="center"/>
                </w:tcPr>
                <w:p w14:paraId="53EB89BE">
                  <w:pPr>
                    <w:pStyle w:val="24"/>
                    <w:overflowPunct w:val="0"/>
                    <w:autoSpaceDE w:val="0"/>
                    <w:autoSpaceDN w:val="0"/>
                  </w:pPr>
                  <w:r>
                    <w:rPr>
                      <w:rFonts w:hint="eastAsia"/>
                    </w:rPr>
                    <w:t>Q=</w:t>
                  </w:r>
                  <w:r>
                    <w:t>5-50L/min</w:t>
                  </w:r>
                </w:p>
              </w:tc>
              <w:tc>
                <w:tcPr>
                  <w:tcW w:w="868" w:type="dxa"/>
                  <w:vAlign w:val="center"/>
                </w:tcPr>
                <w:p w14:paraId="0E102354">
                  <w:pPr>
                    <w:pStyle w:val="24"/>
                    <w:overflowPunct w:val="0"/>
                    <w:autoSpaceDE w:val="0"/>
                    <w:autoSpaceDN w:val="0"/>
                  </w:pPr>
                  <w:r>
                    <w:rPr>
                      <w:rFonts w:hint="eastAsia"/>
                    </w:rPr>
                    <w:t>台</w:t>
                  </w:r>
                </w:p>
              </w:tc>
              <w:tc>
                <w:tcPr>
                  <w:tcW w:w="845" w:type="dxa"/>
                  <w:vAlign w:val="center"/>
                </w:tcPr>
                <w:p w14:paraId="1C28172C">
                  <w:pPr>
                    <w:pStyle w:val="24"/>
                    <w:overflowPunct w:val="0"/>
                    <w:autoSpaceDE w:val="0"/>
                    <w:autoSpaceDN w:val="0"/>
                  </w:pPr>
                  <w:r>
                    <w:rPr>
                      <w:rFonts w:hint="eastAsia"/>
                    </w:rPr>
                    <w:t>4</w:t>
                  </w:r>
                </w:p>
              </w:tc>
              <w:tc>
                <w:tcPr>
                  <w:tcW w:w="2400" w:type="dxa"/>
                  <w:vAlign w:val="center"/>
                </w:tcPr>
                <w:p w14:paraId="490DBBAA">
                  <w:pPr>
                    <w:pStyle w:val="24"/>
                    <w:overflowPunct w:val="0"/>
                    <w:autoSpaceDE w:val="0"/>
                    <w:autoSpaceDN w:val="0"/>
                  </w:pPr>
                  <w:r>
                    <w:rPr>
                      <w:rFonts w:hint="eastAsia"/>
                    </w:rPr>
                    <w:t>四枪四油品潜油泵式加油机</w:t>
                  </w:r>
                </w:p>
              </w:tc>
            </w:tr>
            <w:tr w14:paraId="7BCC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2" w:type="dxa"/>
                  <w:vAlign w:val="center"/>
                </w:tcPr>
                <w:p w14:paraId="2D526C95">
                  <w:pPr>
                    <w:pStyle w:val="24"/>
                    <w:overflowPunct w:val="0"/>
                    <w:autoSpaceDE w:val="0"/>
                    <w:autoSpaceDN w:val="0"/>
                  </w:pPr>
                  <w:r>
                    <w:rPr>
                      <w:rFonts w:hint="eastAsia"/>
                    </w:rPr>
                    <w:t>4</w:t>
                  </w:r>
                </w:p>
              </w:tc>
              <w:tc>
                <w:tcPr>
                  <w:tcW w:w="1095" w:type="dxa"/>
                  <w:vAlign w:val="center"/>
                </w:tcPr>
                <w:p w14:paraId="4E1C554A">
                  <w:pPr>
                    <w:pStyle w:val="24"/>
                    <w:overflowPunct w:val="0"/>
                    <w:autoSpaceDE w:val="0"/>
                    <w:autoSpaceDN w:val="0"/>
                  </w:pPr>
                  <w:r>
                    <w:rPr>
                      <w:rFonts w:hint="eastAsia"/>
                    </w:rPr>
                    <w:t>充电桩</w:t>
                  </w:r>
                </w:p>
              </w:tc>
              <w:tc>
                <w:tcPr>
                  <w:tcW w:w="1687" w:type="dxa"/>
                  <w:vAlign w:val="center"/>
                </w:tcPr>
                <w:p w14:paraId="3000C476">
                  <w:pPr>
                    <w:pStyle w:val="24"/>
                    <w:overflowPunct w:val="0"/>
                    <w:autoSpaceDE w:val="0"/>
                    <w:autoSpaceDN w:val="0"/>
                  </w:pPr>
                </w:p>
              </w:tc>
              <w:tc>
                <w:tcPr>
                  <w:tcW w:w="868" w:type="dxa"/>
                  <w:vAlign w:val="center"/>
                </w:tcPr>
                <w:p w14:paraId="287DAEC5">
                  <w:pPr>
                    <w:pStyle w:val="24"/>
                    <w:overflowPunct w:val="0"/>
                    <w:autoSpaceDE w:val="0"/>
                    <w:autoSpaceDN w:val="0"/>
                  </w:pPr>
                  <w:r>
                    <w:rPr>
                      <w:rFonts w:hint="eastAsia"/>
                    </w:rPr>
                    <w:t>台</w:t>
                  </w:r>
                </w:p>
              </w:tc>
              <w:tc>
                <w:tcPr>
                  <w:tcW w:w="845" w:type="dxa"/>
                  <w:vAlign w:val="center"/>
                </w:tcPr>
                <w:p w14:paraId="78A6957A">
                  <w:pPr>
                    <w:pStyle w:val="24"/>
                    <w:overflowPunct w:val="0"/>
                    <w:autoSpaceDE w:val="0"/>
                    <w:autoSpaceDN w:val="0"/>
                  </w:pPr>
                  <w:r>
                    <w:rPr>
                      <w:rFonts w:hint="eastAsia"/>
                    </w:rPr>
                    <w:t>6</w:t>
                  </w:r>
                </w:p>
              </w:tc>
              <w:tc>
                <w:tcPr>
                  <w:tcW w:w="2400" w:type="dxa"/>
                  <w:vAlign w:val="center"/>
                </w:tcPr>
                <w:p w14:paraId="29C16853">
                  <w:pPr>
                    <w:pStyle w:val="24"/>
                    <w:overflowPunct w:val="0"/>
                    <w:autoSpaceDE w:val="0"/>
                    <w:autoSpaceDN w:val="0"/>
                  </w:pPr>
                </w:p>
              </w:tc>
            </w:tr>
          </w:tbl>
          <w:p w14:paraId="5E2E96B4">
            <w:pPr>
              <w:pStyle w:val="6"/>
            </w:pPr>
            <w:r>
              <w:t xml:space="preserve">表 </w:t>
            </w:r>
            <w:r>
              <w:rPr>
                <w:rFonts w:hint="eastAsia"/>
              </w:rPr>
              <w:t>2-</w:t>
            </w:r>
            <w:r>
              <w:fldChar w:fldCharType="begin"/>
            </w:r>
            <w:r>
              <w:instrText xml:space="preserve"> SEQ 表 \* ARABIC \s 1 </w:instrText>
            </w:r>
            <w:r>
              <w:fldChar w:fldCharType="separate"/>
            </w:r>
            <w:r>
              <w:t>8</w:t>
            </w:r>
            <w:r>
              <w:fldChar w:fldCharType="end"/>
            </w:r>
            <w:r>
              <w:rPr>
                <w:rFonts w:hint="eastAsia"/>
              </w:rPr>
              <w:t xml:space="preserve"> 项目交通驿站主要设备一览表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186"/>
              <w:gridCol w:w="1186"/>
              <w:gridCol w:w="1186"/>
              <w:gridCol w:w="1187"/>
              <w:gridCol w:w="1906"/>
            </w:tblGrid>
            <w:tr w14:paraId="215B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vAlign w:val="center"/>
                </w:tcPr>
                <w:p w14:paraId="3C586204">
                  <w:pPr>
                    <w:pStyle w:val="24"/>
                  </w:pPr>
                  <w:r>
                    <w:t>序号</w:t>
                  </w:r>
                </w:p>
              </w:tc>
              <w:tc>
                <w:tcPr>
                  <w:tcW w:w="340" w:type="dxa"/>
                  <w:gridSpan w:val="2"/>
                  <w:vAlign w:val="center"/>
                </w:tcPr>
                <w:p w14:paraId="25B4F923">
                  <w:pPr>
                    <w:pStyle w:val="24"/>
                  </w:pPr>
                  <w:r>
                    <w:t>名称</w:t>
                  </w:r>
                </w:p>
              </w:tc>
              <w:tc>
                <w:tcPr>
                  <w:tcW w:w="340" w:type="dxa"/>
                  <w:vAlign w:val="center"/>
                </w:tcPr>
                <w:p w14:paraId="2AC68AB5">
                  <w:pPr>
                    <w:pStyle w:val="24"/>
                  </w:pPr>
                  <w:r>
                    <w:t>单位</w:t>
                  </w:r>
                </w:p>
              </w:tc>
              <w:tc>
                <w:tcPr>
                  <w:tcW w:w="340" w:type="dxa"/>
                  <w:vAlign w:val="center"/>
                </w:tcPr>
                <w:p w14:paraId="1DC4172D">
                  <w:pPr>
                    <w:pStyle w:val="24"/>
                  </w:pPr>
                  <w:r>
                    <w:t>数量</w:t>
                  </w:r>
                </w:p>
              </w:tc>
              <w:tc>
                <w:tcPr>
                  <w:tcW w:w="340" w:type="dxa"/>
                  <w:vAlign w:val="center"/>
                </w:tcPr>
                <w:p w14:paraId="06B9CF86">
                  <w:pPr>
                    <w:pStyle w:val="24"/>
                  </w:pPr>
                  <w:r>
                    <w:rPr>
                      <w:rFonts w:hint="eastAsia"/>
                    </w:rPr>
                    <w:t>备注</w:t>
                  </w:r>
                </w:p>
              </w:tc>
            </w:tr>
            <w:tr w14:paraId="1D22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C42099B">
                  <w:pPr>
                    <w:pStyle w:val="24"/>
                  </w:pPr>
                  <w:r>
                    <w:rPr>
                      <w:rFonts w:hint="eastAsia"/>
                    </w:rPr>
                    <w:t>1</w:t>
                  </w:r>
                </w:p>
              </w:tc>
              <w:tc>
                <w:tcPr>
                  <w:tcW w:w="340" w:type="dxa"/>
                  <w:vAlign w:val="center"/>
                </w:tcPr>
                <w:p w14:paraId="4C775B05">
                  <w:pPr>
                    <w:pStyle w:val="24"/>
                  </w:pPr>
                  <w:r>
                    <w:rPr>
                      <w:rFonts w:hint="eastAsia"/>
                    </w:rPr>
                    <w:t>停车场</w:t>
                  </w:r>
                </w:p>
              </w:tc>
              <w:tc>
                <w:tcPr>
                  <w:tcW w:w="340" w:type="dxa"/>
                  <w:vAlign w:val="center"/>
                </w:tcPr>
                <w:p w14:paraId="19EBB53F">
                  <w:pPr>
                    <w:pStyle w:val="24"/>
                  </w:pPr>
                  <w:r>
                    <w:rPr>
                      <w:rFonts w:hint="eastAsia"/>
                    </w:rPr>
                    <w:t>小汽车充电桩</w:t>
                  </w:r>
                </w:p>
              </w:tc>
              <w:tc>
                <w:tcPr>
                  <w:tcW w:w="340" w:type="dxa"/>
                  <w:vAlign w:val="center"/>
                </w:tcPr>
                <w:p w14:paraId="0294F0FB">
                  <w:pPr>
                    <w:pStyle w:val="24"/>
                  </w:pPr>
                  <w:r>
                    <w:rPr>
                      <w:rFonts w:hint="eastAsia"/>
                    </w:rPr>
                    <w:t>个</w:t>
                  </w:r>
                </w:p>
              </w:tc>
              <w:tc>
                <w:tcPr>
                  <w:tcW w:w="340" w:type="dxa"/>
                  <w:vAlign w:val="center"/>
                </w:tcPr>
                <w:p w14:paraId="26ED7E6A">
                  <w:pPr>
                    <w:pStyle w:val="24"/>
                  </w:pPr>
                  <w:r>
                    <w:rPr>
                      <w:rFonts w:hint="eastAsia"/>
                    </w:rPr>
                    <w:t>86</w:t>
                  </w:r>
                </w:p>
              </w:tc>
              <w:tc>
                <w:tcPr>
                  <w:tcW w:w="340" w:type="dxa"/>
                  <w:vAlign w:val="center"/>
                </w:tcPr>
                <w:p w14:paraId="001768F4">
                  <w:pPr>
                    <w:pStyle w:val="24"/>
                  </w:pPr>
                  <w:r>
                    <w:rPr>
                      <w:rFonts w:hint="eastAsia"/>
                    </w:rPr>
                    <w:t>按100%配置充电车位</w:t>
                  </w:r>
                </w:p>
              </w:tc>
            </w:tr>
            <w:tr w14:paraId="243B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shd w:val="clear" w:color="auto" w:fill="auto"/>
                  <w:vAlign w:val="center"/>
                </w:tcPr>
                <w:p w14:paraId="3D20D91E">
                  <w:pPr>
                    <w:pStyle w:val="24"/>
                  </w:pPr>
                  <w:r>
                    <w:rPr>
                      <w:rFonts w:hint="eastAsia"/>
                    </w:rPr>
                    <w:t>2</w:t>
                  </w:r>
                </w:p>
              </w:tc>
              <w:tc>
                <w:tcPr>
                  <w:tcW w:w="340" w:type="dxa"/>
                  <w:vMerge w:val="restart"/>
                  <w:vAlign w:val="center"/>
                </w:tcPr>
                <w:p w14:paraId="303624AC">
                  <w:pPr>
                    <w:pStyle w:val="24"/>
                  </w:pPr>
                  <w:r>
                    <w:rPr>
                      <w:rFonts w:hint="eastAsia"/>
                    </w:rPr>
                    <w:t>货车应急维修中心</w:t>
                  </w:r>
                </w:p>
              </w:tc>
              <w:tc>
                <w:tcPr>
                  <w:tcW w:w="340" w:type="dxa"/>
                  <w:vAlign w:val="center"/>
                </w:tcPr>
                <w:p w14:paraId="2829ACFB">
                  <w:pPr>
                    <w:pStyle w:val="24"/>
                  </w:pPr>
                  <w:r>
                    <w:rPr>
                      <w:rFonts w:hint="eastAsia"/>
                    </w:rPr>
                    <w:t>航吊</w:t>
                  </w:r>
                </w:p>
              </w:tc>
              <w:tc>
                <w:tcPr>
                  <w:tcW w:w="340" w:type="dxa"/>
                  <w:vAlign w:val="center"/>
                </w:tcPr>
                <w:p w14:paraId="61DDF27F">
                  <w:pPr>
                    <w:pStyle w:val="24"/>
                  </w:pPr>
                  <w:r>
                    <w:rPr>
                      <w:rFonts w:hint="eastAsia"/>
                    </w:rPr>
                    <w:t>台</w:t>
                  </w:r>
                </w:p>
              </w:tc>
              <w:tc>
                <w:tcPr>
                  <w:tcW w:w="340" w:type="dxa"/>
                  <w:vAlign w:val="center"/>
                </w:tcPr>
                <w:p w14:paraId="1AACDFC2">
                  <w:pPr>
                    <w:pStyle w:val="24"/>
                  </w:pPr>
                  <w:r>
                    <w:rPr>
                      <w:rFonts w:hint="eastAsia"/>
                    </w:rPr>
                    <w:t>2</w:t>
                  </w:r>
                </w:p>
              </w:tc>
              <w:tc>
                <w:tcPr>
                  <w:tcW w:w="340" w:type="dxa"/>
                  <w:vAlign w:val="center"/>
                </w:tcPr>
                <w:p w14:paraId="7510E559">
                  <w:pPr>
                    <w:pStyle w:val="24"/>
                  </w:pPr>
                </w:p>
              </w:tc>
            </w:tr>
            <w:tr w14:paraId="2C97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shd w:val="clear" w:color="auto" w:fill="auto"/>
                  <w:vAlign w:val="center"/>
                </w:tcPr>
                <w:p w14:paraId="18A93D17">
                  <w:pPr>
                    <w:pStyle w:val="24"/>
                  </w:pPr>
                  <w:r>
                    <w:rPr>
                      <w:rFonts w:hint="eastAsia"/>
                    </w:rPr>
                    <w:t>3</w:t>
                  </w:r>
                </w:p>
              </w:tc>
              <w:tc>
                <w:tcPr>
                  <w:tcW w:w="340" w:type="dxa"/>
                  <w:vMerge w:val="continue"/>
                  <w:vAlign w:val="center"/>
                </w:tcPr>
                <w:p w14:paraId="2F996516">
                  <w:pPr>
                    <w:pStyle w:val="24"/>
                  </w:pPr>
                </w:p>
              </w:tc>
              <w:tc>
                <w:tcPr>
                  <w:tcW w:w="340" w:type="dxa"/>
                  <w:vAlign w:val="center"/>
                </w:tcPr>
                <w:p w14:paraId="2AC7CCA5">
                  <w:pPr>
                    <w:pStyle w:val="24"/>
                  </w:pPr>
                  <w:r>
                    <w:rPr>
                      <w:rFonts w:hint="eastAsia"/>
                    </w:rPr>
                    <w:t>电脑检测仪</w:t>
                  </w:r>
                </w:p>
              </w:tc>
              <w:tc>
                <w:tcPr>
                  <w:tcW w:w="340" w:type="dxa"/>
                  <w:vAlign w:val="center"/>
                </w:tcPr>
                <w:p w14:paraId="4E028CA3">
                  <w:pPr>
                    <w:pStyle w:val="24"/>
                  </w:pPr>
                  <w:r>
                    <w:rPr>
                      <w:rFonts w:hint="eastAsia"/>
                    </w:rPr>
                    <w:t>台</w:t>
                  </w:r>
                </w:p>
              </w:tc>
              <w:tc>
                <w:tcPr>
                  <w:tcW w:w="340" w:type="dxa"/>
                  <w:vAlign w:val="center"/>
                </w:tcPr>
                <w:p w14:paraId="52DA39FB">
                  <w:pPr>
                    <w:pStyle w:val="24"/>
                  </w:pPr>
                  <w:r>
                    <w:rPr>
                      <w:rFonts w:hint="eastAsia"/>
                    </w:rPr>
                    <w:t>4</w:t>
                  </w:r>
                </w:p>
              </w:tc>
              <w:tc>
                <w:tcPr>
                  <w:tcW w:w="340" w:type="dxa"/>
                  <w:vAlign w:val="center"/>
                </w:tcPr>
                <w:p w14:paraId="18EF3A30">
                  <w:pPr>
                    <w:pStyle w:val="24"/>
                  </w:pPr>
                </w:p>
              </w:tc>
            </w:tr>
            <w:tr w14:paraId="6E4B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5D94B8EB">
                  <w:pPr>
                    <w:pStyle w:val="24"/>
                  </w:pPr>
                  <w:r>
                    <w:rPr>
                      <w:rFonts w:hint="eastAsia"/>
                    </w:rPr>
                    <w:t>4</w:t>
                  </w:r>
                </w:p>
              </w:tc>
              <w:tc>
                <w:tcPr>
                  <w:tcW w:w="340" w:type="dxa"/>
                  <w:vMerge w:val="continue"/>
                  <w:vAlign w:val="center"/>
                </w:tcPr>
                <w:p w14:paraId="2D86FE0B">
                  <w:pPr>
                    <w:pStyle w:val="24"/>
                  </w:pPr>
                </w:p>
              </w:tc>
              <w:tc>
                <w:tcPr>
                  <w:tcW w:w="340" w:type="dxa"/>
                  <w:vAlign w:val="center"/>
                </w:tcPr>
                <w:p w14:paraId="2ECCAA56">
                  <w:pPr>
                    <w:pStyle w:val="24"/>
                  </w:pPr>
                  <w:r>
                    <w:rPr>
                      <w:rFonts w:hint="eastAsia"/>
                    </w:rPr>
                    <w:t>空气压缩机</w:t>
                  </w:r>
                </w:p>
              </w:tc>
              <w:tc>
                <w:tcPr>
                  <w:tcW w:w="340" w:type="dxa"/>
                  <w:vAlign w:val="center"/>
                </w:tcPr>
                <w:p w14:paraId="7CAF83E0">
                  <w:pPr>
                    <w:pStyle w:val="24"/>
                  </w:pPr>
                  <w:r>
                    <w:rPr>
                      <w:rFonts w:hint="eastAsia"/>
                    </w:rPr>
                    <w:t>台</w:t>
                  </w:r>
                </w:p>
              </w:tc>
              <w:tc>
                <w:tcPr>
                  <w:tcW w:w="340" w:type="dxa"/>
                  <w:vAlign w:val="center"/>
                </w:tcPr>
                <w:p w14:paraId="74631205">
                  <w:pPr>
                    <w:pStyle w:val="24"/>
                  </w:pPr>
                  <w:r>
                    <w:rPr>
                      <w:rFonts w:hint="eastAsia"/>
                    </w:rPr>
                    <w:t>1</w:t>
                  </w:r>
                </w:p>
              </w:tc>
              <w:tc>
                <w:tcPr>
                  <w:tcW w:w="340" w:type="dxa"/>
                  <w:vAlign w:val="center"/>
                </w:tcPr>
                <w:p w14:paraId="17B74E84">
                  <w:pPr>
                    <w:pStyle w:val="24"/>
                  </w:pPr>
                </w:p>
              </w:tc>
            </w:tr>
            <w:tr w14:paraId="7110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71A20D1B">
                  <w:pPr>
                    <w:pStyle w:val="24"/>
                  </w:pPr>
                  <w:r>
                    <w:rPr>
                      <w:rFonts w:hint="eastAsia"/>
                    </w:rPr>
                    <w:t>5</w:t>
                  </w:r>
                </w:p>
              </w:tc>
              <w:tc>
                <w:tcPr>
                  <w:tcW w:w="340" w:type="dxa"/>
                  <w:vMerge w:val="continue"/>
                  <w:vAlign w:val="center"/>
                </w:tcPr>
                <w:p w14:paraId="70DDCBE7">
                  <w:pPr>
                    <w:pStyle w:val="24"/>
                  </w:pPr>
                </w:p>
              </w:tc>
              <w:tc>
                <w:tcPr>
                  <w:tcW w:w="340" w:type="dxa"/>
                  <w:vAlign w:val="center"/>
                </w:tcPr>
                <w:p w14:paraId="07E449F1">
                  <w:pPr>
                    <w:pStyle w:val="24"/>
                  </w:pPr>
                  <w:r>
                    <w:rPr>
                      <w:rFonts w:hint="eastAsia"/>
                    </w:rPr>
                    <w:t>车轮动平衡机</w:t>
                  </w:r>
                </w:p>
              </w:tc>
              <w:tc>
                <w:tcPr>
                  <w:tcW w:w="340" w:type="dxa"/>
                  <w:vAlign w:val="center"/>
                </w:tcPr>
                <w:p w14:paraId="5BF5611D">
                  <w:pPr>
                    <w:pStyle w:val="24"/>
                  </w:pPr>
                  <w:r>
                    <w:rPr>
                      <w:rFonts w:hint="eastAsia"/>
                    </w:rPr>
                    <w:t>台</w:t>
                  </w:r>
                </w:p>
              </w:tc>
              <w:tc>
                <w:tcPr>
                  <w:tcW w:w="340" w:type="dxa"/>
                  <w:vAlign w:val="center"/>
                </w:tcPr>
                <w:p w14:paraId="6F9B8912">
                  <w:pPr>
                    <w:pStyle w:val="24"/>
                  </w:pPr>
                  <w:r>
                    <w:rPr>
                      <w:rFonts w:hint="eastAsia"/>
                    </w:rPr>
                    <w:t>2</w:t>
                  </w:r>
                </w:p>
              </w:tc>
              <w:tc>
                <w:tcPr>
                  <w:tcW w:w="340" w:type="dxa"/>
                  <w:vAlign w:val="center"/>
                </w:tcPr>
                <w:p w14:paraId="3CE67B30">
                  <w:pPr>
                    <w:pStyle w:val="24"/>
                  </w:pPr>
                </w:p>
              </w:tc>
            </w:tr>
            <w:tr w14:paraId="6D19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2A9BBDE5">
                  <w:pPr>
                    <w:pStyle w:val="24"/>
                  </w:pPr>
                  <w:r>
                    <w:rPr>
                      <w:rFonts w:hint="eastAsia"/>
                    </w:rPr>
                    <w:t>6</w:t>
                  </w:r>
                </w:p>
              </w:tc>
              <w:tc>
                <w:tcPr>
                  <w:tcW w:w="340" w:type="dxa"/>
                  <w:vMerge w:val="continue"/>
                  <w:vAlign w:val="center"/>
                </w:tcPr>
                <w:p w14:paraId="33D0D588">
                  <w:pPr>
                    <w:pStyle w:val="24"/>
                  </w:pPr>
                </w:p>
              </w:tc>
              <w:tc>
                <w:tcPr>
                  <w:tcW w:w="340" w:type="dxa"/>
                  <w:vAlign w:val="center"/>
                </w:tcPr>
                <w:p w14:paraId="6D9C85FD">
                  <w:pPr>
                    <w:pStyle w:val="24"/>
                  </w:pPr>
                  <w:r>
                    <w:t>二氧化碳保护焊机</w:t>
                  </w:r>
                </w:p>
              </w:tc>
              <w:tc>
                <w:tcPr>
                  <w:tcW w:w="340" w:type="dxa"/>
                  <w:vAlign w:val="center"/>
                </w:tcPr>
                <w:p w14:paraId="28CD34F8">
                  <w:pPr>
                    <w:pStyle w:val="24"/>
                  </w:pPr>
                  <w:r>
                    <w:rPr>
                      <w:rFonts w:hint="eastAsia"/>
                    </w:rPr>
                    <w:t>台</w:t>
                  </w:r>
                </w:p>
              </w:tc>
              <w:tc>
                <w:tcPr>
                  <w:tcW w:w="340" w:type="dxa"/>
                  <w:vAlign w:val="center"/>
                </w:tcPr>
                <w:p w14:paraId="6375E3E3">
                  <w:pPr>
                    <w:pStyle w:val="24"/>
                  </w:pPr>
                  <w:r>
                    <w:rPr>
                      <w:rFonts w:hint="eastAsia"/>
                    </w:rPr>
                    <w:t>2</w:t>
                  </w:r>
                </w:p>
              </w:tc>
              <w:tc>
                <w:tcPr>
                  <w:tcW w:w="340" w:type="dxa"/>
                  <w:vAlign w:val="center"/>
                </w:tcPr>
                <w:p w14:paraId="3CB4547B">
                  <w:pPr>
                    <w:pStyle w:val="24"/>
                  </w:pPr>
                </w:p>
              </w:tc>
            </w:tr>
            <w:tr w14:paraId="625A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10919052">
                  <w:pPr>
                    <w:pStyle w:val="24"/>
                  </w:pPr>
                  <w:r>
                    <w:rPr>
                      <w:rFonts w:hint="eastAsia"/>
                    </w:rPr>
                    <w:t>7</w:t>
                  </w:r>
                </w:p>
              </w:tc>
              <w:tc>
                <w:tcPr>
                  <w:tcW w:w="340" w:type="dxa"/>
                  <w:vMerge w:val="continue"/>
                  <w:vAlign w:val="center"/>
                </w:tcPr>
                <w:p w14:paraId="3B5A640B">
                  <w:pPr>
                    <w:pStyle w:val="24"/>
                  </w:pPr>
                </w:p>
              </w:tc>
              <w:tc>
                <w:tcPr>
                  <w:tcW w:w="340" w:type="dxa"/>
                  <w:vAlign w:val="center"/>
                </w:tcPr>
                <w:p w14:paraId="15BCD410">
                  <w:pPr>
                    <w:pStyle w:val="24"/>
                  </w:pPr>
                  <w:r>
                    <w:rPr>
                      <w:rFonts w:hint="eastAsia"/>
                    </w:rPr>
                    <w:t>拆胎机</w:t>
                  </w:r>
                </w:p>
              </w:tc>
              <w:tc>
                <w:tcPr>
                  <w:tcW w:w="340" w:type="dxa"/>
                  <w:vAlign w:val="center"/>
                </w:tcPr>
                <w:p w14:paraId="08202A08">
                  <w:pPr>
                    <w:pStyle w:val="24"/>
                  </w:pPr>
                  <w:r>
                    <w:rPr>
                      <w:rFonts w:hint="eastAsia"/>
                    </w:rPr>
                    <w:t>台</w:t>
                  </w:r>
                </w:p>
              </w:tc>
              <w:tc>
                <w:tcPr>
                  <w:tcW w:w="340" w:type="dxa"/>
                  <w:vAlign w:val="center"/>
                </w:tcPr>
                <w:p w14:paraId="54F91B91">
                  <w:pPr>
                    <w:pStyle w:val="24"/>
                  </w:pPr>
                  <w:r>
                    <w:rPr>
                      <w:rFonts w:hint="eastAsia"/>
                    </w:rPr>
                    <w:t>1</w:t>
                  </w:r>
                </w:p>
              </w:tc>
              <w:tc>
                <w:tcPr>
                  <w:tcW w:w="340" w:type="dxa"/>
                  <w:vAlign w:val="center"/>
                </w:tcPr>
                <w:p w14:paraId="73A37F63">
                  <w:pPr>
                    <w:pStyle w:val="24"/>
                  </w:pPr>
                </w:p>
              </w:tc>
            </w:tr>
            <w:tr w14:paraId="75CF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536402FD">
                  <w:pPr>
                    <w:pStyle w:val="24"/>
                  </w:pPr>
                  <w:r>
                    <w:rPr>
                      <w:rFonts w:hint="eastAsia"/>
                    </w:rPr>
                    <w:t>8</w:t>
                  </w:r>
                </w:p>
              </w:tc>
              <w:tc>
                <w:tcPr>
                  <w:tcW w:w="340" w:type="dxa"/>
                  <w:vMerge w:val="continue"/>
                  <w:vAlign w:val="center"/>
                </w:tcPr>
                <w:p w14:paraId="3ED39859">
                  <w:pPr>
                    <w:pStyle w:val="24"/>
                  </w:pPr>
                </w:p>
              </w:tc>
              <w:tc>
                <w:tcPr>
                  <w:tcW w:w="340" w:type="dxa"/>
                  <w:vAlign w:val="center"/>
                </w:tcPr>
                <w:p w14:paraId="56887283">
                  <w:pPr>
                    <w:pStyle w:val="24"/>
                  </w:pPr>
                  <w:r>
                    <w:rPr>
                      <w:rFonts w:hint="eastAsia"/>
                    </w:rPr>
                    <w:t>举升机</w:t>
                  </w:r>
                </w:p>
              </w:tc>
              <w:tc>
                <w:tcPr>
                  <w:tcW w:w="340" w:type="dxa"/>
                  <w:vAlign w:val="center"/>
                </w:tcPr>
                <w:p w14:paraId="4B9DDFCF">
                  <w:pPr>
                    <w:pStyle w:val="24"/>
                  </w:pPr>
                  <w:r>
                    <w:rPr>
                      <w:rFonts w:hint="eastAsia"/>
                    </w:rPr>
                    <w:t>台</w:t>
                  </w:r>
                </w:p>
              </w:tc>
              <w:tc>
                <w:tcPr>
                  <w:tcW w:w="340" w:type="dxa"/>
                  <w:vAlign w:val="center"/>
                </w:tcPr>
                <w:p w14:paraId="029FE856">
                  <w:pPr>
                    <w:pStyle w:val="24"/>
                  </w:pPr>
                  <w:r>
                    <w:rPr>
                      <w:rFonts w:hint="eastAsia"/>
                    </w:rPr>
                    <w:t>2</w:t>
                  </w:r>
                </w:p>
              </w:tc>
              <w:tc>
                <w:tcPr>
                  <w:tcW w:w="340" w:type="dxa"/>
                  <w:vAlign w:val="center"/>
                </w:tcPr>
                <w:p w14:paraId="4BA0E071">
                  <w:pPr>
                    <w:pStyle w:val="24"/>
                  </w:pPr>
                </w:p>
              </w:tc>
            </w:tr>
            <w:tr w14:paraId="0954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272CDDD5">
                  <w:pPr>
                    <w:pStyle w:val="24"/>
                  </w:pPr>
                  <w:r>
                    <w:rPr>
                      <w:rFonts w:hint="eastAsia"/>
                    </w:rPr>
                    <w:t>9</w:t>
                  </w:r>
                </w:p>
              </w:tc>
              <w:tc>
                <w:tcPr>
                  <w:tcW w:w="340" w:type="dxa"/>
                  <w:vMerge w:val="continue"/>
                  <w:vAlign w:val="center"/>
                </w:tcPr>
                <w:p w14:paraId="7F47023A">
                  <w:pPr>
                    <w:pStyle w:val="24"/>
                  </w:pPr>
                </w:p>
              </w:tc>
              <w:tc>
                <w:tcPr>
                  <w:tcW w:w="340" w:type="dxa"/>
                  <w:vAlign w:val="center"/>
                </w:tcPr>
                <w:p w14:paraId="622D60B5">
                  <w:pPr>
                    <w:pStyle w:val="24"/>
                  </w:pPr>
                  <w:r>
                    <w:rPr>
                      <w:rFonts w:hint="eastAsia"/>
                    </w:rPr>
                    <w:t>手电钻</w:t>
                  </w:r>
                </w:p>
              </w:tc>
              <w:tc>
                <w:tcPr>
                  <w:tcW w:w="340" w:type="dxa"/>
                  <w:vAlign w:val="center"/>
                </w:tcPr>
                <w:p w14:paraId="01E3E07E">
                  <w:pPr>
                    <w:pStyle w:val="24"/>
                  </w:pPr>
                  <w:r>
                    <w:rPr>
                      <w:rFonts w:hint="eastAsia"/>
                    </w:rPr>
                    <w:t>台</w:t>
                  </w:r>
                </w:p>
              </w:tc>
              <w:tc>
                <w:tcPr>
                  <w:tcW w:w="340" w:type="dxa"/>
                  <w:vAlign w:val="center"/>
                </w:tcPr>
                <w:p w14:paraId="1E27E1FF">
                  <w:pPr>
                    <w:pStyle w:val="24"/>
                  </w:pPr>
                  <w:r>
                    <w:rPr>
                      <w:rFonts w:hint="eastAsia"/>
                    </w:rPr>
                    <w:t>3</w:t>
                  </w:r>
                </w:p>
              </w:tc>
              <w:tc>
                <w:tcPr>
                  <w:tcW w:w="340" w:type="dxa"/>
                  <w:vAlign w:val="center"/>
                </w:tcPr>
                <w:p w14:paraId="7B15AB28">
                  <w:pPr>
                    <w:pStyle w:val="24"/>
                  </w:pPr>
                </w:p>
              </w:tc>
            </w:tr>
            <w:tr w14:paraId="6779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7C24FA1C">
                  <w:pPr>
                    <w:pStyle w:val="24"/>
                  </w:pPr>
                  <w:r>
                    <w:rPr>
                      <w:rFonts w:hint="eastAsia"/>
                    </w:rPr>
                    <w:t>10</w:t>
                  </w:r>
                </w:p>
              </w:tc>
              <w:tc>
                <w:tcPr>
                  <w:tcW w:w="340" w:type="dxa"/>
                  <w:vMerge w:val="continue"/>
                  <w:vAlign w:val="center"/>
                </w:tcPr>
                <w:p w14:paraId="319BEE6C">
                  <w:pPr>
                    <w:pStyle w:val="24"/>
                  </w:pPr>
                </w:p>
              </w:tc>
              <w:tc>
                <w:tcPr>
                  <w:tcW w:w="340" w:type="dxa"/>
                  <w:vAlign w:val="center"/>
                </w:tcPr>
                <w:p w14:paraId="46166E97">
                  <w:pPr>
                    <w:pStyle w:val="24"/>
                  </w:pPr>
                  <w:r>
                    <w:rPr>
                      <w:rFonts w:hint="eastAsia"/>
                    </w:rPr>
                    <w:t>冲击钻</w:t>
                  </w:r>
                </w:p>
              </w:tc>
              <w:tc>
                <w:tcPr>
                  <w:tcW w:w="340" w:type="dxa"/>
                  <w:vAlign w:val="center"/>
                </w:tcPr>
                <w:p w14:paraId="659D6A06">
                  <w:pPr>
                    <w:pStyle w:val="24"/>
                  </w:pPr>
                  <w:r>
                    <w:rPr>
                      <w:rFonts w:hint="eastAsia"/>
                    </w:rPr>
                    <w:t>台</w:t>
                  </w:r>
                </w:p>
              </w:tc>
              <w:tc>
                <w:tcPr>
                  <w:tcW w:w="340" w:type="dxa"/>
                  <w:vAlign w:val="center"/>
                </w:tcPr>
                <w:p w14:paraId="62F959D8">
                  <w:pPr>
                    <w:pStyle w:val="24"/>
                  </w:pPr>
                  <w:r>
                    <w:rPr>
                      <w:rFonts w:hint="eastAsia"/>
                    </w:rPr>
                    <w:t>3</w:t>
                  </w:r>
                </w:p>
              </w:tc>
              <w:tc>
                <w:tcPr>
                  <w:tcW w:w="340" w:type="dxa"/>
                  <w:vAlign w:val="center"/>
                </w:tcPr>
                <w:p w14:paraId="12F8A25E">
                  <w:pPr>
                    <w:pStyle w:val="24"/>
                  </w:pPr>
                </w:p>
              </w:tc>
            </w:tr>
            <w:tr w14:paraId="0305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3F8A0E2E">
                  <w:pPr>
                    <w:pStyle w:val="24"/>
                  </w:pPr>
                  <w:r>
                    <w:rPr>
                      <w:rFonts w:hint="eastAsia"/>
                    </w:rPr>
                    <w:t>11</w:t>
                  </w:r>
                </w:p>
              </w:tc>
              <w:tc>
                <w:tcPr>
                  <w:tcW w:w="340" w:type="dxa"/>
                  <w:vMerge w:val="continue"/>
                  <w:vAlign w:val="center"/>
                </w:tcPr>
                <w:p w14:paraId="2E4EBF1F">
                  <w:pPr>
                    <w:pStyle w:val="24"/>
                  </w:pPr>
                </w:p>
              </w:tc>
              <w:tc>
                <w:tcPr>
                  <w:tcW w:w="340" w:type="dxa"/>
                  <w:vAlign w:val="center"/>
                </w:tcPr>
                <w:p w14:paraId="1E06DBE2">
                  <w:pPr>
                    <w:pStyle w:val="24"/>
                  </w:pPr>
                  <w:r>
                    <w:rPr>
                      <w:rFonts w:hint="eastAsia"/>
                    </w:rPr>
                    <w:t>砂轮机</w:t>
                  </w:r>
                </w:p>
              </w:tc>
              <w:tc>
                <w:tcPr>
                  <w:tcW w:w="340" w:type="dxa"/>
                  <w:vAlign w:val="center"/>
                </w:tcPr>
                <w:p w14:paraId="082E3BDB">
                  <w:pPr>
                    <w:pStyle w:val="24"/>
                  </w:pPr>
                  <w:r>
                    <w:rPr>
                      <w:rFonts w:hint="eastAsia"/>
                    </w:rPr>
                    <w:t>台</w:t>
                  </w:r>
                </w:p>
              </w:tc>
              <w:tc>
                <w:tcPr>
                  <w:tcW w:w="340" w:type="dxa"/>
                  <w:vAlign w:val="center"/>
                </w:tcPr>
                <w:p w14:paraId="70BAF05C">
                  <w:pPr>
                    <w:pStyle w:val="24"/>
                  </w:pPr>
                  <w:r>
                    <w:rPr>
                      <w:rFonts w:hint="eastAsia"/>
                    </w:rPr>
                    <w:t>2</w:t>
                  </w:r>
                </w:p>
              </w:tc>
              <w:tc>
                <w:tcPr>
                  <w:tcW w:w="340" w:type="dxa"/>
                  <w:vAlign w:val="center"/>
                </w:tcPr>
                <w:p w14:paraId="4EA3F547">
                  <w:pPr>
                    <w:pStyle w:val="24"/>
                  </w:pPr>
                </w:p>
              </w:tc>
            </w:tr>
            <w:tr w14:paraId="4D3E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064D8DB7">
                  <w:pPr>
                    <w:pStyle w:val="24"/>
                  </w:pPr>
                  <w:r>
                    <w:rPr>
                      <w:rFonts w:hint="eastAsia"/>
                    </w:rPr>
                    <w:t>12</w:t>
                  </w:r>
                </w:p>
              </w:tc>
              <w:tc>
                <w:tcPr>
                  <w:tcW w:w="340" w:type="dxa"/>
                  <w:vMerge w:val="continue"/>
                  <w:vAlign w:val="center"/>
                </w:tcPr>
                <w:p w14:paraId="684259DB">
                  <w:pPr>
                    <w:pStyle w:val="24"/>
                  </w:pPr>
                </w:p>
              </w:tc>
              <w:tc>
                <w:tcPr>
                  <w:tcW w:w="340" w:type="dxa"/>
                  <w:vAlign w:val="center"/>
                </w:tcPr>
                <w:p w14:paraId="547E161E">
                  <w:pPr>
                    <w:pStyle w:val="24"/>
                  </w:pPr>
                  <w:r>
                    <w:rPr>
                      <w:rFonts w:hint="eastAsia"/>
                    </w:rPr>
                    <w:t>千斤顶</w:t>
                  </w:r>
                </w:p>
              </w:tc>
              <w:tc>
                <w:tcPr>
                  <w:tcW w:w="340" w:type="dxa"/>
                  <w:vAlign w:val="center"/>
                </w:tcPr>
                <w:p w14:paraId="04235937">
                  <w:pPr>
                    <w:pStyle w:val="24"/>
                  </w:pPr>
                  <w:r>
                    <w:rPr>
                      <w:rFonts w:hint="eastAsia"/>
                    </w:rPr>
                    <w:t>台</w:t>
                  </w:r>
                </w:p>
              </w:tc>
              <w:tc>
                <w:tcPr>
                  <w:tcW w:w="340" w:type="dxa"/>
                  <w:vAlign w:val="center"/>
                </w:tcPr>
                <w:p w14:paraId="5B223E10">
                  <w:pPr>
                    <w:pStyle w:val="24"/>
                  </w:pPr>
                  <w:r>
                    <w:rPr>
                      <w:rFonts w:hint="eastAsia"/>
                    </w:rPr>
                    <w:t>4</w:t>
                  </w:r>
                </w:p>
              </w:tc>
              <w:tc>
                <w:tcPr>
                  <w:tcW w:w="340" w:type="dxa"/>
                  <w:vAlign w:val="center"/>
                </w:tcPr>
                <w:p w14:paraId="4BB3D6A9">
                  <w:pPr>
                    <w:pStyle w:val="24"/>
                  </w:pPr>
                </w:p>
              </w:tc>
            </w:tr>
            <w:tr w14:paraId="3B1E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01EFED2E">
                  <w:pPr>
                    <w:pStyle w:val="24"/>
                  </w:pPr>
                  <w:r>
                    <w:rPr>
                      <w:rFonts w:hint="eastAsia"/>
                    </w:rPr>
                    <w:t>13</w:t>
                  </w:r>
                </w:p>
              </w:tc>
              <w:tc>
                <w:tcPr>
                  <w:tcW w:w="340" w:type="dxa"/>
                  <w:vMerge w:val="continue"/>
                  <w:vAlign w:val="center"/>
                </w:tcPr>
                <w:p w14:paraId="6C6AADE3">
                  <w:pPr>
                    <w:pStyle w:val="24"/>
                  </w:pPr>
                </w:p>
              </w:tc>
              <w:tc>
                <w:tcPr>
                  <w:tcW w:w="340" w:type="dxa"/>
                  <w:vAlign w:val="center"/>
                </w:tcPr>
                <w:p w14:paraId="539DD5CD">
                  <w:pPr>
                    <w:pStyle w:val="24"/>
                  </w:pPr>
                  <w:r>
                    <w:rPr>
                      <w:rFonts w:hint="eastAsia"/>
                    </w:rPr>
                    <w:t>电动扳手</w:t>
                  </w:r>
                </w:p>
              </w:tc>
              <w:tc>
                <w:tcPr>
                  <w:tcW w:w="340" w:type="dxa"/>
                  <w:vAlign w:val="center"/>
                </w:tcPr>
                <w:p w14:paraId="691FFF73">
                  <w:pPr>
                    <w:pStyle w:val="24"/>
                  </w:pPr>
                  <w:r>
                    <w:rPr>
                      <w:rFonts w:hint="eastAsia"/>
                    </w:rPr>
                    <w:t>台</w:t>
                  </w:r>
                </w:p>
              </w:tc>
              <w:tc>
                <w:tcPr>
                  <w:tcW w:w="340" w:type="dxa"/>
                  <w:vAlign w:val="center"/>
                </w:tcPr>
                <w:p w14:paraId="0B97C0C9">
                  <w:pPr>
                    <w:pStyle w:val="24"/>
                  </w:pPr>
                  <w:r>
                    <w:rPr>
                      <w:rFonts w:hint="eastAsia"/>
                    </w:rPr>
                    <w:t>6</w:t>
                  </w:r>
                </w:p>
              </w:tc>
              <w:tc>
                <w:tcPr>
                  <w:tcW w:w="340" w:type="dxa"/>
                  <w:vAlign w:val="center"/>
                </w:tcPr>
                <w:p w14:paraId="57CBA8F9">
                  <w:pPr>
                    <w:pStyle w:val="24"/>
                  </w:pPr>
                </w:p>
              </w:tc>
            </w:tr>
            <w:tr w14:paraId="213E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12176CCA">
                  <w:pPr>
                    <w:pStyle w:val="24"/>
                  </w:pPr>
                  <w:r>
                    <w:rPr>
                      <w:rFonts w:hint="eastAsia"/>
                    </w:rPr>
                    <w:t>14</w:t>
                  </w:r>
                </w:p>
              </w:tc>
              <w:tc>
                <w:tcPr>
                  <w:tcW w:w="340" w:type="dxa"/>
                  <w:vMerge w:val="continue"/>
                  <w:vAlign w:val="center"/>
                </w:tcPr>
                <w:p w14:paraId="27B54CEA">
                  <w:pPr>
                    <w:pStyle w:val="24"/>
                  </w:pPr>
                </w:p>
              </w:tc>
              <w:tc>
                <w:tcPr>
                  <w:tcW w:w="340" w:type="dxa"/>
                  <w:vAlign w:val="center"/>
                </w:tcPr>
                <w:p w14:paraId="71546414">
                  <w:pPr>
                    <w:pStyle w:val="24"/>
                  </w:pPr>
                  <w:r>
                    <w:rPr>
                      <w:rFonts w:hint="eastAsia"/>
                    </w:rPr>
                    <w:t>角磨机</w:t>
                  </w:r>
                </w:p>
              </w:tc>
              <w:tc>
                <w:tcPr>
                  <w:tcW w:w="340" w:type="dxa"/>
                  <w:vAlign w:val="center"/>
                </w:tcPr>
                <w:p w14:paraId="4D904083">
                  <w:pPr>
                    <w:pStyle w:val="24"/>
                  </w:pPr>
                  <w:r>
                    <w:rPr>
                      <w:rFonts w:hint="eastAsia"/>
                    </w:rPr>
                    <w:t>台</w:t>
                  </w:r>
                </w:p>
              </w:tc>
              <w:tc>
                <w:tcPr>
                  <w:tcW w:w="340" w:type="dxa"/>
                  <w:vAlign w:val="center"/>
                </w:tcPr>
                <w:p w14:paraId="3207B523">
                  <w:pPr>
                    <w:pStyle w:val="24"/>
                  </w:pPr>
                  <w:r>
                    <w:rPr>
                      <w:rFonts w:hint="eastAsia"/>
                    </w:rPr>
                    <w:t>2</w:t>
                  </w:r>
                </w:p>
              </w:tc>
              <w:tc>
                <w:tcPr>
                  <w:tcW w:w="340" w:type="dxa"/>
                  <w:vAlign w:val="center"/>
                </w:tcPr>
                <w:p w14:paraId="6CBCC77E">
                  <w:pPr>
                    <w:pStyle w:val="24"/>
                  </w:pPr>
                </w:p>
              </w:tc>
            </w:tr>
            <w:tr w14:paraId="0860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696183CA">
                  <w:pPr>
                    <w:pStyle w:val="24"/>
                  </w:pPr>
                  <w:r>
                    <w:rPr>
                      <w:rFonts w:hint="eastAsia"/>
                    </w:rPr>
                    <w:t>15</w:t>
                  </w:r>
                </w:p>
              </w:tc>
              <w:tc>
                <w:tcPr>
                  <w:tcW w:w="340" w:type="dxa"/>
                  <w:vMerge w:val="continue"/>
                  <w:vAlign w:val="center"/>
                </w:tcPr>
                <w:p w14:paraId="5D09CA60">
                  <w:pPr>
                    <w:pStyle w:val="24"/>
                  </w:pPr>
                </w:p>
              </w:tc>
              <w:tc>
                <w:tcPr>
                  <w:tcW w:w="340" w:type="dxa"/>
                  <w:vAlign w:val="center"/>
                </w:tcPr>
                <w:p w14:paraId="5BA5B797">
                  <w:pPr>
                    <w:pStyle w:val="24"/>
                  </w:pPr>
                  <w:r>
                    <w:rPr>
                      <w:rFonts w:hint="eastAsia"/>
                    </w:rPr>
                    <w:t>吸尘器</w:t>
                  </w:r>
                </w:p>
              </w:tc>
              <w:tc>
                <w:tcPr>
                  <w:tcW w:w="340" w:type="dxa"/>
                  <w:vAlign w:val="center"/>
                </w:tcPr>
                <w:p w14:paraId="7F80F936">
                  <w:pPr>
                    <w:pStyle w:val="24"/>
                  </w:pPr>
                  <w:r>
                    <w:rPr>
                      <w:rFonts w:hint="eastAsia"/>
                    </w:rPr>
                    <w:t>台</w:t>
                  </w:r>
                </w:p>
              </w:tc>
              <w:tc>
                <w:tcPr>
                  <w:tcW w:w="340" w:type="dxa"/>
                  <w:vAlign w:val="center"/>
                </w:tcPr>
                <w:p w14:paraId="11E59943">
                  <w:pPr>
                    <w:pStyle w:val="24"/>
                  </w:pPr>
                  <w:r>
                    <w:rPr>
                      <w:rFonts w:hint="eastAsia"/>
                    </w:rPr>
                    <w:t>3</w:t>
                  </w:r>
                </w:p>
              </w:tc>
              <w:tc>
                <w:tcPr>
                  <w:tcW w:w="340" w:type="dxa"/>
                  <w:vAlign w:val="center"/>
                </w:tcPr>
                <w:p w14:paraId="30355092">
                  <w:pPr>
                    <w:pStyle w:val="24"/>
                  </w:pPr>
                </w:p>
              </w:tc>
            </w:tr>
            <w:tr w14:paraId="367C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shd w:val="clear" w:color="auto" w:fill="auto"/>
                  <w:vAlign w:val="center"/>
                </w:tcPr>
                <w:p w14:paraId="00857741">
                  <w:pPr>
                    <w:pStyle w:val="24"/>
                  </w:pPr>
                  <w:r>
                    <w:rPr>
                      <w:rFonts w:hint="eastAsia"/>
                    </w:rPr>
                    <w:t>16</w:t>
                  </w:r>
                </w:p>
              </w:tc>
              <w:tc>
                <w:tcPr>
                  <w:tcW w:w="340" w:type="dxa"/>
                  <w:vMerge w:val="continue"/>
                  <w:vAlign w:val="center"/>
                </w:tcPr>
                <w:p w14:paraId="1B3CBB9A">
                  <w:pPr>
                    <w:pStyle w:val="24"/>
                  </w:pPr>
                </w:p>
              </w:tc>
              <w:tc>
                <w:tcPr>
                  <w:tcW w:w="340" w:type="dxa"/>
                  <w:vAlign w:val="center"/>
                </w:tcPr>
                <w:p w14:paraId="03F5C543">
                  <w:pPr>
                    <w:pStyle w:val="24"/>
                  </w:pPr>
                  <w:r>
                    <w:rPr>
                      <w:rFonts w:hint="eastAsia"/>
                    </w:rPr>
                    <w:t>高压清洗机</w:t>
                  </w:r>
                </w:p>
              </w:tc>
              <w:tc>
                <w:tcPr>
                  <w:tcW w:w="340" w:type="dxa"/>
                  <w:vAlign w:val="center"/>
                </w:tcPr>
                <w:p w14:paraId="069D50CE">
                  <w:pPr>
                    <w:pStyle w:val="24"/>
                  </w:pPr>
                  <w:r>
                    <w:rPr>
                      <w:rFonts w:hint="eastAsia"/>
                    </w:rPr>
                    <w:t>台</w:t>
                  </w:r>
                </w:p>
              </w:tc>
              <w:tc>
                <w:tcPr>
                  <w:tcW w:w="340" w:type="dxa"/>
                  <w:vAlign w:val="center"/>
                </w:tcPr>
                <w:p w14:paraId="5C31A62B">
                  <w:pPr>
                    <w:pStyle w:val="24"/>
                  </w:pPr>
                  <w:r>
                    <w:rPr>
                      <w:rFonts w:hint="eastAsia"/>
                    </w:rPr>
                    <w:t>3</w:t>
                  </w:r>
                </w:p>
              </w:tc>
              <w:tc>
                <w:tcPr>
                  <w:tcW w:w="340" w:type="dxa"/>
                  <w:vAlign w:val="center"/>
                </w:tcPr>
                <w:p w14:paraId="77C0B212">
                  <w:pPr>
                    <w:pStyle w:val="24"/>
                  </w:pPr>
                  <w:r>
                    <w:rPr>
                      <w:rFonts w:hint="eastAsia"/>
                    </w:rPr>
                    <w:t>（2用1备）</w:t>
                  </w:r>
                </w:p>
              </w:tc>
            </w:tr>
          </w:tbl>
          <w:p w14:paraId="5BBC99AB">
            <w:pPr>
              <w:overflowPunct w:val="0"/>
              <w:autoSpaceDE w:val="0"/>
              <w:autoSpaceDN w:val="0"/>
              <w:ind w:firstLine="480" w:firstLineChars="200"/>
            </w:pPr>
            <w:bookmarkStart w:id="18" w:name="OLE_LINK24"/>
            <w:r>
              <w:rPr>
                <w:rFonts w:hint="eastAsia"/>
              </w:rPr>
              <w:t>2.6主要原辅材料</w:t>
            </w:r>
          </w:p>
          <w:p w14:paraId="6D602091">
            <w:pPr>
              <w:overflowPunct w:val="0"/>
              <w:autoSpaceDE w:val="0"/>
              <w:autoSpaceDN w:val="0"/>
              <w:ind w:firstLine="480" w:firstLineChars="200"/>
            </w:pPr>
            <w:r>
              <w:rPr>
                <w:rFonts w:hint="eastAsia"/>
              </w:rPr>
              <w:t>本项目主要原辅材料及能源消耗情况见下表。</w:t>
            </w:r>
          </w:p>
          <w:p w14:paraId="1BCE46A6">
            <w:pPr>
              <w:pStyle w:val="6"/>
              <w:overflowPunct w:val="0"/>
              <w:autoSpaceDE w:val="0"/>
              <w:autoSpaceDN w:val="0"/>
            </w:pPr>
            <w:r>
              <w:t xml:space="preserve">表 </w:t>
            </w:r>
            <w:r>
              <w:rPr>
                <w:rFonts w:hint="eastAsia"/>
              </w:rPr>
              <w:t>2-</w:t>
            </w:r>
            <w:r>
              <w:fldChar w:fldCharType="begin"/>
            </w:r>
            <w:r>
              <w:instrText xml:space="preserve"> SEQ 表 \* ARABIC \s 1 </w:instrText>
            </w:r>
            <w:r>
              <w:fldChar w:fldCharType="separate"/>
            </w:r>
            <w:r>
              <w:t>9</w:t>
            </w:r>
            <w:r>
              <w:fldChar w:fldCharType="end"/>
            </w:r>
            <w:r>
              <w:rPr>
                <w:rFonts w:hint="eastAsia"/>
              </w:rPr>
              <w:t xml:space="preserve"> 项目主要原辅材料及能源消耗情况一览表</w:t>
            </w:r>
            <w:bookmarkEnd w:id="18"/>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568"/>
              <w:gridCol w:w="1309"/>
              <w:gridCol w:w="1186"/>
              <w:gridCol w:w="686"/>
              <w:gridCol w:w="686"/>
              <w:gridCol w:w="1031"/>
              <w:gridCol w:w="686"/>
            </w:tblGrid>
            <w:tr w14:paraId="6890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7" w:type="dxa"/>
                  <w:gridSpan w:val="8"/>
                  <w:vAlign w:val="center"/>
                </w:tcPr>
                <w:p w14:paraId="53791E67">
                  <w:pPr>
                    <w:pStyle w:val="24"/>
                    <w:overflowPunct w:val="0"/>
                    <w:autoSpaceDE w:val="0"/>
                    <w:autoSpaceDN w:val="0"/>
                    <w:jc w:val="both"/>
                  </w:pPr>
                  <w:r>
                    <w:rPr>
                      <w:rFonts w:hint="eastAsia"/>
                    </w:rPr>
                    <w:t>综合能源站</w:t>
                  </w:r>
                </w:p>
              </w:tc>
            </w:tr>
            <w:tr w14:paraId="7181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14:paraId="7F719D23">
                  <w:pPr>
                    <w:pStyle w:val="24"/>
                    <w:overflowPunct w:val="0"/>
                    <w:autoSpaceDE w:val="0"/>
                    <w:autoSpaceDN w:val="0"/>
                  </w:pPr>
                  <w:r>
                    <w:rPr>
                      <w:rFonts w:hint="eastAsia"/>
                    </w:rPr>
                    <w:t>序号</w:t>
                  </w:r>
                </w:p>
              </w:tc>
              <w:tc>
                <w:tcPr>
                  <w:tcW w:w="1552" w:type="dxa"/>
                  <w:vAlign w:val="center"/>
                </w:tcPr>
                <w:p w14:paraId="44A631F7">
                  <w:pPr>
                    <w:pStyle w:val="24"/>
                    <w:overflowPunct w:val="0"/>
                    <w:autoSpaceDE w:val="0"/>
                    <w:autoSpaceDN w:val="0"/>
                  </w:pPr>
                  <w:r>
                    <w:rPr>
                      <w:rFonts w:hint="eastAsia"/>
                    </w:rPr>
                    <w:t>名称</w:t>
                  </w:r>
                </w:p>
              </w:tc>
              <w:tc>
                <w:tcPr>
                  <w:tcW w:w="1296" w:type="dxa"/>
                  <w:vAlign w:val="center"/>
                </w:tcPr>
                <w:p w14:paraId="36D79A16">
                  <w:pPr>
                    <w:pStyle w:val="24"/>
                    <w:overflowPunct w:val="0"/>
                    <w:autoSpaceDE w:val="0"/>
                    <w:autoSpaceDN w:val="0"/>
                  </w:pPr>
                  <w:r>
                    <w:rPr>
                      <w:rFonts w:hint="eastAsia"/>
                    </w:rPr>
                    <w:t>年周转量</w:t>
                  </w:r>
                </w:p>
              </w:tc>
              <w:tc>
                <w:tcPr>
                  <w:tcW w:w="1174" w:type="dxa"/>
                  <w:vAlign w:val="center"/>
                </w:tcPr>
                <w:p w14:paraId="083F112B">
                  <w:pPr>
                    <w:pStyle w:val="24"/>
                    <w:overflowPunct w:val="0"/>
                    <w:autoSpaceDE w:val="0"/>
                    <w:autoSpaceDN w:val="0"/>
                  </w:pPr>
                  <w:r>
                    <w:rPr>
                      <w:rFonts w:hint="eastAsia"/>
                    </w:rPr>
                    <w:t>最大储存量</w:t>
                  </w:r>
                </w:p>
              </w:tc>
              <w:tc>
                <w:tcPr>
                  <w:tcW w:w="679" w:type="dxa"/>
                  <w:vAlign w:val="center"/>
                </w:tcPr>
                <w:p w14:paraId="7682438F">
                  <w:pPr>
                    <w:pStyle w:val="24"/>
                    <w:overflowPunct w:val="0"/>
                    <w:autoSpaceDE w:val="0"/>
                    <w:autoSpaceDN w:val="0"/>
                  </w:pPr>
                  <w:r>
                    <w:rPr>
                      <w:rFonts w:hint="eastAsia"/>
                    </w:rPr>
                    <w:t>状态</w:t>
                  </w:r>
                </w:p>
              </w:tc>
              <w:tc>
                <w:tcPr>
                  <w:tcW w:w="679" w:type="dxa"/>
                  <w:vAlign w:val="center"/>
                </w:tcPr>
                <w:p w14:paraId="7E66B3D7">
                  <w:pPr>
                    <w:pStyle w:val="24"/>
                    <w:overflowPunct w:val="0"/>
                    <w:autoSpaceDE w:val="0"/>
                    <w:autoSpaceDN w:val="0"/>
                  </w:pPr>
                  <w:r>
                    <w:rPr>
                      <w:rFonts w:hint="eastAsia"/>
                    </w:rPr>
                    <w:t>储存位置</w:t>
                  </w:r>
                </w:p>
              </w:tc>
              <w:tc>
                <w:tcPr>
                  <w:tcW w:w="1020" w:type="dxa"/>
                  <w:vAlign w:val="center"/>
                </w:tcPr>
                <w:p w14:paraId="450E38B7">
                  <w:pPr>
                    <w:pStyle w:val="24"/>
                    <w:overflowPunct w:val="0"/>
                    <w:autoSpaceDE w:val="0"/>
                    <w:autoSpaceDN w:val="0"/>
                  </w:pPr>
                  <w:r>
                    <w:rPr>
                      <w:rFonts w:hint="eastAsia"/>
                    </w:rPr>
                    <w:t>包装方式</w:t>
                  </w:r>
                </w:p>
              </w:tc>
              <w:tc>
                <w:tcPr>
                  <w:tcW w:w="679" w:type="dxa"/>
                  <w:vAlign w:val="center"/>
                </w:tcPr>
                <w:p w14:paraId="4DA296D3">
                  <w:pPr>
                    <w:pStyle w:val="24"/>
                    <w:overflowPunct w:val="0"/>
                    <w:autoSpaceDE w:val="0"/>
                    <w:autoSpaceDN w:val="0"/>
                  </w:pPr>
                  <w:r>
                    <w:rPr>
                      <w:rFonts w:hint="eastAsia"/>
                    </w:rPr>
                    <w:t>来源</w:t>
                  </w:r>
                </w:p>
              </w:tc>
            </w:tr>
            <w:tr w14:paraId="746A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14:paraId="7F120830">
                  <w:pPr>
                    <w:pStyle w:val="24"/>
                    <w:overflowPunct w:val="0"/>
                    <w:autoSpaceDE w:val="0"/>
                    <w:autoSpaceDN w:val="0"/>
                  </w:pPr>
                  <w:r>
                    <w:rPr>
                      <w:rFonts w:hint="eastAsia"/>
                    </w:rPr>
                    <w:t>1</w:t>
                  </w:r>
                </w:p>
              </w:tc>
              <w:tc>
                <w:tcPr>
                  <w:tcW w:w="1552" w:type="dxa"/>
                  <w:vAlign w:val="center"/>
                </w:tcPr>
                <w:p w14:paraId="71D10EFF">
                  <w:pPr>
                    <w:pStyle w:val="24"/>
                    <w:overflowPunct w:val="0"/>
                    <w:autoSpaceDE w:val="0"/>
                    <w:autoSpaceDN w:val="0"/>
                  </w:pPr>
                  <w:r>
                    <w:t>汽油（92#）</w:t>
                  </w:r>
                </w:p>
              </w:tc>
              <w:tc>
                <w:tcPr>
                  <w:tcW w:w="1296" w:type="dxa"/>
                  <w:vMerge w:val="restart"/>
                  <w:vAlign w:val="center"/>
                </w:tcPr>
                <w:p w14:paraId="7C394CB0">
                  <w:pPr>
                    <w:pStyle w:val="24"/>
                    <w:overflowPunct w:val="0"/>
                    <w:autoSpaceDE w:val="0"/>
                    <w:autoSpaceDN w:val="0"/>
                  </w:pPr>
                  <w:r>
                    <w:rPr>
                      <w:rFonts w:hint="eastAsia"/>
                    </w:rPr>
                    <w:t>1095t/a</w:t>
                  </w:r>
                </w:p>
              </w:tc>
              <w:tc>
                <w:tcPr>
                  <w:tcW w:w="1174" w:type="dxa"/>
                  <w:vMerge w:val="restart"/>
                  <w:vAlign w:val="center"/>
                </w:tcPr>
                <w:p w14:paraId="3D3FE61D">
                  <w:pPr>
                    <w:pStyle w:val="24"/>
                    <w:overflowPunct w:val="0"/>
                    <w:autoSpaceDE w:val="0"/>
                    <w:autoSpaceDN w:val="0"/>
                  </w:pPr>
                  <w:r>
                    <w:rPr>
                      <w:rFonts w:hint="eastAsia"/>
                    </w:rPr>
                    <w:t>60m</w:t>
                  </w:r>
                  <w:r>
                    <w:rPr>
                      <w:rFonts w:hint="eastAsia"/>
                      <w:vertAlign w:val="superscript"/>
                    </w:rPr>
                    <w:t>3</w:t>
                  </w:r>
                </w:p>
              </w:tc>
              <w:tc>
                <w:tcPr>
                  <w:tcW w:w="679" w:type="dxa"/>
                  <w:vMerge w:val="restart"/>
                  <w:vAlign w:val="center"/>
                </w:tcPr>
                <w:p w14:paraId="576BA8D8">
                  <w:pPr>
                    <w:pStyle w:val="24"/>
                    <w:overflowPunct w:val="0"/>
                    <w:autoSpaceDE w:val="0"/>
                    <w:autoSpaceDN w:val="0"/>
                  </w:pPr>
                  <w:r>
                    <w:rPr>
                      <w:rFonts w:hint="eastAsia"/>
                    </w:rPr>
                    <w:t>液态</w:t>
                  </w:r>
                </w:p>
              </w:tc>
              <w:tc>
                <w:tcPr>
                  <w:tcW w:w="679" w:type="dxa"/>
                  <w:vMerge w:val="restart"/>
                  <w:vAlign w:val="center"/>
                </w:tcPr>
                <w:p w14:paraId="58395D27">
                  <w:pPr>
                    <w:pStyle w:val="24"/>
                    <w:overflowPunct w:val="0"/>
                    <w:autoSpaceDE w:val="0"/>
                    <w:autoSpaceDN w:val="0"/>
                  </w:pPr>
                  <w:r>
                    <w:rPr>
                      <w:rFonts w:hint="eastAsia"/>
                    </w:rPr>
                    <w:t>地下</w:t>
                  </w:r>
                </w:p>
              </w:tc>
              <w:tc>
                <w:tcPr>
                  <w:tcW w:w="1020" w:type="dxa"/>
                  <w:vMerge w:val="restart"/>
                  <w:vAlign w:val="center"/>
                </w:tcPr>
                <w:p w14:paraId="2BB79695">
                  <w:pPr>
                    <w:pStyle w:val="24"/>
                    <w:overflowPunct w:val="0"/>
                    <w:autoSpaceDE w:val="0"/>
                    <w:autoSpaceDN w:val="0"/>
                  </w:pPr>
                  <w:r>
                    <w:rPr>
                      <w:rFonts w:hint="eastAsia"/>
                    </w:rPr>
                    <w:t>30m</w:t>
                  </w:r>
                  <w:r>
                    <w:rPr>
                      <w:rFonts w:hint="eastAsia"/>
                      <w:vertAlign w:val="superscript"/>
                    </w:rPr>
                    <w:t>3</w:t>
                  </w:r>
                  <w:r>
                    <w:rPr>
                      <w:rFonts w:hint="eastAsia"/>
                    </w:rPr>
                    <w:t>储罐</w:t>
                  </w:r>
                </w:p>
              </w:tc>
              <w:tc>
                <w:tcPr>
                  <w:tcW w:w="679" w:type="dxa"/>
                  <w:vMerge w:val="restart"/>
                  <w:vAlign w:val="center"/>
                </w:tcPr>
                <w:p w14:paraId="3D189DCF">
                  <w:pPr>
                    <w:pStyle w:val="24"/>
                    <w:overflowPunct w:val="0"/>
                    <w:autoSpaceDE w:val="0"/>
                    <w:autoSpaceDN w:val="0"/>
                  </w:pPr>
                  <w:r>
                    <w:rPr>
                      <w:rFonts w:hint="eastAsia"/>
                    </w:rPr>
                    <w:t>外购</w:t>
                  </w:r>
                </w:p>
              </w:tc>
            </w:tr>
            <w:tr w14:paraId="4955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14:paraId="41357D42">
                  <w:pPr>
                    <w:pStyle w:val="24"/>
                    <w:overflowPunct w:val="0"/>
                    <w:autoSpaceDE w:val="0"/>
                    <w:autoSpaceDN w:val="0"/>
                  </w:pPr>
                  <w:r>
                    <w:rPr>
                      <w:rFonts w:hint="eastAsia"/>
                    </w:rPr>
                    <w:t>2</w:t>
                  </w:r>
                </w:p>
              </w:tc>
              <w:tc>
                <w:tcPr>
                  <w:tcW w:w="1552" w:type="dxa"/>
                  <w:vAlign w:val="center"/>
                </w:tcPr>
                <w:p w14:paraId="3C13211F">
                  <w:pPr>
                    <w:pStyle w:val="24"/>
                    <w:overflowPunct w:val="0"/>
                    <w:autoSpaceDE w:val="0"/>
                    <w:autoSpaceDN w:val="0"/>
                  </w:pPr>
                  <w:r>
                    <w:t>汽油（95#）</w:t>
                  </w:r>
                </w:p>
              </w:tc>
              <w:tc>
                <w:tcPr>
                  <w:tcW w:w="1296" w:type="dxa"/>
                  <w:vMerge w:val="continue"/>
                  <w:vAlign w:val="center"/>
                </w:tcPr>
                <w:p w14:paraId="44EA7B6D">
                  <w:pPr>
                    <w:pStyle w:val="24"/>
                    <w:overflowPunct w:val="0"/>
                    <w:autoSpaceDE w:val="0"/>
                    <w:autoSpaceDN w:val="0"/>
                  </w:pPr>
                </w:p>
              </w:tc>
              <w:tc>
                <w:tcPr>
                  <w:tcW w:w="1174" w:type="dxa"/>
                  <w:vMerge w:val="continue"/>
                  <w:vAlign w:val="center"/>
                </w:tcPr>
                <w:p w14:paraId="728DE447">
                  <w:pPr>
                    <w:pStyle w:val="24"/>
                    <w:overflowPunct w:val="0"/>
                    <w:autoSpaceDE w:val="0"/>
                    <w:autoSpaceDN w:val="0"/>
                  </w:pPr>
                </w:p>
              </w:tc>
              <w:tc>
                <w:tcPr>
                  <w:tcW w:w="679" w:type="dxa"/>
                  <w:vMerge w:val="continue"/>
                  <w:vAlign w:val="center"/>
                </w:tcPr>
                <w:p w14:paraId="487B7646">
                  <w:pPr>
                    <w:pStyle w:val="24"/>
                    <w:overflowPunct w:val="0"/>
                    <w:autoSpaceDE w:val="0"/>
                    <w:autoSpaceDN w:val="0"/>
                  </w:pPr>
                </w:p>
              </w:tc>
              <w:tc>
                <w:tcPr>
                  <w:tcW w:w="679" w:type="dxa"/>
                  <w:vMerge w:val="continue"/>
                  <w:vAlign w:val="center"/>
                </w:tcPr>
                <w:p w14:paraId="43752648">
                  <w:pPr>
                    <w:pStyle w:val="24"/>
                    <w:overflowPunct w:val="0"/>
                    <w:autoSpaceDE w:val="0"/>
                    <w:autoSpaceDN w:val="0"/>
                  </w:pPr>
                </w:p>
              </w:tc>
              <w:tc>
                <w:tcPr>
                  <w:tcW w:w="1020" w:type="dxa"/>
                  <w:vMerge w:val="continue"/>
                  <w:vAlign w:val="center"/>
                </w:tcPr>
                <w:p w14:paraId="004A839C">
                  <w:pPr>
                    <w:pStyle w:val="24"/>
                    <w:overflowPunct w:val="0"/>
                    <w:autoSpaceDE w:val="0"/>
                    <w:autoSpaceDN w:val="0"/>
                  </w:pPr>
                </w:p>
              </w:tc>
              <w:tc>
                <w:tcPr>
                  <w:tcW w:w="679" w:type="dxa"/>
                  <w:vMerge w:val="continue"/>
                  <w:vAlign w:val="center"/>
                </w:tcPr>
                <w:p w14:paraId="45A796EB">
                  <w:pPr>
                    <w:pStyle w:val="24"/>
                    <w:overflowPunct w:val="0"/>
                    <w:autoSpaceDE w:val="0"/>
                    <w:autoSpaceDN w:val="0"/>
                  </w:pPr>
                </w:p>
              </w:tc>
            </w:tr>
            <w:tr w14:paraId="421B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14:paraId="70EB5B9D">
                  <w:pPr>
                    <w:pStyle w:val="24"/>
                    <w:overflowPunct w:val="0"/>
                    <w:autoSpaceDE w:val="0"/>
                    <w:autoSpaceDN w:val="0"/>
                  </w:pPr>
                  <w:r>
                    <w:rPr>
                      <w:rFonts w:hint="eastAsia"/>
                    </w:rPr>
                    <w:t>3</w:t>
                  </w:r>
                </w:p>
              </w:tc>
              <w:tc>
                <w:tcPr>
                  <w:tcW w:w="1552" w:type="dxa"/>
                  <w:vAlign w:val="center"/>
                </w:tcPr>
                <w:p w14:paraId="102693C5">
                  <w:pPr>
                    <w:pStyle w:val="24"/>
                    <w:overflowPunct w:val="0"/>
                    <w:autoSpaceDE w:val="0"/>
                    <w:autoSpaceDN w:val="0"/>
                  </w:pPr>
                  <w:r>
                    <w:rPr>
                      <w:rFonts w:hint="eastAsia"/>
                    </w:rPr>
                    <w:t>柴油（0#）</w:t>
                  </w:r>
                </w:p>
              </w:tc>
              <w:tc>
                <w:tcPr>
                  <w:tcW w:w="1296" w:type="dxa"/>
                  <w:vMerge w:val="restart"/>
                  <w:vAlign w:val="center"/>
                </w:tcPr>
                <w:p w14:paraId="32FF9840">
                  <w:pPr>
                    <w:pStyle w:val="24"/>
                    <w:overflowPunct w:val="0"/>
                    <w:autoSpaceDE w:val="0"/>
                    <w:autoSpaceDN w:val="0"/>
                  </w:pPr>
                  <w:r>
                    <w:rPr>
                      <w:rFonts w:hint="eastAsia"/>
                    </w:rPr>
                    <w:t>2555t/a</w:t>
                  </w:r>
                </w:p>
              </w:tc>
              <w:tc>
                <w:tcPr>
                  <w:tcW w:w="1174" w:type="dxa"/>
                  <w:vMerge w:val="restart"/>
                  <w:vAlign w:val="center"/>
                </w:tcPr>
                <w:p w14:paraId="1280A51F">
                  <w:pPr>
                    <w:pStyle w:val="24"/>
                    <w:overflowPunct w:val="0"/>
                    <w:autoSpaceDE w:val="0"/>
                    <w:autoSpaceDN w:val="0"/>
                  </w:pPr>
                  <w:r>
                    <w:rPr>
                      <w:rFonts w:hint="eastAsia"/>
                    </w:rPr>
                    <w:t>150m</w:t>
                  </w:r>
                  <w:r>
                    <w:rPr>
                      <w:rFonts w:hint="eastAsia"/>
                      <w:vertAlign w:val="superscript"/>
                    </w:rPr>
                    <w:t>3</w:t>
                  </w:r>
                </w:p>
              </w:tc>
              <w:tc>
                <w:tcPr>
                  <w:tcW w:w="679" w:type="dxa"/>
                  <w:vMerge w:val="restart"/>
                  <w:vAlign w:val="center"/>
                </w:tcPr>
                <w:p w14:paraId="6C4B4FE1">
                  <w:pPr>
                    <w:pStyle w:val="24"/>
                    <w:overflowPunct w:val="0"/>
                    <w:autoSpaceDE w:val="0"/>
                    <w:autoSpaceDN w:val="0"/>
                  </w:pPr>
                  <w:r>
                    <w:rPr>
                      <w:rFonts w:hint="eastAsia"/>
                    </w:rPr>
                    <w:t>液态</w:t>
                  </w:r>
                </w:p>
              </w:tc>
              <w:tc>
                <w:tcPr>
                  <w:tcW w:w="679" w:type="dxa"/>
                  <w:vMerge w:val="restart"/>
                  <w:vAlign w:val="center"/>
                </w:tcPr>
                <w:p w14:paraId="20445EBB">
                  <w:pPr>
                    <w:pStyle w:val="24"/>
                    <w:overflowPunct w:val="0"/>
                    <w:autoSpaceDE w:val="0"/>
                    <w:autoSpaceDN w:val="0"/>
                  </w:pPr>
                  <w:r>
                    <w:rPr>
                      <w:rFonts w:hint="eastAsia"/>
                    </w:rPr>
                    <w:t>地下</w:t>
                  </w:r>
                </w:p>
              </w:tc>
              <w:tc>
                <w:tcPr>
                  <w:tcW w:w="1020" w:type="dxa"/>
                  <w:vMerge w:val="restart"/>
                  <w:vAlign w:val="center"/>
                </w:tcPr>
                <w:p w14:paraId="79F2E64D">
                  <w:pPr>
                    <w:pStyle w:val="24"/>
                    <w:overflowPunct w:val="0"/>
                    <w:autoSpaceDE w:val="0"/>
                    <w:autoSpaceDN w:val="0"/>
                  </w:pPr>
                  <w:r>
                    <w:rPr>
                      <w:rFonts w:hint="eastAsia"/>
                    </w:rPr>
                    <w:t>50m</w:t>
                  </w:r>
                  <w:r>
                    <w:rPr>
                      <w:rFonts w:hint="eastAsia"/>
                      <w:vertAlign w:val="superscript"/>
                    </w:rPr>
                    <w:t>3</w:t>
                  </w:r>
                  <w:r>
                    <w:rPr>
                      <w:rFonts w:hint="eastAsia"/>
                    </w:rPr>
                    <w:t>储罐</w:t>
                  </w:r>
                </w:p>
              </w:tc>
              <w:tc>
                <w:tcPr>
                  <w:tcW w:w="679" w:type="dxa"/>
                  <w:vMerge w:val="restart"/>
                  <w:vAlign w:val="center"/>
                </w:tcPr>
                <w:p w14:paraId="767A04EA">
                  <w:pPr>
                    <w:pStyle w:val="24"/>
                    <w:overflowPunct w:val="0"/>
                    <w:autoSpaceDE w:val="0"/>
                    <w:autoSpaceDN w:val="0"/>
                  </w:pPr>
                  <w:r>
                    <w:rPr>
                      <w:rFonts w:hint="eastAsia"/>
                    </w:rPr>
                    <w:t>外购</w:t>
                  </w:r>
                </w:p>
              </w:tc>
            </w:tr>
            <w:tr w14:paraId="683C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14:paraId="3573331F">
                  <w:pPr>
                    <w:pStyle w:val="24"/>
                    <w:overflowPunct w:val="0"/>
                    <w:autoSpaceDE w:val="0"/>
                    <w:autoSpaceDN w:val="0"/>
                  </w:pPr>
                  <w:r>
                    <w:rPr>
                      <w:rFonts w:hint="eastAsia"/>
                    </w:rPr>
                    <w:t>4</w:t>
                  </w:r>
                </w:p>
              </w:tc>
              <w:tc>
                <w:tcPr>
                  <w:tcW w:w="1552" w:type="dxa"/>
                  <w:vAlign w:val="center"/>
                </w:tcPr>
                <w:p w14:paraId="1F7D0C06">
                  <w:pPr>
                    <w:pStyle w:val="24"/>
                    <w:overflowPunct w:val="0"/>
                    <w:autoSpaceDE w:val="0"/>
                    <w:autoSpaceDN w:val="0"/>
                  </w:pPr>
                  <w:r>
                    <w:rPr>
                      <w:rFonts w:hint="eastAsia"/>
                    </w:rPr>
                    <w:t>柴油（-10#）</w:t>
                  </w:r>
                </w:p>
              </w:tc>
              <w:tc>
                <w:tcPr>
                  <w:tcW w:w="1296" w:type="dxa"/>
                  <w:vMerge w:val="continue"/>
                  <w:vAlign w:val="center"/>
                </w:tcPr>
                <w:p w14:paraId="1B42FAE7">
                  <w:pPr>
                    <w:pStyle w:val="24"/>
                    <w:overflowPunct w:val="0"/>
                    <w:autoSpaceDE w:val="0"/>
                    <w:autoSpaceDN w:val="0"/>
                  </w:pPr>
                </w:p>
              </w:tc>
              <w:tc>
                <w:tcPr>
                  <w:tcW w:w="1174" w:type="dxa"/>
                  <w:vMerge w:val="continue"/>
                  <w:vAlign w:val="center"/>
                </w:tcPr>
                <w:p w14:paraId="73A036A6">
                  <w:pPr>
                    <w:pStyle w:val="24"/>
                    <w:overflowPunct w:val="0"/>
                    <w:autoSpaceDE w:val="0"/>
                    <w:autoSpaceDN w:val="0"/>
                  </w:pPr>
                </w:p>
              </w:tc>
              <w:tc>
                <w:tcPr>
                  <w:tcW w:w="679" w:type="dxa"/>
                  <w:vMerge w:val="continue"/>
                  <w:vAlign w:val="center"/>
                </w:tcPr>
                <w:p w14:paraId="645D6A20">
                  <w:pPr>
                    <w:pStyle w:val="24"/>
                    <w:overflowPunct w:val="0"/>
                    <w:autoSpaceDE w:val="0"/>
                    <w:autoSpaceDN w:val="0"/>
                  </w:pPr>
                </w:p>
              </w:tc>
              <w:tc>
                <w:tcPr>
                  <w:tcW w:w="679" w:type="dxa"/>
                  <w:vMerge w:val="continue"/>
                  <w:vAlign w:val="center"/>
                </w:tcPr>
                <w:p w14:paraId="6EBD3626">
                  <w:pPr>
                    <w:pStyle w:val="24"/>
                    <w:overflowPunct w:val="0"/>
                    <w:autoSpaceDE w:val="0"/>
                    <w:autoSpaceDN w:val="0"/>
                  </w:pPr>
                </w:p>
              </w:tc>
              <w:tc>
                <w:tcPr>
                  <w:tcW w:w="1020" w:type="dxa"/>
                  <w:vMerge w:val="continue"/>
                  <w:vAlign w:val="center"/>
                </w:tcPr>
                <w:p w14:paraId="6BD3388D">
                  <w:pPr>
                    <w:pStyle w:val="24"/>
                    <w:overflowPunct w:val="0"/>
                    <w:autoSpaceDE w:val="0"/>
                    <w:autoSpaceDN w:val="0"/>
                  </w:pPr>
                </w:p>
              </w:tc>
              <w:tc>
                <w:tcPr>
                  <w:tcW w:w="679" w:type="dxa"/>
                  <w:vMerge w:val="continue"/>
                  <w:vAlign w:val="center"/>
                </w:tcPr>
                <w:p w14:paraId="212D7708">
                  <w:pPr>
                    <w:pStyle w:val="24"/>
                    <w:overflowPunct w:val="0"/>
                    <w:autoSpaceDE w:val="0"/>
                    <w:autoSpaceDN w:val="0"/>
                  </w:pPr>
                </w:p>
              </w:tc>
            </w:tr>
            <w:tr w14:paraId="3881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57" w:type="dxa"/>
                  <w:gridSpan w:val="8"/>
                  <w:vAlign w:val="center"/>
                </w:tcPr>
                <w:p w14:paraId="65B6FFD3">
                  <w:pPr>
                    <w:pStyle w:val="24"/>
                    <w:overflowPunct w:val="0"/>
                    <w:autoSpaceDE w:val="0"/>
                    <w:autoSpaceDN w:val="0"/>
                    <w:jc w:val="both"/>
                  </w:pPr>
                  <w:r>
                    <w:rPr>
                      <w:rFonts w:hint="eastAsia"/>
                    </w:rPr>
                    <w:t>货车应急维修中心</w:t>
                  </w:r>
                </w:p>
              </w:tc>
            </w:tr>
            <w:tr w14:paraId="0CBD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14:paraId="4DA0B015">
                  <w:pPr>
                    <w:pStyle w:val="24"/>
                  </w:pPr>
                  <w:r>
                    <w:t>序号</w:t>
                  </w:r>
                </w:p>
              </w:tc>
              <w:tc>
                <w:tcPr>
                  <w:tcW w:w="1552" w:type="dxa"/>
                  <w:vAlign w:val="center"/>
                </w:tcPr>
                <w:p w14:paraId="288FE548">
                  <w:pPr>
                    <w:pStyle w:val="24"/>
                  </w:pPr>
                  <w:r>
                    <w:t>名称</w:t>
                  </w:r>
                </w:p>
              </w:tc>
              <w:tc>
                <w:tcPr>
                  <w:tcW w:w="2470" w:type="dxa"/>
                  <w:gridSpan w:val="2"/>
                  <w:vAlign w:val="center"/>
                </w:tcPr>
                <w:p w14:paraId="335BB1DB">
                  <w:pPr>
                    <w:pStyle w:val="24"/>
                  </w:pPr>
                  <w:r>
                    <w:rPr>
                      <w:rFonts w:hint="eastAsia"/>
                    </w:rPr>
                    <w:t>单位</w:t>
                  </w:r>
                </w:p>
              </w:tc>
              <w:tc>
                <w:tcPr>
                  <w:tcW w:w="1358" w:type="dxa"/>
                  <w:gridSpan w:val="2"/>
                  <w:vAlign w:val="center"/>
                </w:tcPr>
                <w:p w14:paraId="5FC2E8F6">
                  <w:pPr>
                    <w:pStyle w:val="24"/>
                  </w:pPr>
                  <w:r>
                    <w:t>年用量</w:t>
                  </w:r>
                </w:p>
              </w:tc>
              <w:tc>
                <w:tcPr>
                  <w:tcW w:w="1699" w:type="dxa"/>
                  <w:gridSpan w:val="2"/>
                  <w:vAlign w:val="center"/>
                </w:tcPr>
                <w:p w14:paraId="53700D5E">
                  <w:pPr>
                    <w:pStyle w:val="24"/>
                    <w:overflowPunct w:val="0"/>
                    <w:autoSpaceDE w:val="0"/>
                    <w:autoSpaceDN w:val="0"/>
                  </w:pPr>
                  <w:r>
                    <w:t>备注</w:t>
                  </w:r>
                </w:p>
              </w:tc>
            </w:tr>
            <w:tr w14:paraId="43F4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Align w:val="center"/>
                </w:tcPr>
                <w:p w14:paraId="63B53BD2">
                  <w:pPr>
                    <w:pStyle w:val="24"/>
                    <w:overflowPunct w:val="0"/>
                    <w:autoSpaceDE w:val="0"/>
                    <w:autoSpaceDN w:val="0"/>
                  </w:pPr>
                  <w:r>
                    <w:rPr>
                      <w:rFonts w:hint="eastAsia"/>
                    </w:rPr>
                    <w:t>5</w:t>
                  </w:r>
                </w:p>
              </w:tc>
              <w:tc>
                <w:tcPr>
                  <w:tcW w:w="1552" w:type="dxa"/>
                  <w:vAlign w:val="center"/>
                </w:tcPr>
                <w:p w14:paraId="3AC4D5F5">
                  <w:pPr>
                    <w:pStyle w:val="24"/>
                    <w:overflowPunct w:val="0"/>
                    <w:autoSpaceDE w:val="0"/>
                    <w:autoSpaceDN w:val="0"/>
                  </w:pPr>
                  <w:r>
                    <w:rPr>
                      <w:rFonts w:hint="eastAsia"/>
                    </w:rPr>
                    <w:t>机油</w:t>
                  </w:r>
                </w:p>
              </w:tc>
              <w:tc>
                <w:tcPr>
                  <w:tcW w:w="2470" w:type="dxa"/>
                  <w:gridSpan w:val="2"/>
                  <w:vAlign w:val="center"/>
                </w:tcPr>
                <w:p w14:paraId="2C50FCB6">
                  <w:pPr>
                    <w:pStyle w:val="24"/>
                    <w:overflowPunct w:val="0"/>
                    <w:autoSpaceDE w:val="0"/>
                    <w:autoSpaceDN w:val="0"/>
                  </w:pPr>
                  <w:r>
                    <w:rPr>
                      <w:rFonts w:hint="eastAsia"/>
                    </w:rPr>
                    <w:t>t/a</w:t>
                  </w:r>
                </w:p>
              </w:tc>
              <w:tc>
                <w:tcPr>
                  <w:tcW w:w="1358" w:type="dxa"/>
                  <w:gridSpan w:val="2"/>
                  <w:vAlign w:val="center"/>
                </w:tcPr>
                <w:p w14:paraId="39FB8A64">
                  <w:pPr>
                    <w:pStyle w:val="24"/>
                    <w:overflowPunct w:val="0"/>
                    <w:autoSpaceDE w:val="0"/>
                    <w:autoSpaceDN w:val="0"/>
                  </w:pPr>
                  <w:r>
                    <w:rPr>
                      <w:rFonts w:hint="eastAsia"/>
                    </w:rPr>
                    <w:t>5</w:t>
                  </w:r>
                </w:p>
              </w:tc>
              <w:tc>
                <w:tcPr>
                  <w:tcW w:w="1699" w:type="dxa"/>
                  <w:gridSpan w:val="2"/>
                  <w:vAlign w:val="center"/>
                </w:tcPr>
                <w:p w14:paraId="01F8E19E">
                  <w:pPr>
                    <w:pStyle w:val="24"/>
                    <w:overflowPunct w:val="0"/>
                    <w:autoSpaceDE w:val="0"/>
                    <w:autoSpaceDN w:val="0"/>
                  </w:pPr>
                  <w:r>
                    <w:rPr>
                      <w:rFonts w:hint="eastAsia"/>
                    </w:rPr>
                    <w:t>液体</w:t>
                  </w:r>
                </w:p>
              </w:tc>
            </w:tr>
            <w:tr w14:paraId="01E5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shd w:val="clear" w:color="auto" w:fill="auto"/>
                  <w:vAlign w:val="center"/>
                </w:tcPr>
                <w:p w14:paraId="07D1A48D">
                  <w:pPr>
                    <w:pStyle w:val="24"/>
                    <w:overflowPunct w:val="0"/>
                    <w:autoSpaceDE w:val="0"/>
                    <w:autoSpaceDN w:val="0"/>
                  </w:pPr>
                  <w:r>
                    <w:rPr>
                      <w:rFonts w:hint="eastAsia"/>
                    </w:rPr>
                    <w:t>6</w:t>
                  </w:r>
                </w:p>
              </w:tc>
              <w:tc>
                <w:tcPr>
                  <w:tcW w:w="1552" w:type="dxa"/>
                  <w:vAlign w:val="center"/>
                </w:tcPr>
                <w:p w14:paraId="10A2766A">
                  <w:pPr>
                    <w:pStyle w:val="24"/>
                    <w:overflowPunct w:val="0"/>
                    <w:autoSpaceDE w:val="0"/>
                    <w:autoSpaceDN w:val="0"/>
                  </w:pPr>
                  <w:r>
                    <w:rPr>
                      <w:rFonts w:hint="eastAsia"/>
                    </w:rPr>
                    <w:t>防冻液</w:t>
                  </w:r>
                </w:p>
              </w:tc>
              <w:tc>
                <w:tcPr>
                  <w:tcW w:w="2470" w:type="dxa"/>
                  <w:gridSpan w:val="2"/>
                  <w:vAlign w:val="center"/>
                </w:tcPr>
                <w:p w14:paraId="43A57508">
                  <w:pPr>
                    <w:pStyle w:val="24"/>
                    <w:overflowPunct w:val="0"/>
                    <w:autoSpaceDE w:val="0"/>
                    <w:autoSpaceDN w:val="0"/>
                  </w:pPr>
                  <w:r>
                    <w:rPr>
                      <w:rFonts w:hint="eastAsia"/>
                    </w:rPr>
                    <w:t>t/a</w:t>
                  </w:r>
                </w:p>
              </w:tc>
              <w:tc>
                <w:tcPr>
                  <w:tcW w:w="1358" w:type="dxa"/>
                  <w:gridSpan w:val="2"/>
                  <w:vAlign w:val="center"/>
                </w:tcPr>
                <w:p w14:paraId="3D879A69">
                  <w:pPr>
                    <w:pStyle w:val="24"/>
                    <w:overflowPunct w:val="0"/>
                    <w:autoSpaceDE w:val="0"/>
                    <w:autoSpaceDN w:val="0"/>
                  </w:pPr>
                  <w:r>
                    <w:rPr>
                      <w:rFonts w:hint="eastAsia"/>
                    </w:rPr>
                    <w:t>3</w:t>
                  </w:r>
                </w:p>
              </w:tc>
              <w:tc>
                <w:tcPr>
                  <w:tcW w:w="1699" w:type="dxa"/>
                  <w:gridSpan w:val="2"/>
                  <w:vAlign w:val="center"/>
                </w:tcPr>
                <w:p w14:paraId="163B7435">
                  <w:pPr>
                    <w:pStyle w:val="24"/>
                    <w:overflowPunct w:val="0"/>
                    <w:autoSpaceDE w:val="0"/>
                    <w:autoSpaceDN w:val="0"/>
                  </w:pPr>
                  <w:r>
                    <w:rPr>
                      <w:rFonts w:hint="eastAsia"/>
                    </w:rPr>
                    <w:t>液体</w:t>
                  </w:r>
                </w:p>
              </w:tc>
            </w:tr>
            <w:tr w14:paraId="7223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shd w:val="clear" w:color="auto" w:fill="auto"/>
                  <w:vAlign w:val="center"/>
                </w:tcPr>
                <w:p w14:paraId="665E2A99">
                  <w:pPr>
                    <w:pStyle w:val="24"/>
                    <w:overflowPunct w:val="0"/>
                    <w:autoSpaceDE w:val="0"/>
                    <w:autoSpaceDN w:val="0"/>
                  </w:pPr>
                  <w:r>
                    <w:rPr>
                      <w:rFonts w:hint="eastAsia"/>
                    </w:rPr>
                    <w:t>7</w:t>
                  </w:r>
                </w:p>
              </w:tc>
              <w:tc>
                <w:tcPr>
                  <w:tcW w:w="1552" w:type="dxa"/>
                  <w:vAlign w:val="center"/>
                </w:tcPr>
                <w:p w14:paraId="45950DFE">
                  <w:pPr>
                    <w:pStyle w:val="24"/>
                    <w:overflowPunct w:val="0"/>
                    <w:autoSpaceDE w:val="0"/>
                    <w:autoSpaceDN w:val="0"/>
                  </w:pPr>
                  <w:r>
                    <w:rPr>
                      <w:rFonts w:hint="eastAsia"/>
                    </w:rPr>
                    <w:t>零配件</w:t>
                  </w:r>
                </w:p>
              </w:tc>
              <w:tc>
                <w:tcPr>
                  <w:tcW w:w="2470" w:type="dxa"/>
                  <w:gridSpan w:val="2"/>
                  <w:vAlign w:val="center"/>
                </w:tcPr>
                <w:p w14:paraId="0246B506">
                  <w:pPr>
                    <w:pStyle w:val="24"/>
                    <w:overflowPunct w:val="0"/>
                    <w:autoSpaceDE w:val="0"/>
                    <w:autoSpaceDN w:val="0"/>
                  </w:pPr>
                  <w:r>
                    <w:rPr>
                      <w:rFonts w:hint="eastAsia"/>
                    </w:rPr>
                    <w:t>/</w:t>
                  </w:r>
                </w:p>
              </w:tc>
              <w:tc>
                <w:tcPr>
                  <w:tcW w:w="1358" w:type="dxa"/>
                  <w:gridSpan w:val="2"/>
                  <w:vAlign w:val="center"/>
                </w:tcPr>
                <w:p w14:paraId="6D9B624C">
                  <w:pPr>
                    <w:pStyle w:val="24"/>
                    <w:overflowPunct w:val="0"/>
                    <w:autoSpaceDE w:val="0"/>
                    <w:autoSpaceDN w:val="0"/>
                    <w:rPr>
                      <w:rFonts w:hint="eastAsia" w:eastAsia="宋体"/>
                      <w:lang w:eastAsia="zh-CN"/>
                    </w:rPr>
                  </w:pPr>
                  <w:r>
                    <w:rPr>
                      <w:rFonts w:hint="eastAsia"/>
                      <w:lang w:eastAsia="zh-CN"/>
                    </w:rPr>
                    <w:t>若干</w:t>
                  </w:r>
                </w:p>
              </w:tc>
              <w:tc>
                <w:tcPr>
                  <w:tcW w:w="1699" w:type="dxa"/>
                  <w:gridSpan w:val="2"/>
                  <w:vAlign w:val="center"/>
                </w:tcPr>
                <w:p w14:paraId="7D16E383">
                  <w:pPr>
                    <w:pStyle w:val="24"/>
                    <w:overflowPunct w:val="0"/>
                    <w:autoSpaceDE w:val="0"/>
                    <w:autoSpaceDN w:val="0"/>
                  </w:pPr>
                  <w:r>
                    <w:rPr>
                      <w:rFonts w:hint="eastAsia"/>
                    </w:rPr>
                    <w:t>固体</w:t>
                  </w:r>
                </w:p>
              </w:tc>
            </w:tr>
            <w:tr w14:paraId="66A9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shd w:val="clear" w:color="auto" w:fill="auto"/>
                  <w:vAlign w:val="center"/>
                </w:tcPr>
                <w:p w14:paraId="455E8DCE">
                  <w:pPr>
                    <w:pStyle w:val="24"/>
                    <w:overflowPunct w:val="0"/>
                    <w:autoSpaceDE w:val="0"/>
                    <w:autoSpaceDN w:val="0"/>
                  </w:pPr>
                  <w:r>
                    <w:rPr>
                      <w:rFonts w:hint="eastAsia"/>
                    </w:rPr>
                    <w:t>8</w:t>
                  </w:r>
                </w:p>
              </w:tc>
              <w:tc>
                <w:tcPr>
                  <w:tcW w:w="1552" w:type="dxa"/>
                  <w:vAlign w:val="center"/>
                </w:tcPr>
                <w:p w14:paraId="5772FFC3">
                  <w:pPr>
                    <w:pStyle w:val="24"/>
                    <w:overflowPunct w:val="0"/>
                    <w:autoSpaceDE w:val="0"/>
                    <w:autoSpaceDN w:val="0"/>
                  </w:pPr>
                  <w:r>
                    <w:rPr>
                      <w:rFonts w:hint="eastAsia"/>
                    </w:rPr>
                    <w:t>刹车油</w:t>
                  </w:r>
                </w:p>
              </w:tc>
              <w:tc>
                <w:tcPr>
                  <w:tcW w:w="2470" w:type="dxa"/>
                  <w:gridSpan w:val="2"/>
                  <w:vAlign w:val="center"/>
                </w:tcPr>
                <w:p w14:paraId="71CAB334">
                  <w:pPr>
                    <w:pStyle w:val="24"/>
                    <w:overflowPunct w:val="0"/>
                    <w:autoSpaceDE w:val="0"/>
                    <w:autoSpaceDN w:val="0"/>
                  </w:pPr>
                  <w:r>
                    <w:rPr>
                      <w:rFonts w:hint="eastAsia"/>
                    </w:rPr>
                    <w:t>L/a</w:t>
                  </w:r>
                </w:p>
              </w:tc>
              <w:tc>
                <w:tcPr>
                  <w:tcW w:w="1358" w:type="dxa"/>
                  <w:gridSpan w:val="2"/>
                  <w:vAlign w:val="center"/>
                </w:tcPr>
                <w:p w14:paraId="0849CA27">
                  <w:pPr>
                    <w:pStyle w:val="24"/>
                    <w:overflowPunct w:val="0"/>
                    <w:autoSpaceDE w:val="0"/>
                    <w:autoSpaceDN w:val="0"/>
                  </w:pPr>
                  <w:r>
                    <w:rPr>
                      <w:rFonts w:hint="eastAsia"/>
                    </w:rPr>
                    <w:t>200</w:t>
                  </w:r>
                </w:p>
              </w:tc>
              <w:tc>
                <w:tcPr>
                  <w:tcW w:w="1699" w:type="dxa"/>
                  <w:gridSpan w:val="2"/>
                  <w:vAlign w:val="center"/>
                </w:tcPr>
                <w:p w14:paraId="11DD022D">
                  <w:pPr>
                    <w:pStyle w:val="24"/>
                    <w:overflowPunct w:val="0"/>
                    <w:autoSpaceDE w:val="0"/>
                    <w:autoSpaceDN w:val="0"/>
                  </w:pPr>
                  <w:r>
                    <w:rPr>
                      <w:rFonts w:hint="eastAsia"/>
                    </w:rPr>
                    <w:t>液体</w:t>
                  </w:r>
                </w:p>
              </w:tc>
            </w:tr>
            <w:tr w14:paraId="02F3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shd w:val="clear" w:color="auto" w:fill="auto"/>
                  <w:vAlign w:val="center"/>
                </w:tcPr>
                <w:p w14:paraId="06364A78">
                  <w:pPr>
                    <w:pStyle w:val="24"/>
                    <w:overflowPunct w:val="0"/>
                    <w:autoSpaceDE w:val="0"/>
                    <w:autoSpaceDN w:val="0"/>
                  </w:pPr>
                  <w:r>
                    <w:rPr>
                      <w:rFonts w:hint="eastAsia"/>
                    </w:rPr>
                    <w:t>9</w:t>
                  </w:r>
                </w:p>
              </w:tc>
              <w:tc>
                <w:tcPr>
                  <w:tcW w:w="1552" w:type="dxa"/>
                  <w:vAlign w:val="center"/>
                </w:tcPr>
                <w:p w14:paraId="6BD39F61">
                  <w:pPr>
                    <w:pStyle w:val="24"/>
                    <w:overflowPunct w:val="0"/>
                    <w:autoSpaceDE w:val="0"/>
                    <w:autoSpaceDN w:val="0"/>
                  </w:pPr>
                  <w:r>
                    <w:rPr>
                      <w:rFonts w:hint="eastAsia"/>
                      <w:lang w:eastAsia="zh-CN"/>
                    </w:rPr>
                    <w:t>无铅</w:t>
                  </w:r>
                  <w:r>
                    <w:rPr>
                      <w:rFonts w:hint="eastAsia"/>
                    </w:rPr>
                    <w:t>焊丝</w:t>
                  </w:r>
                </w:p>
              </w:tc>
              <w:tc>
                <w:tcPr>
                  <w:tcW w:w="2470" w:type="dxa"/>
                  <w:gridSpan w:val="2"/>
                  <w:vAlign w:val="center"/>
                </w:tcPr>
                <w:p w14:paraId="30963883">
                  <w:pPr>
                    <w:pStyle w:val="24"/>
                    <w:overflowPunct w:val="0"/>
                    <w:autoSpaceDE w:val="0"/>
                    <w:autoSpaceDN w:val="0"/>
                  </w:pPr>
                  <w:r>
                    <w:rPr>
                      <w:rFonts w:hint="eastAsia"/>
                    </w:rPr>
                    <w:t>kg/a</w:t>
                  </w:r>
                </w:p>
              </w:tc>
              <w:tc>
                <w:tcPr>
                  <w:tcW w:w="1358" w:type="dxa"/>
                  <w:gridSpan w:val="2"/>
                  <w:vAlign w:val="center"/>
                </w:tcPr>
                <w:p w14:paraId="0E02BF34">
                  <w:pPr>
                    <w:pStyle w:val="24"/>
                    <w:overflowPunct w:val="0"/>
                    <w:autoSpaceDE w:val="0"/>
                    <w:autoSpaceDN w:val="0"/>
                  </w:pPr>
                  <w:r>
                    <w:rPr>
                      <w:rFonts w:hint="eastAsia"/>
                    </w:rPr>
                    <w:t>25</w:t>
                  </w:r>
                </w:p>
              </w:tc>
              <w:tc>
                <w:tcPr>
                  <w:tcW w:w="1699" w:type="dxa"/>
                  <w:gridSpan w:val="2"/>
                  <w:vAlign w:val="center"/>
                </w:tcPr>
                <w:p w14:paraId="1A6DD78E">
                  <w:pPr>
                    <w:pStyle w:val="24"/>
                    <w:overflowPunct w:val="0"/>
                    <w:autoSpaceDE w:val="0"/>
                    <w:autoSpaceDN w:val="0"/>
                  </w:pPr>
                  <w:r>
                    <w:rPr>
                      <w:rFonts w:hint="eastAsia"/>
                    </w:rPr>
                    <w:t>固体</w:t>
                  </w:r>
                </w:p>
              </w:tc>
            </w:tr>
          </w:tbl>
          <w:p w14:paraId="4296B600">
            <w:pPr>
              <w:overflowPunct w:val="0"/>
              <w:autoSpaceDE w:val="0"/>
              <w:autoSpaceDN w:val="0"/>
              <w:ind w:firstLine="480" w:firstLineChars="200"/>
              <w:rPr>
                <w:rFonts w:hint="eastAsia" w:ascii="宋体" w:hAnsi="宋体" w:cs="宋体"/>
              </w:rPr>
            </w:pPr>
            <w:r>
              <w:rPr>
                <w:rFonts w:ascii="宋体" w:hAnsi="宋体" w:cs="宋体"/>
              </w:rPr>
              <w:t>项目主要原辅材料成分说明：</w:t>
            </w:r>
          </w:p>
          <w:p w14:paraId="2AD107E1">
            <w:pPr>
              <w:pStyle w:val="6"/>
            </w:pPr>
            <w:r>
              <w:t xml:space="preserve">表 </w:t>
            </w:r>
            <w:r>
              <w:rPr>
                <w:rFonts w:hint="eastAsia"/>
              </w:rPr>
              <w:t>2-</w:t>
            </w:r>
            <w:r>
              <w:fldChar w:fldCharType="begin"/>
            </w:r>
            <w:r>
              <w:instrText xml:space="preserve"> SEQ 表 \* ARABIC \s 1 </w:instrText>
            </w:r>
            <w:r>
              <w:fldChar w:fldCharType="separate"/>
            </w:r>
            <w:r>
              <w:t>10</w:t>
            </w:r>
            <w:r>
              <w:fldChar w:fldCharType="end"/>
            </w:r>
            <w:r>
              <w:rPr>
                <w:rFonts w:hint="eastAsia"/>
              </w:rPr>
              <w:t xml:space="preserve"> 汽油理化性质和危险特性一览表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3"/>
              <w:gridCol w:w="1632"/>
              <w:gridCol w:w="2613"/>
              <w:gridCol w:w="1742"/>
            </w:tblGrid>
            <w:tr w14:paraId="0998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3028001B">
                  <w:pPr>
                    <w:pStyle w:val="24"/>
                    <w:overflowPunct w:val="0"/>
                    <w:autoSpaceDE w:val="0"/>
                    <w:autoSpaceDN w:val="0"/>
                  </w:pPr>
                  <w:r>
                    <w:t>第一部分</w:t>
                  </w:r>
                  <w:r>
                    <w:rPr>
                      <w:rFonts w:hint="eastAsia"/>
                    </w:rPr>
                    <w:t xml:space="preserve">  </w:t>
                  </w:r>
                  <w:r>
                    <w:t>危险性概述</w:t>
                  </w:r>
                </w:p>
              </w:tc>
            </w:tr>
            <w:tr w14:paraId="0D0C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85312A0">
                  <w:pPr>
                    <w:pStyle w:val="24"/>
                    <w:overflowPunct w:val="0"/>
                    <w:autoSpaceDE w:val="0"/>
                    <w:autoSpaceDN w:val="0"/>
                  </w:pPr>
                  <w:r>
                    <w:rPr>
                      <w:rFonts w:hint="eastAsia"/>
                    </w:rPr>
                    <w:t>危险性类别</w:t>
                  </w:r>
                </w:p>
              </w:tc>
              <w:tc>
                <w:tcPr>
                  <w:tcW w:w="340" w:type="dxa"/>
                  <w:vAlign w:val="center"/>
                </w:tcPr>
                <w:p w14:paraId="35FE5D71">
                  <w:pPr>
                    <w:pStyle w:val="24"/>
                    <w:overflowPunct w:val="0"/>
                    <w:autoSpaceDE w:val="0"/>
                    <w:autoSpaceDN w:val="0"/>
                  </w:pPr>
                  <w:r>
                    <w:rPr>
                      <w:rFonts w:hint="eastAsia"/>
                    </w:rPr>
                    <w:t>第3.1类低闪点易燃液体</w:t>
                  </w:r>
                </w:p>
              </w:tc>
              <w:tc>
                <w:tcPr>
                  <w:tcW w:w="340" w:type="dxa"/>
                  <w:vAlign w:val="center"/>
                </w:tcPr>
                <w:p w14:paraId="7A537F4E">
                  <w:pPr>
                    <w:pStyle w:val="24"/>
                    <w:overflowPunct w:val="0"/>
                    <w:autoSpaceDE w:val="0"/>
                    <w:autoSpaceDN w:val="0"/>
                  </w:pPr>
                  <w:r>
                    <w:rPr>
                      <w:rFonts w:hint="eastAsia"/>
                    </w:rPr>
                    <w:t>燃爆危险</w:t>
                  </w:r>
                </w:p>
              </w:tc>
              <w:tc>
                <w:tcPr>
                  <w:tcW w:w="340" w:type="dxa"/>
                  <w:vAlign w:val="center"/>
                </w:tcPr>
                <w:p w14:paraId="7047C992">
                  <w:pPr>
                    <w:pStyle w:val="24"/>
                    <w:overflowPunct w:val="0"/>
                    <w:autoSpaceDE w:val="0"/>
                    <w:autoSpaceDN w:val="0"/>
                  </w:pPr>
                  <w:r>
                    <w:rPr>
                      <w:rFonts w:hint="eastAsia"/>
                    </w:rPr>
                    <w:t>易燃</w:t>
                  </w:r>
                </w:p>
              </w:tc>
            </w:tr>
            <w:tr w14:paraId="030E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0CD4295">
                  <w:pPr>
                    <w:pStyle w:val="24"/>
                    <w:overflowPunct w:val="0"/>
                    <w:autoSpaceDE w:val="0"/>
                    <w:autoSpaceDN w:val="0"/>
                  </w:pPr>
                  <w:r>
                    <w:rPr>
                      <w:rFonts w:hint="eastAsia"/>
                    </w:rPr>
                    <w:t>侵入途径</w:t>
                  </w:r>
                </w:p>
              </w:tc>
              <w:tc>
                <w:tcPr>
                  <w:tcW w:w="340" w:type="dxa"/>
                  <w:vAlign w:val="center"/>
                </w:tcPr>
                <w:p w14:paraId="1D8035FB">
                  <w:pPr>
                    <w:pStyle w:val="24"/>
                    <w:overflowPunct w:val="0"/>
                    <w:autoSpaceDE w:val="0"/>
                    <w:autoSpaceDN w:val="0"/>
                  </w:pPr>
                  <w:r>
                    <w:t>吸入、食入、经皮肤吸收</w:t>
                  </w:r>
                </w:p>
              </w:tc>
              <w:tc>
                <w:tcPr>
                  <w:tcW w:w="340" w:type="dxa"/>
                  <w:vAlign w:val="center"/>
                </w:tcPr>
                <w:p w14:paraId="5AA3AE95">
                  <w:pPr>
                    <w:pStyle w:val="24"/>
                    <w:overflowPunct w:val="0"/>
                    <w:autoSpaceDE w:val="0"/>
                    <w:autoSpaceDN w:val="0"/>
                  </w:pPr>
                  <w:r>
                    <w:t>有害燃烧产物</w:t>
                  </w:r>
                </w:p>
              </w:tc>
              <w:tc>
                <w:tcPr>
                  <w:tcW w:w="340" w:type="dxa"/>
                  <w:vAlign w:val="center"/>
                </w:tcPr>
                <w:p w14:paraId="546D6025">
                  <w:pPr>
                    <w:pStyle w:val="24"/>
                    <w:overflowPunct w:val="0"/>
                    <w:autoSpaceDE w:val="0"/>
                    <w:autoSpaceDN w:val="0"/>
                  </w:pPr>
                  <w:r>
                    <w:t>一氧化碳、二氧化碳</w:t>
                  </w:r>
                </w:p>
              </w:tc>
            </w:tr>
            <w:tr w14:paraId="79D0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8870A2B">
                  <w:pPr>
                    <w:pStyle w:val="24"/>
                    <w:overflowPunct w:val="0"/>
                    <w:autoSpaceDE w:val="0"/>
                    <w:autoSpaceDN w:val="0"/>
                  </w:pPr>
                  <w:r>
                    <w:t>健康危害</w:t>
                  </w:r>
                </w:p>
              </w:tc>
              <w:tc>
                <w:tcPr>
                  <w:tcW w:w="340" w:type="dxa"/>
                  <w:gridSpan w:val="3"/>
                  <w:vAlign w:val="center"/>
                </w:tcPr>
                <w:p w14:paraId="4F9DF51B">
                  <w:pPr>
                    <w:pStyle w:val="24"/>
                    <w:overflowPunct w:val="0"/>
                    <w:autoSpaceDE w:val="0"/>
                    <w:autoSpaceDN w:val="0"/>
                  </w:pPr>
                  <w:r>
                    <w:t>主要作用于中枢神经系统，急性中毒症状有头晕、头痛、恶心、呕吐、步态不稳、共济失调。高浓度吸入出现中毒性脑病。极高浓度吸入引起意识突然丧失，反射性呼吸停止及化学性肺炎。可致角膜溃疡、穿孔、甚至失明。皮肤接触致急性接触性皮炎或过敏性皮炎。急性经口中引起急性胃炎，重者出现类似急性吸入中毒症状。慢性中毒：神经衰弱综合症，周围神经病，皮肤损害。</w:t>
                  </w:r>
                </w:p>
              </w:tc>
            </w:tr>
            <w:tr w14:paraId="3D2D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DAEC5AA">
                  <w:pPr>
                    <w:pStyle w:val="24"/>
                    <w:overflowPunct w:val="0"/>
                    <w:autoSpaceDE w:val="0"/>
                    <w:autoSpaceDN w:val="0"/>
                  </w:pPr>
                  <w:r>
                    <w:t>环境危害</w:t>
                  </w:r>
                </w:p>
              </w:tc>
              <w:tc>
                <w:tcPr>
                  <w:tcW w:w="340" w:type="dxa"/>
                  <w:gridSpan w:val="3"/>
                  <w:vAlign w:val="center"/>
                </w:tcPr>
                <w:p w14:paraId="14E2002C">
                  <w:pPr>
                    <w:pStyle w:val="24"/>
                    <w:overflowPunct w:val="0"/>
                    <w:autoSpaceDE w:val="0"/>
                    <w:autoSpaceDN w:val="0"/>
                  </w:pPr>
                  <w:r>
                    <w:t>该物质对环境有危害，应特别注意对地表水、土壤、大气和饮用水的污染。</w:t>
                  </w:r>
                </w:p>
              </w:tc>
            </w:tr>
            <w:tr w14:paraId="0CFC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115535C5">
                  <w:pPr>
                    <w:pStyle w:val="24"/>
                    <w:overflowPunct w:val="0"/>
                    <w:autoSpaceDE w:val="0"/>
                    <w:autoSpaceDN w:val="0"/>
                  </w:pPr>
                  <w:r>
                    <w:rPr>
                      <w:rFonts w:hint="eastAsia"/>
                    </w:rPr>
                    <w:t>第二部分  理化特性</w:t>
                  </w:r>
                </w:p>
              </w:tc>
            </w:tr>
            <w:tr w14:paraId="5CEF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E8F1666">
                  <w:pPr>
                    <w:pStyle w:val="24"/>
                    <w:overflowPunct w:val="0"/>
                    <w:autoSpaceDE w:val="0"/>
                    <w:autoSpaceDN w:val="0"/>
                  </w:pPr>
                  <w:r>
                    <w:t>外观及性状</w:t>
                  </w:r>
                </w:p>
              </w:tc>
              <w:tc>
                <w:tcPr>
                  <w:tcW w:w="340" w:type="dxa"/>
                  <w:gridSpan w:val="3"/>
                  <w:vAlign w:val="center"/>
                </w:tcPr>
                <w:p w14:paraId="625B2038">
                  <w:pPr>
                    <w:pStyle w:val="24"/>
                    <w:overflowPunct w:val="0"/>
                    <w:autoSpaceDE w:val="0"/>
                    <w:autoSpaceDN w:val="0"/>
                  </w:pPr>
                  <w:r>
                    <w:t>无色或淡黄色易挥发液体，具有特殊臭味。</w:t>
                  </w:r>
                </w:p>
              </w:tc>
            </w:tr>
            <w:tr w14:paraId="7EF7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A0BB8A8">
                  <w:pPr>
                    <w:pStyle w:val="24"/>
                    <w:overflowPunct w:val="0"/>
                    <w:autoSpaceDE w:val="0"/>
                    <w:autoSpaceDN w:val="0"/>
                  </w:pPr>
                  <w:r>
                    <w:t>熔点（℃）</w:t>
                  </w:r>
                </w:p>
              </w:tc>
              <w:tc>
                <w:tcPr>
                  <w:tcW w:w="340" w:type="dxa"/>
                  <w:vAlign w:val="center"/>
                </w:tcPr>
                <w:p w14:paraId="2EB7F640">
                  <w:pPr>
                    <w:pStyle w:val="24"/>
                    <w:overflowPunct w:val="0"/>
                    <w:autoSpaceDE w:val="0"/>
                    <w:autoSpaceDN w:val="0"/>
                  </w:pPr>
                  <w:r>
                    <w:t>&lt;-60</w:t>
                  </w:r>
                </w:p>
              </w:tc>
              <w:tc>
                <w:tcPr>
                  <w:tcW w:w="340" w:type="dxa"/>
                  <w:vAlign w:val="center"/>
                </w:tcPr>
                <w:p w14:paraId="626EBA68">
                  <w:pPr>
                    <w:pStyle w:val="24"/>
                    <w:overflowPunct w:val="0"/>
                    <w:autoSpaceDE w:val="0"/>
                    <w:autoSpaceDN w:val="0"/>
                  </w:pPr>
                  <w:r>
                    <w:t>相对密度（水＝1）</w:t>
                  </w:r>
                </w:p>
              </w:tc>
              <w:tc>
                <w:tcPr>
                  <w:tcW w:w="340" w:type="dxa"/>
                  <w:vAlign w:val="center"/>
                </w:tcPr>
                <w:p w14:paraId="4CF21AB9">
                  <w:pPr>
                    <w:pStyle w:val="24"/>
                    <w:overflowPunct w:val="0"/>
                    <w:autoSpaceDE w:val="0"/>
                    <w:autoSpaceDN w:val="0"/>
                  </w:pPr>
                  <w:r>
                    <w:t>0.70～0.79</w:t>
                  </w:r>
                </w:p>
              </w:tc>
            </w:tr>
            <w:tr w14:paraId="6C88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9CFC717">
                  <w:pPr>
                    <w:pStyle w:val="24"/>
                    <w:overflowPunct w:val="0"/>
                    <w:autoSpaceDE w:val="0"/>
                    <w:autoSpaceDN w:val="0"/>
                  </w:pPr>
                  <w:r>
                    <w:t>闪点（℃）</w:t>
                  </w:r>
                </w:p>
              </w:tc>
              <w:tc>
                <w:tcPr>
                  <w:tcW w:w="340" w:type="dxa"/>
                  <w:vAlign w:val="center"/>
                </w:tcPr>
                <w:p w14:paraId="03156FA3">
                  <w:pPr>
                    <w:pStyle w:val="24"/>
                    <w:overflowPunct w:val="0"/>
                    <w:autoSpaceDE w:val="0"/>
                    <w:autoSpaceDN w:val="0"/>
                  </w:pPr>
                  <w:r>
                    <w:t>-50</w:t>
                  </w:r>
                </w:p>
              </w:tc>
              <w:tc>
                <w:tcPr>
                  <w:tcW w:w="340" w:type="dxa"/>
                  <w:vAlign w:val="center"/>
                </w:tcPr>
                <w:p w14:paraId="68686F1E">
                  <w:pPr>
                    <w:pStyle w:val="24"/>
                    <w:overflowPunct w:val="0"/>
                    <w:autoSpaceDE w:val="0"/>
                    <w:autoSpaceDN w:val="0"/>
                  </w:pPr>
                  <w:r>
                    <w:t>相对密度（空气=1）</w:t>
                  </w:r>
                </w:p>
              </w:tc>
              <w:tc>
                <w:tcPr>
                  <w:tcW w:w="340" w:type="dxa"/>
                  <w:vAlign w:val="center"/>
                </w:tcPr>
                <w:p w14:paraId="097BC6DE">
                  <w:pPr>
                    <w:pStyle w:val="24"/>
                    <w:overflowPunct w:val="0"/>
                    <w:autoSpaceDE w:val="0"/>
                    <w:autoSpaceDN w:val="0"/>
                  </w:pPr>
                  <w:r>
                    <w:t>3.5</w:t>
                  </w:r>
                </w:p>
              </w:tc>
            </w:tr>
            <w:tr w14:paraId="4E39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BC021FC">
                  <w:pPr>
                    <w:pStyle w:val="24"/>
                    <w:overflowPunct w:val="0"/>
                    <w:autoSpaceDE w:val="0"/>
                    <w:autoSpaceDN w:val="0"/>
                  </w:pPr>
                  <w:r>
                    <w:t>引燃温度（℃）</w:t>
                  </w:r>
                </w:p>
              </w:tc>
              <w:tc>
                <w:tcPr>
                  <w:tcW w:w="340" w:type="dxa"/>
                  <w:vAlign w:val="center"/>
                </w:tcPr>
                <w:p w14:paraId="74E4A446">
                  <w:pPr>
                    <w:pStyle w:val="24"/>
                    <w:overflowPunct w:val="0"/>
                    <w:autoSpaceDE w:val="0"/>
                    <w:autoSpaceDN w:val="0"/>
                  </w:pPr>
                  <w:r>
                    <w:t>415～530</w:t>
                  </w:r>
                </w:p>
              </w:tc>
              <w:tc>
                <w:tcPr>
                  <w:tcW w:w="340" w:type="dxa"/>
                  <w:vAlign w:val="center"/>
                </w:tcPr>
                <w:p w14:paraId="027F0892">
                  <w:pPr>
                    <w:pStyle w:val="24"/>
                    <w:overflowPunct w:val="0"/>
                    <w:autoSpaceDE w:val="0"/>
                    <w:autoSpaceDN w:val="0"/>
                  </w:pPr>
                  <w:r>
                    <w:t>爆炸上限％（V/V）：</w:t>
                  </w:r>
                </w:p>
              </w:tc>
              <w:tc>
                <w:tcPr>
                  <w:tcW w:w="340" w:type="dxa"/>
                  <w:vAlign w:val="center"/>
                </w:tcPr>
                <w:p w14:paraId="5E787552">
                  <w:pPr>
                    <w:pStyle w:val="24"/>
                    <w:overflowPunct w:val="0"/>
                    <w:autoSpaceDE w:val="0"/>
                    <w:autoSpaceDN w:val="0"/>
                  </w:pPr>
                  <w:r>
                    <w:rPr>
                      <w:rFonts w:hint="eastAsia"/>
                    </w:rPr>
                    <w:t>6.0</w:t>
                  </w:r>
                </w:p>
              </w:tc>
            </w:tr>
            <w:tr w14:paraId="7670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6702604">
                  <w:pPr>
                    <w:pStyle w:val="24"/>
                    <w:overflowPunct w:val="0"/>
                    <w:autoSpaceDE w:val="0"/>
                    <w:autoSpaceDN w:val="0"/>
                  </w:pPr>
                  <w:r>
                    <w:t>沸点（℃）</w:t>
                  </w:r>
                </w:p>
              </w:tc>
              <w:tc>
                <w:tcPr>
                  <w:tcW w:w="340" w:type="dxa"/>
                  <w:vAlign w:val="center"/>
                </w:tcPr>
                <w:p w14:paraId="676F2F02">
                  <w:pPr>
                    <w:pStyle w:val="24"/>
                    <w:overflowPunct w:val="0"/>
                    <w:autoSpaceDE w:val="0"/>
                    <w:autoSpaceDN w:val="0"/>
                  </w:pPr>
                  <w:r>
                    <w:t>40～200</w:t>
                  </w:r>
                </w:p>
              </w:tc>
              <w:tc>
                <w:tcPr>
                  <w:tcW w:w="340" w:type="dxa"/>
                  <w:vAlign w:val="center"/>
                </w:tcPr>
                <w:p w14:paraId="2F6B4B7A">
                  <w:pPr>
                    <w:pStyle w:val="24"/>
                    <w:overflowPunct w:val="0"/>
                    <w:autoSpaceDE w:val="0"/>
                    <w:autoSpaceDN w:val="0"/>
                  </w:pPr>
                  <w:r>
                    <w:t>爆炸下限％（V/V）：</w:t>
                  </w:r>
                </w:p>
              </w:tc>
              <w:tc>
                <w:tcPr>
                  <w:tcW w:w="340" w:type="dxa"/>
                  <w:vAlign w:val="center"/>
                </w:tcPr>
                <w:p w14:paraId="423B4270">
                  <w:pPr>
                    <w:pStyle w:val="24"/>
                    <w:overflowPunct w:val="0"/>
                    <w:autoSpaceDE w:val="0"/>
                    <w:autoSpaceDN w:val="0"/>
                  </w:pPr>
                  <w:r>
                    <w:rPr>
                      <w:rFonts w:hint="eastAsia"/>
                    </w:rPr>
                    <w:t>1.3</w:t>
                  </w:r>
                </w:p>
              </w:tc>
            </w:tr>
            <w:tr w14:paraId="0AF0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B0083E4">
                  <w:pPr>
                    <w:pStyle w:val="24"/>
                    <w:overflowPunct w:val="0"/>
                    <w:autoSpaceDE w:val="0"/>
                    <w:autoSpaceDN w:val="0"/>
                  </w:pPr>
                  <w:r>
                    <w:t>溶解性</w:t>
                  </w:r>
                </w:p>
              </w:tc>
              <w:tc>
                <w:tcPr>
                  <w:tcW w:w="340" w:type="dxa"/>
                  <w:gridSpan w:val="3"/>
                  <w:vAlign w:val="center"/>
                </w:tcPr>
                <w:p w14:paraId="3DD0B658">
                  <w:pPr>
                    <w:pStyle w:val="24"/>
                    <w:overflowPunct w:val="0"/>
                    <w:autoSpaceDE w:val="0"/>
                    <w:autoSpaceDN w:val="0"/>
                  </w:pPr>
                  <w:r>
                    <w:t>不溶于水、易溶于苯、二硫化碳、醇、易溶于脂肪。</w:t>
                  </w:r>
                </w:p>
              </w:tc>
            </w:tr>
            <w:tr w14:paraId="10D0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70C4636">
                  <w:pPr>
                    <w:pStyle w:val="24"/>
                    <w:overflowPunct w:val="0"/>
                    <w:autoSpaceDE w:val="0"/>
                    <w:autoSpaceDN w:val="0"/>
                  </w:pPr>
                  <w:r>
                    <w:t>主要用途</w:t>
                  </w:r>
                </w:p>
              </w:tc>
              <w:tc>
                <w:tcPr>
                  <w:tcW w:w="340" w:type="dxa"/>
                  <w:gridSpan w:val="3"/>
                  <w:vAlign w:val="center"/>
                </w:tcPr>
                <w:p w14:paraId="6CEE661F">
                  <w:pPr>
                    <w:pStyle w:val="24"/>
                    <w:overflowPunct w:val="0"/>
                    <w:autoSpaceDE w:val="0"/>
                    <w:autoSpaceDN w:val="0"/>
                  </w:pPr>
                  <w:r>
                    <w:t>主要用作汽油机的燃料，用于橡胶、制鞋、印刷、制革等行业。</w:t>
                  </w:r>
                </w:p>
              </w:tc>
            </w:tr>
            <w:tr w14:paraId="0062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313CB115">
                  <w:pPr>
                    <w:pStyle w:val="24"/>
                    <w:overflowPunct w:val="0"/>
                    <w:autoSpaceDE w:val="0"/>
                    <w:autoSpaceDN w:val="0"/>
                  </w:pPr>
                  <w:r>
                    <w:rPr>
                      <w:rFonts w:hint="eastAsia"/>
                    </w:rPr>
                    <w:t xml:space="preserve">第三部分  </w:t>
                  </w:r>
                  <w:r>
                    <w:t>稳定性及化学活性</w:t>
                  </w:r>
                </w:p>
              </w:tc>
            </w:tr>
            <w:tr w14:paraId="135C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4A999F3">
                  <w:pPr>
                    <w:pStyle w:val="24"/>
                    <w:overflowPunct w:val="0"/>
                    <w:autoSpaceDE w:val="0"/>
                    <w:autoSpaceDN w:val="0"/>
                  </w:pPr>
                  <w:r>
                    <w:t>稳定性</w:t>
                  </w:r>
                </w:p>
              </w:tc>
              <w:tc>
                <w:tcPr>
                  <w:tcW w:w="340" w:type="dxa"/>
                  <w:vAlign w:val="center"/>
                </w:tcPr>
                <w:p w14:paraId="0983D334">
                  <w:pPr>
                    <w:pStyle w:val="24"/>
                    <w:overflowPunct w:val="0"/>
                    <w:autoSpaceDE w:val="0"/>
                    <w:autoSpaceDN w:val="0"/>
                  </w:pPr>
                  <w:r>
                    <w:t>稳定</w:t>
                  </w:r>
                </w:p>
              </w:tc>
              <w:tc>
                <w:tcPr>
                  <w:tcW w:w="340" w:type="dxa"/>
                  <w:vAlign w:val="center"/>
                </w:tcPr>
                <w:p w14:paraId="214A1E2D">
                  <w:pPr>
                    <w:pStyle w:val="24"/>
                    <w:overflowPunct w:val="0"/>
                    <w:autoSpaceDE w:val="0"/>
                    <w:autoSpaceDN w:val="0"/>
                  </w:pPr>
                  <w:r>
                    <w:t>避免接触的条件</w:t>
                  </w:r>
                </w:p>
              </w:tc>
              <w:tc>
                <w:tcPr>
                  <w:tcW w:w="340" w:type="dxa"/>
                  <w:vAlign w:val="center"/>
                </w:tcPr>
                <w:p w14:paraId="3374653D">
                  <w:pPr>
                    <w:pStyle w:val="24"/>
                    <w:overflowPunct w:val="0"/>
                    <w:autoSpaceDE w:val="0"/>
                    <w:autoSpaceDN w:val="0"/>
                  </w:pPr>
                  <w:r>
                    <w:t>明火、高热</w:t>
                  </w:r>
                </w:p>
              </w:tc>
            </w:tr>
            <w:tr w14:paraId="0DAC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61AD52F8">
                  <w:pPr>
                    <w:pStyle w:val="24"/>
                    <w:overflowPunct w:val="0"/>
                    <w:autoSpaceDE w:val="0"/>
                    <w:autoSpaceDN w:val="0"/>
                  </w:pPr>
                  <w:r>
                    <w:t>禁配物</w:t>
                  </w:r>
                </w:p>
              </w:tc>
              <w:tc>
                <w:tcPr>
                  <w:tcW w:w="340" w:type="dxa"/>
                  <w:vAlign w:val="center"/>
                </w:tcPr>
                <w:p w14:paraId="5154DF04">
                  <w:pPr>
                    <w:pStyle w:val="24"/>
                    <w:overflowPunct w:val="0"/>
                    <w:autoSpaceDE w:val="0"/>
                    <w:autoSpaceDN w:val="0"/>
                  </w:pPr>
                  <w:r>
                    <w:t>强氧化剂</w:t>
                  </w:r>
                </w:p>
              </w:tc>
              <w:tc>
                <w:tcPr>
                  <w:tcW w:w="340" w:type="dxa"/>
                  <w:vAlign w:val="center"/>
                </w:tcPr>
                <w:p w14:paraId="3FFC7E03">
                  <w:pPr>
                    <w:pStyle w:val="24"/>
                    <w:overflowPunct w:val="0"/>
                    <w:autoSpaceDE w:val="0"/>
                    <w:autoSpaceDN w:val="0"/>
                  </w:pPr>
                  <w:r>
                    <w:t>聚合危害：</w:t>
                  </w:r>
                </w:p>
              </w:tc>
              <w:tc>
                <w:tcPr>
                  <w:tcW w:w="340" w:type="dxa"/>
                  <w:vAlign w:val="center"/>
                </w:tcPr>
                <w:p w14:paraId="547AFF99">
                  <w:pPr>
                    <w:pStyle w:val="24"/>
                    <w:overflowPunct w:val="0"/>
                    <w:autoSpaceDE w:val="0"/>
                    <w:autoSpaceDN w:val="0"/>
                  </w:pPr>
                  <w:r>
                    <w:t>不聚合</w:t>
                  </w:r>
                </w:p>
              </w:tc>
            </w:tr>
            <w:tr w14:paraId="1413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2A0B67F4">
                  <w:pPr>
                    <w:pStyle w:val="24"/>
                    <w:overflowPunct w:val="0"/>
                    <w:autoSpaceDE w:val="0"/>
                    <w:autoSpaceDN w:val="0"/>
                  </w:pPr>
                  <w:r>
                    <w:t>分解产物</w:t>
                  </w:r>
                </w:p>
              </w:tc>
              <w:tc>
                <w:tcPr>
                  <w:tcW w:w="340" w:type="dxa"/>
                  <w:gridSpan w:val="3"/>
                  <w:vAlign w:val="center"/>
                </w:tcPr>
                <w:p w14:paraId="129FB5F0">
                  <w:pPr>
                    <w:pStyle w:val="24"/>
                    <w:overflowPunct w:val="0"/>
                    <w:autoSpaceDE w:val="0"/>
                    <w:autoSpaceDN w:val="0"/>
                  </w:pPr>
                  <w:r>
                    <w:t>一氧化碳、二氧化碳。</w:t>
                  </w:r>
                </w:p>
              </w:tc>
            </w:tr>
            <w:tr w14:paraId="5DF5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49E7D57B">
                  <w:pPr>
                    <w:pStyle w:val="24"/>
                    <w:overflowPunct w:val="0"/>
                    <w:autoSpaceDE w:val="0"/>
                    <w:autoSpaceDN w:val="0"/>
                  </w:pPr>
                  <w:r>
                    <w:rPr>
                      <w:rFonts w:hint="eastAsia"/>
                    </w:rPr>
                    <w:t xml:space="preserve">第四部分  </w:t>
                  </w:r>
                  <w:r>
                    <w:t>毒理学资料</w:t>
                  </w:r>
                </w:p>
              </w:tc>
            </w:tr>
            <w:tr w14:paraId="33A6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213E6C5">
                  <w:pPr>
                    <w:pStyle w:val="24"/>
                    <w:overflowPunct w:val="0"/>
                    <w:autoSpaceDE w:val="0"/>
                    <w:autoSpaceDN w:val="0"/>
                  </w:pPr>
                  <w:r>
                    <w:t>急性毒性</w:t>
                  </w:r>
                </w:p>
              </w:tc>
              <w:tc>
                <w:tcPr>
                  <w:tcW w:w="340" w:type="dxa"/>
                  <w:gridSpan w:val="3"/>
                  <w:vAlign w:val="center"/>
                </w:tcPr>
                <w:p w14:paraId="4088E444">
                  <w:pPr>
                    <w:pStyle w:val="24"/>
                    <w:overflowPunct w:val="0"/>
                    <w:autoSpaceDE w:val="0"/>
                    <w:autoSpaceDN w:val="0"/>
                  </w:pPr>
                  <w:r>
                    <w:t>LD</w:t>
                  </w:r>
                  <w:r>
                    <w:rPr>
                      <w:vertAlign w:val="subscript"/>
                    </w:rPr>
                    <w:t>50</w:t>
                  </w:r>
                  <w:r>
                    <w:t xml:space="preserve"> 67000mg/kg（小鼠经口），2小时（120号溶剂汽油）</w:t>
                  </w:r>
                </w:p>
                <w:p w14:paraId="5EA9D03B">
                  <w:pPr>
                    <w:pStyle w:val="24"/>
                    <w:overflowPunct w:val="0"/>
                    <w:autoSpaceDE w:val="0"/>
                    <w:autoSpaceDN w:val="0"/>
                  </w:pPr>
                  <w:r>
                    <w:t>LC</w:t>
                  </w:r>
                  <w:r>
                    <w:rPr>
                      <w:vertAlign w:val="subscript"/>
                    </w:rPr>
                    <w:t>50</w:t>
                  </w:r>
                  <w:r>
                    <w:t xml:space="preserve"> 103000mg/m</w:t>
                  </w:r>
                  <w:r>
                    <w:rPr>
                      <w:vertAlign w:val="superscript"/>
                    </w:rPr>
                    <w:t>3</w:t>
                  </w:r>
                  <w:r>
                    <w:t>小鼠，2小时（120号溶剂汽油）</w:t>
                  </w:r>
                </w:p>
              </w:tc>
            </w:tr>
            <w:tr w14:paraId="6E6C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CACE5E6">
                  <w:pPr>
                    <w:pStyle w:val="24"/>
                    <w:overflowPunct w:val="0"/>
                    <w:autoSpaceDE w:val="0"/>
                    <w:autoSpaceDN w:val="0"/>
                  </w:pPr>
                  <w:r>
                    <w:t>急性中毒</w:t>
                  </w:r>
                </w:p>
              </w:tc>
              <w:tc>
                <w:tcPr>
                  <w:tcW w:w="340" w:type="dxa"/>
                  <w:gridSpan w:val="3"/>
                  <w:vAlign w:val="center"/>
                </w:tcPr>
                <w:p w14:paraId="5FFC5596">
                  <w:pPr>
                    <w:pStyle w:val="24"/>
                    <w:overflowPunct w:val="0"/>
                    <w:autoSpaceDE w:val="0"/>
                    <w:autoSpaceDN w:val="0"/>
                  </w:pPr>
                  <w:r>
                    <w:t>高浓度吸入出现中毒性脑病。极高浓度吸入引起意识突然丧失、反射性呼吸停止和化学性肺炎。可致角膜溃疡、穿孔，甚至失明。皮肤接触致急性接触性皮炎或过敏性皮炎。经口中毒引起急性胃肠炎；重者出现，似急性吸入中毒症状。</w:t>
                  </w:r>
                </w:p>
              </w:tc>
            </w:tr>
            <w:tr w14:paraId="115D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93B248F">
                  <w:pPr>
                    <w:pStyle w:val="24"/>
                    <w:overflowPunct w:val="0"/>
                    <w:autoSpaceDE w:val="0"/>
                    <w:autoSpaceDN w:val="0"/>
                  </w:pPr>
                  <w:r>
                    <w:t>慢性中毒</w:t>
                  </w:r>
                </w:p>
              </w:tc>
              <w:tc>
                <w:tcPr>
                  <w:tcW w:w="340" w:type="dxa"/>
                  <w:gridSpan w:val="3"/>
                  <w:vAlign w:val="center"/>
                </w:tcPr>
                <w:p w14:paraId="7CF65664">
                  <w:pPr>
                    <w:pStyle w:val="24"/>
                    <w:overflowPunct w:val="0"/>
                    <w:autoSpaceDE w:val="0"/>
                    <w:autoSpaceDN w:val="0"/>
                  </w:pPr>
                  <w:r>
                    <w:t>神经衰弱综合症，周围神经病，皮肤损害</w:t>
                  </w:r>
                  <w:r>
                    <w:rPr>
                      <w:rFonts w:hint="eastAsia"/>
                    </w:rPr>
                    <w:t>。</w:t>
                  </w:r>
                </w:p>
              </w:tc>
            </w:tr>
            <w:tr w14:paraId="11F3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EEEF87F">
                  <w:pPr>
                    <w:pStyle w:val="24"/>
                    <w:overflowPunct w:val="0"/>
                    <w:autoSpaceDE w:val="0"/>
                    <w:autoSpaceDN w:val="0"/>
                  </w:pPr>
                  <w:r>
                    <w:t>刺激性</w:t>
                  </w:r>
                </w:p>
              </w:tc>
              <w:tc>
                <w:tcPr>
                  <w:tcW w:w="340" w:type="dxa"/>
                  <w:gridSpan w:val="3"/>
                  <w:vAlign w:val="center"/>
                </w:tcPr>
                <w:p w14:paraId="70C007AF">
                  <w:pPr>
                    <w:pStyle w:val="24"/>
                    <w:overflowPunct w:val="0"/>
                    <w:autoSpaceDE w:val="0"/>
                    <w:autoSpaceDN w:val="0"/>
                  </w:pPr>
                  <w:r>
                    <w:t>人经眼：140ppm（8小时），轻微刺激。</w:t>
                  </w:r>
                </w:p>
              </w:tc>
            </w:tr>
            <w:tr w14:paraId="4223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FF9163B">
                  <w:pPr>
                    <w:pStyle w:val="24"/>
                    <w:overflowPunct w:val="0"/>
                    <w:autoSpaceDE w:val="0"/>
                    <w:autoSpaceDN w:val="0"/>
                  </w:pPr>
                  <w:r>
                    <w:t>最高容许浓度</w:t>
                  </w:r>
                </w:p>
              </w:tc>
              <w:tc>
                <w:tcPr>
                  <w:tcW w:w="340" w:type="dxa"/>
                  <w:gridSpan w:val="3"/>
                  <w:vAlign w:val="center"/>
                </w:tcPr>
                <w:p w14:paraId="21D6A276">
                  <w:pPr>
                    <w:pStyle w:val="24"/>
                    <w:overflowPunct w:val="0"/>
                    <w:autoSpaceDE w:val="0"/>
                    <w:autoSpaceDN w:val="0"/>
                  </w:pPr>
                  <w:r>
                    <w:t>300mg/m</w:t>
                  </w:r>
                  <w:r>
                    <w:rPr>
                      <w:vertAlign w:val="superscript"/>
                    </w:rPr>
                    <w:t>3</w:t>
                  </w:r>
                </w:p>
              </w:tc>
            </w:tr>
          </w:tbl>
          <w:p w14:paraId="60FC1D88">
            <w:pPr>
              <w:pStyle w:val="6"/>
              <w:overflowPunct w:val="0"/>
              <w:autoSpaceDE w:val="0"/>
              <w:autoSpaceDN w:val="0"/>
            </w:pPr>
            <w:r>
              <w:t xml:space="preserve">表 </w:t>
            </w:r>
            <w:r>
              <w:rPr>
                <w:rFonts w:hint="eastAsia"/>
              </w:rPr>
              <w:t>2-</w:t>
            </w:r>
            <w:r>
              <w:fldChar w:fldCharType="begin"/>
            </w:r>
            <w:r>
              <w:instrText xml:space="preserve"> SEQ 表 \* ARABIC \s 1 </w:instrText>
            </w:r>
            <w:r>
              <w:fldChar w:fldCharType="separate"/>
            </w:r>
            <w:r>
              <w:t>11</w:t>
            </w:r>
            <w:r>
              <w:fldChar w:fldCharType="end"/>
            </w:r>
            <w:r>
              <w:rPr>
                <w:rFonts w:hint="eastAsia"/>
              </w:rPr>
              <w:t xml:space="preserve"> 柴油理化性质和危险特性</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1897"/>
              <w:gridCol w:w="2368"/>
              <w:gridCol w:w="1897"/>
            </w:tblGrid>
            <w:tr w14:paraId="4F6E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4305C54B">
                  <w:pPr>
                    <w:pStyle w:val="24"/>
                    <w:overflowPunct w:val="0"/>
                    <w:autoSpaceDE w:val="0"/>
                    <w:autoSpaceDN w:val="0"/>
                  </w:pPr>
                  <w:r>
                    <w:t>第一部分</w:t>
                  </w:r>
                  <w:r>
                    <w:rPr>
                      <w:rFonts w:hint="eastAsia"/>
                    </w:rPr>
                    <w:t xml:space="preserve">  </w:t>
                  </w:r>
                  <w:r>
                    <w:t>危险性概述</w:t>
                  </w:r>
                </w:p>
              </w:tc>
            </w:tr>
            <w:tr w14:paraId="4AB3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6518EFCE">
                  <w:pPr>
                    <w:pStyle w:val="24"/>
                    <w:overflowPunct w:val="0"/>
                    <w:autoSpaceDE w:val="0"/>
                    <w:autoSpaceDN w:val="0"/>
                  </w:pPr>
                  <w:r>
                    <w:rPr>
                      <w:rFonts w:hint="eastAsia"/>
                    </w:rPr>
                    <w:t>危险性类别</w:t>
                  </w:r>
                </w:p>
              </w:tc>
              <w:tc>
                <w:tcPr>
                  <w:tcW w:w="340" w:type="dxa"/>
                  <w:vAlign w:val="center"/>
                </w:tcPr>
                <w:p w14:paraId="08B4ABAC">
                  <w:pPr>
                    <w:pStyle w:val="24"/>
                    <w:overflowPunct w:val="0"/>
                    <w:autoSpaceDE w:val="0"/>
                    <w:autoSpaceDN w:val="0"/>
                  </w:pPr>
                  <w:r>
                    <w:rPr>
                      <w:rFonts w:hint="eastAsia"/>
                    </w:rPr>
                    <w:t>第3.3类高闪点易燃液体</w:t>
                  </w:r>
                </w:p>
              </w:tc>
              <w:tc>
                <w:tcPr>
                  <w:tcW w:w="340" w:type="dxa"/>
                  <w:vAlign w:val="center"/>
                </w:tcPr>
                <w:p w14:paraId="162AA64D">
                  <w:pPr>
                    <w:pStyle w:val="24"/>
                    <w:overflowPunct w:val="0"/>
                    <w:autoSpaceDE w:val="0"/>
                    <w:autoSpaceDN w:val="0"/>
                  </w:pPr>
                  <w:r>
                    <w:rPr>
                      <w:rFonts w:hint="eastAsia"/>
                    </w:rPr>
                    <w:t>燃爆危险</w:t>
                  </w:r>
                </w:p>
              </w:tc>
              <w:tc>
                <w:tcPr>
                  <w:tcW w:w="340" w:type="dxa"/>
                  <w:vAlign w:val="center"/>
                </w:tcPr>
                <w:p w14:paraId="7D3A9004">
                  <w:pPr>
                    <w:pStyle w:val="24"/>
                    <w:overflowPunct w:val="0"/>
                    <w:autoSpaceDE w:val="0"/>
                    <w:autoSpaceDN w:val="0"/>
                  </w:pPr>
                  <w:r>
                    <w:rPr>
                      <w:rFonts w:hint="eastAsia"/>
                    </w:rPr>
                    <w:t>易燃</w:t>
                  </w:r>
                </w:p>
              </w:tc>
            </w:tr>
            <w:tr w14:paraId="45B6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2542C92">
                  <w:pPr>
                    <w:pStyle w:val="24"/>
                    <w:overflowPunct w:val="0"/>
                    <w:autoSpaceDE w:val="0"/>
                    <w:autoSpaceDN w:val="0"/>
                  </w:pPr>
                  <w:r>
                    <w:rPr>
                      <w:rFonts w:hint="eastAsia"/>
                    </w:rPr>
                    <w:t>侵入途径</w:t>
                  </w:r>
                </w:p>
              </w:tc>
              <w:tc>
                <w:tcPr>
                  <w:tcW w:w="340" w:type="dxa"/>
                  <w:vAlign w:val="center"/>
                </w:tcPr>
                <w:p w14:paraId="223EC916">
                  <w:pPr>
                    <w:pStyle w:val="24"/>
                    <w:overflowPunct w:val="0"/>
                    <w:autoSpaceDE w:val="0"/>
                    <w:autoSpaceDN w:val="0"/>
                  </w:pPr>
                  <w:r>
                    <w:t>吸入、食入、经皮肤吸收</w:t>
                  </w:r>
                </w:p>
              </w:tc>
              <w:tc>
                <w:tcPr>
                  <w:tcW w:w="340" w:type="dxa"/>
                  <w:vAlign w:val="center"/>
                </w:tcPr>
                <w:p w14:paraId="5DB52822">
                  <w:pPr>
                    <w:pStyle w:val="24"/>
                    <w:overflowPunct w:val="0"/>
                    <w:autoSpaceDE w:val="0"/>
                    <w:autoSpaceDN w:val="0"/>
                  </w:pPr>
                  <w:r>
                    <w:t>有害燃烧产物</w:t>
                  </w:r>
                </w:p>
              </w:tc>
              <w:tc>
                <w:tcPr>
                  <w:tcW w:w="340" w:type="dxa"/>
                  <w:vAlign w:val="center"/>
                </w:tcPr>
                <w:p w14:paraId="09D183B6">
                  <w:pPr>
                    <w:pStyle w:val="24"/>
                    <w:overflowPunct w:val="0"/>
                    <w:autoSpaceDE w:val="0"/>
                    <w:autoSpaceDN w:val="0"/>
                  </w:pPr>
                  <w:r>
                    <w:t>一氧化碳、二氧化碳</w:t>
                  </w:r>
                </w:p>
              </w:tc>
            </w:tr>
            <w:tr w14:paraId="2CED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vAlign w:val="center"/>
                </w:tcPr>
                <w:p w14:paraId="07013277">
                  <w:pPr>
                    <w:pStyle w:val="24"/>
                    <w:overflowPunct w:val="0"/>
                    <w:autoSpaceDE w:val="0"/>
                    <w:autoSpaceDN w:val="0"/>
                  </w:pPr>
                  <w:r>
                    <w:t>环境危害</w:t>
                  </w:r>
                </w:p>
              </w:tc>
              <w:tc>
                <w:tcPr>
                  <w:tcW w:w="340" w:type="dxa"/>
                  <w:gridSpan w:val="3"/>
                  <w:vAlign w:val="center"/>
                </w:tcPr>
                <w:p w14:paraId="53F9B04F">
                  <w:pPr>
                    <w:pStyle w:val="24"/>
                    <w:overflowPunct w:val="0"/>
                    <w:autoSpaceDE w:val="0"/>
                    <w:autoSpaceDN w:val="0"/>
                  </w:pPr>
                  <w:r>
                    <w:rPr>
                      <w:rFonts w:hint="eastAsia"/>
                    </w:rPr>
                    <w:t>该物质对环境有危害，应特别注意对地表水、土壤、大气和饮用水的污染。</w:t>
                  </w:r>
                </w:p>
              </w:tc>
            </w:tr>
            <w:tr w14:paraId="6B50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330F417D">
                  <w:pPr>
                    <w:pStyle w:val="24"/>
                    <w:overflowPunct w:val="0"/>
                    <w:autoSpaceDE w:val="0"/>
                    <w:autoSpaceDN w:val="0"/>
                  </w:pPr>
                  <w:r>
                    <w:rPr>
                      <w:rFonts w:hint="eastAsia"/>
                    </w:rPr>
                    <w:t>第二部分  理化特性</w:t>
                  </w:r>
                </w:p>
              </w:tc>
            </w:tr>
            <w:tr w14:paraId="5EBF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B1B1BA8">
                  <w:pPr>
                    <w:pStyle w:val="24"/>
                    <w:overflowPunct w:val="0"/>
                    <w:autoSpaceDE w:val="0"/>
                    <w:autoSpaceDN w:val="0"/>
                  </w:pPr>
                  <w:r>
                    <w:t>外观及性状</w:t>
                  </w:r>
                </w:p>
              </w:tc>
              <w:tc>
                <w:tcPr>
                  <w:tcW w:w="340" w:type="dxa"/>
                  <w:vAlign w:val="center"/>
                </w:tcPr>
                <w:p w14:paraId="5A00F5A3">
                  <w:pPr>
                    <w:pStyle w:val="24"/>
                    <w:overflowPunct w:val="0"/>
                    <w:autoSpaceDE w:val="0"/>
                    <w:autoSpaceDN w:val="0"/>
                  </w:pPr>
                  <w:r>
                    <w:rPr>
                      <w:rFonts w:hint="eastAsia"/>
                    </w:rPr>
                    <w:t>稍有粘性的棕色液体。</w:t>
                  </w:r>
                </w:p>
              </w:tc>
              <w:tc>
                <w:tcPr>
                  <w:tcW w:w="340" w:type="dxa"/>
                  <w:vAlign w:val="center"/>
                </w:tcPr>
                <w:p w14:paraId="71DC66EC">
                  <w:pPr>
                    <w:pStyle w:val="24"/>
                    <w:overflowPunct w:val="0"/>
                    <w:autoSpaceDE w:val="0"/>
                    <w:autoSpaceDN w:val="0"/>
                  </w:pPr>
                  <w:r>
                    <w:t>主要用途</w:t>
                  </w:r>
                </w:p>
              </w:tc>
              <w:tc>
                <w:tcPr>
                  <w:tcW w:w="340" w:type="dxa"/>
                  <w:vAlign w:val="center"/>
                </w:tcPr>
                <w:p w14:paraId="2F655D7A">
                  <w:pPr>
                    <w:pStyle w:val="24"/>
                    <w:overflowPunct w:val="0"/>
                    <w:autoSpaceDE w:val="0"/>
                    <w:autoSpaceDN w:val="0"/>
                  </w:pPr>
                  <w:r>
                    <w:t>用作柴油机的燃料等。</w:t>
                  </w:r>
                </w:p>
              </w:tc>
            </w:tr>
            <w:tr w14:paraId="51B7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2266729">
                  <w:pPr>
                    <w:pStyle w:val="24"/>
                    <w:overflowPunct w:val="0"/>
                    <w:autoSpaceDE w:val="0"/>
                    <w:autoSpaceDN w:val="0"/>
                  </w:pPr>
                  <w:r>
                    <w:t>闪点（℃）</w:t>
                  </w:r>
                </w:p>
              </w:tc>
              <w:tc>
                <w:tcPr>
                  <w:tcW w:w="340" w:type="dxa"/>
                  <w:vAlign w:val="center"/>
                </w:tcPr>
                <w:p w14:paraId="165033F0">
                  <w:pPr>
                    <w:pStyle w:val="24"/>
                    <w:overflowPunct w:val="0"/>
                    <w:autoSpaceDE w:val="0"/>
                    <w:autoSpaceDN w:val="0"/>
                  </w:pPr>
                  <w:r>
                    <w:rPr>
                      <w:rFonts w:hint="eastAsia"/>
                    </w:rPr>
                    <w:t>45~55</w:t>
                  </w:r>
                </w:p>
              </w:tc>
              <w:tc>
                <w:tcPr>
                  <w:tcW w:w="340" w:type="dxa"/>
                  <w:vAlign w:val="center"/>
                </w:tcPr>
                <w:p w14:paraId="1DE53FD4">
                  <w:pPr>
                    <w:pStyle w:val="24"/>
                    <w:overflowPunct w:val="0"/>
                    <w:autoSpaceDE w:val="0"/>
                    <w:autoSpaceDN w:val="0"/>
                  </w:pPr>
                  <w:r>
                    <w:t>相对密度（水＝1）</w:t>
                  </w:r>
                </w:p>
              </w:tc>
              <w:tc>
                <w:tcPr>
                  <w:tcW w:w="340" w:type="dxa"/>
                  <w:vAlign w:val="center"/>
                </w:tcPr>
                <w:p w14:paraId="7ECE76FD">
                  <w:pPr>
                    <w:pStyle w:val="24"/>
                    <w:overflowPunct w:val="0"/>
                    <w:autoSpaceDE w:val="0"/>
                    <w:autoSpaceDN w:val="0"/>
                  </w:pPr>
                  <w:r>
                    <w:rPr>
                      <w:rFonts w:hint="eastAsia"/>
                    </w:rPr>
                    <w:t>0.81~0.9</w:t>
                  </w:r>
                </w:p>
              </w:tc>
            </w:tr>
            <w:tr w14:paraId="2226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F5A36C1">
                  <w:pPr>
                    <w:pStyle w:val="24"/>
                    <w:overflowPunct w:val="0"/>
                    <w:autoSpaceDE w:val="0"/>
                    <w:autoSpaceDN w:val="0"/>
                  </w:pPr>
                  <w:r>
                    <w:rPr>
                      <w:rFonts w:hint="eastAsia"/>
                    </w:rPr>
                    <w:t>沸点</w:t>
                  </w:r>
                  <w:r>
                    <w:t>（℃）</w:t>
                  </w:r>
                </w:p>
              </w:tc>
              <w:tc>
                <w:tcPr>
                  <w:tcW w:w="340" w:type="dxa"/>
                  <w:vAlign w:val="center"/>
                </w:tcPr>
                <w:p w14:paraId="12F34F5A">
                  <w:pPr>
                    <w:pStyle w:val="24"/>
                    <w:overflowPunct w:val="0"/>
                    <w:autoSpaceDE w:val="0"/>
                    <w:autoSpaceDN w:val="0"/>
                  </w:pPr>
                  <w:r>
                    <w:rPr>
                      <w:rFonts w:hint="eastAsia"/>
                    </w:rPr>
                    <w:t>200~350</w:t>
                  </w:r>
                </w:p>
              </w:tc>
              <w:tc>
                <w:tcPr>
                  <w:tcW w:w="340" w:type="dxa"/>
                  <w:vAlign w:val="center"/>
                </w:tcPr>
                <w:p w14:paraId="1B37DCE1">
                  <w:pPr>
                    <w:pStyle w:val="24"/>
                    <w:overflowPunct w:val="0"/>
                    <w:autoSpaceDE w:val="0"/>
                    <w:autoSpaceDN w:val="0"/>
                  </w:pPr>
                  <w:r>
                    <w:t>爆炸上限％（V/V）：</w:t>
                  </w:r>
                </w:p>
              </w:tc>
              <w:tc>
                <w:tcPr>
                  <w:tcW w:w="340" w:type="dxa"/>
                  <w:vAlign w:val="center"/>
                </w:tcPr>
                <w:p w14:paraId="49216B85">
                  <w:pPr>
                    <w:pStyle w:val="24"/>
                    <w:overflowPunct w:val="0"/>
                    <w:autoSpaceDE w:val="0"/>
                    <w:autoSpaceDN w:val="0"/>
                  </w:pPr>
                  <w:r>
                    <w:rPr>
                      <w:rFonts w:hint="eastAsia"/>
                    </w:rPr>
                    <w:t>4.5</w:t>
                  </w:r>
                </w:p>
              </w:tc>
            </w:tr>
            <w:tr w14:paraId="557B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FF8BA6D">
                  <w:pPr>
                    <w:pStyle w:val="24"/>
                    <w:overflowPunct w:val="0"/>
                    <w:autoSpaceDE w:val="0"/>
                    <w:autoSpaceDN w:val="0"/>
                  </w:pPr>
                  <w:r>
                    <w:rPr>
                      <w:rFonts w:hint="eastAsia"/>
                    </w:rPr>
                    <w:t>自然点</w:t>
                  </w:r>
                  <w:r>
                    <w:t>（℃）</w:t>
                  </w:r>
                </w:p>
              </w:tc>
              <w:tc>
                <w:tcPr>
                  <w:tcW w:w="340" w:type="dxa"/>
                  <w:vAlign w:val="center"/>
                </w:tcPr>
                <w:p w14:paraId="4414CEA0">
                  <w:pPr>
                    <w:pStyle w:val="24"/>
                    <w:overflowPunct w:val="0"/>
                    <w:autoSpaceDE w:val="0"/>
                    <w:autoSpaceDN w:val="0"/>
                  </w:pPr>
                  <w:r>
                    <w:rPr>
                      <w:rFonts w:hint="eastAsia"/>
                    </w:rPr>
                    <w:t>257</w:t>
                  </w:r>
                </w:p>
              </w:tc>
              <w:tc>
                <w:tcPr>
                  <w:tcW w:w="340" w:type="dxa"/>
                  <w:vAlign w:val="center"/>
                </w:tcPr>
                <w:p w14:paraId="6D47A098">
                  <w:pPr>
                    <w:pStyle w:val="24"/>
                    <w:overflowPunct w:val="0"/>
                    <w:autoSpaceDE w:val="0"/>
                    <w:autoSpaceDN w:val="0"/>
                  </w:pPr>
                  <w:r>
                    <w:t>爆炸下限％（V/V）：</w:t>
                  </w:r>
                </w:p>
              </w:tc>
              <w:tc>
                <w:tcPr>
                  <w:tcW w:w="340" w:type="dxa"/>
                  <w:vAlign w:val="center"/>
                </w:tcPr>
                <w:p w14:paraId="6FE8EA91">
                  <w:pPr>
                    <w:pStyle w:val="24"/>
                    <w:overflowPunct w:val="0"/>
                    <w:autoSpaceDE w:val="0"/>
                    <w:autoSpaceDN w:val="0"/>
                  </w:pPr>
                  <w:r>
                    <w:rPr>
                      <w:rFonts w:hint="eastAsia"/>
                    </w:rPr>
                    <w:t>1.5</w:t>
                  </w:r>
                </w:p>
              </w:tc>
            </w:tr>
            <w:tr w14:paraId="7E0B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vAlign w:val="center"/>
                </w:tcPr>
                <w:p w14:paraId="03B13C07">
                  <w:pPr>
                    <w:pStyle w:val="24"/>
                    <w:overflowPunct w:val="0"/>
                    <w:autoSpaceDE w:val="0"/>
                    <w:autoSpaceDN w:val="0"/>
                  </w:pPr>
                  <w:r>
                    <w:t>溶解性</w:t>
                  </w:r>
                </w:p>
              </w:tc>
              <w:tc>
                <w:tcPr>
                  <w:tcW w:w="340" w:type="dxa"/>
                  <w:gridSpan w:val="3"/>
                  <w:vAlign w:val="center"/>
                </w:tcPr>
                <w:p w14:paraId="415892FD">
                  <w:pPr>
                    <w:pStyle w:val="24"/>
                    <w:overflowPunct w:val="0"/>
                    <w:autoSpaceDE w:val="0"/>
                    <w:autoSpaceDN w:val="0"/>
                  </w:pPr>
                  <w:r>
                    <w:rPr>
                      <w:rFonts w:hint="eastAsia"/>
                    </w:rPr>
                    <w:t>不溶于水，易溶于苯、二硫化碳、醇，易溶于脂肪。</w:t>
                  </w:r>
                </w:p>
              </w:tc>
            </w:tr>
            <w:tr w14:paraId="2124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2409A5A2">
                  <w:pPr>
                    <w:pStyle w:val="24"/>
                    <w:overflowPunct w:val="0"/>
                    <w:autoSpaceDE w:val="0"/>
                    <w:autoSpaceDN w:val="0"/>
                  </w:pPr>
                  <w:r>
                    <w:rPr>
                      <w:rFonts w:hint="eastAsia"/>
                    </w:rPr>
                    <w:t xml:space="preserve">第三部分  </w:t>
                  </w:r>
                  <w:r>
                    <w:t>稳定性及化学活性</w:t>
                  </w:r>
                </w:p>
              </w:tc>
            </w:tr>
            <w:tr w14:paraId="5E71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D889ED6">
                  <w:pPr>
                    <w:pStyle w:val="24"/>
                    <w:overflowPunct w:val="0"/>
                    <w:autoSpaceDE w:val="0"/>
                    <w:autoSpaceDN w:val="0"/>
                  </w:pPr>
                  <w:r>
                    <w:t>稳定性</w:t>
                  </w:r>
                </w:p>
              </w:tc>
              <w:tc>
                <w:tcPr>
                  <w:tcW w:w="340" w:type="dxa"/>
                  <w:vAlign w:val="center"/>
                </w:tcPr>
                <w:p w14:paraId="7D4263B6">
                  <w:pPr>
                    <w:pStyle w:val="24"/>
                    <w:overflowPunct w:val="0"/>
                    <w:autoSpaceDE w:val="0"/>
                    <w:autoSpaceDN w:val="0"/>
                  </w:pPr>
                  <w:r>
                    <w:t>稳定</w:t>
                  </w:r>
                </w:p>
              </w:tc>
              <w:tc>
                <w:tcPr>
                  <w:tcW w:w="340" w:type="dxa"/>
                  <w:vAlign w:val="center"/>
                </w:tcPr>
                <w:p w14:paraId="76F83393">
                  <w:pPr>
                    <w:pStyle w:val="24"/>
                    <w:overflowPunct w:val="0"/>
                    <w:autoSpaceDE w:val="0"/>
                    <w:autoSpaceDN w:val="0"/>
                  </w:pPr>
                  <w:r>
                    <w:t>避免接触的条件</w:t>
                  </w:r>
                </w:p>
              </w:tc>
              <w:tc>
                <w:tcPr>
                  <w:tcW w:w="340" w:type="dxa"/>
                  <w:vAlign w:val="center"/>
                </w:tcPr>
                <w:p w14:paraId="2ADF955A">
                  <w:pPr>
                    <w:pStyle w:val="24"/>
                    <w:overflowPunct w:val="0"/>
                    <w:autoSpaceDE w:val="0"/>
                    <w:autoSpaceDN w:val="0"/>
                  </w:pPr>
                  <w:r>
                    <w:t>明火、高热</w:t>
                  </w:r>
                </w:p>
              </w:tc>
            </w:tr>
            <w:tr w14:paraId="27BE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D0D0D9B">
                  <w:pPr>
                    <w:pStyle w:val="24"/>
                    <w:overflowPunct w:val="0"/>
                    <w:autoSpaceDE w:val="0"/>
                    <w:autoSpaceDN w:val="0"/>
                  </w:pPr>
                  <w:r>
                    <w:t>禁配物</w:t>
                  </w:r>
                </w:p>
              </w:tc>
              <w:tc>
                <w:tcPr>
                  <w:tcW w:w="340" w:type="dxa"/>
                  <w:vAlign w:val="center"/>
                </w:tcPr>
                <w:p w14:paraId="38CFB8C5">
                  <w:pPr>
                    <w:pStyle w:val="24"/>
                    <w:overflowPunct w:val="0"/>
                    <w:autoSpaceDE w:val="0"/>
                    <w:autoSpaceDN w:val="0"/>
                  </w:pPr>
                  <w:r>
                    <w:t>强氧化剂</w:t>
                  </w:r>
                  <w:r>
                    <w:rPr>
                      <w:rFonts w:hint="eastAsia"/>
                    </w:rPr>
                    <w:t>、卤素</w:t>
                  </w:r>
                </w:p>
              </w:tc>
              <w:tc>
                <w:tcPr>
                  <w:tcW w:w="340" w:type="dxa"/>
                  <w:vAlign w:val="center"/>
                </w:tcPr>
                <w:p w14:paraId="13F01FA8">
                  <w:pPr>
                    <w:pStyle w:val="24"/>
                    <w:overflowPunct w:val="0"/>
                    <w:autoSpaceDE w:val="0"/>
                    <w:autoSpaceDN w:val="0"/>
                  </w:pPr>
                  <w:r>
                    <w:t>聚合危害：</w:t>
                  </w:r>
                </w:p>
              </w:tc>
              <w:tc>
                <w:tcPr>
                  <w:tcW w:w="340" w:type="dxa"/>
                  <w:vAlign w:val="center"/>
                </w:tcPr>
                <w:p w14:paraId="7DFB2B72">
                  <w:pPr>
                    <w:pStyle w:val="24"/>
                    <w:overflowPunct w:val="0"/>
                    <w:autoSpaceDE w:val="0"/>
                    <w:autoSpaceDN w:val="0"/>
                  </w:pPr>
                  <w:r>
                    <w:t>不聚合</w:t>
                  </w:r>
                </w:p>
              </w:tc>
            </w:tr>
            <w:tr w14:paraId="257E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A60405A">
                  <w:pPr>
                    <w:pStyle w:val="24"/>
                    <w:overflowPunct w:val="0"/>
                    <w:autoSpaceDE w:val="0"/>
                    <w:autoSpaceDN w:val="0"/>
                  </w:pPr>
                  <w:r>
                    <w:t>分解产物</w:t>
                  </w:r>
                </w:p>
              </w:tc>
              <w:tc>
                <w:tcPr>
                  <w:tcW w:w="340" w:type="dxa"/>
                  <w:gridSpan w:val="3"/>
                  <w:vAlign w:val="center"/>
                </w:tcPr>
                <w:p w14:paraId="3991B2A2">
                  <w:pPr>
                    <w:pStyle w:val="24"/>
                    <w:overflowPunct w:val="0"/>
                    <w:autoSpaceDE w:val="0"/>
                    <w:autoSpaceDN w:val="0"/>
                  </w:pPr>
                  <w:r>
                    <w:t>一氧化碳、二氧化碳。</w:t>
                  </w:r>
                </w:p>
              </w:tc>
            </w:tr>
            <w:tr w14:paraId="0754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0BA30071">
                  <w:pPr>
                    <w:pStyle w:val="24"/>
                    <w:overflowPunct w:val="0"/>
                    <w:autoSpaceDE w:val="0"/>
                    <w:autoSpaceDN w:val="0"/>
                  </w:pPr>
                  <w:r>
                    <w:rPr>
                      <w:rFonts w:hint="eastAsia"/>
                    </w:rPr>
                    <w:t xml:space="preserve">第四部分  </w:t>
                  </w:r>
                  <w:r>
                    <w:t>毒理学资料</w:t>
                  </w:r>
                </w:p>
              </w:tc>
            </w:tr>
            <w:tr w14:paraId="41EC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6FCCEEB">
                  <w:pPr>
                    <w:pStyle w:val="24"/>
                    <w:overflowPunct w:val="0"/>
                    <w:autoSpaceDE w:val="0"/>
                    <w:autoSpaceDN w:val="0"/>
                  </w:pPr>
                  <w:r>
                    <w:rPr>
                      <w:rFonts w:hint="eastAsia"/>
                    </w:rPr>
                    <w:t>急性毒性</w:t>
                  </w:r>
                </w:p>
              </w:tc>
              <w:tc>
                <w:tcPr>
                  <w:tcW w:w="340" w:type="dxa"/>
                  <w:gridSpan w:val="3"/>
                  <w:vAlign w:val="center"/>
                </w:tcPr>
                <w:p w14:paraId="3B9AEFC1">
                  <w:pPr>
                    <w:pStyle w:val="24"/>
                    <w:overflowPunct w:val="0"/>
                    <w:autoSpaceDE w:val="0"/>
                    <w:autoSpaceDN w:val="0"/>
                  </w:pPr>
                  <w:r>
                    <w:rPr>
                      <w:rFonts w:hint="eastAsia"/>
                    </w:rPr>
                    <w:t>柴油的毒性相似煤油，但由于添加剂，如硫化酯类的影响，毒性略大于煤油。</w:t>
                  </w:r>
                </w:p>
              </w:tc>
            </w:tr>
            <w:tr w14:paraId="2231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29CC1BCF">
                  <w:pPr>
                    <w:pStyle w:val="24"/>
                    <w:overflowPunct w:val="0"/>
                    <w:autoSpaceDE w:val="0"/>
                    <w:autoSpaceDN w:val="0"/>
                  </w:pPr>
                  <w:r>
                    <w:t>急性中毒</w:t>
                  </w:r>
                </w:p>
              </w:tc>
              <w:tc>
                <w:tcPr>
                  <w:tcW w:w="340" w:type="dxa"/>
                  <w:gridSpan w:val="3"/>
                  <w:vAlign w:val="center"/>
                </w:tcPr>
                <w:p w14:paraId="1653A6C6">
                  <w:pPr>
                    <w:pStyle w:val="24"/>
                    <w:overflowPunct w:val="0"/>
                    <w:autoSpaceDE w:val="0"/>
                    <w:autoSpaceDN w:val="0"/>
                  </w:pPr>
                  <w:r>
                    <w:rPr>
                      <w:rFonts w:hint="eastAsia"/>
                    </w:rPr>
                    <w:t>皮肤接触柴油可引起接触性皮炎、油性痤疮，吸入可引起吸入性肺炎，能经胎盘进入胎儿血中。</w:t>
                  </w:r>
                </w:p>
              </w:tc>
            </w:tr>
            <w:tr w14:paraId="38F9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67CD7554">
                  <w:pPr>
                    <w:pStyle w:val="24"/>
                    <w:overflowPunct w:val="0"/>
                    <w:autoSpaceDE w:val="0"/>
                    <w:autoSpaceDN w:val="0"/>
                  </w:pPr>
                  <w:r>
                    <w:t>慢性中毒</w:t>
                  </w:r>
                </w:p>
              </w:tc>
              <w:tc>
                <w:tcPr>
                  <w:tcW w:w="340" w:type="dxa"/>
                  <w:gridSpan w:val="3"/>
                  <w:vAlign w:val="center"/>
                </w:tcPr>
                <w:p w14:paraId="501B0E20">
                  <w:pPr>
                    <w:pStyle w:val="24"/>
                    <w:overflowPunct w:val="0"/>
                    <w:autoSpaceDE w:val="0"/>
                    <w:autoSpaceDN w:val="0"/>
                  </w:pPr>
                  <w:r>
                    <w:rPr>
                      <w:rFonts w:hint="eastAsia"/>
                    </w:rPr>
                    <w:t>柴油废气可引起眼、鼻刺激症状，头痛。</w:t>
                  </w:r>
                </w:p>
              </w:tc>
            </w:tr>
            <w:tr w14:paraId="2F92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62B01256">
                  <w:pPr>
                    <w:pStyle w:val="24"/>
                    <w:overflowPunct w:val="0"/>
                    <w:autoSpaceDE w:val="0"/>
                    <w:autoSpaceDN w:val="0"/>
                  </w:pPr>
                  <w:r>
                    <w:t>刺激性</w:t>
                  </w:r>
                </w:p>
              </w:tc>
              <w:tc>
                <w:tcPr>
                  <w:tcW w:w="340" w:type="dxa"/>
                  <w:gridSpan w:val="3"/>
                  <w:vAlign w:val="center"/>
                </w:tcPr>
                <w:p w14:paraId="17BC583E">
                  <w:pPr>
                    <w:pStyle w:val="24"/>
                    <w:overflowPunct w:val="0"/>
                    <w:autoSpaceDE w:val="0"/>
                    <w:autoSpaceDN w:val="0"/>
                  </w:pPr>
                  <w:r>
                    <w:rPr>
                      <w:rFonts w:hint="eastAsia"/>
                    </w:rPr>
                    <w:t>具有刺激作用</w:t>
                  </w:r>
                </w:p>
              </w:tc>
            </w:tr>
            <w:tr w14:paraId="14A4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FCA9654">
                  <w:pPr>
                    <w:pStyle w:val="24"/>
                    <w:overflowPunct w:val="0"/>
                    <w:autoSpaceDE w:val="0"/>
                    <w:autoSpaceDN w:val="0"/>
                  </w:pPr>
                  <w:r>
                    <w:t>最高容许浓度</w:t>
                  </w:r>
                </w:p>
              </w:tc>
              <w:tc>
                <w:tcPr>
                  <w:tcW w:w="340" w:type="dxa"/>
                  <w:gridSpan w:val="3"/>
                  <w:vAlign w:val="center"/>
                </w:tcPr>
                <w:p w14:paraId="69F5C571">
                  <w:pPr>
                    <w:pStyle w:val="24"/>
                    <w:overflowPunct w:val="0"/>
                    <w:autoSpaceDE w:val="0"/>
                    <w:autoSpaceDN w:val="0"/>
                  </w:pPr>
                  <w:r>
                    <w:rPr>
                      <w:rFonts w:hint="eastAsia"/>
                    </w:rPr>
                    <w:t>目前无标准</w:t>
                  </w:r>
                </w:p>
              </w:tc>
            </w:tr>
          </w:tbl>
          <w:p w14:paraId="039D0906">
            <w:pPr>
              <w:overflowPunct w:val="0"/>
              <w:autoSpaceDE w:val="0"/>
              <w:autoSpaceDN w:val="0"/>
              <w:ind w:firstLine="480" w:firstLineChars="200"/>
            </w:pPr>
            <w:r>
              <w:rPr>
                <w:rFonts w:hint="eastAsia"/>
              </w:rPr>
              <w:t>2.7劳动定员及工作制度</w:t>
            </w:r>
          </w:p>
          <w:p w14:paraId="3A6FECAB">
            <w:pPr>
              <w:overflowPunct w:val="0"/>
              <w:autoSpaceDE w:val="0"/>
              <w:autoSpaceDN w:val="0"/>
              <w:ind w:firstLine="480" w:firstLineChars="200"/>
            </w:pPr>
            <w:r>
              <w:rPr>
                <w:rFonts w:hint="eastAsia"/>
              </w:rPr>
              <w:t>本项目劳动定员共30人，工作实行三班制，每班工作8h，年工作365天。项目设置食堂，无住宿。</w:t>
            </w:r>
          </w:p>
          <w:p w14:paraId="72D72C84">
            <w:pPr>
              <w:overflowPunct w:val="0"/>
              <w:autoSpaceDE w:val="0"/>
              <w:autoSpaceDN w:val="0"/>
              <w:ind w:firstLine="480" w:firstLineChars="200"/>
            </w:pPr>
            <w:r>
              <w:rPr>
                <w:rFonts w:hint="eastAsia"/>
              </w:rPr>
              <w:t>2.8公用设施</w:t>
            </w:r>
          </w:p>
          <w:p w14:paraId="43D3C056">
            <w:pPr>
              <w:ind w:firstLine="480" w:firstLineChars="200"/>
            </w:pPr>
            <w:r>
              <w:rPr>
                <w:rFonts w:hint="eastAsia"/>
              </w:rPr>
              <w:t>（1）供水：依托市政管网供水。</w:t>
            </w:r>
          </w:p>
          <w:p w14:paraId="2D866ACD">
            <w:pPr>
              <w:ind w:firstLine="480" w:firstLineChars="200"/>
            </w:pPr>
            <w:r>
              <w:rPr>
                <w:rFonts w:hint="eastAsia"/>
              </w:rPr>
              <w:t>（2）</w:t>
            </w:r>
            <w:r>
              <w:t>排水：项目排水采用雨污分流</w:t>
            </w:r>
            <w:r>
              <w:rPr>
                <w:rFonts w:hint="eastAsia"/>
              </w:rPr>
              <w:t>。雨水排入市政雨水管网</w:t>
            </w:r>
            <w:r>
              <w:t>，</w:t>
            </w:r>
            <w:r>
              <w:rPr>
                <w:rFonts w:hint="eastAsia"/>
              </w:rPr>
              <w:t>食堂、餐饮废水经隔油池处理后汇同</w:t>
            </w:r>
            <w:r>
              <w:t>员工生活污水</w:t>
            </w:r>
            <w:r>
              <w:rPr>
                <w:rFonts w:hint="eastAsia"/>
              </w:rPr>
              <w:t>、</w:t>
            </w:r>
            <w:r>
              <w:t>外来人员冲厕废水一起进入化粪池预处理</w:t>
            </w:r>
            <w:bookmarkStart w:id="19" w:name="OLE_LINK18"/>
            <w:r>
              <w:rPr>
                <w:rFonts w:hint="eastAsia"/>
              </w:rPr>
              <w:t>；加油站</w:t>
            </w:r>
            <w:r>
              <w:t>地面清洁废水</w:t>
            </w:r>
            <w:bookmarkEnd w:id="19"/>
            <w:r>
              <w:rPr>
                <w:rFonts w:hint="eastAsia"/>
              </w:rPr>
              <w:t>、加油站初期雨水</w:t>
            </w:r>
            <w:r>
              <w:t>经</w:t>
            </w:r>
            <w:r>
              <w:rPr>
                <w:rFonts w:hint="eastAsia"/>
              </w:rPr>
              <w:t>1套三级油水分离池处理；货车应急维修中心地面清洁废水、洗车废水经货车应急维修中心北侧的一套隔油沉淀池处理达到</w:t>
            </w:r>
            <w:r>
              <w:t>《汽车维修业水污染物排放标准》（GB26877－2011）表2间接排放标准</w:t>
            </w:r>
            <w:r>
              <w:rPr>
                <w:rFonts w:hint="eastAsia"/>
              </w:rPr>
              <w:t>后汇同其他废水达到本项目接管标准后通过</w:t>
            </w:r>
            <w:r>
              <w:rPr>
                <w:rFonts w:hint="eastAsia"/>
                <w:kern w:val="0"/>
              </w:rPr>
              <w:t>市政污水管网</w:t>
            </w:r>
            <w:r>
              <w:rPr>
                <w:rFonts w:hint="eastAsia" w:ascii="宋体" w:hAnsi="宋体" w:cs="宋体"/>
                <w:kern w:val="0"/>
                <w:lang w:bidi="ar"/>
              </w:rPr>
              <w:t>进入经济技术开发区工业污水处理厂</w:t>
            </w:r>
            <w:r>
              <w:rPr>
                <w:rFonts w:hint="eastAsia"/>
                <w:kern w:val="0"/>
              </w:rPr>
              <w:t>处理</w:t>
            </w:r>
            <w:r>
              <w:rPr>
                <w:rFonts w:hint="eastAsia"/>
              </w:rPr>
              <w:t>满足《城镇污水处理厂污染物排放标准》（</w:t>
            </w:r>
            <w:r>
              <w:t>GB18918-2002</w:t>
            </w:r>
            <w:r>
              <w:rPr>
                <w:rFonts w:hint="eastAsia"/>
              </w:rPr>
              <w:t>）中一级</w:t>
            </w:r>
            <w:r>
              <w:t>A</w:t>
            </w:r>
            <w:r>
              <w:rPr>
                <w:rFonts w:hint="eastAsia"/>
              </w:rPr>
              <w:t>标准后最终排入淮河。</w:t>
            </w:r>
          </w:p>
          <w:p w14:paraId="18BBFFDC">
            <w:pPr>
              <w:ind w:firstLine="480" w:firstLineChars="200"/>
            </w:pPr>
            <w:r>
              <w:rPr>
                <w:rFonts w:hint="eastAsia"/>
              </w:rPr>
              <w:t>本项目水平衡图见下图：</w:t>
            </w:r>
          </w:p>
          <w:p w14:paraId="7F535609">
            <w:pPr>
              <w:rPr>
                <w:color w:val="0000FF"/>
              </w:rPr>
            </w:pPr>
            <w:r>
              <w:rPr>
                <w:rFonts w:hint="eastAsia"/>
                <w:color w:val="0000FF"/>
              </w:rPr>
              <w:drawing>
                <wp:inline distT="0" distB="0" distL="114300" distR="114300">
                  <wp:extent cx="4930140" cy="2825115"/>
                  <wp:effectExtent l="0" t="0" r="0" b="0"/>
                  <wp:docPr id="13" name="ECB019B1-382A-4266-B25C-5B523AA43C14-1" descr="C:/Users/Administrator/AppData/Local/Temp/wps.IvgSb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1" descr="C:/Users/Administrator/AppData/Local/Temp/wps.IvgSbSwps"/>
                          <pic:cNvPicPr>
                            <a:picLocks noChangeAspect="1"/>
                          </pic:cNvPicPr>
                        </pic:nvPicPr>
                        <pic:blipFill>
                          <a:blip r:embed="rId17"/>
                          <a:stretch>
                            <a:fillRect/>
                          </a:stretch>
                        </pic:blipFill>
                        <pic:spPr>
                          <a:xfrm>
                            <a:off x="0" y="0"/>
                            <a:ext cx="4930140" cy="2825115"/>
                          </a:xfrm>
                          <a:prstGeom prst="rect">
                            <a:avLst/>
                          </a:prstGeom>
                        </pic:spPr>
                      </pic:pic>
                    </a:graphicData>
                  </a:graphic>
                </wp:inline>
              </w:drawing>
            </w:r>
          </w:p>
          <w:p w14:paraId="3B18A389">
            <w:pPr>
              <w:pStyle w:val="6"/>
            </w:pPr>
            <w:r>
              <w:t xml:space="preserve">图 </w:t>
            </w:r>
            <w:r>
              <w:rPr>
                <w:rFonts w:hint="eastAsia"/>
              </w:rPr>
              <w:t>2-</w:t>
            </w:r>
            <w:r>
              <w:fldChar w:fldCharType="begin"/>
            </w:r>
            <w:r>
              <w:instrText xml:space="preserve"> SEQ 图 \* ARABIC \s 1 </w:instrText>
            </w:r>
            <w:r>
              <w:fldChar w:fldCharType="separate"/>
            </w:r>
            <w:r>
              <w:t>2</w:t>
            </w:r>
            <w:r>
              <w:fldChar w:fldCharType="end"/>
            </w:r>
            <w:r>
              <w:rPr>
                <w:rFonts w:hint="eastAsia"/>
              </w:rPr>
              <w:t xml:space="preserve"> 项目水平衡图t/a</w:t>
            </w:r>
          </w:p>
          <w:p w14:paraId="3B4699CF">
            <w:pPr>
              <w:overflowPunct w:val="0"/>
              <w:autoSpaceDE w:val="0"/>
              <w:autoSpaceDN w:val="0"/>
              <w:ind w:firstLine="480" w:firstLineChars="200"/>
            </w:pPr>
            <w:r>
              <w:t>（3）供电：由市政供电管网供应，年用电</w:t>
            </w:r>
            <w:r>
              <w:rPr>
                <w:rFonts w:hint="eastAsia"/>
              </w:rPr>
              <w:t>296</w:t>
            </w:r>
            <w:r>
              <w:t>万kwh。</w:t>
            </w:r>
          </w:p>
          <w:p w14:paraId="1E876847">
            <w:pPr>
              <w:overflowPunct w:val="0"/>
              <w:autoSpaceDE w:val="0"/>
              <w:autoSpaceDN w:val="0"/>
              <w:ind w:firstLine="480" w:firstLineChars="200"/>
            </w:pPr>
            <w:r>
              <w:t>（4）消防工程：</w:t>
            </w:r>
          </w:p>
          <w:p w14:paraId="4BB8299C">
            <w:pPr>
              <w:overflowPunct w:val="0"/>
              <w:autoSpaceDE w:val="0"/>
              <w:autoSpaceDN w:val="0"/>
              <w:ind w:firstLine="480" w:firstLineChars="200"/>
            </w:pPr>
            <w:r>
              <w:t>a.每2台加油机应设置不少于2只4kg手提式干粉灭火器。</w:t>
            </w:r>
          </w:p>
          <w:p w14:paraId="732119E3">
            <w:pPr>
              <w:overflowPunct w:val="0"/>
              <w:autoSpaceDE w:val="0"/>
              <w:autoSpaceDN w:val="0"/>
              <w:ind w:firstLine="480" w:firstLineChars="200"/>
            </w:pPr>
            <w:r>
              <w:t>b.地下储罐拟设置35kg推车式干粉灭火器1个。</w:t>
            </w:r>
          </w:p>
          <w:p w14:paraId="57EB1FF6">
            <w:pPr>
              <w:ind w:firstLine="480" w:firstLineChars="200"/>
            </w:pPr>
            <w:r>
              <w:t>c.</w:t>
            </w:r>
            <w:r>
              <w:rPr>
                <w:rFonts w:hint="eastAsia"/>
              </w:rPr>
              <w:t>二级加油加气站应配置灭火毯5块，沙子2m</w:t>
            </w:r>
            <w:r>
              <w:rPr>
                <w:rFonts w:hint="eastAsia"/>
                <w:vertAlign w:val="superscript"/>
              </w:rPr>
              <w:t>3</w:t>
            </w:r>
            <w:r>
              <w:t>。</w:t>
            </w:r>
            <w:bookmarkStart w:id="20" w:name="_Toc272478764"/>
            <w:bookmarkStart w:id="21" w:name="_Toc315954078"/>
          </w:p>
          <w:bookmarkEnd w:id="20"/>
          <w:bookmarkEnd w:id="21"/>
          <w:p w14:paraId="7235FC00">
            <w:pPr>
              <w:overflowPunct w:val="0"/>
              <w:autoSpaceDE w:val="0"/>
              <w:autoSpaceDN w:val="0"/>
              <w:ind w:firstLine="480" w:firstLineChars="200"/>
            </w:pPr>
            <w:r>
              <w:t>d.其余建筑的灭火器材配置应符合现行国家标准《建筑灭火器配置设计规范》(GB50140—2005)的规定</w:t>
            </w:r>
            <w:r>
              <w:rPr>
                <w:rFonts w:hint="eastAsia"/>
              </w:rPr>
              <w:t>。</w:t>
            </w:r>
          </w:p>
          <w:p w14:paraId="1C1191D3">
            <w:pPr>
              <w:overflowPunct w:val="0"/>
              <w:autoSpaceDE w:val="0"/>
              <w:autoSpaceDN w:val="0"/>
              <w:ind w:firstLine="480" w:firstLineChars="200"/>
            </w:pPr>
            <w:r>
              <w:rPr>
                <w:rFonts w:hint="eastAsia"/>
              </w:rPr>
              <w:t>2.9 项目平面布置合理性分析</w:t>
            </w:r>
          </w:p>
          <w:p w14:paraId="69140F03">
            <w:pPr>
              <w:ind w:firstLine="480" w:firstLineChars="200"/>
            </w:pPr>
            <w:r>
              <w:rPr>
                <w:rFonts w:hint="eastAsia"/>
              </w:rPr>
              <w:t>项目位于淮南经济技术开发区G206与朝阳路交叉口西南角，新建淮南经开区农场城市综合交通驿站项目，项目总用地面积111.2亩。地块内建设货运停车场、货车应急维修中心1座、货运网络信息服务中心（含餐饮）1座、内部综合能源站、公交场站。详见附图3。</w:t>
            </w:r>
          </w:p>
          <w:p w14:paraId="4190CB3E">
            <w:pPr>
              <w:jc w:val="center"/>
              <w:rPr>
                <w:color w:val="0000FF"/>
              </w:rPr>
            </w:pPr>
            <w:r>
              <w:rPr>
                <w:rFonts w:hint="eastAsia"/>
              </w:rPr>
              <w:drawing>
                <wp:inline distT="0" distB="0" distL="114300" distR="114300">
                  <wp:extent cx="4954270" cy="5106035"/>
                  <wp:effectExtent l="9525" t="9525" r="27305" b="27940"/>
                  <wp:docPr id="10" name="图片 10" descr="Drawing1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rawing1 Model (1)_00"/>
                          <pic:cNvPicPr>
                            <a:picLocks noChangeAspect="1"/>
                          </pic:cNvPicPr>
                        </pic:nvPicPr>
                        <pic:blipFill>
                          <a:blip r:embed="rId18"/>
                          <a:srcRect t="13121" b="16831"/>
                          <a:stretch>
                            <a:fillRect/>
                          </a:stretch>
                        </pic:blipFill>
                        <pic:spPr>
                          <a:xfrm>
                            <a:off x="0" y="0"/>
                            <a:ext cx="4954270" cy="5106035"/>
                          </a:xfrm>
                          <a:prstGeom prst="rect">
                            <a:avLst/>
                          </a:prstGeom>
                          <a:ln>
                            <a:solidFill>
                              <a:schemeClr val="tx1"/>
                            </a:solidFill>
                          </a:ln>
                        </pic:spPr>
                      </pic:pic>
                    </a:graphicData>
                  </a:graphic>
                </wp:inline>
              </w:drawing>
            </w:r>
          </w:p>
          <w:p w14:paraId="6AD1EB9A">
            <w:pPr>
              <w:pStyle w:val="6"/>
            </w:pPr>
            <w:r>
              <w:t xml:space="preserve">图 </w:t>
            </w:r>
            <w:r>
              <w:rPr>
                <w:rFonts w:hint="eastAsia"/>
              </w:rPr>
              <w:t>2-</w:t>
            </w:r>
            <w:r>
              <w:fldChar w:fldCharType="begin"/>
            </w:r>
            <w:r>
              <w:instrText xml:space="preserve"> SEQ 图 \* ARABIC \s 1 </w:instrText>
            </w:r>
            <w:r>
              <w:fldChar w:fldCharType="separate"/>
            </w:r>
            <w:r>
              <w:t>3</w:t>
            </w:r>
            <w:r>
              <w:fldChar w:fldCharType="end"/>
            </w:r>
            <w:r>
              <w:rPr>
                <w:rFonts w:hint="eastAsia"/>
              </w:rPr>
              <w:t xml:space="preserve"> 平面布置图</w:t>
            </w:r>
          </w:p>
          <w:p w14:paraId="12486A3C">
            <w:pPr>
              <w:overflowPunct w:val="0"/>
              <w:autoSpaceDE w:val="0"/>
              <w:autoSpaceDN w:val="0"/>
              <w:ind w:firstLine="480" w:firstLineChars="200"/>
              <w:rPr>
                <w:rFonts w:hint="eastAsia" w:ascii="宋体" w:hAnsi="宋体" w:cs="宋体"/>
              </w:rPr>
            </w:pPr>
            <w:r>
              <w:rPr>
                <w:rFonts w:ascii="宋体" w:hAnsi="宋体" w:cs="宋体"/>
              </w:rPr>
              <w:t>根据《汽车加油加气加氢站技术标准》</w:t>
            </w:r>
            <w:r>
              <w:t>（GB50156-2021）中</w:t>
            </w:r>
            <w:r>
              <w:rPr>
                <w:rFonts w:ascii="宋体" w:hAnsi="宋体" w:cs="宋体"/>
              </w:rPr>
              <w:t>关于加油站总平面布置标准要求，项目总平面布置与标准情况对比见下表。</w:t>
            </w:r>
          </w:p>
          <w:p w14:paraId="7F2039DD">
            <w:pPr>
              <w:pStyle w:val="6"/>
            </w:pPr>
            <w:r>
              <w:t xml:space="preserve">表 </w:t>
            </w:r>
            <w:r>
              <w:rPr>
                <w:rFonts w:hint="eastAsia"/>
              </w:rPr>
              <w:t>2-</w:t>
            </w:r>
            <w:r>
              <w:fldChar w:fldCharType="begin"/>
            </w:r>
            <w:r>
              <w:instrText xml:space="preserve"> SEQ 表 \* ARABIC \s 1 </w:instrText>
            </w:r>
            <w:r>
              <w:fldChar w:fldCharType="separate"/>
            </w:r>
            <w:r>
              <w:t>12</w:t>
            </w:r>
            <w:r>
              <w:fldChar w:fldCharType="end"/>
            </w:r>
            <w:r>
              <w:rPr>
                <w:sz w:val="21"/>
                <w:szCs w:val="21"/>
              </w:rPr>
              <w:t>项目站区平面布置符合性</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3954"/>
              <w:gridCol w:w="2239"/>
              <w:gridCol w:w="757"/>
            </w:tblGrid>
            <w:tr w14:paraId="3D2C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1258CAB9">
                  <w:pPr>
                    <w:pStyle w:val="24"/>
                  </w:pPr>
                  <w:r>
                    <w:rPr>
                      <w:rFonts w:hint="eastAsia"/>
                    </w:rPr>
                    <w:t>序号</w:t>
                  </w:r>
                </w:p>
              </w:tc>
              <w:tc>
                <w:tcPr>
                  <w:tcW w:w="3954" w:type="dxa"/>
                  <w:vAlign w:val="center"/>
                </w:tcPr>
                <w:p w14:paraId="7365E35C">
                  <w:pPr>
                    <w:pStyle w:val="24"/>
                  </w:pPr>
                  <w:r>
                    <w:rPr>
                      <w:rFonts w:hint="eastAsia"/>
                    </w:rPr>
                    <w:t>标准要求</w:t>
                  </w:r>
                </w:p>
              </w:tc>
              <w:tc>
                <w:tcPr>
                  <w:tcW w:w="2239" w:type="dxa"/>
                  <w:vAlign w:val="center"/>
                </w:tcPr>
                <w:p w14:paraId="26D03D8E">
                  <w:pPr>
                    <w:pStyle w:val="24"/>
                  </w:pPr>
                  <w:r>
                    <w:rPr>
                      <w:rFonts w:hint="eastAsia"/>
                    </w:rPr>
                    <w:t>项目拟建设情况</w:t>
                  </w:r>
                </w:p>
              </w:tc>
              <w:tc>
                <w:tcPr>
                  <w:tcW w:w="757" w:type="dxa"/>
                  <w:vAlign w:val="center"/>
                </w:tcPr>
                <w:p w14:paraId="1DD63140">
                  <w:pPr>
                    <w:pStyle w:val="24"/>
                  </w:pPr>
                  <w:r>
                    <w:rPr>
                      <w:rFonts w:hint="eastAsia"/>
                    </w:rPr>
                    <w:t>符合性</w:t>
                  </w:r>
                </w:p>
              </w:tc>
            </w:tr>
            <w:tr w14:paraId="2DA0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63EF7A31">
                  <w:pPr>
                    <w:pStyle w:val="24"/>
                  </w:pPr>
                  <w:r>
                    <w:rPr>
                      <w:rFonts w:hint="eastAsia"/>
                    </w:rPr>
                    <w:t>1</w:t>
                  </w:r>
                </w:p>
              </w:tc>
              <w:tc>
                <w:tcPr>
                  <w:tcW w:w="3954" w:type="dxa"/>
                  <w:vAlign w:val="center"/>
                </w:tcPr>
                <w:p w14:paraId="752F9399">
                  <w:pPr>
                    <w:pStyle w:val="24"/>
                  </w:pPr>
                  <w:r>
                    <w:t>车辆入口和出口应分开设置</w:t>
                  </w:r>
                </w:p>
              </w:tc>
              <w:tc>
                <w:tcPr>
                  <w:tcW w:w="2239" w:type="dxa"/>
                  <w:vAlign w:val="center"/>
                </w:tcPr>
                <w:p w14:paraId="3D3E40B4">
                  <w:pPr>
                    <w:pStyle w:val="24"/>
                  </w:pPr>
                  <w:r>
                    <w:rPr>
                      <w:rFonts w:hint="eastAsia"/>
                    </w:rPr>
                    <w:t>加油站</w:t>
                  </w:r>
                  <w:r>
                    <w:t>进出口分开设置</w:t>
                  </w:r>
                </w:p>
              </w:tc>
              <w:tc>
                <w:tcPr>
                  <w:tcW w:w="757" w:type="dxa"/>
                  <w:vAlign w:val="center"/>
                </w:tcPr>
                <w:p w14:paraId="1845176E">
                  <w:pPr>
                    <w:pStyle w:val="24"/>
                  </w:pPr>
                  <w:r>
                    <w:rPr>
                      <w:rFonts w:hint="eastAsia"/>
                    </w:rPr>
                    <w:t>相符</w:t>
                  </w:r>
                </w:p>
              </w:tc>
            </w:tr>
            <w:tr w14:paraId="1BD5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02AF5F14">
                  <w:pPr>
                    <w:pStyle w:val="24"/>
                  </w:pPr>
                  <w:r>
                    <w:rPr>
                      <w:rFonts w:hint="eastAsia"/>
                    </w:rPr>
                    <w:t>2</w:t>
                  </w:r>
                </w:p>
              </w:tc>
              <w:tc>
                <w:tcPr>
                  <w:tcW w:w="3954" w:type="dxa"/>
                  <w:vAlign w:val="center"/>
                </w:tcPr>
                <w:p w14:paraId="1CDF3F1C">
                  <w:pPr>
                    <w:pStyle w:val="24"/>
                  </w:pPr>
                  <w:r>
                    <w:t>单车道宽度≥4m，双车道宽度≥6m</w:t>
                  </w:r>
                </w:p>
              </w:tc>
              <w:tc>
                <w:tcPr>
                  <w:tcW w:w="2239" w:type="dxa"/>
                  <w:vAlign w:val="center"/>
                </w:tcPr>
                <w:p w14:paraId="3B84DB88">
                  <w:pPr>
                    <w:pStyle w:val="24"/>
                  </w:pPr>
                  <w:r>
                    <w:t>单车停车道宽度大于4m，双车停车位宽度大于6m</w:t>
                  </w:r>
                </w:p>
              </w:tc>
              <w:tc>
                <w:tcPr>
                  <w:tcW w:w="757" w:type="dxa"/>
                  <w:vAlign w:val="center"/>
                </w:tcPr>
                <w:p w14:paraId="72E6D063">
                  <w:pPr>
                    <w:pStyle w:val="24"/>
                  </w:pPr>
                  <w:r>
                    <w:rPr>
                      <w:rFonts w:hint="eastAsia"/>
                    </w:rPr>
                    <w:t>相符</w:t>
                  </w:r>
                </w:p>
              </w:tc>
            </w:tr>
            <w:tr w14:paraId="1C10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62E8C65F">
                  <w:pPr>
                    <w:pStyle w:val="24"/>
                  </w:pPr>
                  <w:r>
                    <w:rPr>
                      <w:rFonts w:hint="eastAsia"/>
                    </w:rPr>
                    <w:t>3</w:t>
                  </w:r>
                </w:p>
              </w:tc>
              <w:tc>
                <w:tcPr>
                  <w:tcW w:w="3954" w:type="dxa"/>
                  <w:vAlign w:val="center"/>
                </w:tcPr>
                <w:p w14:paraId="170F1776">
                  <w:pPr>
                    <w:pStyle w:val="24"/>
                  </w:pPr>
                  <w:r>
                    <w:t>加油加气作业区内的停车位和道路路面不应采用沥青路面</w:t>
                  </w:r>
                </w:p>
              </w:tc>
              <w:tc>
                <w:tcPr>
                  <w:tcW w:w="2239" w:type="dxa"/>
                  <w:vAlign w:val="center"/>
                </w:tcPr>
                <w:p w14:paraId="3903C164">
                  <w:pPr>
                    <w:pStyle w:val="24"/>
                  </w:pPr>
                  <w:r>
                    <w:t>拟采用混凝土路面</w:t>
                  </w:r>
                </w:p>
              </w:tc>
              <w:tc>
                <w:tcPr>
                  <w:tcW w:w="757" w:type="dxa"/>
                  <w:vAlign w:val="center"/>
                </w:tcPr>
                <w:p w14:paraId="601EE3A8">
                  <w:pPr>
                    <w:pStyle w:val="24"/>
                  </w:pPr>
                  <w:r>
                    <w:rPr>
                      <w:rFonts w:hint="eastAsia"/>
                    </w:rPr>
                    <w:t>相符</w:t>
                  </w:r>
                </w:p>
              </w:tc>
            </w:tr>
            <w:tr w14:paraId="47FB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40CD9945">
                  <w:pPr>
                    <w:pStyle w:val="24"/>
                  </w:pPr>
                  <w:r>
                    <w:rPr>
                      <w:rFonts w:hint="eastAsia"/>
                    </w:rPr>
                    <w:t>4</w:t>
                  </w:r>
                </w:p>
              </w:tc>
              <w:tc>
                <w:tcPr>
                  <w:tcW w:w="3954" w:type="dxa"/>
                  <w:vAlign w:val="center"/>
                </w:tcPr>
                <w:p w14:paraId="2A7DB978">
                  <w:pPr>
                    <w:pStyle w:val="24"/>
                  </w:pPr>
                  <w:r>
                    <w:t>加油作业区与辅助服务区之间应有界线标识</w:t>
                  </w:r>
                </w:p>
              </w:tc>
              <w:tc>
                <w:tcPr>
                  <w:tcW w:w="2239" w:type="dxa"/>
                  <w:vAlign w:val="center"/>
                </w:tcPr>
                <w:p w14:paraId="3440FC6C">
                  <w:pPr>
                    <w:pStyle w:val="24"/>
                  </w:pPr>
                  <w:r>
                    <w:t>拟设置界线标识</w:t>
                  </w:r>
                </w:p>
              </w:tc>
              <w:tc>
                <w:tcPr>
                  <w:tcW w:w="757" w:type="dxa"/>
                  <w:vAlign w:val="center"/>
                </w:tcPr>
                <w:p w14:paraId="3C208E2E">
                  <w:pPr>
                    <w:pStyle w:val="24"/>
                  </w:pPr>
                  <w:r>
                    <w:rPr>
                      <w:rFonts w:hint="eastAsia"/>
                    </w:rPr>
                    <w:t>相符</w:t>
                  </w:r>
                </w:p>
              </w:tc>
            </w:tr>
            <w:tr w14:paraId="5F8A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105791DB">
                  <w:pPr>
                    <w:pStyle w:val="24"/>
                  </w:pPr>
                  <w:r>
                    <w:rPr>
                      <w:rFonts w:hint="eastAsia"/>
                    </w:rPr>
                    <w:t>5</w:t>
                  </w:r>
                </w:p>
              </w:tc>
              <w:tc>
                <w:tcPr>
                  <w:tcW w:w="3954" w:type="dxa"/>
                  <w:vAlign w:val="center"/>
                </w:tcPr>
                <w:p w14:paraId="0A832A52">
                  <w:pPr>
                    <w:pStyle w:val="24"/>
                  </w:pPr>
                  <w:r>
                    <w:t>加油作业区内，不得有</w:t>
                  </w:r>
                  <w:r>
                    <w:rPr>
                      <w:rFonts w:hint="eastAsia"/>
                    </w:rPr>
                    <w:t>“</w:t>
                  </w:r>
                  <w:r>
                    <w:t>明火地点</w:t>
                  </w:r>
                  <w:r>
                    <w:rPr>
                      <w:rFonts w:hint="eastAsia"/>
                    </w:rPr>
                    <w:t>”</w:t>
                  </w:r>
                  <w:r>
                    <w:t>或</w:t>
                  </w:r>
                  <w:r>
                    <w:rPr>
                      <w:rFonts w:hint="eastAsia"/>
                    </w:rPr>
                    <w:t>“</w:t>
                  </w:r>
                  <w:r>
                    <w:t>散发火花地点</w:t>
                  </w:r>
                  <w:r>
                    <w:rPr>
                      <w:rFonts w:hint="eastAsia"/>
                    </w:rPr>
                    <w:t>”</w:t>
                  </w:r>
                </w:p>
              </w:tc>
              <w:tc>
                <w:tcPr>
                  <w:tcW w:w="2239" w:type="dxa"/>
                  <w:vAlign w:val="center"/>
                </w:tcPr>
                <w:p w14:paraId="64FB4243">
                  <w:pPr>
                    <w:pStyle w:val="24"/>
                  </w:pPr>
                  <w:r>
                    <w:t>加油作业区内无明火地点和散发火花地点</w:t>
                  </w:r>
                </w:p>
              </w:tc>
              <w:tc>
                <w:tcPr>
                  <w:tcW w:w="757" w:type="dxa"/>
                  <w:vAlign w:val="center"/>
                </w:tcPr>
                <w:p w14:paraId="1629E034">
                  <w:pPr>
                    <w:pStyle w:val="24"/>
                  </w:pPr>
                  <w:r>
                    <w:rPr>
                      <w:rFonts w:hint="eastAsia"/>
                    </w:rPr>
                    <w:t>相符</w:t>
                  </w:r>
                </w:p>
              </w:tc>
            </w:tr>
            <w:tr w14:paraId="59CB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717B2009">
                  <w:pPr>
                    <w:pStyle w:val="24"/>
                  </w:pPr>
                  <w:r>
                    <w:rPr>
                      <w:rFonts w:hint="eastAsia"/>
                    </w:rPr>
                    <w:t>6</w:t>
                  </w:r>
                </w:p>
              </w:tc>
              <w:tc>
                <w:tcPr>
                  <w:tcW w:w="3954" w:type="dxa"/>
                  <w:vAlign w:val="center"/>
                </w:tcPr>
                <w:p w14:paraId="1B88F7FA">
                  <w:pPr>
                    <w:pStyle w:val="24"/>
                  </w:pPr>
                  <w:r>
                    <w:t>站房可布置在加油加气作业区内，但应符合相关规定</w:t>
                  </w:r>
                </w:p>
              </w:tc>
              <w:tc>
                <w:tcPr>
                  <w:tcW w:w="2239" w:type="dxa"/>
                  <w:vAlign w:val="center"/>
                </w:tcPr>
                <w:p w14:paraId="709DEB4A">
                  <w:pPr>
                    <w:pStyle w:val="24"/>
                  </w:pPr>
                  <w:r>
                    <w:t>站房布置在加油作业区外</w:t>
                  </w:r>
                </w:p>
              </w:tc>
              <w:tc>
                <w:tcPr>
                  <w:tcW w:w="757" w:type="dxa"/>
                  <w:vAlign w:val="center"/>
                </w:tcPr>
                <w:p w14:paraId="75585BEF">
                  <w:pPr>
                    <w:pStyle w:val="24"/>
                  </w:pPr>
                  <w:r>
                    <w:rPr>
                      <w:rFonts w:hint="eastAsia"/>
                    </w:rPr>
                    <w:t>相符</w:t>
                  </w:r>
                </w:p>
              </w:tc>
            </w:tr>
            <w:tr w14:paraId="0B89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9" w:type="dxa"/>
                  <w:vAlign w:val="center"/>
                </w:tcPr>
                <w:p w14:paraId="79E8E61E">
                  <w:pPr>
                    <w:pStyle w:val="24"/>
                  </w:pPr>
                  <w:r>
                    <w:rPr>
                      <w:rFonts w:hint="eastAsia"/>
                    </w:rPr>
                    <w:t>7</w:t>
                  </w:r>
                </w:p>
              </w:tc>
              <w:tc>
                <w:tcPr>
                  <w:tcW w:w="3954" w:type="dxa"/>
                  <w:vAlign w:val="center"/>
                </w:tcPr>
                <w:p w14:paraId="76D116EA">
                  <w:pPr>
                    <w:pStyle w:val="24"/>
                  </w:pPr>
                  <w:r>
                    <w:t>加油加气站内设置的经营性餐饮、汽车服务等非站房所属建筑物或设施，不应布置在加油加气作业区内，其与站内可燃液体或可燃气体设备的防火间距，应符合相关规定。经营性餐饮、汽车服务等设施内设置明火设备时，则应视为</w:t>
                  </w:r>
                  <w:r>
                    <w:rPr>
                      <w:rFonts w:hint="eastAsia"/>
                    </w:rPr>
                    <w:t>“</w:t>
                  </w:r>
                  <w:r>
                    <w:t>明火地点</w:t>
                  </w:r>
                  <w:r>
                    <w:rPr>
                      <w:rFonts w:hint="eastAsia"/>
                    </w:rPr>
                    <w:t>”</w:t>
                  </w:r>
                  <w:r>
                    <w:t>或</w:t>
                  </w:r>
                  <w:r>
                    <w:rPr>
                      <w:rFonts w:hint="eastAsia"/>
                    </w:rPr>
                    <w:t>“</w:t>
                  </w:r>
                  <w:r>
                    <w:t>散发火花地点</w:t>
                  </w:r>
                  <w:r>
                    <w:rPr>
                      <w:rFonts w:hint="eastAsia"/>
                    </w:rPr>
                    <w:t>”</w:t>
                  </w:r>
                </w:p>
              </w:tc>
              <w:tc>
                <w:tcPr>
                  <w:tcW w:w="2239" w:type="dxa"/>
                  <w:vAlign w:val="center"/>
                </w:tcPr>
                <w:p w14:paraId="4E68FF53">
                  <w:pPr>
                    <w:pStyle w:val="24"/>
                  </w:pPr>
                  <w:r>
                    <w:t>加油</w:t>
                  </w:r>
                  <w:r>
                    <w:rPr>
                      <w:rFonts w:hint="eastAsia"/>
                    </w:rPr>
                    <w:t>作业区</w:t>
                  </w:r>
                  <w:r>
                    <w:t>内</w:t>
                  </w:r>
                  <w:r>
                    <w:rPr>
                      <w:rFonts w:hint="eastAsia"/>
                    </w:rPr>
                    <w:t>未</w:t>
                  </w:r>
                  <w:r>
                    <w:t>设置的经营性餐饮、汽车服务等非站房所属建筑物或设施</w:t>
                  </w:r>
                </w:p>
              </w:tc>
              <w:tc>
                <w:tcPr>
                  <w:tcW w:w="757" w:type="dxa"/>
                  <w:vAlign w:val="center"/>
                </w:tcPr>
                <w:p w14:paraId="2D17F7C8">
                  <w:pPr>
                    <w:pStyle w:val="24"/>
                  </w:pPr>
                  <w:r>
                    <w:rPr>
                      <w:rFonts w:hint="eastAsia"/>
                    </w:rPr>
                    <w:t>相符</w:t>
                  </w:r>
                </w:p>
              </w:tc>
            </w:tr>
          </w:tbl>
          <w:p w14:paraId="36B2B68F">
            <w:pPr>
              <w:overflowPunct w:val="0"/>
              <w:autoSpaceDE w:val="0"/>
              <w:autoSpaceDN w:val="0"/>
              <w:ind w:firstLine="480" w:firstLineChars="200"/>
              <w:rPr>
                <w:color w:val="0000FF"/>
              </w:rPr>
            </w:pPr>
          </w:p>
        </w:tc>
      </w:tr>
      <w:tr w14:paraId="780B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580" w:type="dxa"/>
            <w:vAlign w:val="center"/>
          </w:tcPr>
          <w:p w14:paraId="3A702133">
            <w:pPr>
              <w:overflowPunct w:val="0"/>
              <w:autoSpaceDE w:val="0"/>
              <w:autoSpaceDN w:val="0"/>
              <w:jc w:val="center"/>
              <w:rPr>
                <w:color w:val="0000FF"/>
              </w:rPr>
            </w:pPr>
            <w:r>
              <w:rPr>
                <w:rFonts w:hint="eastAsia"/>
              </w:rPr>
              <w:t>工艺流程和产排污环节</w:t>
            </w:r>
          </w:p>
        </w:tc>
        <w:tc>
          <w:tcPr>
            <w:tcW w:w="7942" w:type="dxa"/>
          </w:tcPr>
          <w:p w14:paraId="7AB686AE">
            <w:r>
              <w:rPr>
                <w:rFonts w:hint="eastAsia"/>
              </w:rPr>
              <w:t>（一）施工期工艺流程</w:t>
            </w:r>
          </w:p>
          <w:p w14:paraId="4759AEC2">
            <w:pPr>
              <w:ind w:firstLine="480" w:firstLineChars="200"/>
            </w:pPr>
            <w:r>
              <w:rPr>
                <w:rFonts w:hint="eastAsia"/>
              </w:rPr>
              <w:t>本项目施工期主要内容包括：基础工程、主体工程、其他装饰工程等建设工序，施工过程中将产生噪声、扬尘、建筑垃圾、生活垃圾、废水和废气等污染物。</w:t>
            </w:r>
          </w:p>
          <w:p w14:paraId="56921188">
            <w:pPr>
              <w:ind w:firstLine="480" w:firstLineChars="200"/>
            </w:pPr>
            <w:r>
              <w:rPr>
                <w:rFonts w:hint="eastAsia"/>
              </w:rPr>
              <w:t>具体施工期的工艺流程及产污情况见下图。</w:t>
            </w:r>
          </w:p>
          <w:p w14:paraId="3CB76C11">
            <w:r>
              <w:drawing>
                <wp:inline distT="0" distB="0" distL="114300" distR="114300">
                  <wp:extent cx="4824095" cy="1437005"/>
                  <wp:effectExtent l="0" t="0" r="0" b="0"/>
                  <wp:docPr id="2" name="图片 2" descr="加油站施工期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加油站施工期工艺"/>
                          <pic:cNvPicPr>
                            <a:picLocks noChangeAspect="1"/>
                          </pic:cNvPicPr>
                        </pic:nvPicPr>
                        <pic:blipFill>
                          <a:blip r:embed="rId19"/>
                          <a:stretch>
                            <a:fillRect/>
                          </a:stretch>
                        </pic:blipFill>
                        <pic:spPr>
                          <a:xfrm>
                            <a:off x="0" y="0"/>
                            <a:ext cx="4824095" cy="1437005"/>
                          </a:xfrm>
                          <a:prstGeom prst="rect">
                            <a:avLst/>
                          </a:prstGeom>
                        </pic:spPr>
                      </pic:pic>
                    </a:graphicData>
                  </a:graphic>
                </wp:inline>
              </w:drawing>
            </w:r>
          </w:p>
          <w:p w14:paraId="63B9A3F6">
            <w:pPr>
              <w:pStyle w:val="6"/>
            </w:pPr>
            <w:r>
              <w:t xml:space="preserve">图 </w:t>
            </w:r>
            <w:r>
              <w:rPr>
                <w:rFonts w:hint="eastAsia"/>
              </w:rPr>
              <w:t>2-</w:t>
            </w:r>
            <w:r>
              <w:fldChar w:fldCharType="begin"/>
            </w:r>
            <w:r>
              <w:instrText xml:space="preserve"> SEQ 图 \* ARABIC \s 1 </w:instrText>
            </w:r>
            <w:r>
              <w:fldChar w:fldCharType="separate"/>
            </w:r>
            <w:r>
              <w:t>4</w:t>
            </w:r>
            <w:r>
              <w:fldChar w:fldCharType="end"/>
            </w:r>
            <w:r>
              <w:rPr>
                <w:rFonts w:hint="eastAsia"/>
              </w:rPr>
              <w:t xml:space="preserve"> 施工期工艺流程及产污环节图（W-废水、G-废气、N-噪声、S-固废）</w:t>
            </w:r>
          </w:p>
          <w:p w14:paraId="63D401C3">
            <w:pPr>
              <w:numPr>
                <w:ilvl w:val="0"/>
                <w:numId w:val="5"/>
              </w:numPr>
            </w:pPr>
            <w:r>
              <w:rPr>
                <w:rFonts w:hint="eastAsia"/>
              </w:rPr>
              <w:t>运营期工艺流程</w:t>
            </w:r>
          </w:p>
          <w:p w14:paraId="5754772C">
            <w:pPr>
              <w:ind w:firstLine="480" w:firstLineChars="200"/>
            </w:pPr>
            <w:r>
              <w:rPr>
                <w:rFonts w:hint="eastAsia"/>
              </w:rPr>
              <w:t>项目主要建设货运停车场、货车应急维修中心、货运网络信息服务中心、</w:t>
            </w:r>
            <w:r>
              <w:rPr>
                <w:rFonts w:hint="eastAsia"/>
                <w:lang w:eastAsia="zh-CN"/>
              </w:rPr>
              <w:t>公交场站</w:t>
            </w:r>
            <w:r>
              <w:rPr>
                <w:rFonts w:hint="eastAsia"/>
              </w:rPr>
              <w:t>、</w:t>
            </w:r>
            <w:r>
              <w:rPr>
                <w:rFonts w:hint="eastAsia"/>
                <w:lang w:eastAsia="zh-CN"/>
              </w:rPr>
              <w:t>内部</w:t>
            </w:r>
            <w:r>
              <w:rPr>
                <w:rFonts w:hint="eastAsia"/>
              </w:rPr>
              <w:t>综合能源站，建成运行后产污环节主要为地面冲洗废水、工作人员及来往旅客产生的生活垃圾、生活污水及餐饮油烟、焊接烟尘，还有</w:t>
            </w:r>
            <w:r>
              <w:rPr>
                <w:rFonts w:hint="eastAsia"/>
                <w:lang w:eastAsia="zh-CN"/>
              </w:rPr>
              <w:t>进出车辆</w:t>
            </w:r>
            <w:r>
              <w:rPr>
                <w:rFonts w:hint="eastAsia"/>
              </w:rPr>
              <w:t>产生的噪声、尾气等。</w:t>
            </w:r>
          </w:p>
          <w:p w14:paraId="4991727D">
            <w:pPr>
              <w:pStyle w:val="6"/>
              <w:jc w:val="both"/>
              <w:rPr>
                <w:rFonts w:hint="eastAsia"/>
              </w:rPr>
            </w:pPr>
            <w:r>
              <w:rPr>
                <w:rFonts w:hint="eastAsia"/>
                <w:lang w:val="en-US" w:eastAsia="zh-CN"/>
              </w:rPr>
              <w:t>1、</w:t>
            </w:r>
            <w:r>
              <w:rPr>
                <w:rFonts w:hint="eastAsia"/>
              </w:rPr>
              <w:t>货运网络信息服务中心</w:t>
            </w:r>
          </w:p>
          <w:p w14:paraId="37F86C70">
            <w:pPr>
              <w:ind w:firstLine="480" w:firstLineChars="200"/>
              <w:rPr>
                <w:rFonts w:hint="eastAsia"/>
                <w:lang w:val="en-US" w:eastAsia="zh-CN"/>
              </w:rPr>
            </w:pPr>
            <w:r>
              <w:rPr>
                <w:rFonts w:hint="eastAsia"/>
                <w:lang w:eastAsia="zh-CN"/>
              </w:rPr>
              <w:t>项目建设货运网络信息服务中心，主要</w:t>
            </w:r>
            <w:r>
              <w:rPr>
                <w:rFonts w:hint="eastAsia"/>
              </w:rPr>
              <w:t>位于项目东南侧，共2层，建筑面积</w:t>
            </w:r>
            <w:r>
              <w:rPr>
                <w:rFonts w:hint="eastAsia"/>
                <w:lang w:eastAsia="zh-CN"/>
              </w:rPr>
              <w:t>约</w:t>
            </w:r>
            <w:r>
              <w:rPr>
                <w:rFonts w:hint="eastAsia"/>
              </w:rPr>
              <w:t>2240m</w:t>
            </w:r>
            <w:r>
              <w:rPr>
                <w:rFonts w:hint="eastAsia"/>
                <w:vertAlign w:val="superscript"/>
              </w:rPr>
              <w:t>2</w:t>
            </w:r>
            <w:r>
              <w:rPr>
                <w:rFonts w:hint="eastAsia"/>
              </w:rPr>
              <w:t>。主要建设便利店、厨房、餐饮</w:t>
            </w:r>
            <w:r>
              <w:rPr>
                <w:rFonts w:hint="eastAsia"/>
                <w:lang w:eastAsia="zh-CN"/>
              </w:rPr>
              <w:t>中心经营</w:t>
            </w:r>
            <w:r>
              <w:rPr>
                <w:rFonts w:hint="eastAsia"/>
              </w:rPr>
              <w:t>、值班室、监控室、办公室、休息区、</w:t>
            </w:r>
            <w:r>
              <w:t>货运</w:t>
            </w:r>
            <w:r>
              <w:rPr>
                <w:rFonts w:hint="eastAsia"/>
              </w:rPr>
              <w:t>信息服务中心等内容。</w:t>
            </w:r>
            <w:r>
              <w:rPr>
                <w:rFonts w:hint="eastAsia"/>
                <w:lang w:eastAsia="zh-CN"/>
              </w:rPr>
              <w:t>该部分主要产生餐饮油烟</w:t>
            </w:r>
            <w:r>
              <w:rPr>
                <w:rFonts w:hint="eastAsia"/>
                <w:lang w:val="en-US" w:eastAsia="zh-CN"/>
              </w:rPr>
              <w:t>G2、</w:t>
            </w:r>
            <w:r>
              <w:rPr>
                <w:rFonts w:hint="eastAsia"/>
              </w:rPr>
              <w:t>餐饮废水W2</w:t>
            </w:r>
            <w:r>
              <w:rPr>
                <w:rFonts w:hint="eastAsia"/>
                <w:lang w:eastAsia="zh-CN"/>
              </w:rPr>
              <w:t>及生活污水</w:t>
            </w:r>
            <w:r>
              <w:rPr>
                <w:rFonts w:hint="eastAsia"/>
                <w:lang w:val="en-US" w:eastAsia="zh-CN"/>
              </w:rPr>
              <w:t>W1。</w:t>
            </w:r>
          </w:p>
          <w:p w14:paraId="73CB97C7">
            <w:pPr>
              <w:numPr>
                <w:ilvl w:val="0"/>
                <w:numId w:val="6"/>
              </w:numPr>
              <w:rPr>
                <w:rFonts w:hint="eastAsia"/>
                <w:b/>
                <w:bCs/>
                <w:highlight w:val="none"/>
                <w:lang w:eastAsia="zh-CN"/>
              </w:rPr>
            </w:pPr>
            <w:r>
              <w:rPr>
                <w:rFonts w:hint="eastAsia"/>
                <w:b/>
                <w:bCs/>
                <w:highlight w:val="none"/>
              </w:rPr>
              <w:t>货运停车场</w:t>
            </w:r>
            <w:r>
              <w:rPr>
                <w:rFonts w:hint="eastAsia"/>
                <w:b/>
                <w:bCs/>
                <w:highlight w:val="none"/>
                <w:lang w:eastAsia="zh-CN"/>
              </w:rPr>
              <w:t>、公交场站</w:t>
            </w:r>
          </w:p>
          <w:p w14:paraId="24C14A3D">
            <w:pPr>
              <w:numPr>
                <w:ilvl w:val="0"/>
                <w:numId w:val="0"/>
              </w:numPr>
              <w:ind w:firstLine="480" w:firstLineChars="200"/>
              <w:rPr>
                <w:rFonts w:hint="eastAsia"/>
                <w:b/>
                <w:bCs/>
                <w:lang w:val="en-US" w:eastAsia="zh-CN"/>
              </w:rPr>
            </w:pPr>
            <w:r>
              <w:rPr>
                <w:rFonts w:hint="eastAsia"/>
                <w:lang w:eastAsia="zh-CN"/>
              </w:rPr>
              <w:t>项目设置货运停车场，南侧设置公交场站一座，运营过程中主要为进出车辆</w:t>
            </w:r>
            <w:r>
              <w:rPr>
                <w:rFonts w:hint="eastAsia"/>
              </w:rPr>
              <w:t>产生</w:t>
            </w:r>
            <w:r>
              <w:rPr>
                <w:rFonts w:hint="eastAsia"/>
                <w:lang w:eastAsia="zh-CN"/>
              </w:rPr>
              <w:t>的</w:t>
            </w:r>
            <w:r>
              <w:rPr>
                <w:rFonts w:hint="eastAsia"/>
              </w:rPr>
              <w:t>少量</w:t>
            </w:r>
            <w:r>
              <w:rPr>
                <w:rFonts w:hint="eastAsia"/>
                <w:lang w:eastAsia="zh-CN"/>
              </w:rPr>
              <w:t>汽车</w:t>
            </w:r>
            <w:r>
              <w:rPr>
                <w:rFonts w:hint="eastAsia"/>
              </w:rPr>
              <w:t>尾气</w:t>
            </w:r>
            <w:r>
              <w:rPr>
                <w:rFonts w:hint="eastAsia"/>
                <w:lang w:val="en-US" w:eastAsia="zh-CN"/>
              </w:rPr>
              <w:t>G4</w:t>
            </w:r>
            <w:r>
              <w:rPr>
                <w:rFonts w:hint="eastAsia"/>
              </w:rPr>
              <w:t>。</w:t>
            </w:r>
          </w:p>
          <w:p w14:paraId="5E6CAAF3">
            <w:pPr>
              <w:pStyle w:val="6"/>
              <w:jc w:val="both"/>
            </w:pPr>
            <w:r>
              <w:rPr>
                <w:rFonts w:hint="eastAsia"/>
                <w:lang w:val="en-US" w:eastAsia="zh-CN"/>
              </w:rPr>
              <w:t>3</w:t>
            </w:r>
            <w:r>
              <w:rPr>
                <w:rFonts w:hint="eastAsia"/>
              </w:rPr>
              <w:t>、综合能源站</w:t>
            </w:r>
          </w:p>
          <w:p w14:paraId="09E70F90">
            <w:r>
              <w:rPr>
                <w:rFonts w:hint="eastAsia"/>
              </w:rPr>
              <w:t>（1）柴油加油工艺流程及产污环节</w:t>
            </w:r>
          </w:p>
          <w:p w14:paraId="004CAE48">
            <w:r>
              <w:rPr>
                <w:rFonts w:hint="eastAsia"/>
              </w:rPr>
              <w:drawing>
                <wp:inline distT="0" distB="0" distL="114300" distR="114300">
                  <wp:extent cx="4878070" cy="1534795"/>
                  <wp:effectExtent l="0" t="0" r="0" b="0"/>
                  <wp:docPr id="3" name="ECB019B1-382A-4266-B25C-5B523AA43C14-2" descr="C:/Users/Administrator/AppData/Local/Temp/wps.mMMQX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Administrator/AppData/Local/Temp/wps.mMMQXqwps"/>
                          <pic:cNvPicPr>
                            <a:picLocks noChangeAspect="1"/>
                          </pic:cNvPicPr>
                        </pic:nvPicPr>
                        <pic:blipFill>
                          <a:blip r:embed="rId20"/>
                          <a:stretch>
                            <a:fillRect/>
                          </a:stretch>
                        </pic:blipFill>
                        <pic:spPr>
                          <a:xfrm>
                            <a:off x="0" y="0"/>
                            <a:ext cx="4878070" cy="1534795"/>
                          </a:xfrm>
                          <a:prstGeom prst="rect">
                            <a:avLst/>
                          </a:prstGeom>
                        </pic:spPr>
                      </pic:pic>
                    </a:graphicData>
                  </a:graphic>
                </wp:inline>
              </w:drawing>
            </w:r>
          </w:p>
          <w:p w14:paraId="18C69EA8">
            <w:pPr>
              <w:pStyle w:val="6"/>
            </w:pPr>
            <w:r>
              <w:t xml:space="preserve">图 </w:t>
            </w:r>
            <w:r>
              <w:rPr>
                <w:rFonts w:hint="eastAsia"/>
              </w:rPr>
              <w:t>2-</w:t>
            </w:r>
            <w:r>
              <w:fldChar w:fldCharType="begin"/>
            </w:r>
            <w:r>
              <w:instrText xml:space="preserve"> SEQ 图 \* ARABIC \s 1 </w:instrText>
            </w:r>
            <w:r>
              <w:fldChar w:fldCharType="separate"/>
            </w:r>
            <w:r>
              <w:t>5</w:t>
            </w:r>
            <w:r>
              <w:fldChar w:fldCharType="end"/>
            </w:r>
            <w:r>
              <w:rPr>
                <w:rFonts w:hint="eastAsia"/>
              </w:rPr>
              <w:t xml:space="preserve"> 柴油加油工艺流程及产污节点图</w:t>
            </w:r>
          </w:p>
          <w:p w14:paraId="16C143BD">
            <w:r>
              <w:rPr>
                <w:rFonts w:hint="eastAsia"/>
              </w:rPr>
              <w:t>工艺流程简述：</w:t>
            </w:r>
          </w:p>
          <w:p w14:paraId="0F506E0E">
            <w:pPr>
              <w:ind w:firstLine="480" w:firstLineChars="200"/>
            </w:pPr>
            <w:r>
              <w:rPr>
                <w:rFonts w:hint="eastAsia" w:ascii="宋体" w:hAnsi="宋体" w:cs="宋体"/>
              </w:rPr>
              <w:t>①</w:t>
            </w:r>
            <w:r>
              <w:rPr>
                <w:rFonts w:hint="eastAsia"/>
              </w:rPr>
              <w:t>卸油过程：由专用汽车槽罐车运输到达加油站卸油口附近，采用带有快接头的连接软管将油罐车卸油接口与埋地油罐卸油口连接，并接好静电接地装置，罐车静止稳油十五分钟以后，测量埋地油罐和油罐车的油品液位及埋地储油罐的可容量，然后开启罐车底部液相卸油阀门，慢开油罐进油阀（卸油阀），油品自流流入埋地油罐。卸油完成后，关闭油罐车卸油阀门，拆除连通软管及静电接地装置，人工封闭好油罐进油口和罐车卸油口，卸油结束。</w:t>
            </w:r>
          </w:p>
          <w:p w14:paraId="1B9AC432">
            <w:pPr>
              <w:widowControl/>
              <w:kinsoku w:val="0"/>
              <w:autoSpaceDE w:val="0"/>
              <w:autoSpaceDN w:val="0"/>
              <w:adjustRightInd w:val="0"/>
              <w:snapToGrid w:val="0"/>
              <w:ind w:firstLine="480" w:firstLineChars="200"/>
              <w:textAlignment w:val="baseline"/>
            </w:pPr>
            <w:r>
              <w:rPr>
                <w:rFonts w:hint="eastAsia" w:ascii="宋体" w:hAnsi="宋体" w:cs="宋体"/>
              </w:rPr>
              <w:t>②</w:t>
            </w:r>
            <w:r>
              <w:t>加油过程：加油采用潜油泵式加油机，加油枪与潜油泵连锁。加油时启动潜油泵，将油品从罐内抽出，</w:t>
            </w:r>
            <w:r>
              <w:rPr>
                <w:rFonts w:hint="eastAsia"/>
              </w:rPr>
              <w:t>经加油机计量</w:t>
            </w:r>
            <w:r>
              <w:t>通过加油枪向车辆油箱加油。</w:t>
            </w:r>
          </w:p>
          <w:p w14:paraId="1B65652D">
            <w:r>
              <w:rPr>
                <w:rFonts w:hint="eastAsia"/>
              </w:rPr>
              <w:t>（2）汽油加油工艺流程及产污环节</w:t>
            </w:r>
          </w:p>
          <w:p w14:paraId="1BE71F14">
            <w:pPr>
              <w:rPr>
                <w:color w:val="0000FF"/>
              </w:rPr>
            </w:pPr>
            <w:r>
              <w:drawing>
                <wp:inline distT="0" distB="0" distL="114300" distR="114300">
                  <wp:extent cx="4816475" cy="1605280"/>
                  <wp:effectExtent l="0" t="0" r="0" b="0"/>
                  <wp:docPr id="4" name="ECB019B1-382A-4266-B25C-5B523AA43C14-3" descr="C:/Users/Administrator/AppData/Local/Temp/wps.RFSAc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3" descr="C:/Users/Administrator/AppData/Local/Temp/wps.RFSAcgwps"/>
                          <pic:cNvPicPr>
                            <a:picLocks noChangeAspect="1"/>
                          </pic:cNvPicPr>
                        </pic:nvPicPr>
                        <pic:blipFill>
                          <a:blip r:embed="rId21"/>
                          <a:stretch>
                            <a:fillRect/>
                          </a:stretch>
                        </pic:blipFill>
                        <pic:spPr>
                          <a:xfrm>
                            <a:off x="0" y="0"/>
                            <a:ext cx="4816475" cy="1605280"/>
                          </a:xfrm>
                          <a:prstGeom prst="rect">
                            <a:avLst/>
                          </a:prstGeom>
                        </pic:spPr>
                      </pic:pic>
                    </a:graphicData>
                  </a:graphic>
                </wp:inline>
              </w:drawing>
            </w:r>
          </w:p>
          <w:p w14:paraId="0CA010CB">
            <w:pPr>
              <w:pStyle w:val="6"/>
            </w:pPr>
            <w:r>
              <w:t xml:space="preserve">图 </w:t>
            </w:r>
            <w:r>
              <w:rPr>
                <w:rFonts w:hint="eastAsia"/>
              </w:rPr>
              <w:t>2-</w:t>
            </w:r>
            <w:r>
              <w:fldChar w:fldCharType="begin"/>
            </w:r>
            <w:r>
              <w:instrText xml:space="preserve"> SEQ 图 \* ARABIC \s 1 </w:instrText>
            </w:r>
            <w:r>
              <w:fldChar w:fldCharType="separate"/>
            </w:r>
            <w:r>
              <w:t>6</w:t>
            </w:r>
            <w:r>
              <w:fldChar w:fldCharType="end"/>
            </w:r>
            <w:r>
              <w:rPr>
                <w:rFonts w:hint="eastAsia"/>
              </w:rPr>
              <w:t xml:space="preserve"> 汽油加油工艺流程及产污节点图</w:t>
            </w:r>
          </w:p>
          <w:p w14:paraId="73B0FD01">
            <w:r>
              <w:rPr>
                <w:rFonts w:hint="eastAsia"/>
              </w:rPr>
              <w:t>工艺流程简述：</w:t>
            </w:r>
          </w:p>
          <w:p w14:paraId="67E71795">
            <w:pPr>
              <w:ind w:firstLine="480" w:firstLineChars="200"/>
            </w:pPr>
            <w:r>
              <w:rPr>
                <w:rFonts w:hint="eastAsia" w:ascii="宋体" w:hAnsi="宋体" w:cs="宋体"/>
              </w:rPr>
              <w:t>①卸油</w:t>
            </w:r>
            <w:r>
              <w:rPr>
                <w:rFonts w:hint="eastAsia"/>
              </w:rPr>
              <w:t>：汽油</w:t>
            </w:r>
            <w:r>
              <w:t>由</w:t>
            </w:r>
            <w:r>
              <w:rPr>
                <w:rFonts w:hint="eastAsia"/>
              </w:rPr>
              <w:t>专用</w:t>
            </w:r>
            <w:r>
              <w:t>汽车槽罐车运输，槽罐车</w:t>
            </w:r>
            <w:r>
              <w:rPr>
                <w:rFonts w:hint="eastAsia"/>
              </w:rPr>
              <w:t>在加油站安全管理人员引导下</w:t>
            </w:r>
            <w:r>
              <w:t>到达</w:t>
            </w:r>
            <w:r>
              <w:rPr>
                <w:rFonts w:hint="eastAsia"/>
              </w:rPr>
              <w:t>卸油指定位置</w:t>
            </w:r>
            <w:r>
              <w:t>，停稳熄火，接好罐车防静电接地</w:t>
            </w:r>
            <w:r>
              <w:rPr>
                <w:rFonts w:hint="eastAsia"/>
              </w:rPr>
              <w:t>确认完好；再将储油罐油气回收阀与油罐车的气相阀，油罐卸油口快接头与油罐车液相卸油口分别用专用软管连接；待油罐车稳定15分钟以后，并确认储油罐的油品可容量，然后打开油罐油气回收阀门和罐车气相阀门（检查汽油罐气相管道控制阻火器放空阀属于关闭状态），再开启罐车底部液相卸油阀门，慢开油罐进油阀（卸油阀），油品自流流入埋地油罐；油罐上方油气通过气相连接管回收至油罐车罐内上方（称为一次油气回收），保持油罐与油罐车罐内压力平衡。如果油罐内液位达到90%时，液位报警仪报警，达到95%时油罐进油管道上安装的防溢阀自动关闭，（操作人员应该立即关闭油罐车卸油阀，待罐车连接管内油品自流完后，再关闭油罐进油阀）。正常卸油结束后，先关闭罐车卸油阀门，再关闭罐车油气回收阀门和油罐卸油油气回收阀门和油罐进油阀，最后拆除卸油和油气回收软管，回收至油罐车内的油气运到油库进行回收。</w:t>
            </w:r>
          </w:p>
          <w:p w14:paraId="278091A9">
            <w:pPr>
              <w:ind w:firstLine="480" w:firstLineChars="200"/>
            </w:pPr>
            <w:r>
              <w:rPr>
                <w:rFonts w:hint="eastAsia"/>
              </w:rPr>
              <w:t>②加油：</w:t>
            </w:r>
            <w:r>
              <w:t>加油采用潜油泵式加油机，加油枪与潜油泵连锁。加油时启动潜油泵，将油品从罐内抽出，</w:t>
            </w:r>
            <w:r>
              <w:rPr>
                <w:rFonts w:hint="eastAsia"/>
              </w:rPr>
              <w:t>经加油机计量</w:t>
            </w:r>
            <w:r>
              <w:t>通过加油枪向车辆油箱加油。</w:t>
            </w:r>
            <w:r>
              <w:rPr>
                <w:rFonts w:hint="eastAsia"/>
              </w:rPr>
              <w:t>汽油加油系统采用了油气回收系统（称为二次油气回收），加油时，汽车油箱挥发的油气通过加油枪外套管、加油机内的油气泵，收集送至地下油罐，减少加油时的油气挥发溢出。</w:t>
            </w:r>
          </w:p>
          <w:p w14:paraId="0A60D4C4">
            <w:pPr>
              <w:ind w:firstLine="480" w:firstLineChars="200"/>
            </w:pPr>
            <w:r>
              <w:rPr>
                <w:rFonts w:hint="eastAsia" w:ascii="宋体" w:hAnsi="宋体" w:cs="宋体"/>
              </w:rPr>
              <w:t>③</w:t>
            </w:r>
            <w:r>
              <w:rPr>
                <w:rFonts w:hint="eastAsia"/>
              </w:rPr>
              <w:t>储油：对油罐车送来的油品在相应的油罐内进行储存，储存时间为5至7天，从而保证加油站不会出现脱销现象。本项目储罐采用卧式</w:t>
            </w:r>
            <w:r>
              <w:t>埋地罐（双层罐）</w:t>
            </w:r>
            <w:r>
              <w:rPr>
                <w:rFonts w:hint="eastAsia"/>
              </w:rPr>
              <w:t>，储罐环节出现泄露概率极低，且配置有液位仪、渗漏检测立管、泄露报警器，一旦储油罐出现泄露，泄露报警器会立即启动，迅速启动应急措施。</w:t>
            </w:r>
          </w:p>
          <w:p w14:paraId="3FCF2AE9">
            <w:pPr>
              <w:ind w:firstLine="480" w:firstLineChars="200"/>
            </w:pPr>
            <w:r>
              <w:rPr>
                <w:rFonts w:hint="eastAsia"/>
              </w:rPr>
              <w:t>④油气回收</w:t>
            </w:r>
          </w:p>
          <w:p w14:paraId="09ADFFF8">
            <w:pPr>
              <w:ind w:firstLine="480" w:firstLineChars="200"/>
            </w:pPr>
            <w:r>
              <w:rPr>
                <w:rFonts w:hint="eastAsia" w:ascii="微软雅黑" w:hAnsi="微软雅黑" w:eastAsia="微软雅黑" w:cs="微软雅黑"/>
              </w:rPr>
              <w:t>ⅰ</w:t>
            </w:r>
            <w:r>
              <w:rPr>
                <w:rFonts w:hint="eastAsia"/>
              </w:rPr>
              <w:t>卸油油气回收（称为一次油气回收）时，油罐车卸油阀与埋地油罐卸油接口、埋地油罐气相阀与油罐车气相阀均用专用软管连接，卸油过程油罐挥发的油气通过气相连通管回收至槽罐车内，缷油完成后槽罐车内回收的油气运到油库或专门处理场所进行回收处理。</w:t>
            </w:r>
          </w:p>
          <w:p w14:paraId="73417FF8">
            <w:r>
              <w:drawing>
                <wp:inline distT="0" distB="0" distL="114300" distR="114300">
                  <wp:extent cx="4925060" cy="2025650"/>
                  <wp:effectExtent l="0" t="0" r="8890"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4925060" cy="2025650"/>
                          </a:xfrm>
                          <a:prstGeom prst="rect">
                            <a:avLst/>
                          </a:prstGeom>
                          <a:noFill/>
                          <a:ln>
                            <a:noFill/>
                          </a:ln>
                        </pic:spPr>
                      </pic:pic>
                    </a:graphicData>
                  </a:graphic>
                </wp:inline>
              </w:drawing>
            </w:r>
          </w:p>
          <w:p w14:paraId="32D733BF">
            <w:pPr>
              <w:pStyle w:val="6"/>
            </w:pPr>
            <w:r>
              <w:t xml:space="preserve">图 </w:t>
            </w:r>
            <w:r>
              <w:rPr>
                <w:rFonts w:hint="eastAsia"/>
              </w:rPr>
              <w:t>2-</w:t>
            </w:r>
            <w:r>
              <w:fldChar w:fldCharType="begin"/>
            </w:r>
            <w:r>
              <w:instrText xml:space="preserve"> SEQ 图 \* ARABIC \s 1 </w:instrText>
            </w:r>
            <w:r>
              <w:fldChar w:fldCharType="separate"/>
            </w:r>
            <w:r>
              <w:t>7</w:t>
            </w:r>
            <w:r>
              <w:fldChar w:fldCharType="end"/>
            </w:r>
            <w:r>
              <w:rPr>
                <w:rFonts w:hint="eastAsia"/>
              </w:rPr>
              <w:t xml:space="preserve"> 卸油油气回收系统基本原理图</w:t>
            </w:r>
          </w:p>
          <w:p w14:paraId="04E8FA89">
            <w:pPr>
              <w:ind w:firstLine="480" w:firstLineChars="200"/>
            </w:pPr>
            <w:r>
              <w:rPr>
                <w:rFonts w:hint="eastAsia" w:ascii="微软雅黑" w:hAnsi="微软雅黑" w:eastAsia="微软雅黑" w:cs="微软雅黑"/>
              </w:rPr>
              <w:t>ⅱ</w:t>
            </w:r>
            <w:r>
              <w:rPr>
                <w:rFonts w:hint="eastAsia"/>
              </w:rPr>
              <w:t>加油油气回收时（称为二次油气回收），采用专门带有油气回收的加油枪进行加油，汽车油箱口挥发的油气通过加油枪及连接软管的外套管、油气泵抽入其中一台低标号的汽油罐内转化为汽油，当油罐内少量不凝油气积累到压力超过通气管上呼吸阀（PV阀）设定压力时，PV阀自动打开放空。</w:t>
            </w:r>
          </w:p>
          <w:p w14:paraId="78E00C91">
            <w:r>
              <w:drawing>
                <wp:inline distT="0" distB="0" distL="114300" distR="114300">
                  <wp:extent cx="4770755" cy="2362835"/>
                  <wp:effectExtent l="0" t="0" r="10795" b="184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3"/>
                          <a:stretch>
                            <a:fillRect/>
                          </a:stretch>
                        </pic:blipFill>
                        <pic:spPr>
                          <a:xfrm>
                            <a:off x="0" y="0"/>
                            <a:ext cx="4770755" cy="2362835"/>
                          </a:xfrm>
                          <a:prstGeom prst="rect">
                            <a:avLst/>
                          </a:prstGeom>
                          <a:noFill/>
                          <a:ln>
                            <a:noFill/>
                          </a:ln>
                        </pic:spPr>
                      </pic:pic>
                    </a:graphicData>
                  </a:graphic>
                </wp:inline>
              </w:drawing>
            </w:r>
          </w:p>
          <w:p w14:paraId="464F1CB9">
            <w:pPr>
              <w:pStyle w:val="6"/>
            </w:pPr>
            <w:r>
              <w:t xml:space="preserve">图 </w:t>
            </w:r>
            <w:r>
              <w:rPr>
                <w:rFonts w:hint="eastAsia"/>
              </w:rPr>
              <w:t>2-</w:t>
            </w:r>
            <w:r>
              <w:fldChar w:fldCharType="begin"/>
            </w:r>
            <w:r>
              <w:instrText xml:space="preserve"> SEQ 图 \* ARABIC \s 1 </w:instrText>
            </w:r>
            <w:r>
              <w:fldChar w:fldCharType="separate"/>
            </w:r>
            <w:r>
              <w:t>8</w:t>
            </w:r>
            <w:r>
              <w:fldChar w:fldCharType="end"/>
            </w:r>
            <w:r>
              <w:rPr>
                <w:rFonts w:hint="eastAsia"/>
              </w:rPr>
              <w:t xml:space="preserve"> 加油油气回收系统基本原理图</w:t>
            </w:r>
          </w:p>
          <w:p w14:paraId="640DBD65">
            <w:pPr>
              <w:pStyle w:val="16"/>
              <w:shd w:val="clear" w:color="auto" w:fill="FFFFFF"/>
              <w:spacing w:before="0" w:beforeAutospacing="0" w:after="0" w:afterAutospacing="0"/>
              <w:ind w:firstLine="482" w:firstLineChars="200"/>
              <w:rPr>
                <w:rFonts w:hint="default"/>
                <w:color w:val="000000"/>
              </w:rPr>
            </w:pPr>
            <w:r>
              <w:rPr>
                <w:rFonts w:hint="default"/>
                <w:b/>
                <w:bCs/>
              </w:rPr>
              <w:t>ⅲ</w:t>
            </w:r>
            <w:r>
              <w:t>储油罐油气回收系统（</w:t>
            </w:r>
            <w:r>
              <w:rPr>
                <w:rFonts w:hint="default"/>
              </w:rPr>
              <w:t>三次油气回收阶段</w:t>
            </w:r>
            <w:r>
              <w:t>）</w:t>
            </w:r>
            <w:r>
              <w:rPr>
                <w:rFonts w:hint="default"/>
              </w:rPr>
              <w:t>：</w:t>
            </w:r>
            <w:r>
              <w:rPr>
                <w:color w:val="000000"/>
              </w:rPr>
              <w:t>三次回收系统是指在常温下油气沿油气管道送入油气处理装置的冷凝单元，压缩机和装在油气主管上的压力传感器连锁，当地下储油罐内的气压升高到设定的压力值(+150Pa或根据实际情况设定压力值)并且持续10S，系统自动开始运行。</w:t>
            </w:r>
          </w:p>
          <w:p w14:paraId="7E27C3DF">
            <w:pPr>
              <w:pStyle w:val="16"/>
              <w:shd w:val="clear" w:color="auto" w:fill="FFFFFF"/>
              <w:spacing w:before="0" w:beforeAutospacing="0" w:after="0" w:afterAutospacing="0"/>
              <w:ind w:firstLine="480" w:firstLineChars="200"/>
              <w:rPr>
                <w:rFonts w:hint="default"/>
                <w:color w:val="000000"/>
              </w:rPr>
            </w:pPr>
            <w:r>
              <w:rPr>
                <w:color w:val="000000"/>
              </w:rPr>
              <w:t>油气直接进入冷凝单元进行多级冷凝：先经预冷器被冷却至3℃，冷凝出部分油和水，然后进入一级冷凝箱被冷却至-25℃，再析出一部分油，再进入第二级冷凝箱被冷却至-45℃，进一步析出一部分油，此时大部分的烃类组分被冷凝液化析出，进入设备的储油罐内。分离出油后的低温贫油气体再依次回到第一级冷凝箱、回热交换器进行回热交换，完成了气路的冷量回收利用。未被冷凝处理的低浓度油气，进入到</w:t>
            </w:r>
            <w:r>
              <w:rPr>
                <w:rFonts w:hint="eastAsia"/>
                <w:color w:val="000000"/>
                <w:lang w:eastAsia="zh-CN"/>
              </w:rPr>
              <w:t>膜</w:t>
            </w:r>
            <w:r>
              <w:rPr>
                <w:color w:val="000000"/>
              </w:rPr>
              <w:t>吸附系统，吸附系统由两吸附罐进行吸附—脱附—清扫过程，在常压下A罐吸附原料中的剩余油气组分、当吸附饱和后、系统自动切入B罐进行吸附处理，同时A罐进行真空脱附使吸附剂获得再生，脱附出的油气进入设备自带的集油罐进行吸收，未被吸收的少量油气进入下一个循环，经过吸附系统分离出来的达标尾气经阻火器安全排空。回收回来的汽油通过管道进出加油站低标号油罐内。</w:t>
            </w:r>
          </w:p>
          <w:p w14:paraId="56924FB3">
            <w:pPr>
              <w:pStyle w:val="9"/>
              <w:spacing w:before="161" w:line="364" w:lineRule="auto"/>
              <w:ind w:right="230"/>
            </w:pPr>
            <w:r>
              <w:rPr>
                <w:rFonts w:hint="eastAsia"/>
              </w:rPr>
              <w:drawing>
                <wp:inline distT="0" distB="0" distL="114300" distR="114300">
                  <wp:extent cx="4649470" cy="3970020"/>
                  <wp:effectExtent l="0" t="0" r="17780" b="1143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49470" cy="3970020"/>
                          </a:xfrm>
                          <a:prstGeom prst="rect">
                            <a:avLst/>
                          </a:prstGeom>
                          <a:noFill/>
                          <a:ln>
                            <a:noFill/>
                          </a:ln>
                        </pic:spPr>
                      </pic:pic>
                    </a:graphicData>
                  </a:graphic>
                </wp:inline>
              </w:drawing>
            </w:r>
          </w:p>
          <w:p w14:paraId="46087273">
            <w:pPr>
              <w:pStyle w:val="6"/>
              <w:spacing w:before="161" w:line="364" w:lineRule="auto"/>
              <w:ind w:right="230"/>
            </w:pPr>
            <w:r>
              <w:t xml:space="preserve">图 </w:t>
            </w:r>
            <w:r>
              <w:rPr>
                <w:rFonts w:hint="eastAsia"/>
              </w:rPr>
              <w:t>2-</w:t>
            </w:r>
            <w:r>
              <w:fldChar w:fldCharType="begin"/>
            </w:r>
            <w:r>
              <w:instrText xml:space="preserve"> SEQ 图 \* ARABIC \s 1 </w:instrText>
            </w:r>
            <w:r>
              <w:fldChar w:fldCharType="separate"/>
            </w:r>
            <w:r>
              <w:t>9</w:t>
            </w:r>
            <w:r>
              <w:fldChar w:fldCharType="end"/>
            </w:r>
            <w:r>
              <w:rPr>
                <w:rFonts w:hint="eastAsia"/>
              </w:rPr>
              <w:t xml:space="preserve"> 三次油气回收装置</w:t>
            </w:r>
          </w:p>
          <w:p w14:paraId="4D1B793F">
            <w:pPr>
              <w:ind w:firstLine="480" w:firstLineChars="200"/>
            </w:pPr>
            <w:r>
              <w:t>⑤油罐维护</w:t>
            </w:r>
          </w:p>
          <w:p w14:paraId="32074D10">
            <w:pPr>
              <w:ind w:firstLine="480" w:firstLineChars="200"/>
            </w:pPr>
            <w:r>
              <w:t>加油站在下述情况下要进行油罐清洗维护：新建油罐装油之前；换装不同种类的油料、原储油料对新换装的油料有影响时；需要对油罐进行明火烧焊或清除油漆时；在装油时间较长，罐内较脏时要清洗。加油站每3~5年对油罐进行</w:t>
            </w:r>
            <w:r>
              <w:rPr>
                <w:rFonts w:hint="eastAsia"/>
              </w:rPr>
              <w:t>清理</w:t>
            </w:r>
            <w:r>
              <w:t>，建设单位委托专业公司进行清理，清理产生的废油渣及废油水由专业清理公司拉运处理处置，不在场地内贮存。</w:t>
            </w:r>
          </w:p>
          <w:p w14:paraId="5D243D38">
            <w:r>
              <w:rPr>
                <w:rFonts w:hint="eastAsia"/>
              </w:rPr>
              <w:t>（3）充电工艺流程</w:t>
            </w:r>
          </w:p>
          <w:p w14:paraId="524D8873">
            <w:pPr>
              <w:ind w:firstLine="480" w:firstLineChars="200"/>
              <w:rPr>
                <w:rFonts w:hint="eastAsia" w:ascii="宋体" w:hAnsi="宋体" w:cs="宋体"/>
              </w:rPr>
            </w:pPr>
            <w:r>
              <w:rPr>
                <w:rFonts w:ascii="宋体" w:hAnsi="宋体" w:cs="宋体"/>
              </w:rPr>
              <w:t>充电桩由桩体、电气模块、计量模块等部分组成。充电桩包括交流充电桩和直流充电桩。充电桩通常以成组的型式进行设置，以提高其利用率。充电桩基本功能为供电或充电、计量和通信，扩展功能为计费。本项目依托优秀的产品设计理念和坚实的设计技术，为电动汽车快速充电提供安全、经济、便捷的解决方案。具有宽范围电压、单元化设计、智能化控制、精确化计量、多元化通讯、智能运维等特点。</w:t>
            </w:r>
          </w:p>
          <w:p w14:paraId="03788E54">
            <w:r>
              <w:rPr>
                <w:rFonts w:hint="eastAsia"/>
              </w:rPr>
              <w:t>2、货车应急维修中心</w:t>
            </w:r>
          </w:p>
          <w:p w14:paraId="42F8EB3B">
            <w:pPr>
              <w:rPr>
                <w:color w:val="0000FF"/>
              </w:rPr>
            </w:pPr>
            <w:r>
              <w:rPr>
                <w:rFonts w:hint="eastAsia"/>
                <w:color w:val="0000FF"/>
              </w:rPr>
              <w:drawing>
                <wp:inline distT="0" distB="0" distL="114300" distR="114300">
                  <wp:extent cx="4901565" cy="1418590"/>
                  <wp:effectExtent l="0" t="0" r="0" b="0"/>
                  <wp:docPr id="7" name="ECB019B1-382A-4266-B25C-5B523AA43C14-4" descr="C:/Users/Administrator/AppData/Local/Temp/wps.GseDj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4" descr="C:/Users/Administrator/AppData/Local/Temp/wps.GseDjcwps"/>
                          <pic:cNvPicPr>
                            <a:picLocks noChangeAspect="1"/>
                          </pic:cNvPicPr>
                        </pic:nvPicPr>
                        <pic:blipFill>
                          <a:blip r:embed="rId25"/>
                          <a:stretch>
                            <a:fillRect/>
                          </a:stretch>
                        </pic:blipFill>
                        <pic:spPr>
                          <a:xfrm>
                            <a:off x="0" y="0"/>
                            <a:ext cx="4901565" cy="1418590"/>
                          </a:xfrm>
                          <a:prstGeom prst="rect">
                            <a:avLst/>
                          </a:prstGeom>
                        </pic:spPr>
                      </pic:pic>
                    </a:graphicData>
                  </a:graphic>
                </wp:inline>
              </w:drawing>
            </w:r>
          </w:p>
          <w:p w14:paraId="6265118B">
            <w:pPr>
              <w:jc w:val="right"/>
            </w:pPr>
            <w:r>
              <w:rPr>
                <w:rFonts w:hint="eastAsia"/>
                <w:sz w:val="21"/>
                <w:szCs w:val="21"/>
              </w:rPr>
              <w:t>备注：噪声伴随车辆检修全过程</w:t>
            </w:r>
          </w:p>
          <w:p w14:paraId="5A5EFCE7">
            <w:pPr>
              <w:pStyle w:val="6"/>
            </w:pPr>
            <w:r>
              <w:t xml:space="preserve">图 </w:t>
            </w:r>
            <w:r>
              <w:rPr>
                <w:rFonts w:hint="eastAsia"/>
              </w:rPr>
              <w:t>2-</w:t>
            </w:r>
            <w:r>
              <w:fldChar w:fldCharType="begin"/>
            </w:r>
            <w:r>
              <w:instrText xml:space="preserve"> SEQ 图 \* ARABIC \s 1 </w:instrText>
            </w:r>
            <w:r>
              <w:fldChar w:fldCharType="separate"/>
            </w:r>
            <w:r>
              <w:t>10</w:t>
            </w:r>
            <w:r>
              <w:fldChar w:fldCharType="end"/>
            </w:r>
            <w:r>
              <w:rPr>
                <w:rFonts w:hint="eastAsia"/>
              </w:rPr>
              <w:t xml:space="preserve"> 应急维修中心工艺流程及产污节点</w:t>
            </w:r>
          </w:p>
          <w:p w14:paraId="091909FB">
            <w:r>
              <w:rPr>
                <w:rFonts w:hint="eastAsia"/>
              </w:rPr>
              <w:t>工艺流程简述：</w:t>
            </w:r>
          </w:p>
          <w:p w14:paraId="20A0906B">
            <w:pPr>
              <w:ind w:firstLine="420"/>
            </w:pPr>
            <w:r>
              <w:rPr>
                <w:rFonts w:hint="eastAsia" w:ascii="宋体" w:hAnsi="宋体" w:cs="宋体"/>
              </w:rPr>
              <w:t>①</w:t>
            </w:r>
            <w:r>
              <w:t>检查：</w:t>
            </w:r>
            <w:r>
              <w:rPr>
                <w:rFonts w:hint="eastAsia"/>
              </w:rPr>
              <w:t>车辆进厂后，首先根据客户反映的问题</w:t>
            </w:r>
            <w:r>
              <w:t>对车辆进行检查</w:t>
            </w:r>
            <w:r>
              <w:rPr>
                <w:rFonts w:hint="eastAsia"/>
              </w:rPr>
              <w:t>，然后根据客户需求对车辆进行维修</w:t>
            </w:r>
            <w:r>
              <w:t>。</w:t>
            </w:r>
          </w:p>
          <w:p w14:paraId="4AD10F1E">
            <w:pPr>
              <w:ind w:firstLine="420"/>
            </w:pPr>
            <w:r>
              <w:rPr>
                <w:rFonts w:hint="eastAsia" w:ascii="宋体" w:hAnsi="宋体" w:cs="宋体"/>
              </w:rPr>
              <w:t>②</w:t>
            </w:r>
            <w:r>
              <w:t>维修：包括更换零</w:t>
            </w:r>
            <w:r>
              <w:rPr>
                <w:rFonts w:hint="eastAsia"/>
              </w:rPr>
              <w:t>部件</w:t>
            </w:r>
            <w:r>
              <w:t>、轮胎平衡、更换轮胎</w:t>
            </w:r>
            <w:r>
              <w:rPr>
                <w:rFonts w:hint="eastAsia"/>
              </w:rPr>
              <w:t>、钣金焊接修复</w:t>
            </w:r>
            <w:r>
              <w:t>等，此过程会产生噪声、</w:t>
            </w:r>
            <w:r>
              <w:rPr>
                <w:rFonts w:hint="eastAsia"/>
              </w:rPr>
              <w:t>焊接烟尘G3、废零部件S2、废焊丝S3、废轮胎S4、含油抹布或手套S9、废机油S10、废机油桶S11、</w:t>
            </w:r>
            <w:r>
              <w:rPr>
                <w:rFonts w:hint="eastAsia"/>
                <w:lang w:eastAsia="zh-CN"/>
              </w:rPr>
              <w:t>废电池</w:t>
            </w:r>
            <w:r>
              <w:rPr>
                <w:rFonts w:hint="eastAsia"/>
              </w:rPr>
              <w:t>S12</w:t>
            </w:r>
            <w:r>
              <w:t>等；</w:t>
            </w:r>
          </w:p>
          <w:p w14:paraId="513DDF38">
            <w:pPr>
              <w:ind w:firstLine="420"/>
            </w:pPr>
            <w:r>
              <w:rPr>
                <w:rFonts w:hint="eastAsia" w:ascii="宋体" w:hAnsi="宋体" w:cs="宋体"/>
              </w:rPr>
              <w:t>③</w:t>
            </w:r>
            <w:r>
              <w:rPr>
                <w:rFonts w:hint="eastAsia"/>
              </w:rPr>
              <w:t>清洗</w:t>
            </w:r>
            <w:r>
              <w:t>：</w:t>
            </w:r>
            <w:r>
              <w:rPr>
                <w:rFonts w:hint="eastAsia"/>
              </w:rPr>
              <w:t>用自来水对检查合格车辆进行简单清洗，清洗区域在钣金出口处，四周有引流渠道收集洗车废水。洗车废水经渠道收集到隔油沉淀池处理。本项目仅对维修车辆进行简单清洗，不对外设洗车服务。此过程产生洗车废水</w:t>
            </w:r>
            <w:bookmarkStart w:id="22" w:name="OLE_LINK12"/>
            <w:r>
              <w:rPr>
                <w:rFonts w:hint="eastAsia"/>
              </w:rPr>
              <w:t>W4、洗车污泥及泥沙S5。</w:t>
            </w:r>
            <w:bookmarkEnd w:id="22"/>
          </w:p>
          <w:p w14:paraId="4DA941B5">
            <w:pPr>
              <w:pStyle w:val="6"/>
            </w:pPr>
            <w:r>
              <w:t xml:space="preserve">表 </w:t>
            </w:r>
            <w:r>
              <w:rPr>
                <w:rFonts w:hint="eastAsia"/>
              </w:rPr>
              <w:t>2-</w:t>
            </w:r>
            <w:r>
              <w:fldChar w:fldCharType="begin"/>
            </w:r>
            <w:r>
              <w:instrText xml:space="preserve"> SEQ 表 \* ARABIC \s 1 </w:instrText>
            </w:r>
            <w:r>
              <w:fldChar w:fldCharType="separate"/>
            </w:r>
            <w:r>
              <w:t>13</w:t>
            </w:r>
            <w:r>
              <w:fldChar w:fldCharType="end"/>
            </w:r>
            <w:r>
              <w:rPr>
                <w:rFonts w:hint="eastAsia"/>
              </w:rPr>
              <w:t>营运期主要污染工序一览表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841"/>
              <w:gridCol w:w="1636"/>
              <w:gridCol w:w="2601"/>
              <w:gridCol w:w="1636"/>
            </w:tblGrid>
            <w:tr w14:paraId="46A9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Align w:val="center"/>
                </w:tcPr>
                <w:p w14:paraId="714A98D7">
                  <w:pPr>
                    <w:pStyle w:val="24"/>
                  </w:pPr>
                  <w:r>
                    <w:rPr>
                      <w:rFonts w:hint="eastAsia"/>
                    </w:rPr>
                    <w:t>污染类别</w:t>
                  </w:r>
                </w:p>
              </w:tc>
              <w:tc>
                <w:tcPr>
                  <w:tcW w:w="2451" w:type="dxa"/>
                  <w:gridSpan w:val="2"/>
                  <w:vAlign w:val="center"/>
                </w:tcPr>
                <w:p w14:paraId="55D65303">
                  <w:pPr>
                    <w:pStyle w:val="24"/>
                  </w:pPr>
                  <w:r>
                    <w:rPr>
                      <w:rFonts w:hint="eastAsia"/>
                    </w:rPr>
                    <w:t>产污环节</w:t>
                  </w:r>
                </w:p>
              </w:tc>
              <w:tc>
                <w:tcPr>
                  <w:tcW w:w="2574" w:type="dxa"/>
                  <w:vAlign w:val="center"/>
                </w:tcPr>
                <w:p w14:paraId="1A3B6AF1">
                  <w:pPr>
                    <w:pStyle w:val="24"/>
                  </w:pPr>
                  <w:r>
                    <w:rPr>
                      <w:rFonts w:hint="eastAsia"/>
                    </w:rPr>
                    <w:t>主要污染因子</w:t>
                  </w:r>
                </w:p>
              </w:tc>
              <w:tc>
                <w:tcPr>
                  <w:tcW w:w="1619" w:type="dxa"/>
                  <w:vAlign w:val="center"/>
                </w:tcPr>
                <w:p w14:paraId="748252A6">
                  <w:pPr>
                    <w:pStyle w:val="24"/>
                  </w:pPr>
                  <w:r>
                    <w:rPr>
                      <w:rFonts w:hint="eastAsia"/>
                    </w:rPr>
                    <w:t>治理措施</w:t>
                  </w:r>
                </w:p>
              </w:tc>
            </w:tr>
            <w:tr w14:paraId="45DE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restart"/>
                  <w:vAlign w:val="center"/>
                </w:tcPr>
                <w:p w14:paraId="754CD6FD">
                  <w:pPr>
                    <w:pStyle w:val="24"/>
                  </w:pPr>
                  <w:r>
                    <w:rPr>
                      <w:rFonts w:hint="eastAsia"/>
                    </w:rPr>
                    <w:t>废水</w:t>
                  </w:r>
                </w:p>
              </w:tc>
              <w:tc>
                <w:tcPr>
                  <w:tcW w:w="2451" w:type="dxa"/>
                  <w:gridSpan w:val="2"/>
                  <w:vAlign w:val="center"/>
                </w:tcPr>
                <w:p w14:paraId="1FE0A199">
                  <w:pPr>
                    <w:pStyle w:val="24"/>
                  </w:pPr>
                  <w:r>
                    <w:rPr>
                      <w:rFonts w:hint="eastAsia"/>
                    </w:rPr>
                    <w:t>员工及往来人员生活污水W1</w:t>
                  </w:r>
                </w:p>
              </w:tc>
              <w:tc>
                <w:tcPr>
                  <w:tcW w:w="2574" w:type="dxa"/>
                  <w:vAlign w:val="center"/>
                </w:tcPr>
                <w:p w14:paraId="07A41D76">
                  <w:pPr>
                    <w:pStyle w:val="24"/>
                  </w:pPr>
                  <w:r>
                    <w:rPr>
                      <w:rFonts w:hint="eastAsia"/>
                    </w:rPr>
                    <w:t>CODcr、BOD</w:t>
                  </w:r>
                  <w:r>
                    <w:rPr>
                      <w:rFonts w:hint="eastAsia"/>
                      <w:vertAlign w:val="subscript"/>
                    </w:rPr>
                    <w:t>5</w:t>
                  </w:r>
                  <w:r>
                    <w:rPr>
                      <w:rFonts w:hint="eastAsia"/>
                    </w:rPr>
                    <w:t>、SS、NH</w:t>
                  </w:r>
                  <w:r>
                    <w:rPr>
                      <w:rFonts w:hint="eastAsia"/>
                      <w:vertAlign w:val="subscript"/>
                    </w:rPr>
                    <w:t>3</w:t>
                  </w:r>
                  <w:r>
                    <w:rPr>
                      <w:rFonts w:hint="eastAsia"/>
                    </w:rPr>
                    <w:t>-N</w:t>
                  </w:r>
                </w:p>
              </w:tc>
              <w:tc>
                <w:tcPr>
                  <w:tcW w:w="1619" w:type="dxa"/>
                  <w:vMerge w:val="restart"/>
                  <w:vAlign w:val="center"/>
                </w:tcPr>
                <w:p w14:paraId="3E0AF828">
                  <w:pPr>
                    <w:pStyle w:val="24"/>
                  </w:pPr>
                  <w:r>
                    <w:rPr>
                      <w:rFonts w:hint="eastAsia"/>
                    </w:rPr>
                    <w:t>隔油池+化粪池</w:t>
                  </w:r>
                </w:p>
              </w:tc>
            </w:tr>
            <w:tr w14:paraId="35AF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13D80846">
                  <w:pPr>
                    <w:pStyle w:val="24"/>
                  </w:pPr>
                </w:p>
              </w:tc>
              <w:tc>
                <w:tcPr>
                  <w:tcW w:w="2451" w:type="dxa"/>
                  <w:gridSpan w:val="2"/>
                  <w:vAlign w:val="center"/>
                </w:tcPr>
                <w:p w14:paraId="61C226FD">
                  <w:pPr>
                    <w:pStyle w:val="24"/>
                  </w:pPr>
                  <w:r>
                    <w:rPr>
                      <w:rFonts w:hint="eastAsia"/>
                    </w:rPr>
                    <w:t>餐饮废水W2</w:t>
                  </w:r>
                </w:p>
              </w:tc>
              <w:tc>
                <w:tcPr>
                  <w:tcW w:w="2574" w:type="dxa"/>
                  <w:vAlign w:val="center"/>
                </w:tcPr>
                <w:p w14:paraId="705EB5A3">
                  <w:pPr>
                    <w:pStyle w:val="24"/>
                  </w:pPr>
                  <w:r>
                    <w:rPr>
                      <w:rFonts w:hint="eastAsia"/>
                    </w:rPr>
                    <w:t>CODcr、BOD</w:t>
                  </w:r>
                  <w:r>
                    <w:rPr>
                      <w:rFonts w:hint="eastAsia"/>
                      <w:vertAlign w:val="subscript"/>
                    </w:rPr>
                    <w:t>5</w:t>
                  </w:r>
                  <w:r>
                    <w:rPr>
                      <w:rFonts w:hint="eastAsia"/>
                    </w:rPr>
                    <w:t>、SS、NH</w:t>
                  </w:r>
                  <w:r>
                    <w:rPr>
                      <w:rFonts w:hint="eastAsia"/>
                      <w:vertAlign w:val="subscript"/>
                    </w:rPr>
                    <w:t>3</w:t>
                  </w:r>
                  <w:r>
                    <w:rPr>
                      <w:rFonts w:hint="eastAsia"/>
                    </w:rPr>
                    <w:t>-N、动植物油</w:t>
                  </w:r>
                </w:p>
              </w:tc>
              <w:tc>
                <w:tcPr>
                  <w:tcW w:w="1619" w:type="dxa"/>
                  <w:vMerge w:val="continue"/>
                  <w:vAlign w:val="center"/>
                </w:tcPr>
                <w:p w14:paraId="7C6B2679">
                  <w:pPr>
                    <w:pStyle w:val="24"/>
                  </w:pPr>
                </w:p>
              </w:tc>
            </w:tr>
            <w:tr w14:paraId="298B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36F1056C">
                  <w:pPr>
                    <w:pStyle w:val="24"/>
                  </w:pPr>
                </w:p>
              </w:tc>
              <w:tc>
                <w:tcPr>
                  <w:tcW w:w="832" w:type="dxa"/>
                  <w:vMerge w:val="restart"/>
                  <w:vAlign w:val="center"/>
                </w:tcPr>
                <w:p w14:paraId="5769CFF5">
                  <w:pPr>
                    <w:pStyle w:val="24"/>
                  </w:pPr>
                  <w:r>
                    <w:rPr>
                      <w:rFonts w:hint="eastAsia"/>
                    </w:rPr>
                    <w:t>加油站</w:t>
                  </w:r>
                </w:p>
              </w:tc>
              <w:tc>
                <w:tcPr>
                  <w:tcW w:w="1619" w:type="dxa"/>
                  <w:vAlign w:val="center"/>
                </w:tcPr>
                <w:p w14:paraId="115BCE09">
                  <w:pPr>
                    <w:pStyle w:val="24"/>
                  </w:pPr>
                  <w:r>
                    <w:rPr>
                      <w:rFonts w:hint="eastAsia"/>
                    </w:rPr>
                    <w:t>地面冲洗废水W3</w:t>
                  </w:r>
                </w:p>
              </w:tc>
              <w:tc>
                <w:tcPr>
                  <w:tcW w:w="2574" w:type="dxa"/>
                  <w:vAlign w:val="center"/>
                </w:tcPr>
                <w:p w14:paraId="09FBF58E">
                  <w:pPr>
                    <w:pStyle w:val="24"/>
                  </w:pPr>
                  <w:r>
                    <w:rPr>
                      <w:rFonts w:hint="eastAsia"/>
                    </w:rPr>
                    <w:t>CODcr、SS、石油类</w:t>
                  </w:r>
                </w:p>
              </w:tc>
              <w:tc>
                <w:tcPr>
                  <w:tcW w:w="1619" w:type="dxa"/>
                  <w:vMerge w:val="restart"/>
                  <w:vAlign w:val="center"/>
                </w:tcPr>
                <w:p w14:paraId="22080A9A">
                  <w:pPr>
                    <w:pStyle w:val="24"/>
                  </w:pPr>
                  <w:r>
                    <w:rPr>
                      <w:rFonts w:hint="eastAsia"/>
                    </w:rPr>
                    <w:t>三级油水分离池</w:t>
                  </w:r>
                </w:p>
              </w:tc>
            </w:tr>
            <w:tr w14:paraId="1541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647D8439">
                  <w:pPr>
                    <w:pStyle w:val="24"/>
                  </w:pPr>
                </w:p>
              </w:tc>
              <w:tc>
                <w:tcPr>
                  <w:tcW w:w="832" w:type="dxa"/>
                  <w:vMerge w:val="continue"/>
                  <w:vAlign w:val="center"/>
                </w:tcPr>
                <w:p w14:paraId="3E466F40">
                  <w:pPr>
                    <w:pStyle w:val="24"/>
                  </w:pPr>
                </w:p>
              </w:tc>
              <w:tc>
                <w:tcPr>
                  <w:tcW w:w="1619" w:type="dxa"/>
                  <w:vAlign w:val="center"/>
                </w:tcPr>
                <w:p w14:paraId="2F26BD59">
                  <w:pPr>
                    <w:pStyle w:val="24"/>
                  </w:pPr>
                  <w:r>
                    <w:rPr>
                      <w:rFonts w:hint="eastAsia"/>
                    </w:rPr>
                    <w:t>初期雨水</w:t>
                  </w:r>
                </w:p>
              </w:tc>
              <w:tc>
                <w:tcPr>
                  <w:tcW w:w="2574" w:type="dxa"/>
                  <w:vAlign w:val="center"/>
                </w:tcPr>
                <w:p w14:paraId="7C3AC3AA">
                  <w:pPr>
                    <w:pStyle w:val="24"/>
                  </w:pPr>
                  <w:r>
                    <w:rPr>
                      <w:rFonts w:hint="eastAsia"/>
                    </w:rPr>
                    <w:t>CODcr、SS、石油类</w:t>
                  </w:r>
                </w:p>
              </w:tc>
              <w:tc>
                <w:tcPr>
                  <w:tcW w:w="1619" w:type="dxa"/>
                  <w:vMerge w:val="continue"/>
                  <w:vAlign w:val="center"/>
                </w:tcPr>
                <w:p w14:paraId="757143C5">
                  <w:pPr>
                    <w:pStyle w:val="24"/>
                  </w:pPr>
                </w:p>
              </w:tc>
            </w:tr>
            <w:tr w14:paraId="7DEB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19B6CF37">
                  <w:pPr>
                    <w:pStyle w:val="24"/>
                  </w:pPr>
                </w:p>
              </w:tc>
              <w:tc>
                <w:tcPr>
                  <w:tcW w:w="832" w:type="dxa"/>
                  <w:vMerge w:val="restart"/>
                  <w:vAlign w:val="center"/>
                </w:tcPr>
                <w:p w14:paraId="1538267B">
                  <w:pPr>
                    <w:pStyle w:val="24"/>
                  </w:pPr>
                  <w:r>
                    <w:rPr>
                      <w:rFonts w:hint="eastAsia"/>
                    </w:rPr>
                    <w:t>货车应急维修中心</w:t>
                  </w:r>
                </w:p>
              </w:tc>
              <w:tc>
                <w:tcPr>
                  <w:tcW w:w="1619" w:type="dxa"/>
                  <w:vAlign w:val="center"/>
                </w:tcPr>
                <w:p w14:paraId="26290AB0">
                  <w:pPr>
                    <w:pStyle w:val="24"/>
                  </w:pPr>
                  <w:r>
                    <w:rPr>
                      <w:rFonts w:hint="eastAsia"/>
                    </w:rPr>
                    <w:t>地面冲洗废水W3</w:t>
                  </w:r>
                </w:p>
              </w:tc>
              <w:tc>
                <w:tcPr>
                  <w:tcW w:w="2574" w:type="dxa"/>
                  <w:vAlign w:val="center"/>
                </w:tcPr>
                <w:p w14:paraId="0F8BB8CA">
                  <w:pPr>
                    <w:pStyle w:val="24"/>
                  </w:pPr>
                  <w:r>
                    <w:rPr>
                      <w:rFonts w:hint="eastAsia"/>
                    </w:rPr>
                    <w:t>CODcr、SS、石油类</w:t>
                  </w:r>
                </w:p>
              </w:tc>
              <w:tc>
                <w:tcPr>
                  <w:tcW w:w="1619" w:type="dxa"/>
                  <w:vMerge w:val="restart"/>
                  <w:vAlign w:val="center"/>
                </w:tcPr>
                <w:p w14:paraId="7E3CCF5B">
                  <w:pPr>
                    <w:pStyle w:val="24"/>
                  </w:pPr>
                  <w:r>
                    <w:rPr>
                      <w:rFonts w:hint="eastAsia"/>
                    </w:rPr>
                    <w:t>隔油沉淀池</w:t>
                  </w:r>
                </w:p>
              </w:tc>
            </w:tr>
            <w:tr w14:paraId="5D95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5C6AAFF2">
                  <w:pPr>
                    <w:pStyle w:val="24"/>
                  </w:pPr>
                </w:p>
              </w:tc>
              <w:tc>
                <w:tcPr>
                  <w:tcW w:w="832" w:type="dxa"/>
                  <w:vMerge w:val="continue"/>
                  <w:shd w:val="clear" w:color="auto" w:fill="auto"/>
                  <w:vAlign w:val="center"/>
                </w:tcPr>
                <w:p w14:paraId="03ECABA9">
                  <w:pPr>
                    <w:pStyle w:val="24"/>
                  </w:pPr>
                </w:p>
              </w:tc>
              <w:tc>
                <w:tcPr>
                  <w:tcW w:w="1619" w:type="dxa"/>
                  <w:shd w:val="clear" w:color="auto" w:fill="auto"/>
                  <w:vAlign w:val="center"/>
                </w:tcPr>
                <w:p w14:paraId="29823695">
                  <w:pPr>
                    <w:pStyle w:val="24"/>
                  </w:pPr>
                  <w:r>
                    <w:rPr>
                      <w:rFonts w:hint="eastAsia"/>
                    </w:rPr>
                    <w:t>洗车废水W4</w:t>
                  </w:r>
                </w:p>
              </w:tc>
              <w:tc>
                <w:tcPr>
                  <w:tcW w:w="2574" w:type="dxa"/>
                  <w:shd w:val="clear" w:color="auto" w:fill="auto"/>
                  <w:vAlign w:val="center"/>
                </w:tcPr>
                <w:p w14:paraId="0374B0D9">
                  <w:pPr>
                    <w:pStyle w:val="24"/>
                  </w:pPr>
                  <w:r>
                    <w:rPr>
                      <w:rFonts w:hint="eastAsia"/>
                    </w:rPr>
                    <w:t>CODcr、SS、石油类、LAS</w:t>
                  </w:r>
                </w:p>
              </w:tc>
              <w:tc>
                <w:tcPr>
                  <w:tcW w:w="1619" w:type="dxa"/>
                  <w:vMerge w:val="continue"/>
                  <w:vAlign w:val="center"/>
                </w:tcPr>
                <w:p w14:paraId="2EB12995">
                  <w:pPr>
                    <w:pStyle w:val="24"/>
                  </w:pPr>
                </w:p>
              </w:tc>
            </w:tr>
            <w:tr w14:paraId="3D4B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restart"/>
                  <w:vAlign w:val="center"/>
                </w:tcPr>
                <w:p w14:paraId="3A4D8E0B">
                  <w:pPr>
                    <w:pStyle w:val="24"/>
                  </w:pPr>
                  <w:r>
                    <w:rPr>
                      <w:rFonts w:hint="eastAsia"/>
                    </w:rPr>
                    <w:t>废气</w:t>
                  </w:r>
                </w:p>
              </w:tc>
              <w:tc>
                <w:tcPr>
                  <w:tcW w:w="2451" w:type="dxa"/>
                  <w:gridSpan w:val="2"/>
                  <w:vAlign w:val="center"/>
                </w:tcPr>
                <w:p w14:paraId="4C4F1097">
                  <w:pPr>
                    <w:pStyle w:val="24"/>
                  </w:pPr>
                  <w:r>
                    <w:rPr>
                      <w:rFonts w:hint="eastAsia"/>
                    </w:rPr>
                    <w:t>储罐大小呼吸废气、加油机作业废气G1</w:t>
                  </w:r>
                </w:p>
              </w:tc>
              <w:tc>
                <w:tcPr>
                  <w:tcW w:w="2574" w:type="dxa"/>
                  <w:vAlign w:val="center"/>
                </w:tcPr>
                <w:p w14:paraId="103C4D78">
                  <w:pPr>
                    <w:pStyle w:val="24"/>
                  </w:pPr>
                  <w:r>
                    <w:t>非甲烷总烃</w:t>
                  </w:r>
                </w:p>
              </w:tc>
              <w:tc>
                <w:tcPr>
                  <w:tcW w:w="1619" w:type="dxa"/>
                  <w:vAlign w:val="center"/>
                </w:tcPr>
                <w:p w14:paraId="7474BB8C">
                  <w:pPr>
                    <w:pStyle w:val="24"/>
                  </w:pPr>
                  <w:r>
                    <w:t>油气回收系统，未经油气回收系统回收的废气无组织排放到大气中。</w:t>
                  </w:r>
                </w:p>
              </w:tc>
            </w:tr>
            <w:tr w14:paraId="0B77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247358BB">
                  <w:pPr>
                    <w:pStyle w:val="24"/>
                  </w:pPr>
                </w:p>
              </w:tc>
              <w:tc>
                <w:tcPr>
                  <w:tcW w:w="2451" w:type="dxa"/>
                  <w:gridSpan w:val="2"/>
                  <w:vAlign w:val="center"/>
                </w:tcPr>
                <w:p w14:paraId="781FC869">
                  <w:pPr>
                    <w:pStyle w:val="24"/>
                  </w:pPr>
                  <w:r>
                    <w:rPr>
                      <w:rFonts w:hint="eastAsia"/>
                    </w:rPr>
                    <w:t>跑、冒、漏、滴废气G1</w:t>
                  </w:r>
                </w:p>
              </w:tc>
              <w:tc>
                <w:tcPr>
                  <w:tcW w:w="2574" w:type="dxa"/>
                  <w:vAlign w:val="center"/>
                </w:tcPr>
                <w:p w14:paraId="7658531C">
                  <w:pPr>
                    <w:pStyle w:val="24"/>
                  </w:pPr>
                  <w:r>
                    <w:t>非甲烷总烃</w:t>
                  </w:r>
                </w:p>
              </w:tc>
              <w:tc>
                <w:tcPr>
                  <w:tcW w:w="1619" w:type="dxa"/>
                  <w:vAlign w:val="center"/>
                </w:tcPr>
                <w:p w14:paraId="357959D3">
                  <w:pPr>
                    <w:pStyle w:val="24"/>
                  </w:pPr>
                  <w:r>
                    <w:rPr>
                      <w:rFonts w:hint="eastAsia"/>
                    </w:rPr>
                    <w:t>无组织排放</w:t>
                  </w:r>
                </w:p>
              </w:tc>
            </w:tr>
            <w:tr w14:paraId="170D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0D60F478">
                  <w:pPr>
                    <w:pStyle w:val="24"/>
                  </w:pPr>
                </w:p>
              </w:tc>
              <w:tc>
                <w:tcPr>
                  <w:tcW w:w="2451" w:type="dxa"/>
                  <w:gridSpan w:val="2"/>
                  <w:vAlign w:val="center"/>
                </w:tcPr>
                <w:p w14:paraId="5B8F4595">
                  <w:pPr>
                    <w:pStyle w:val="24"/>
                  </w:pPr>
                  <w:r>
                    <w:rPr>
                      <w:rFonts w:hint="eastAsia"/>
                    </w:rPr>
                    <w:t>餐饮油烟G2</w:t>
                  </w:r>
                </w:p>
              </w:tc>
              <w:tc>
                <w:tcPr>
                  <w:tcW w:w="2574" w:type="dxa"/>
                  <w:vAlign w:val="center"/>
                </w:tcPr>
                <w:p w14:paraId="226D427E">
                  <w:pPr>
                    <w:pStyle w:val="24"/>
                  </w:pPr>
                  <w:r>
                    <w:t>油烟</w:t>
                  </w:r>
                </w:p>
              </w:tc>
              <w:tc>
                <w:tcPr>
                  <w:tcW w:w="1619" w:type="dxa"/>
                  <w:vAlign w:val="center"/>
                </w:tcPr>
                <w:p w14:paraId="549C9BB0">
                  <w:pPr>
                    <w:pStyle w:val="24"/>
                  </w:pPr>
                  <w:r>
                    <w:rPr>
                      <w:rFonts w:hint="eastAsia"/>
                    </w:rPr>
                    <w:t>油烟净化器+专用排气筒排放</w:t>
                  </w:r>
                </w:p>
              </w:tc>
            </w:tr>
            <w:tr w14:paraId="3BC2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7CEBEFF8">
                  <w:pPr>
                    <w:pStyle w:val="24"/>
                  </w:pPr>
                </w:p>
              </w:tc>
              <w:tc>
                <w:tcPr>
                  <w:tcW w:w="2451" w:type="dxa"/>
                  <w:gridSpan w:val="2"/>
                  <w:vAlign w:val="center"/>
                </w:tcPr>
                <w:p w14:paraId="02620983">
                  <w:pPr>
                    <w:pStyle w:val="24"/>
                  </w:pPr>
                  <w:r>
                    <w:rPr>
                      <w:rFonts w:hint="eastAsia"/>
                    </w:rPr>
                    <w:t>焊接烟尘G3</w:t>
                  </w:r>
                </w:p>
              </w:tc>
              <w:tc>
                <w:tcPr>
                  <w:tcW w:w="2574" w:type="dxa"/>
                  <w:vAlign w:val="center"/>
                </w:tcPr>
                <w:p w14:paraId="0613A95B">
                  <w:pPr>
                    <w:pStyle w:val="24"/>
                  </w:pPr>
                  <w:r>
                    <w:rPr>
                      <w:rFonts w:hint="eastAsia"/>
                    </w:rPr>
                    <w:t>颗粒物</w:t>
                  </w:r>
                </w:p>
              </w:tc>
              <w:tc>
                <w:tcPr>
                  <w:tcW w:w="1619" w:type="dxa"/>
                  <w:vAlign w:val="center"/>
                </w:tcPr>
                <w:p w14:paraId="3B54B578">
                  <w:pPr>
                    <w:pStyle w:val="24"/>
                  </w:pPr>
                  <w:r>
                    <w:rPr>
                      <w:rFonts w:hint="eastAsia"/>
                    </w:rPr>
                    <w:t>无组织排放，加强车间内通风</w:t>
                  </w:r>
                </w:p>
              </w:tc>
            </w:tr>
            <w:tr w14:paraId="7F2D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31318B95">
                  <w:pPr>
                    <w:pStyle w:val="24"/>
                  </w:pPr>
                </w:p>
              </w:tc>
              <w:tc>
                <w:tcPr>
                  <w:tcW w:w="2451" w:type="dxa"/>
                  <w:gridSpan w:val="2"/>
                  <w:shd w:val="clear" w:color="auto" w:fill="auto"/>
                  <w:vAlign w:val="center"/>
                </w:tcPr>
                <w:p w14:paraId="54C4A819">
                  <w:pPr>
                    <w:pStyle w:val="24"/>
                  </w:pPr>
                  <w:r>
                    <w:rPr>
                      <w:rFonts w:hint="eastAsia"/>
                    </w:rPr>
                    <w:t>汽车尾气G4</w:t>
                  </w:r>
                </w:p>
              </w:tc>
              <w:tc>
                <w:tcPr>
                  <w:tcW w:w="2574" w:type="dxa"/>
                  <w:shd w:val="clear" w:color="auto" w:fill="auto"/>
                  <w:vAlign w:val="center"/>
                </w:tcPr>
                <w:p w14:paraId="1771A02D">
                  <w:pPr>
                    <w:pStyle w:val="24"/>
                  </w:pPr>
                  <w:r>
                    <w:rPr>
                      <w:rFonts w:hint="eastAsia"/>
                    </w:rPr>
                    <w:t>CO、SO</w:t>
                  </w:r>
                  <w:r>
                    <w:rPr>
                      <w:rFonts w:hint="eastAsia"/>
                      <w:vertAlign w:val="subscript"/>
                    </w:rPr>
                    <w:t>2</w:t>
                  </w:r>
                  <w:r>
                    <w:rPr>
                      <w:rFonts w:hint="eastAsia"/>
                    </w:rPr>
                    <w:t>、THC、NO</w:t>
                  </w:r>
                  <w:r>
                    <w:rPr>
                      <w:rFonts w:hint="eastAsia"/>
                      <w:vertAlign w:val="subscript"/>
                    </w:rPr>
                    <w:t>X</w:t>
                  </w:r>
                </w:p>
              </w:tc>
              <w:tc>
                <w:tcPr>
                  <w:tcW w:w="1619" w:type="dxa"/>
                  <w:shd w:val="clear" w:color="auto" w:fill="auto"/>
                  <w:vAlign w:val="center"/>
                </w:tcPr>
                <w:p w14:paraId="7D1A90B2">
                  <w:pPr>
                    <w:pStyle w:val="24"/>
                  </w:pPr>
                  <w:r>
                    <w:rPr>
                      <w:rFonts w:hint="eastAsia"/>
                    </w:rPr>
                    <w:t>无组织排放</w:t>
                  </w:r>
                </w:p>
              </w:tc>
            </w:tr>
            <w:tr w14:paraId="3441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Align w:val="center"/>
                </w:tcPr>
                <w:p w14:paraId="22A69E42">
                  <w:pPr>
                    <w:pStyle w:val="24"/>
                  </w:pPr>
                  <w:r>
                    <w:rPr>
                      <w:rFonts w:hint="eastAsia"/>
                    </w:rPr>
                    <w:t>噪声</w:t>
                  </w:r>
                </w:p>
              </w:tc>
              <w:tc>
                <w:tcPr>
                  <w:tcW w:w="2451" w:type="dxa"/>
                  <w:gridSpan w:val="2"/>
                  <w:vAlign w:val="center"/>
                </w:tcPr>
                <w:p w14:paraId="6D12199F">
                  <w:pPr>
                    <w:pStyle w:val="24"/>
                    <w:rPr>
                      <w:rFonts w:hint="eastAsia" w:eastAsia="宋体"/>
                      <w:lang w:eastAsia="zh-CN"/>
                    </w:rPr>
                  </w:pPr>
                  <w:r>
                    <w:rPr>
                      <w:rFonts w:hint="eastAsia"/>
                      <w:lang w:eastAsia="zh-CN"/>
                    </w:rPr>
                    <w:t>进出车辆</w:t>
                  </w:r>
                </w:p>
              </w:tc>
              <w:tc>
                <w:tcPr>
                  <w:tcW w:w="2574" w:type="dxa"/>
                  <w:vAlign w:val="center"/>
                </w:tcPr>
                <w:p w14:paraId="6A6DEC2F">
                  <w:pPr>
                    <w:pStyle w:val="24"/>
                  </w:pPr>
                  <w:r>
                    <w:rPr>
                      <w:rFonts w:hint="eastAsia"/>
                    </w:rPr>
                    <w:t>噪声</w:t>
                  </w:r>
                </w:p>
              </w:tc>
              <w:tc>
                <w:tcPr>
                  <w:tcW w:w="1619" w:type="dxa"/>
                  <w:vAlign w:val="center"/>
                </w:tcPr>
                <w:p w14:paraId="160AB7FE">
                  <w:pPr>
                    <w:pStyle w:val="24"/>
                  </w:pPr>
                  <w:r>
                    <w:t>加油机采用基础减震和维护保养，抽油泵增加减震，埋于地下</w:t>
                  </w:r>
                </w:p>
              </w:tc>
            </w:tr>
            <w:tr w14:paraId="2E53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restart"/>
                  <w:vAlign w:val="center"/>
                </w:tcPr>
                <w:p w14:paraId="4A470CED">
                  <w:pPr>
                    <w:pStyle w:val="24"/>
                  </w:pPr>
                  <w:r>
                    <w:rPr>
                      <w:rFonts w:hint="eastAsia"/>
                    </w:rPr>
                    <w:t>固废</w:t>
                  </w:r>
                </w:p>
              </w:tc>
              <w:tc>
                <w:tcPr>
                  <w:tcW w:w="832" w:type="dxa"/>
                  <w:vMerge w:val="restart"/>
                  <w:vAlign w:val="center"/>
                </w:tcPr>
                <w:p w14:paraId="22C7AEA0">
                  <w:pPr>
                    <w:pStyle w:val="24"/>
                  </w:pPr>
                  <w:r>
                    <w:rPr>
                      <w:rFonts w:hint="eastAsia"/>
                    </w:rPr>
                    <w:t>一般固废</w:t>
                  </w:r>
                </w:p>
              </w:tc>
              <w:tc>
                <w:tcPr>
                  <w:tcW w:w="1619" w:type="dxa"/>
                  <w:vAlign w:val="center"/>
                </w:tcPr>
                <w:p w14:paraId="6182F163">
                  <w:pPr>
                    <w:pStyle w:val="24"/>
                    <w:tabs>
                      <w:tab w:val="left" w:pos="404"/>
                    </w:tabs>
                  </w:pPr>
                  <w:r>
                    <w:rPr>
                      <w:rFonts w:hint="eastAsia"/>
                    </w:rPr>
                    <w:t>员工日常生活办公</w:t>
                  </w:r>
                </w:p>
              </w:tc>
              <w:tc>
                <w:tcPr>
                  <w:tcW w:w="2574" w:type="dxa"/>
                  <w:vAlign w:val="center"/>
                </w:tcPr>
                <w:p w14:paraId="777344D1">
                  <w:pPr>
                    <w:pStyle w:val="24"/>
                  </w:pPr>
                  <w:r>
                    <w:rPr>
                      <w:rFonts w:hint="eastAsia"/>
                    </w:rPr>
                    <w:t>生活垃圾S1</w:t>
                  </w:r>
                </w:p>
              </w:tc>
              <w:tc>
                <w:tcPr>
                  <w:tcW w:w="1619" w:type="dxa"/>
                  <w:vAlign w:val="center"/>
                </w:tcPr>
                <w:p w14:paraId="1C240EAC">
                  <w:pPr>
                    <w:pStyle w:val="24"/>
                  </w:pPr>
                  <w:r>
                    <w:rPr>
                      <w:rFonts w:hint="eastAsia"/>
                    </w:rPr>
                    <w:t>环卫部门清运</w:t>
                  </w:r>
                </w:p>
              </w:tc>
            </w:tr>
            <w:tr w14:paraId="085B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59A0C130">
                  <w:pPr>
                    <w:pStyle w:val="24"/>
                  </w:pPr>
                </w:p>
              </w:tc>
              <w:tc>
                <w:tcPr>
                  <w:tcW w:w="832" w:type="dxa"/>
                  <w:vMerge w:val="continue"/>
                  <w:vAlign w:val="center"/>
                </w:tcPr>
                <w:p w14:paraId="07204341">
                  <w:pPr>
                    <w:pStyle w:val="24"/>
                  </w:pPr>
                </w:p>
              </w:tc>
              <w:tc>
                <w:tcPr>
                  <w:tcW w:w="1619" w:type="dxa"/>
                  <w:vMerge w:val="restart"/>
                  <w:vAlign w:val="center"/>
                </w:tcPr>
                <w:p w14:paraId="7BC0CEE7">
                  <w:pPr>
                    <w:pStyle w:val="24"/>
                  </w:pPr>
                  <w:r>
                    <w:rPr>
                      <w:rFonts w:hint="eastAsia"/>
                    </w:rPr>
                    <w:t>车辆维修</w:t>
                  </w:r>
                </w:p>
              </w:tc>
              <w:tc>
                <w:tcPr>
                  <w:tcW w:w="2574" w:type="dxa"/>
                  <w:vAlign w:val="center"/>
                </w:tcPr>
                <w:p w14:paraId="2ECE8043">
                  <w:pPr>
                    <w:pStyle w:val="24"/>
                  </w:pPr>
                  <w:r>
                    <w:rPr>
                      <w:rFonts w:hint="eastAsia"/>
                    </w:rPr>
                    <w:t>废零部件S2</w:t>
                  </w:r>
                </w:p>
              </w:tc>
              <w:tc>
                <w:tcPr>
                  <w:tcW w:w="1619" w:type="dxa"/>
                  <w:vMerge w:val="restart"/>
                  <w:vAlign w:val="center"/>
                </w:tcPr>
                <w:p w14:paraId="431B460F">
                  <w:pPr>
                    <w:pStyle w:val="24"/>
                  </w:pPr>
                  <w:r>
                    <w:rPr>
                      <w:rFonts w:hint="eastAsia"/>
                    </w:rPr>
                    <w:t>收集后外售物资回收单位</w:t>
                  </w:r>
                </w:p>
              </w:tc>
            </w:tr>
            <w:tr w14:paraId="657C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390BE2F2">
                  <w:pPr>
                    <w:pStyle w:val="24"/>
                  </w:pPr>
                </w:p>
              </w:tc>
              <w:tc>
                <w:tcPr>
                  <w:tcW w:w="832" w:type="dxa"/>
                  <w:vMerge w:val="continue"/>
                  <w:vAlign w:val="center"/>
                </w:tcPr>
                <w:p w14:paraId="180E2EFD">
                  <w:pPr>
                    <w:pStyle w:val="24"/>
                  </w:pPr>
                </w:p>
              </w:tc>
              <w:tc>
                <w:tcPr>
                  <w:tcW w:w="1619" w:type="dxa"/>
                  <w:vMerge w:val="continue"/>
                  <w:vAlign w:val="center"/>
                </w:tcPr>
                <w:p w14:paraId="732D67EA">
                  <w:pPr>
                    <w:pStyle w:val="24"/>
                  </w:pPr>
                </w:p>
              </w:tc>
              <w:tc>
                <w:tcPr>
                  <w:tcW w:w="2574" w:type="dxa"/>
                  <w:vAlign w:val="center"/>
                </w:tcPr>
                <w:p w14:paraId="2FF86B34">
                  <w:pPr>
                    <w:pStyle w:val="24"/>
                  </w:pPr>
                  <w:r>
                    <w:rPr>
                      <w:rFonts w:hint="eastAsia"/>
                    </w:rPr>
                    <w:t>废焊丝S3</w:t>
                  </w:r>
                </w:p>
              </w:tc>
              <w:tc>
                <w:tcPr>
                  <w:tcW w:w="1619" w:type="dxa"/>
                  <w:vMerge w:val="continue"/>
                  <w:vAlign w:val="center"/>
                </w:tcPr>
                <w:p w14:paraId="683572A5">
                  <w:pPr>
                    <w:pStyle w:val="24"/>
                  </w:pPr>
                </w:p>
              </w:tc>
            </w:tr>
            <w:tr w14:paraId="6084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62E8BAA0">
                  <w:pPr>
                    <w:pStyle w:val="24"/>
                  </w:pPr>
                </w:p>
              </w:tc>
              <w:tc>
                <w:tcPr>
                  <w:tcW w:w="832" w:type="dxa"/>
                  <w:vMerge w:val="continue"/>
                  <w:vAlign w:val="center"/>
                </w:tcPr>
                <w:p w14:paraId="154C7806">
                  <w:pPr>
                    <w:pStyle w:val="24"/>
                  </w:pPr>
                </w:p>
              </w:tc>
              <w:tc>
                <w:tcPr>
                  <w:tcW w:w="1619" w:type="dxa"/>
                  <w:vMerge w:val="continue"/>
                  <w:vAlign w:val="center"/>
                </w:tcPr>
                <w:p w14:paraId="31A5473C">
                  <w:pPr>
                    <w:pStyle w:val="24"/>
                  </w:pPr>
                </w:p>
              </w:tc>
              <w:tc>
                <w:tcPr>
                  <w:tcW w:w="2574" w:type="dxa"/>
                  <w:vAlign w:val="center"/>
                </w:tcPr>
                <w:p w14:paraId="2CAAA675">
                  <w:pPr>
                    <w:pStyle w:val="24"/>
                  </w:pPr>
                  <w:r>
                    <w:rPr>
                      <w:rFonts w:hint="eastAsia"/>
                    </w:rPr>
                    <w:t>废轮胎S4</w:t>
                  </w:r>
                </w:p>
              </w:tc>
              <w:tc>
                <w:tcPr>
                  <w:tcW w:w="1619" w:type="dxa"/>
                  <w:vMerge w:val="continue"/>
                  <w:vAlign w:val="center"/>
                </w:tcPr>
                <w:p w14:paraId="29C0B24B">
                  <w:pPr>
                    <w:pStyle w:val="24"/>
                  </w:pPr>
                </w:p>
              </w:tc>
            </w:tr>
            <w:tr w14:paraId="0F07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5D1EBB20">
                  <w:pPr>
                    <w:pStyle w:val="24"/>
                  </w:pPr>
                </w:p>
              </w:tc>
              <w:tc>
                <w:tcPr>
                  <w:tcW w:w="832" w:type="dxa"/>
                  <w:vMerge w:val="continue"/>
                  <w:vAlign w:val="center"/>
                </w:tcPr>
                <w:p w14:paraId="7EFD9296">
                  <w:pPr>
                    <w:pStyle w:val="24"/>
                  </w:pPr>
                </w:p>
              </w:tc>
              <w:tc>
                <w:tcPr>
                  <w:tcW w:w="1619" w:type="dxa"/>
                  <w:vMerge w:val="continue"/>
                  <w:vAlign w:val="center"/>
                </w:tcPr>
                <w:p w14:paraId="60ED8E22">
                  <w:pPr>
                    <w:pStyle w:val="24"/>
                  </w:pPr>
                </w:p>
              </w:tc>
              <w:tc>
                <w:tcPr>
                  <w:tcW w:w="2574" w:type="dxa"/>
                  <w:vAlign w:val="center"/>
                </w:tcPr>
                <w:p w14:paraId="1472A21E">
                  <w:pPr>
                    <w:pStyle w:val="24"/>
                  </w:pPr>
                  <w:r>
                    <w:rPr>
                      <w:rFonts w:hint="eastAsia"/>
                    </w:rPr>
                    <w:t>洗车污泥及泥沙S5</w:t>
                  </w:r>
                </w:p>
              </w:tc>
              <w:tc>
                <w:tcPr>
                  <w:tcW w:w="1619" w:type="dxa"/>
                  <w:vAlign w:val="center"/>
                </w:tcPr>
                <w:p w14:paraId="0CC224BB">
                  <w:pPr>
                    <w:pStyle w:val="24"/>
                  </w:pPr>
                  <w:r>
                    <w:rPr>
                      <w:rFonts w:hint="eastAsia"/>
                    </w:rPr>
                    <w:t>环卫部门收集处理</w:t>
                  </w:r>
                </w:p>
              </w:tc>
            </w:tr>
            <w:tr w14:paraId="2293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385792B7">
                  <w:pPr>
                    <w:pStyle w:val="24"/>
                  </w:pPr>
                </w:p>
              </w:tc>
              <w:tc>
                <w:tcPr>
                  <w:tcW w:w="832" w:type="dxa"/>
                  <w:vMerge w:val="restart"/>
                  <w:vAlign w:val="center"/>
                </w:tcPr>
                <w:p w14:paraId="12A44B61">
                  <w:pPr>
                    <w:pStyle w:val="24"/>
                  </w:pPr>
                  <w:r>
                    <w:rPr>
                      <w:rFonts w:hint="eastAsia"/>
                    </w:rPr>
                    <w:t>危险废物</w:t>
                  </w:r>
                </w:p>
              </w:tc>
              <w:tc>
                <w:tcPr>
                  <w:tcW w:w="1619" w:type="dxa"/>
                  <w:vMerge w:val="restart"/>
                  <w:vAlign w:val="center"/>
                </w:tcPr>
                <w:p w14:paraId="43EC73FF">
                  <w:pPr>
                    <w:pStyle w:val="24"/>
                  </w:pPr>
                  <w:r>
                    <w:rPr>
                      <w:rFonts w:hint="eastAsia"/>
                    </w:rPr>
                    <w:t>加油站运营</w:t>
                  </w:r>
                </w:p>
              </w:tc>
              <w:tc>
                <w:tcPr>
                  <w:tcW w:w="2574" w:type="dxa"/>
                  <w:vAlign w:val="center"/>
                </w:tcPr>
                <w:p w14:paraId="612ADA79">
                  <w:pPr>
                    <w:pStyle w:val="24"/>
                  </w:pPr>
                  <w:r>
                    <w:rPr>
                      <w:rFonts w:hint="eastAsia"/>
                    </w:rPr>
                    <w:t>清罐油泥S6</w:t>
                  </w:r>
                </w:p>
              </w:tc>
              <w:tc>
                <w:tcPr>
                  <w:tcW w:w="1619" w:type="dxa"/>
                  <w:vMerge w:val="restart"/>
                  <w:vAlign w:val="center"/>
                </w:tcPr>
                <w:p w14:paraId="440C2FD2">
                  <w:pPr>
                    <w:pStyle w:val="24"/>
                  </w:pPr>
                  <w:r>
                    <w:rPr>
                      <w:rFonts w:hint="eastAsia"/>
                    </w:rPr>
                    <w:t>由有资质单位及时清运处置</w:t>
                  </w:r>
                </w:p>
              </w:tc>
            </w:tr>
            <w:tr w14:paraId="2DB9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09D54919">
                  <w:pPr>
                    <w:pStyle w:val="24"/>
                  </w:pPr>
                </w:p>
              </w:tc>
              <w:tc>
                <w:tcPr>
                  <w:tcW w:w="832" w:type="dxa"/>
                  <w:vMerge w:val="continue"/>
                  <w:vAlign w:val="center"/>
                </w:tcPr>
                <w:p w14:paraId="5661F60F">
                  <w:pPr>
                    <w:pStyle w:val="24"/>
                  </w:pPr>
                </w:p>
              </w:tc>
              <w:tc>
                <w:tcPr>
                  <w:tcW w:w="1619" w:type="dxa"/>
                  <w:vMerge w:val="continue"/>
                  <w:vAlign w:val="center"/>
                </w:tcPr>
                <w:p w14:paraId="07297D36">
                  <w:pPr>
                    <w:pStyle w:val="24"/>
                  </w:pPr>
                </w:p>
              </w:tc>
              <w:tc>
                <w:tcPr>
                  <w:tcW w:w="2574" w:type="dxa"/>
                  <w:vAlign w:val="center"/>
                </w:tcPr>
                <w:p w14:paraId="5DB53956">
                  <w:pPr>
                    <w:pStyle w:val="24"/>
                  </w:pPr>
                  <w:r>
                    <w:rPr>
                      <w:rFonts w:hint="eastAsia"/>
                    </w:rPr>
                    <w:t>清罐废液S7</w:t>
                  </w:r>
                </w:p>
              </w:tc>
              <w:tc>
                <w:tcPr>
                  <w:tcW w:w="1619" w:type="dxa"/>
                  <w:vMerge w:val="continue"/>
                  <w:vAlign w:val="center"/>
                </w:tcPr>
                <w:p w14:paraId="0C658557">
                  <w:pPr>
                    <w:pStyle w:val="24"/>
                  </w:pPr>
                </w:p>
              </w:tc>
            </w:tr>
            <w:tr w14:paraId="6EB6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320FEE44">
                  <w:pPr>
                    <w:pStyle w:val="24"/>
                  </w:pPr>
                </w:p>
              </w:tc>
              <w:tc>
                <w:tcPr>
                  <w:tcW w:w="832" w:type="dxa"/>
                  <w:vMerge w:val="continue"/>
                  <w:vAlign w:val="center"/>
                </w:tcPr>
                <w:p w14:paraId="2834621F">
                  <w:pPr>
                    <w:pStyle w:val="24"/>
                  </w:pPr>
                </w:p>
              </w:tc>
              <w:tc>
                <w:tcPr>
                  <w:tcW w:w="1619" w:type="dxa"/>
                  <w:vMerge w:val="continue"/>
                  <w:vAlign w:val="center"/>
                </w:tcPr>
                <w:p w14:paraId="7CA51AAC">
                  <w:pPr>
                    <w:pStyle w:val="24"/>
                  </w:pPr>
                </w:p>
              </w:tc>
              <w:tc>
                <w:tcPr>
                  <w:tcW w:w="2574" w:type="dxa"/>
                  <w:vAlign w:val="center"/>
                </w:tcPr>
                <w:p w14:paraId="64FD2966">
                  <w:pPr>
                    <w:pStyle w:val="24"/>
                  </w:pPr>
                  <w:r>
                    <w:rPr>
                      <w:rFonts w:hint="eastAsia"/>
                    </w:rPr>
                    <w:t>含油废沙S8</w:t>
                  </w:r>
                </w:p>
              </w:tc>
              <w:tc>
                <w:tcPr>
                  <w:tcW w:w="1619" w:type="dxa"/>
                  <w:vMerge w:val="restart"/>
                  <w:vAlign w:val="center"/>
                </w:tcPr>
                <w:p w14:paraId="5F2A2411">
                  <w:pPr>
                    <w:pStyle w:val="24"/>
                  </w:pPr>
                  <w:r>
                    <w:t>分类暂存于危险废物暂存间，委托有资质的单位</w:t>
                  </w:r>
                  <w:r>
                    <w:rPr>
                      <w:rFonts w:hint="eastAsia"/>
                    </w:rPr>
                    <w:t>定期</w:t>
                  </w:r>
                  <w:r>
                    <w:t>清运</w:t>
                  </w:r>
                </w:p>
              </w:tc>
            </w:tr>
            <w:tr w14:paraId="05F9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69EF5790">
                  <w:pPr>
                    <w:pStyle w:val="24"/>
                    <w:rPr>
                      <w:color w:val="0000FF"/>
                    </w:rPr>
                  </w:pPr>
                </w:p>
              </w:tc>
              <w:tc>
                <w:tcPr>
                  <w:tcW w:w="832" w:type="dxa"/>
                  <w:vMerge w:val="continue"/>
                  <w:vAlign w:val="center"/>
                </w:tcPr>
                <w:p w14:paraId="1DFF1764">
                  <w:pPr>
                    <w:pStyle w:val="24"/>
                    <w:rPr>
                      <w:color w:val="0000FF"/>
                    </w:rPr>
                  </w:pPr>
                </w:p>
              </w:tc>
              <w:tc>
                <w:tcPr>
                  <w:tcW w:w="1619" w:type="dxa"/>
                  <w:vMerge w:val="restart"/>
                  <w:vAlign w:val="center"/>
                </w:tcPr>
                <w:p w14:paraId="5E311644">
                  <w:pPr>
                    <w:pStyle w:val="24"/>
                  </w:pPr>
                  <w:r>
                    <w:rPr>
                      <w:rFonts w:hint="eastAsia"/>
                    </w:rPr>
                    <w:t>检查维修</w:t>
                  </w:r>
                </w:p>
              </w:tc>
              <w:tc>
                <w:tcPr>
                  <w:tcW w:w="2574" w:type="dxa"/>
                  <w:vAlign w:val="center"/>
                </w:tcPr>
                <w:p w14:paraId="1C301EB9">
                  <w:pPr>
                    <w:pStyle w:val="24"/>
                  </w:pPr>
                  <w:r>
                    <w:rPr>
                      <w:rFonts w:hint="eastAsia"/>
                    </w:rPr>
                    <w:t>废含油抹布或手套S9</w:t>
                  </w:r>
                </w:p>
              </w:tc>
              <w:tc>
                <w:tcPr>
                  <w:tcW w:w="1619" w:type="dxa"/>
                  <w:vMerge w:val="continue"/>
                  <w:vAlign w:val="center"/>
                </w:tcPr>
                <w:p w14:paraId="7D1767E2">
                  <w:pPr>
                    <w:pStyle w:val="24"/>
                    <w:rPr>
                      <w:color w:val="0000FF"/>
                    </w:rPr>
                  </w:pPr>
                </w:p>
              </w:tc>
            </w:tr>
            <w:tr w14:paraId="5EE1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4897BA69">
                  <w:pPr>
                    <w:pStyle w:val="24"/>
                    <w:rPr>
                      <w:color w:val="0000FF"/>
                    </w:rPr>
                  </w:pPr>
                </w:p>
              </w:tc>
              <w:tc>
                <w:tcPr>
                  <w:tcW w:w="832" w:type="dxa"/>
                  <w:vMerge w:val="continue"/>
                  <w:vAlign w:val="center"/>
                </w:tcPr>
                <w:p w14:paraId="7FD71A45">
                  <w:pPr>
                    <w:pStyle w:val="24"/>
                    <w:rPr>
                      <w:color w:val="0000FF"/>
                    </w:rPr>
                  </w:pPr>
                </w:p>
              </w:tc>
              <w:tc>
                <w:tcPr>
                  <w:tcW w:w="1619" w:type="dxa"/>
                  <w:vMerge w:val="continue"/>
                  <w:vAlign w:val="center"/>
                </w:tcPr>
                <w:p w14:paraId="7A17B7E2">
                  <w:pPr>
                    <w:pStyle w:val="24"/>
                  </w:pPr>
                </w:p>
              </w:tc>
              <w:tc>
                <w:tcPr>
                  <w:tcW w:w="2574" w:type="dxa"/>
                  <w:vAlign w:val="center"/>
                </w:tcPr>
                <w:p w14:paraId="7AF64BD0">
                  <w:pPr>
                    <w:pStyle w:val="24"/>
                  </w:pPr>
                  <w:r>
                    <w:rPr>
                      <w:rFonts w:hint="eastAsia"/>
                    </w:rPr>
                    <w:t>废机油S10</w:t>
                  </w:r>
                </w:p>
              </w:tc>
              <w:tc>
                <w:tcPr>
                  <w:tcW w:w="1619" w:type="dxa"/>
                  <w:vMerge w:val="continue"/>
                  <w:vAlign w:val="center"/>
                </w:tcPr>
                <w:p w14:paraId="55C76E5C">
                  <w:pPr>
                    <w:pStyle w:val="24"/>
                    <w:rPr>
                      <w:color w:val="0000FF"/>
                    </w:rPr>
                  </w:pPr>
                </w:p>
              </w:tc>
            </w:tr>
            <w:tr w14:paraId="4143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12ACCF64">
                  <w:pPr>
                    <w:pStyle w:val="24"/>
                    <w:rPr>
                      <w:color w:val="0000FF"/>
                    </w:rPr>
                  </w:pPr>
                </w:p>
              </w:tc>
              <w:tc>
                <w:tcPr>
                  <w:tcW w:w="832" w:type="dxa"/>
                  <w:vMerge w:val="continue"/>
                  <w:vAlign w:val="center"/>
                </w:tcPr>
                <w:p w14:paraId="0A9CE50E">
                  <w:pPr>
                    <w:pStyle w:val="24"/>
                    <w:rPr>
                      <w:color w:val="0000FF"/>
                    </w:rPr>
                  </w:pPr>
                </w:p>
              </w:tc>
              <w:tc>
                <w:tcPr>
                  <w:tcW w:w="1619" w:type="dxa"/>
                  <w:vMerge w:val="continue"/>
                  <w:vAlign w:val="center"/>
                </w:tcPr>
                <w:p w14:paraId="400C06A1">
                  <w:pPr>
                    <w:pStyle w:val="24"/>
                  </w:pPr>
                </w:p>
              </w:tc>
              <w:tc>
                <w:tcPr>
                  <w:tcW w:w="2574" w:type="dxa"/>
                  <w:vAlign w:val="center"/>
                </w:tcPr>
                <w:p w14:paraId="28671F56">
                  <w:pPr>
                    <w:pStyle w:val="24"/>
                  </w:pPr>
                  <w:r>
                    <w:rPr>
                      <w:rFonts w:hint="eastAsia"/>
                    </w:rPr>
                    <w:t>废机油桶S11</w:t>
                  </w:r>
                </w:p>
              </w:tc>
              <w:tc>
                <w:tcPr>
                  <w:tcW w:w="1619" w:type="dxa"/>
                  <w:vMerge w:val="continue"/>
                  <w:vAlign w:val="center"/>
                </w:tcPr>
                <w:p w14:paraId="1729FFB6">
                  <w:pPr>
                    <w:pStyle w:val="24"/>
                    <w:rPr>
                      <w:color w:val="0000FF"/>
                    </w:rPr>
                  </w:pPr>
                </w:p>
              </w:tc>
            </w:tr>
            <w:tr w14:paraId="269A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3" w:type="dxa"/>
                  <w:vMerge w:val="continue"/>
                  <w:vAlign w:val="center"/>
                </w:tcPr>
                <w:p w14:paraId="59290CE8">
                  <w:pPr>
                    <w:pStyle w:val="24"/>
                    <w:rPr>
                      <w:color w:val="0000FF"/>
                    </w:rPr>
                  </w:pPr>
                </w:p>
              </w:tc>
              <w:tc>
                <w:tcPr>
                  <w:tcW w:w="832" w:type="dxa"/>
                  <w:vMerge w:val="continue"/>
                  <w:vAlign w:val="center"/>
                </w:tcPr>
                <w:p w14:paraId="16E11300">
                  <w:pPr>
                    <w:pStyle w:val="24"/>
                    <w:rPr>
                      <w:color w:val="0000FF"/>
                    </w:rPr>
                  </w:pPr>
                </w:p>
              </w:tc>
              <w:tc>
                <w:tcPr>
                  <w:tcW w:w="1619" w:type="dxa"/>
                  <w:vMerge w:val="continue"/>
                  <w:vAlign w:val="center"/>
                </w:tcPr>
                <w:p w14:paraId="53A29DFF">
                  <w:pPr>
                    <w:pStyle w:val="24"/>
                  </w:pPr>
                </w:p>
              </w:tc>
              <w:tc>
                <w:tcPr>
                  <w:tcW w:w="2574" w:type="dxa"/>
                  <w:vAlign w:val="center"/>
                </w:tcPr>
                <w:p w14:paraId="209425EB">
                  <w:pPr>
                    <w:pStyle w:val="24"/>
                  </w:pPr>
                  <w:r>
                    <w:rPr>
                      <w:rFonts w:hint="eastAsia"/>
                    </w:rPr>
                    <w:t>废电池S12</w:t>
                  </w:r>
                </w:p>
              </w:tc>
              <w:tc>
                <w:tcPr>
                  <w:tcW w:w="1619" w:type="dxa"/>
                  <w:vMerge w:val="continue"/>
                  <w:vAlign w:val="center"/>
                </w:tcPr>
                <w:p w14:paraId="6E7F5986">
                  <w:pPr>
                    <w:pStyle w:val="24"/>
                    <w:rPr>
                      <w:color w:val="0000FF"/>
                    </w:rPr>
                  </w:pPr>
                </w:p>
              </w:tc>
            </w:tr>
          </w:tbl>
          <w:p w14:paraId="08030CB9">
            <w:pPr>
              <w:rPr>
                <w:color w:val="0000FF"/>
              </w:rPr>
            </w:pPr>
          </w:p>
        </w:tc>
      </w:tr>
      <w:tr w14:paraId="33C0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4" w:hRule="atLeast"/>
          <w:jc w:val="center"/>
        </w:trPr>
        <w:tc>
          <w:tcPr>
            <w:tcW w:w="580" w:type="dxa"/>
            <w:vAlign w:val="center"/>
          </w:tcPr>
          <w:p w14:paraId="74AEEF4F">
            <w:pPr>
              <w:overflowPunct w:val="0"/>
              <w:autoSpaceDE w:val="0"/>
              <w:autoSpaceDN w:val="0"/>
              <w:spacing w:line="240" w:lineRule="auto"/>
              <w:jc w:val="center"/>
            </w:pPr>
            <w:r>
              <w:rPr>
                <w:rFonts w:hint="eastAsia"/>
              </w:rPr>
              <w:t>与</w:t>
            </w:r>
            <w:r>
              <w:rPr>
                <w:rFonts w:hint="eastAsia" w:cs="宋体"/>
                <w:bCs/>
              </w:rPr>
              <w:t>项目有关的现有环境污染</w:t>
            </w:r>
          </w:p>
        </w:tc>
        <w:tc>
          <w:tcPr>
            <w:tcW w:w="7942" w:type="dxa"/>
            <w:vAlign w:val="center"/>
          </w:tcPr>
          <w:p w14:paraId="761F8F13">
            <w:pPr>
              <w:ind w:firstLine="480" w:firstLineChars="200"/>
              <w:jc w:val="left"/>
            </w:pPr>
            <w:r>
              <w:rPr>
                <w:rFonts w:hint="eastAsia"/>
              </w:rPr>
              <w:t>本项目为新建项目，</w:t>
            </w:r>
            <w:r>
              <w:rPr>
                <w:rFonts w:hint="eastAsia"/>
                <w:lang w:eastAsia="zh-CN"/>
              </w:rPr>
              <w:t>项目地块现状为</w:t>
            </w:r>
            <w:r>
              <w:rPr>
                <w:rFonts w:hint="eastAsia"/>
              </w:rPr>
              <w:t>水浇地</w:t>
            </w:r>
            <w:r>
              <w:rPr>
                <w:rFonts w:hint="eastAsia"/>
                <w:lang w:eastAsia="zh-CN"/>
              </w:rPr>
              <w:t>，</w:t>
            </w:r>
            <w:r>
              <w:rPr>
                <w:rFonts w:hint="eastAsia"/>
              </w:rPr>
              <w:t>不存在原有环境污染问题。</w:t>
            </w:r>
          </w:p>
        </w:tc>
      </w:tr>
    </w:tbl>
    <w:p w14:paraId="58944977">
      <w:pPr>
        <w:rPr>
          <w:color w:val="0000FF"/>
        </w:rPr>
        <w:sectPr>
          <w:footerReference r:id="rId11" w:type="default"/>
          <w:pgSz w:w="11906" w:h="16838"/>
          <w:pgMar w:top="1440" w:right="1800" w:bottom="1440" w:left="1800" w:header="851" w:footer="992" w:gutter="0"/>
          <w:pgNumType w:start="1"/>
          <w:cols w:space="425" w:num="1"/>
          <w:docGrid w:type="lines" w:linePitch="312" w:charSpace="0"/>
        </w:sectPr>
      </w:pPr>
    </w:p>
    <w:p w14:paraId="107E2649">
      <w:pPr>
        <w:pStyle w:val="2"/>
      </w:pPr>
      <w:bookmarkStart w:id="23" w:name="_Toc14244"/>
      <w:r>
        <w:rPr>
          <w:rFonts w:hint="eastAsia"/>
        </w:rPr>
        <w:t>三、区域环境质量现状、环境保护目标及评价标准</w:t>
      </w:r>
      <w:bookmarkEnd w:id="23"/>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7E63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5" w:hRule="atLeast"/>
        </w:trPr>
        <w:tc>
          <w:tcPr>
            <w:tcW w:w="452" w:type="dxa"/>
            <w:vAlign w:val="center"/>
          </w:tcPr>
          <w:p w14:paraId="528F8148">
            <w:pPr>
              <w:rPr>
                <w:color w:val="0000FF"/>
              </w:rPr>
            </w:pPr>
            <w:r>
              <w:rPr>
                <w:rFonts w:hint="eastAsia"/>
              </w:rPr>
              <w:t>区域环境质量现状</w:t>
            </w:r>
          </w:p>
        </w:tc>
        <w:tc>
          <w:tcPr>
            <w:tcW w:w="8070" w:type="dxa"/>
          </w:tcPr>
          <w:p w14:paraId="665F7AED">
            <w:r>
              <w:rPr>
                <w:rFonts w:hint="eastAsia"/>
              </w:rPr>
              <w:t>建设项目所在地区环境质量现状及主要环境问题</w:t>
            </w:r>
          </w:p>
          <w:p w14:paraId="77FBB2C8">
            <w:r>
              <w:rPr>
                <w:rFonts w:hint="eastAsia"/>
              </w:rPr>
              <w:t>1、环境空气质量</w:t>
            </w:r>
          </w:p>
          <w:p w14:paraId="0E0696F3">
            <w:r>
              <w:rPr>
                <w:rFonts w:hint="eastAsia"/>
              </w:rPr>
              <w:t>（1）基本污染物</w:t>
            </w:r>
          </w:p>
          <w:p w14:paraId="2DD99828">
            <w:pPr>
              <w:ind w:firstLine="480" w:firstLineChars="200"/>
            </w:pPr>
            <w:r>
              <w:rPr>
                <w:rFonts w:hint="eastAsia"/>
              </w:rPr>
              <w:t>本次评价引用《2023年淮南市环境质量状况公报》中环境空气质量部分内容，具体如下：</w:t>
            </w:r>
          </w:p>
          <w:p w14:paraId="0FAF12FF">
            <w:pPr>
              <w:ind w:firstLine="480" w:firstLineChars="200"/>
            </w:pPr>
            <w:r>
              <w:rPr>
                <w:rFonts w:hint="eastAsia"/>
              </w:rPr>
              <w:t>2023年全市环境空气质量一级优69天，二级良225天，三级轻度污染60天，四级中度污染3天，五级重度污染4天，六级严重污染4天；全市年度环境空气达标天数比例为80.5%，与上年相比提升了1.0个百分点；全市环境空气综合指数为3.86，首要污染物主要为臭氧。</w:t>
            </w:r>
          </w:p>
          <w:p w14:paraId="4A7879A8">
            <w:pPr>
              <w:ind w:firstLine="480" w:firstLineChars="200"/>
            </w:pPr>
            <w:r>
              <w:rPr>
                <w:rFonts w:hint="eastAsia"/>
              </w:rPr>
              <w:t>细颗粒物（PM</w:t>
            </w:r>
            <w:r>
              <w:rPr>
                <w:rFonts w:hint="eastAsia"/>
                <w:vertAlign w:val="subscript"/>
              </w:rPr>
              <w:t>2.5</w:t>
            </w:r>
            <w:r>
              <w:rPr>
                <w:rFonts w:hint="eastAsia"/>
              </w:rPr>
              <w:t>）日均浓度范围为8～252微克/立方米，日均值达标率为93.0%。年均值为38.7微克/立方米，与上年相比下降了4.4个百分点。</w:t>
            </w:r>
          </w:p>
          <w:p w14:paraId="0AE004A4">
            <w:pPr>
              <w:ind w:firstLine="480" w:firstLineChars="200"/>
            </w:pPr>
            <w:r>
              <w:rPr>
                <w:rFonts w:hint="eastAsia"/>
              </w:rPr>
              <w:t>可吸入颗粒物（PM</w:t>
            </w:r>
            <w:r>
              <w:rPr>
                <w:rFonts w:hint="eastAsia"/>
                <w:vertAlign w:val="subscript"/>
              </w:rPr>
              <w:t>10</w:t>
            </w:r>
            <w:r>
              <w:rPr>
                <w:rFonts w:hint="eastAsia"/>
              </w:rPr>
              <w:t>）日均浓度范围为12～313微克/立方米，日均值达标率为97.6%。年均值为65.9微克/立方米，与上年相比下降了0.8个百分点。</w:t>
            </w:r>
          </w:p>
          <w:p w14:paraId="4F1EBC8D">
            <w:pPr>
              <w:ind w:firstLine="480" w:firstLineChars="200"/>
            </w:pPr>
            <w:r>
              <w:rPr>
                <w:rFonts w:hint="eastAsia"/>
              </w:rPr>
              <w:t>二氧化氮（NO</w:t>
            </w:r>
            <w:r>
              <w:rPr>
                <w:rFonts w:hint="eastAsia"/>
                <w:vertAlign w:val="subscript"/>
              </w:rPr>
              <w:t>2</w:t>
            </w:r>
            <w:r>
              <w:rPr>
                <w:rFonts w:hint="eastAsia"/>
              </w:rPr>
              <w:t>）日均浓度范围为6～70微克/立方米，日均值达标率为100%。年均浓度为21微克/立方米，与上年相比上升了10.5个百分点。</w:t>
            </w:r>
          </w:p>
          <w:p w14:paraId="6934572B">
            <w:pPr>
              <w:ind w:firstLine="480" w:firstLineChars="200"/>
            </w:pPr>
            <w:r>
              <w:rPr>
                <w:rFonts w:hint="eastAsia"/>
              </w:rPr>
              <w:t>二氧化硫（SO</w:t>
            </w:r>
            <w:r>
              <w:rPr>
                <w:rFonts w:hint="eastAsia"/>
                <w:vertAlign w:val="subscript"/>
              </w:rPr>
              <w:t>2</w:t>
            </w:r>
            <w:r>
              <w:rPr>
                <w:rFonts w:hint="eastAsia"/>
              </w:rPr>
              <w:t>）日均浓度范围为3～15微克/立方米，日均值达标率为100%。年均浓度为8微克/立方米，与上年持平。</w:t>
            </w:r>
          </w:p>
          <w:p w14:paraId="180106AF">
            <w:pPr>
              <w:ind w:firstLine="480" w:firstLineChars="200"/>
            </w:pPr>
            <w:r>
              <w:rPr>
                <w:rFonts w:hint="eastAsia"/>
              </w:rPr>
              <w:t>一氧化碳（CO）日均浓度范围为0.2～1.5毫克/立方米，日均值达标率为100%。日均值第95百分位数为0.7毫克/立方米，与上年相比下降了12.5个百分点。</w:t>
            </w:r>
          </w:p>
          <w:p w14:paraId="7A6A16ED">
            <w:pPr>
              <w:ind w:firstLine="480" w:firstLineChars="200"/>
            </w:pPr>
            <w:r>
              <w:rPr>
                <w:rFonts w:hint="eastAsia"/>
              </w:rPr>
              <w:t>臭氧日最大8小时（O</w:t>
            </w:r>
            <w:r>
              <w:rPr>
                <w:rFonts w:hint="eastAsia"/>
                <w:vertAlign w:val="subscript"/>
              </w:rPr>
              <w:t>3</w:t>
            </w:r>
            <w:r>
              <w:rPr>
                <w:rFonts w:hint="eastAsia"/>
              </w:rPr>
              <w:t>-8h）滑动平均值范围为4～210微克/立方米，达标率为91.8%。日最大8小时滑动平均值第90百分位数为157微克/立方米，与上年相比上升了4.0个百分点。</w:t>
            </w:r>
          </w:p>
          <w:p w14:paraId="52FE7A82">
            <w:pPr>
              <w:ind w:firstLine="480" w:firstLineChars="200"/>
            </w:pPr>
            <w:r>
              <w:rPr>
                <w:rFonts w:hint="eastAsia"/>
              </w:rPr>
              <w:t>依据《2023年淮南市环境质量状况公报》，区域空气质量现状如下表所示。</w:t>
            </w:r>
          </w:p>
          <w:p w14:paraId="07AEA32C"/>
          <w:p w14:paraId="51B68F92">
            <w:pPr>
              <w:pStyle w:val="6"/>
            </w:pPr>
            <w:r>
              <w:t xml:space="preserve">表 </w:t>
            </w:r>
            <w:r>
              <w:rPr>
                <w:rFonts w:hint="eastAsia"/>
              </w:rPr>
              <w:t>3-</w:t>
            </w:r>
            <w:r>
              <w:fldChar w:fldCharType="begin"/>
            </w:r>
            <w:r>
              <w:instrText xml:space="preserve"> SEQ 表 \* ARABIC \s 1 </w:instrText>
            </w:r>
            <w:r>
              <w:fldChar w:fldCharType="separate"/>
            </w:r>
            <w:r>
              <w:t>1</w:t>
            </w:r>
            <w:r>
              <w:fldChar w:fldCharType="end"/>
            </w:r>
            <w:r>
              <w:rPr>
                <w:rFonts w:hint="eastAsia"/>
              </w:rPr>
              <w:t xml:space="preserve"> 区域空气质量现状评价表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06"/>
              <w:gridCol w:w="1306"/>
              <w:gridCol w:w="1307"/>
              <w:gridCol w:w="1307"/>
              <w:gridCol w:w="1306"/>
              <w:gridCol w:w="1308"/>
            </w:tblGrid>
            <w:tr w14:paraId="2E84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7" w:type="dxa"/>
                  <w:vAlign w:val="center"/>
                </w:tcPr>
                <w:p w14:paraId="63AEC3E8">
                  <w:pPr>
                    <w:pStyle w:val="24"/>
                    <w:rPr>
                      <w:b/>
                      <w:bCs/>
                    </w:rPr>
                  </w:pPr>
                  <w:r>
                    <w:rPr>
                      <w:b/>
                      <w:bCs/>
                    </w:rPr>
                    <w:t>污染物</w:t>
                  </w:r>
                </w:p>
              </w:tc>
              <w:tc>
                <w:tcPr>
                  <w:tcW w:w="1307" w:type="dxa"/>
                  <w:vAlign w:val="center"/>
                </w:tcPr>
                <w:p w14:paraId="429E7C63">
                  <w:pPr>
                    <w:pStyle w:val="24"/>
                    <w:rPr>
                      <w:b/>
                      <w:bCs/>
                    </w:rPr>
                  </w:pPr>
                  <w:r>
                    <w:rPr>
                      <w:b/>
                      <w:bCs/>
                    </w:rPr>
                    <w:t>年评价指标</w:t>
                  </w:r>
                </w:p>
              </w:tc>
              <w:tc>
                <w:tcPr>
                  <w:tcW w:w="1307" w:type="dxa"/>
                  <w:vAlign w:val="center"/>
                </w:tcPr>
                <w:p w14:paraId="5516CB63">
                  <w:pPr>
                    <w:pStyle w:val="24"/>
                    <w:rPr>
                      <w:b/>
                      <w:bCs/>
                    </w:rPr>
                  </w:pPr>
                  <w:r>
                    <w:rPr>
                      <w:b/>
                      <w:bCs/>
                    </w:rPr>
                    <w:t>现状浓度</w:t>
                  </w:r>
                </w:p>
                <w:p w14:paraId="6685849B">
                  <w:pPr>
                    <w:pStyle w:val="24"/>
                    <w:rPr>
                      <w:b/>
                      <w:bCs/>
                    </w:rPr>
                  </w:pPr>
                  <w:r>
                    <w:rPr>
                      <w:b/>
                      <w:bCs/>
                    </w:rPr>
                    <w:t>（μg/m</w:t>
                  </w:r>
                  <w:r>
                    <w:rPr>
                      <w:b/>
                      <w:bCs/>
                      <w:vertAlign w:val="superscript"/>
                    </w:rPr>
                    <w:t>3</w:t>
                  </w:r>
                  <w:r>
                    <w:rPr>
                      <w:b/>
                      <w:bCs/>
                    </w:rPr>
                    <w:t>）</w:t>
                  </w:r>
                </w:p>
              </w:tc>
              <w:tc>
                <w:tcPr>
                  <w:tcW w:w="1307" w:type="dxa"/>
                  <w:vAlign w:val="center"/>
                </w:tcPr>
                <w:p w14:paraId="2B3D20E0">
                  <w:pPr>
                    <w:pStyle w:val="24"/>
                    <w:rPr>
                      <w:b/>
                      <w:bCs/>
                    </w:rPr>
                  </w:pPr>
                  <w:r>
                    <w:rPr>
                      <w:b/>
                      <w:bCs/>
                    </w:rPr>
                    <w:t>标准值</w:t>
                  </w:r>
                </w:p>
                <w:p w14:paraId="632300CC">
                  <w:pPr>
                    <w:pStyle w:val="24"/>
                    <w:rPr>
                      <w:b/>
                      <w:bCs/>
                    </w:rPr>
                  </w:pPr>
                  <w:r>
                    <w:rPr>
                      <w:b/>
                      <w:bCs/>
                    </w:rPr>
                    <w:t>（μg/m</w:t>
                  </w:r>
                  <w:r>
                    <w:rPr>
                      <w:b/>
                      <w:bCs/>
                      <w:vertAlign w:val="superscript"/>
                    </w:rPr>
                    <w:t>3</w:t>
                  </w:r>
                  <w:r>
                    <w:rPr>
                      <w:b/>
                      <w:bCs/>
                    </w:rPr>
                    <w:t>）</w:t>
                  </w:r>
                </w:p>
              </w:tc>
              <w:tc>
                <w:tcPr>
                  <w:tcW w:w="1307" w:type="dxa"/>
                  <w:vAlign w:val="center"/>
                </w:tcPr>
                <w:p w14:paraId="50E280A1">
                  <w:pPr>
                    <w:pStyle w:val="24"/>
                    <w:rPr>
                      <w:b/>
                      <w:bCs/>
                    </w:rPr>
                  </w:pPr>
                  <w:r>
                    <w:rPr>
                      <w:b/>
                      <w:bCs/>
                    </w:rPr>
                    <w:t>占标率（%）</w:t>
                  </w:r>
                </w:p>
              </w:tc>
              <w:tc>
                <w:tcPr>
                  <w:tcW w:w="1309" w:type="dxa"/>
                  <w:vAlign w:val="center"/>
                </w:tcPr>
                <w:p w14:paraId="1C6D7742">
                  <w:pPr>
                    <w:pStyle w:val="24"/>
                    <w:rPr>
                      <w:b/>
                      <w:bCs/>
                    </w:rPr>
                  </w:pPr>
                  <w:r>
                    <w:rPr>
                      <w:b/>
                      <w:bCs/>
                    </w:rPr>
                    <w:t>达标情况</w:t>
                  </w:r>
                </w:p>
              </w:tc>
            </w:tr>
            <w:tr w14:paraId="7A6E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07" w:type="dxa"/>
                  <w:vAlign w:val="center"/>
                </w:tcPr>
                <w:p w14:paraId="3A7EA74F">
                  <w:pPr>
                    <w:pStyle w:val="24"/>
                  </w:pPr>
                  <w:r>
                    <w:t>SO</w:t>
                  </w:r>
                  <w:r>
                    <w:rPr>
                      <w:vertAlign w:val="subscript"/>
                    </w:rPr>
                    <w:t>2</w:t>
                  </w:r>
                </w:p>
              </w:tc>
              <w:tc>
                <w:tcPr>
                  <w:tcW w:w="1307" w:type="dxa"/>
                  <w:vAlign w:val="center"/>
                </w:tcPr>
                <w:p w14:paraId="27E566EE">
                  <w:pPr>
                    <w:pStyle w:val="24"/>
                  </w:pPr>
                  <w:r>
                    <w:t>年平均质量浓度</w:t>
                  </w:r>
                </w:p>
              </w:tc>
              <w:tc>
                <w:tcPr>
                  <w:tcW w:w="1307" w:type="dxa"/>
                  <w:vAlign w:val="center"/>
                </w:tcPr>
                <w:p w14:paraId="26AA7B26">
                  <w:pPr>
                    <w:pStyle w:val="24"/>
                  </w:pPr>
                  <w:r>
                    <w:rPr>
                      <w:rFonts w:hint="eastAsia"/>
                    </w:rPr>
                    <w:t>8</w:t>
                  </w:r>
                </w:p>
              </w:tc>
              <w:tc>
                <w:tcPr>
                  <w:tcW w:w="1307" w:type="dxa"/>
                  <w:vAlign w:val="center"/>
                </w:tcPr>
                <w:p w14:paraId="75432D9A">
                  <w:pPr>
                    <w:pStyle w:val="24"/>
                  </w:pPr>
                  <w:r>
                    <w:rPr>
                      <w:rFonts w:hint="eastAsia"/>
                    </w:rPr>
                    <w:t>60</w:t>
                  </w:r>
                </w:p>
              </w:tc>
              <w:tc>
                <w:tcPr>
                  <w:tcW w:w="1307" w:type="dxa"/>
                  <w:vAlign w:val="center"/>
                </w:tcPr>
                <w:p w14:paraId="2D39741E">
                  <w:pPr>
                    <w:pStyle w:val="24"/>
                  </w:pPr>
                  <w:r>
                    <w:rPr>
                      <w:rFonts w:hint="eastAsia"/>
                    </w:rPr>
                    <w:t>13.3</w:t>
                  </w:r>
                </w:p>
              </w:tc>
              <w:tc>
                <w:tcPr>
                  <w:tcW w:w="1309" w:type="dxa"/>
                  <w:vAlign w:val="center"/>
                </w:tcPr>
                <w:p w14:paraId="10287074">
                  <w:pPr>
                    <w:pStyle w:val="24"/>
                  </w:pPr>
                  <w:r>
                    <w:t>达标</w:t>
                  </w:r>
                </w:p>
              </w:tc>
            </w:tr>
            <w:tr w14:paraId="2E58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07" w:type="dxa"/>
                  <w:vAlign w:val="center"/>
                </w:tcPr>
                <w:p w14:paraId="069D3034">
                  <w:pPr>
                    <w:pStyle w:val="24"/>
                  </w:pPr>
                  <w:r>
                    <w:t>NO</w:t>
                  </w:r>
                  <w:r>
                    <w:rPr>
                      <w:vertAlign w:val="subscript"/>
                    </w:rPr>
                    <w:t>2</w:t>
                  </w:r>
                </w:p>
              </w:tc>
              <w:tc>
                <w:tcPr>
                  <w:tcW w:w="1307" w:type="dxa"/>
                  <w:vAlign w:val="center"/>
                </w:tcPr>
                <w:p w14:paraId="574EF21D">
                  <w:pPr>
                    <w:pStyle w:val="24"/>
                  </w:pPr>
                  <w:r>
                    <w:t>年平均质量浓度</w:t>
                  </w:r>
                </w:p>
              </w:tc>
              <w:tc>
                <w:tcPr>
                  <w:tcW w:w="1307" w:type="dxa"/>
                  <w:vAlign w:val="center"/>
                </w:tcPr>
                <w:p w14:paraId="0AAB175C">
                  <w:pPr>
                    <w:pStyle w:val="24"/>
                  </w:pPr>
                  <w:r>
                    <w:rPr>
                      <w:rFonts w:hint="eastAsia"/>
                    </w:rPr>
                    <w:t>21</w:t>
                  </w:r>
                </w:p>
              </w:tc>
              <w:tc>
                <w:tcPr>
                  <w:tcW w:w="1307" w:type="dxa"/>
                  <w:vAlign w:val="center"/>
                </w:tcPr>
                <w:p w14:paraId="60ABC936">
                  <w:pPr>
                    <w:pStyle w:val="24"/>
                  </w:pPr>
                  <w:r>
                    <w:rPr>
                      <w:rFonts w:hint="eastAsia"/>
                    </w:rPr>
                    <w:t>40</w:t>
                  </w:r>
                </w:p>
              </w:tc>
              <w:tc>
                <w:tcPr>
                  <w:tcW w:w="1307" w:type="dxa"/>
                  <w:vAlign w:val="center"/>
                </w:tcPr>
                <w:p w14:paraId="3952FD93">
                  <w:pPr>
                    <w:pStyle w:val="24"/>
                  </w:pPr>
                  <w:r>
                    <w:rPr>
                      <w:rFonts w:hint="eastAsia"/>
                    </w:rPr>
                    <w:t>52.5</w:t>
                  </w:r>
                </w:p>
              </w:tc>
              <w:tc>
                <w:tcPr>
                  <w:tcW w:w="1309" w:type="dxa"/>
                  <w:vAlign w:val="center"/>
                </w:tcPr>
                <w:p w14:paraId="3FD6CBE4">
                  <w:pPr>
                    <w:pStyle w:val="24"/>
                  </w:pPr>
                  <w:r>
                    <w:t>达标</w:t>
                  </w:r>
                </w:p>
              </w:tc>
            </w:tr>
            <w:tr w14:paraId="384E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07" w:type="dxa"/>
                  <w:vAlign w:val="center"/>
                </w:tcPr>
                <w:p w14:paraId="1D183727">
                  <w:pPr>
                    <w:pStyle w:val="24"/>
                  </w:pPr>
                  <w:r>
                    <w:t>PM</w:t>
                  </w:r>
                  <w:r>
                    <w:rPr>
                      <w:vertAlign w:val="subscript"/>
                    </w:rPr>
                    <w:t>10</w:t>
                  </w:r>
                </w:p>
              </w:tc>
              <w:tc>
                <w:tcPr>
                  <w:tcW w:w="1307" w:type="dxa"/>
                  <w:vAlign w:val="center"/>
                </w:tcPr>
                <w:p w14:paraId="45088346">
                  <w:pPr>
                    <w:pStyle w:val="24"/>
                  </w:pPr>
                  <w:r>
                    <w:t>年平均质量浓度</w:t>
                  </w:r>
                </w:p>
              </w:tc>
              <w:tc>
                <w:tcPr>
                  <w:tcW w:w="1307" w:type="dxa"/>
                  <w:vAlign w:val="center"/>
                </w:tcPr>
                <w:p w14:paraId="72A0DF6E">
                  <w:pPr>
                    <w:pStyle w:val="24"/>
                  </w:pPr>
                  <w:r>
                    <w:rPr>
                      <w:rFonts w:hint="eastAsia"/>
                    </w:rPr>
                    <w:t>65.9</w:t>
                  </w:r>
                </w:p>
              </w:tc>
              <w:tc>
                <w:tcPr>
                  <w:tcW w:w="1307" w:type="dxa"/>
                  <w:vAlign w:val="center"/>
                </w:tcPr>
                <w:p w14:paraId="20A87859">
                  <w:pPr>
                    <w:pStyle w:val="24"/>
                  </w:pPr>
                  <w:r>
                    <w:rPr>
                      <w:rFonts w:hint="eastAsia"/>
                    </w:rPr>
                    <w:t>70</w:t>
                  </w:r>
                </w:p>
              </w:tc>
              <w:tc>
                <w:tcPr>
                  <w:tcW w:w="1307" w:type="dxa"/>
                  <w:vAlign w:val="center"/>
                </w:tcPr>
                <w:p w14:paraId="7A1DABB2">
                  <w:pPr>
                    <w:pStyle w:val="24"/>
                  </w:pPr>
                  <w:r>
                    <w:rPr>
                      <w:rFonts w:hint="eastAsia"/>
                    </w:rPr>
                    <w:t>94.1</w:t>
                  </w:r>
                </w:p>
              </w:tc>
              <w:tc>
                <w:tcPr>
                  <w:tcW w:w="1309" w:type="dxa"/>
                  <w:vAlign w:val="center"/>
                </w:tcPr>
                <w:p w14:paraId="5F50C2CC">
                  <w:pPr>
                    <w:pStyle w:val="24"/>
                  </w:pPr>
                  <w:r>
                    <w:rPr>
                      <w:rFonts w:hint="eastAsia"/>
                    </w:rPr>
                    <w:t>达标</w:t>
                  </w:r>
                </w:p>
              </w:tc>
            </w:tr>
            <w:tr w14:paraId="6043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07" w:type="dxa"/>
                  <w:vAlign w:val="center"/>
                </w:tcPr>
                <w:p w14:paraId="24273727">
                  <w:pPr>
                    <w:pStyle w:val="24"/>
                  </w:pPr>
                  <w:r>
                    <w:t>PM</w:t>
                  </w:r>
                  <w:r>
                    <w:rPr>
                      <w:vertAlign w:val="subscript"/>
                    </w:rPr>
                    <w:t>2.5</w:t>
                  </w:r>
                </w:p>
              </w:tc>
              <w:tc>
                <w:tcPr>
                  <w:tcW w:w="1307" w:type="dxa"/>
                  <w:vAlign w:val="center"/>
                </w:tcPr>
                <w:p w14:paraId="0F7B9230">
                  <w:pPr>
                    <w:pStyle w:val="24"/>
                  </w:pPr>
                  <w:r>
                    <w:t>年平均质量浓度</w:t>
                  </w:r>
                </w:p>
              </w:tc>
              <w:tc>
                <w:tcPr>
                  <w:tcW w:w="1307" w:type="dxa"/>
                  <w:vAlign w:val="center"/>
                </w:tcPr>
                <w:p w14:paraId="12A3E5B3">
                  <w:pPr>
                    <w:pStyle w:val="24"/>
                  </w:pPr>
                  <w:r>
                    <w:rPr>
                      <w:rFonts w:hint="eastAsia"/>
                    </w:rPr>
                    <w:t>38.7</w:t>
                  </w:r>
                </w:p>
              </w:tc>
              <w:tc>
                <w:tcPr>
                  <w:tcW w:w="1307" w:type="dxa"/>
                  <w:vAlign w:val="center"/>
                </w:tcPr>
                <w:p w14:paraId="34AFC896">
                  <w:pPr>
                    <w:pStyle w:val="24"/>
                  </w:pPr>
                  <w:r>
                    <w:rPr>
                      <w:rFonts w:hint="eastAsia"/>
                    </w:rPr>
                    <w:t>35</w:t>
                  </w:r>
                </w:p>
              </w:tc>
              <w:tc>
                <w:tcPr>
                  <w:tcW w:w="1307" w:type="dxa"/>
                  <w:vAlign w:val="center"/>
                </w:tcPr>
                <w:p w14:paraId="56AF040C">
                  <w:pPr>
                    <w:pStyle w:val="24"/>
                  </w:pPr>
                  <w:r>
                    <w:rPr>
                      <w:rFonts w:hint="eastAsia"/>
                    </w:rPr>
                    <w:t>110.6</w:t>
                  </w:r>
                </w:p>
              </w:tc>
              <w:tc>
                <w:tcPr>
                  <w:tcW w:w="1309" w:type="dxa"/>
                  <w:vAlign w:val="center"/>
                </w:tcPr>
                <w:p w14:paraId="133B2D3C">
                  <w:pPr>
                    <w:pStyle w:val="24"/>
                  </w:pPr>
                  <w:r>
                    <w:rPr>
                      <w:rFonts w:hint="eastAsia"/>
                    </w:rPr>
                    <w:t>超</w:t>
                  </w:r>
                  <w:r>
                    <w:t>标</w:t>
                  </w:r>
                </w:p>
              </w:tc>
            </w:tr>
            <w:tr w14:paraId="5938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07" w:type="dxa"/>
                  <w:vAlign w:val="center"/>
                </w:tcPr>
                <w:p w14:paraId="067DD626">
                  <w:pPr>
                    <w:pStyle w:val="24"/>
                  </w:pPr>
                  <w:r>
                    <w:t>CO</w:t>
                  </w:r>
                </w:p>
              </w:tc>
              <w:tc>
                <w:tcPr>
                  <w:tcW w:w="1307" w:type="dxa"/>
                  <w:vAlign w:val="center"/>
                </w:tcPr>
                <w:p w14:paraId="248D2A1A">
                  <w:pPr>
                    <w:pStyle w:val="24"/>
                  </w:pPr>
                  <w:r>
                    <w:t>第95百分位数日平均质量浓度</w:t>
                  </w:r>
                </w:p>
              </w:tc>
              <w:tc>
                <w:tcPr>
                  <w:tcW w:w="1307" w:type="dxa"/>
                  <w:vAlign w:val="center"/>
                </w:tcPr>
                <w:p w14:paraId="5694E70F">
                  <w:pPr>
                    <w:pStyle w:val="24"/>
                  </w:pPr>
                  <w:r>
                    <w:rPr>
                      <w:rFonts w:hint="eastAsia"/>
                    </w:rPr>
                    <w:t>700</w:t>
                  </w:r>
                </w:p>
              </w:tc>
              <w:tc>
                <w:tcPr>
                  <w:tcW w:w="1307" w:type="dxa"/>
                  <w:vAlign w:val="center"/>
                </w:tcPr>
                <w:p w14:paraId="29710C75">
                  <w:pPr>
                    <w:pStyle w:val="24"/>
                  </w:pPr>
                  <w:r>
                    <w:rPr>
                      <w:rFonts w:hint="eastAsia"/>
                    </w:rPr>
                    <w:t>4000</w:t>
                  </w:r>
                </w:p>
              </w:tc>
              <w:tc>
                <w:tcPr>
                  <w:tcW w:w="1307" w:type="dxa"/>
                  <w:vAlign w:val="center"/>
                </w:tcPr>
                <w:p w14:paraId="70F7AE75">
                  <w:pPr>
                    <w:pStyle w:val="24"/>
                  </w:pPr>
                  <w:r>
                    <w:rPr>
                      <w:rFonts w:hint="eastAsia"/>
                    </w:rPr>
                    <w:t>17.5</w:t>
                  </w:r>
                </w:p>
              </w:tc>
              <w:tc>
                <w:tcPr>
                  <w:tcW w:w="1309" w:type="dxa"/>
                  <w:vAlign w:val="center"/>
                </w:tcPr>
                <w:p w14:paraId="68ECA30E">
                  <w:pPr>
                    <w:pStyle w:val="24"/>
                  </w:pPr>
                  <w:r>
                    <w:t>达标</w:t>
                  </w:r>
                </w:p>
              </w:tc>
            </w:tr>
            <w:tr w14:paraId="5BFC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07" w:type="dxa"/>
                  <w:vAlign w:val="center"/>
                </w:tcPr>
                <w:p w14:paraId="5F140812">
                  <w:pPr>
                    <w:pStyle w:val="24"/>
                  </w:pPr>
                  <w:r>
                    <w:t>O</w:t>
                  </w:r>
                  <w:r>
                    <w:rPr>
                      <w:vertAlign w:val="subscript"/>
                    </w:rPr>
                    <w:t>3</w:t>
                  </w:r>
                </w:p>
              </w:tc>
              <w:tc>
                <w:tcPr>
                  <w:tcW w:w="1307" w:type="dxa"/>
                  <w:vAlign w:val="center"/>
                </w:tcPr>
                <w:p w14:paraId="1E869619">
                  <w:pPr>
                    <w:pStyle w:val="24"/>
                  </w:pPr>
                  <w:r>
                    <w:t>第90百分位</w:t>
                  </w:r>
                  <w:r>
                    <w:rPr>
                      <w:rFonts w:hint="eastAsia"/>
                    </w:rPr>
                    <w:t>数日</w:t>
                  </w:r>
                  <w:r>
                    <w:t>平均质量浓度</w:t>
                  </w:r>
                </w:p>
              </w:tc>
              <w:tc>
                <w:tcPr>
                  <w:tcW w:w="1307" w:type="dxa"/>
                  <w:vAlign w:val="center"/>
                </w:tcPr>
                <w:p w14:paraId="2C3904B7">
                  <w:pPr>
                    <w:pStyle w:val="24"/>
                  </w:pPr>
                  <w:r>
                    <w:rPr>
                      <w:rFonts w:hint="eastAsia"/>
                    </w:rPr>
                    <w:t>157</w:t>
                  </w:r>
                </w:p>
              </w:tc>
              <w:tc>
                <w:tcPr>
                  <w:tcW w:w="1307" w:type="dxa"/>
                  <w:vAlign w:val="center"/>
                </w:tcPr>
                <w:p w14:paraId="2276ACD6">
                  <w:pPr>
                    <w:pStyle w:val="24"/>
                  </w:pPr>
                  <w:r>
                    <w:rPr>
                      <w:rFonts w:hint="eastAsia"/>
                    </w:rPr>
                    <w:t>160</w:t>
                  </w:r>
                </w:p>
              </w:tc>
              <w:tc>
                <w:tcPr>
                  <w:tcW w:w="1307" w:type="dxa"/>
                  <w:vAlign w:val="center"/>
                </w:tcPr>
                <w:p w14:paraId="3DD144BD">
                  <w:pPr>
                    <w:pStyle w:val="24"/>
                  </w:pPr>
                  <w:r>
                    <w:rPr>
                      <w:rFonts w:hint="eastAsia"/>
                    </w:rPr>
                    <w:t>98.1</w:t>
                  </w:r>
                </w:p>
              </w:tc>
              <w:tc>
                <w:tcPr>
                  <w:tcW w:w="1309" w:type="dxa"/>
                  <w:vAlign w:val="center"/>
                </w:tcPr>
                <w:p w14:paraId="2046ECF1">
                  <w:pPr>
                    <w:pStyle w:val="24"/>
                  </w:pPr>
                  <w:r>
                    <w:rPr>
                      <w:rFonts w:hint="eastAsia"/>
                    </w:rPr>
                    <w:t>达标</w:t>
                  </w:r>
                </w:p>
              </w:tc>
            </w:tr>
          </w:tbl>
          <w:p w14:paraId="0261FB3A">
            <w:pPr>
              <w:ind w:firstLine="480" w:firstLineChars="200"/>
            </w:pPr>
            <w:r>
              <w:rPr>
                <w:rFonts w:hint="eastAsia"/>
              </w:rPr>
              <w:t>根据质量状况公报结果，淮南市属于环境空气质量不达标区域，超标污染物为细颗粒物（PM</w:t>
            </w:r>
            <w:r>
              <w:rPr>
                <w:rFonts w:hint="eastAsia"/>
                <w:vertAlign w:val="subscript"/>
              </w:rPr>
              <w:t>2.5</w:t>
            </w:r>
            <w:r>
              <w:rPr>
                <w:rFonts w:hint="eastAsia"/>
              </w:rPr>
              <w:t>）。</w:t>
            </w:r>
          </w:p>
          <w:p w14:paraId="03EF9FC3">
            <w:pPr>
              <w:ind w:firstLine="480" w:firstLineChars="200"/>
            </w:pPr>
            <w:r>
              <w:rPr>
                <w:rFonts w:hint="eastAsia"/>
              </w:rPr>
              <w:t>目前，淮南市已制订《淮南市“十四五”大气污染防治规划（2021-2025）年》，围绕工业大气污染治理、扬（烟）尘污染防治等开展专项治理活动，进一步削减大气污染物排放。</w:t>
            </w:r>
          </w:p>
          <w:p w14:paraId="1AD0BE75">
            <w:pPr>
              <w:rPr>
                <w:highlight w:val="red"/>
              </w:rPr>
            </w:pPr>
            <w:r>
              <w:rPr>
                <w:rFonts w:hint="eastAsia"/>
              </w:rPr>
              <w:t>（</w:t>
            </w:r>
            <w:r>
              <w:t>2</w:t>
            </w:r>
            <w:r>
              <w:rPr>
                <w:rFonts w:hint="eastAsia"/>
              </w:rPr>
              <w:t>）其他污染物补充监测结果</w:t>
            </w:r>
          </w:p>
          <w:p w14:paraId="552744F7">
            <w:pPr>
              <w:ind w:firstLine="480" w:firstLineChars="200"/>
              <w:rPr>
                <w:rFonts w:hint="eastAsia" w:ascii="宋体" w:hAnsi="宋体" w:cs="宋体"/>
                <w:kern w:val="0"/>
                <w:lang w:bidi="ar"/>
              </w:rPr>
            </w:pPr>
            <w:r>
              <w:rPr>
                <w:rFonts w:hint="eastAsia" w:ascii="宋体" w:hAnsi="宋体" w:cs="宋体"/>
                <w:kern w:val="0"/>
                <w:lang w:bidi="ar"/>
              </w:rPr>
              <w:t>本</w:t>
            </w:r>
            <w:r>
              <w:rPr>
                <w:rFonts w:hint="eastAsia"/>
                <w:shd w:val="clear" w:color="auto" w:fill="FFFFFF"/>
              </w:rPr>
              <w:t>项目涉及的其他污染物为</w:t>
            </w:r>
            <w:r>
              <w:rPr>
                <w:shd w:val="clear" w:color="auto" w:fill="FFFFFF"/>
              </w:rPr>
              <w:t>TSP</w:t>
            </w:r>
            <w:r>
              <w:rPr>
                <w:rFonts w:hint="eastAsia"/>
                <w:shd w:val="clear" w:color="auto" w:fill="FFFFFF"/>
              </w:rPr>
              <w:t>、非甲烷总烃。为了解区域大气环境中</w:t>
            </w:r>
            <w:r>
              <w:rPr>
                <w:shd w:val="clear" w:color="auto" w:fill="FFFFFF"/>
              </w:rPr>
              <w:t>TSP</w:t>
            </w:r>
            <w:r>
              <w:rPr>
                <w:rFonts w:hint="eastAsia"/>
                <w:shd w:val="clear" w:color="auto" w:fill="FFFFFF"/>
              </w:rPr>
              <w:t>、非甲</w:t>
            </w:r>
            <w:r>
              <w:rPr>
                <w:rFonts w:hint="eastAsia" w:ascii="宋体" w:hAnsi="宋体" w:cs="宋体"/>
                <w:kern w:val="0"/>
                <w:lang w:bidi="ar"/>
              </w:rPr>
              <w:t>烷总烃现状，评价数据</w:t>
            </w:r>
            <w:r>
              <w:rPr>
                <w:shd w:val="clear" w:color="auto" w:fill="FFFFFF"/>
              </w:rPr>
              <w:t>特征污染物TSP</w:t>
            </w:r>
            <w:r>
              <w:rPr>
                <w:rFonts w:hint="eastAsia" w:ascii="宋体" w:hAnsi="宋体" w:cs="宋体"/>
                <w:kern w:val="0"/>
                <w:lang w:bidi="ar"/>
              </w:rPr>
              <w:t>、非甲烷总烃</w:t>
            </w:r>
            <w:r>
              <w:rPr>
                <w:shd w:val="clear" w:color="auto" w:fill="FFFFFF"/>
              </w:rPr>
              <w:t>引用《</w:t>
            </w:r>
            <w:r>
              <w:rPr>
                <w:rFonts w:hint="eastAsia" w:ascii="宋体" w:hAnsi="宋体" w:cs="宋体"/>
                <w:kern w:val="0"/>
              </w:rPr>
              <w:t>淮南市健坤制药有限公司年产500吨酵母粉，10吨麦角甾醇，2吨维生素D2，2吨骨化二醇、20吨去氢孕酮项目环境影响报告书</w:t>
            </w:r>
            <w:r>
              <w:rPr>
                <w:shd w:val="clear" w:color="auto" w:fill="FFFFFF"/>
              </w:rPr>
              <w:t>》中</w:t>
            </w:r>
            <w:r>
              <w:rPr>
                <w:rFonts w:hint="eastAsia"/>
                <w:shd w:val="clear" w:color="auto" w:fill="FFFFFF"/>
              </w:rPr>
              <w:t>的</w:t>
            </w:r>
            <w:r>
              <w:rPr>
                <w:shd w:val="clear" w:color="auto" w:fill="FFFFFF"/>
              </w:rPr>
              <w:t>监测数据</w:t>
            </w:r>
            <w:r>
              <w:rPr>
                <w:rFonts w:hint="eastAsia"/>
                <w:shd w:val="clear" w:color="auto" w:fill="FFFFFF"/>
              </w:rPr>
              <w:t>，</w:t>
            </w:r>
            <w:r>
              <w:rPr>
                <w:shd w:val="clear" w:color="auto" w:fill="FFFFFF"/>
              </w:rPr>
              <w:t>监测时间为2022年</w:t>
            </w:r>
            <w:r>
              <w:rPr>
                <w:rFonts w:hint="eastAsia"/>
                <w:shd w:val="clear" w:color="auto" w:fill="FFFFFF"/>
              </w:rPr>
              <w:t>6</w:t>
            </w:r>
            <w:r>
              <w:rPr>
                <w:shd w:val="clear" w:color="auto" w:fill="FFFFFF"/>
              </w:rPr>
              <w:t>月</w:t>
            </w:r>
            <w:r>
              <w:rPr>
                <w:rFonts w:hint="eastAsia"/>
                <w:shd w:val="clear" w:color="auto" w:fill="FFFFFF"/>
              </w:rPr>
              <w:t>2</w:t>
            </w:r>
            <w:r>
              <w:rPr>
                <w:shd w:val="clear" w:color="auto" w:fill="FFFFFF"/>
              </w:rPr>
              <w:t>日至</w:t>
            </w:r>
            <w:r>
              <w:rPr>
                <w:rFonts w:hint="eastAsia"/>
                <w:shd w:val="clear" w:color="auto" w:fill="FFFFFF"/>
              </w:rPr>
              <w:t>9</w:t>
            </w:r>
            <w:r>
              <w:rPr>
                <w:shd w:val="clear" w:color="auto" w:fill="FFFFFF"/>
              </w:rPr>
              <w:t>日，监测地点距离项目</w:t>
            </w:r>
            <w:r>
              <w:rPr>
                <w:rFonts w:hint="eastAsia"/>
                <w:shd w:val="clear" w:color="auto" w:fill="FFFFFF"/>
              </w:rPr>
              <w:t>区约1641</w:t>
            </w:r>
            <w:r>
              <w:rPr>
                <w:shd w:val="clear" w:color="auto" w:fill="FFFFFF"/>
              </w:rPr>
              <w:t>m</w:t>
            </w:r>
            <w:r>
              <w:rPr>
                <w:rFonts w:hint="eastAsia"/>
                <w:shd w:val="clear" w:color="auto" w:fill="FFFFFF"/>
              </w:rPr>
              <w:t>。</w:t>
            </w:r>
            <w:r>
              <w:rPr>
                <w:rFonts w:hint="eastAsia" w:ascii="宋体" w:hAnsi="宋体" w:cs="宋体"/>
                <w:kern w:val="0"/>
                <w:lang w:bidi="ar"/>
              </w:rPr>
              <w:t>引用点位均为本项</w:t>
            </w:r>
            <w:r>
              <w:rPr>
                <w:rFonts w:hint="eastAsia"/>
                <w:shd w:val="clear" w:color="auto" w:fill="FFFFFF"/>
              </w:rPr>
              <w:t>目周边5千米范围内近3年的现</w:t>
            </w:r>
            <w:r>
              <w:rPr>
                <w:rFonts w:hint="eastAsia" w:ascii="宋体" w:hAnsi="宋体" w:cs="宋体"/>
                <w:kern w:val="0"/>
                <w:lang w:bidi="ar"/>
              </w:rPr>
              <w:t>有监测数据，数据引用符合规定项目与引用点位置关系图和监测结果如下：</w:t>
            </w:r>
          </w:p>
          <w:p w14:paraId="5E8DAAB5">
            <w:pPr>
              <w:pStyle w:val="3"/>
              <w:adjustRightInd w:val="0"/>
              <w:snapToGrid w:val="0"/>
              <w:spacing w:before="0" w:after="0" w:line="240" w:lineRule="auto"/>
              <w:ind w:firstLine="0" w:firstLineChars="0"/>
              <w:jc w:val="center"/>
              <w:rPr>
                <w:color w:val="0000FF"/>
              </w:rPr>
            </w:pPr>
            <w:r>
              <w:drawing>
                <wp:inline distT="0" distB="0" distL="114300" distR="114300">
                  <wp:extent cx="4943475" cy="3241040"/>
                  <wp:effectExtent l="9525" t="9525" r="19050" b="2603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6"/>
                          <a:stretch>
                            <a:fillRect/>
                          </a:stretch>
                        </pic:blipFill>
                        <pic:spPr>
                          <a:xfrm>
                            <a:off x="0" y="0"/>
                            <a:ext cx="4943475" cy="3241040"/>
                          </a:xfrm>
                          <a:prstGeom prst="rect">
                            <a:avLst/>
                          </a:prstGeom>
                          <a:noFill/>
                          <a:ln>
                            <a:solidFill>
                              <a:schemeClr val="tx1"/>
                            </a:solidFill>
                          </a:ln>
                        </pic:spPr>
                      </pic:pic>
                    </a:graphicData>
                  </a:graphic>
                </wp:inline>
              </w:drawing>
            </w:r>
            <w:r>
              <w:rPr>
                <w:color w:val="0000FF"/>
                <w:highlight w:val="red"/>
              </w:rPr>
              <w:drawing>
                <wp:anchor distT="0" distB="0" distL="114300" distR="114300" simplePos="0" relativeHeight="251661312" behindDoc="0" locked="0" layoutInCell="1" allowOverlap="1">
                  <wp:simplePos x="0" y="0"/>
                  <wp:positionH relativeFrom="column">
                    <wp:posOffset>4457065</wp:posOffset>
                  </wp:positionH>
                  <wp:positionV relativeFrom="paragraph">
                    <wp:posOffset>253365</wp:posOffset>
                  </wp:positionV>
                  <wp:extent cx="537210" cy="546735"/>
                  <wp:effectExtent l="0" t="0" r="15240" b="5715"/>
                  <wp:wrapNone/>
                  <wp:docPr id="17" name="图片 5" descr="C:\Users\李青青\AppData\Roaming\Tencent\Users\403002229\QQ\WinTemp\RichOle\030%UR9BYU3GM772(UBE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C:\Users\李青青\AppData\Roaming\Tencent\Users\403002229\QQ\WinTemp\RichOle\030%UR9BYU3GM772(UBEC80.png"/>
                          <pic:cNvPicPr>
                            <a:picLocks noChangeAspect="1" noChangeArrowheads="1"/>
                          </pic:cNvPicPr>
                        </pic:nvPicPr>
                        <pic:blipFill>
                          <a:blip r:embed="rId27" r:link="rId28" cstate="print"/>
                          <a:srcRect/>
                          <a:stretch>
                            <a:fillRect/>
                          </a:stretch>
                        </pic:blipFill>
                        <pic:spPr>
                          <a:xfrm>
                            <a:off x="0" y="0"/>
                            <a:ext cx="537210" cy="546735"/>
                          </a:xfrm>
                          <a:prstGeom prst="rect">
                            <a:avLst/>
                          </a:prstGeom>
                          <a:noFill/>
                          <a:ln w="19050">
                            <a:noFill/>
                          </a:ln>
                        </pic:spPr>
                      </pic:pic>
                    </a:graphicData>
                  </a:graphic>
                </wp:anchor>
              </w:drawing>
            </w:r>
          </w:p>
          <w:p w14:paraId="7BDAC45B">
            <w:pPr>
              <w:pStyle w:val="6"/>
              <w:spacing w:line="240" w:lineRule="auto"/>
            </w:pPr>
            <w:r>
              <w:t xml:space="preserve">图 </w:t>
            </w:r>
            <w:r>
              <w:rPr>
                <w:rFonts w:hint="eastAsia"/>
              </w:rPr>
              <w:t>3-</w:t>
            </w:r>
            <w:r>
              <w:fldChar w:fldCharType="begin"/>
            </w:r>
            <w:r>
              <w:instrText xml:space="preserve"> SEQ 图 \* ARABIC \s 1 </w:instrText>
            </w:r>
            <w:r>
              <w:fldChar w:fldCharType="separate"/>
            </w:r>
            <w:r>
              <w:t>1</w:t>
            </w:r>
            <w:r>
              <w:fldChar w:fldCharType="end"/>
            </w:r>
            <w:r>
              <w:rPr>
                <w:rFonts w:hint="eastAsia"/>
              </w:rPr>
              <w:t xml:space="preserve"> </w:t>
            </w:r>
            <w:r>
              <w:rPr>
                <w:rFonts w:hint="eastAsia" w:ascii="宋体" w:hAnsi="宋体" w:cs="宋体"/>
                <w:kern w:val="0"/>
                <w:lang w:bidi="ar"/>
              </w:rPr>
              <w:t>项目与引用点位置关系图</w:t>
            </w:r>
          </w:p>
          <w:p w14:paraId="12ABD8C3">
            <w:pPr>
              <w:pStyle w:val="6"/>
            </w:pPr>
            <w:r>
              <w:t xml:space="preserve">表 </w:t>
            </w:r>
            <w:r>
              <w:rPr>
                <w:rFonts w:hint="eastAsia"/>
              </w:rPr>
              <w:t>3-</w:t>
            </w:r>
            <w:r>
              <w:fldChar w:fldCharType="begin"/>
            </w:r>
            <w:r>
              <w:instrText xml:space="preserve"> SEQ 表 \* ARABIC \s 1 </w:instrText>
            </w:r>
            <w:r>
              <w:fldChar w:fldCharType="separate"/>
            </w:r>
            <w:r>
              <w:t>2</w:t>
            </w:r>
            <w:r>
              <w:fldChar w:fldCharType="end"/>
            </w:r>
            <w:r>
              <w:rPr>
                <w:rFonts w:hint="eastAsia"/>
              </w:rPr>
              <w:t xml:space="preserve"> 项目区域大气环境TSP现状监测结果一览表</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845"/>
              <w:gridCol w:w="991"/>
              <w:gridCol w:w="946"/>
              <w:gridCol w:w="599"/>
              <w:gridCol w:w="706"/>
              <w:gridCol w:w="935"/>
              <w:gridCol w:w="760"/>
              <w:gridCol w:w="575"/>
              <w:gridCol w:w="536"/>
            </w:tblGrid>
            <w:tr w14:paraId="59AF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 w:type="pct"/>
                  <w:vMerge w:val="restart"/>
                  <w:vAlign w:val="center"/>
                </w:tcPr>
                <w:p w14:paraId="65A77480">
                  <w:pPr>
                    <w:pStyle w:val="24"/>
                  </w:pPr>
                  <w:r>
                    <w:t>监测点位</w:t>
                  </w:r>
                </w:p>
              </w:tc>
              <w:tc>
                <w:tcPr>
                  <w:tcW w:w="539" w:type="pct"/>
                  <w:vMerge w:val="restart"/>
                  <w:vAlign w:val="center"/>
                </w:tcPr>
                <w:p w14:paraId="642D2D29">
                  <w:pPr>
                    <w:pStyle w:val="24"/>
                  </w:pPr>
                  <w:r>
                    <w:t>检测项目</w:t>
                  </w:r>
                </w:p>
              </w:tc>
              <w:tc>
                <w:tcPr>
                  <w:tcW w:w="2067" w:type="pct"/>
                  <w:gridSpan w:val="4"/>
                  <w:vAlign w:val="center"/>
                </w:tcPr>
                <w:p w14:paraId="342A75DB">
                  <w:pPr>
                    <w:pStyle w:val="24"/>
                  </w:pPr>
                  <w:r>
                    <w:t>小时值/一次值</w:t>
                  </w:r>
                </w:p>
              </w:tc>
              <w:tc>
                <w:tcPr>
                  <w:tcW w:w="1790" w:type="pct"/>
                  <w:gridSpan w:val="4"/>
                  <w:vAlign w:val="center"/>
                </w:tcPr>
                <w:p w14:paraId="5BF824FA">
                  <w:pPr>
                    <w:pStyle w:val="24"/>
                  </w:pPr>
                  <w:r>
                    <w:t>日均值</w:t>
                  </w:r>
                </w:p>
              </w:tc>
            </w:tr>
            <w:tr w14:paraId="4C1F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 w:type="pct"/>
                  <w:vMerge w:val="continue"/>
                  <w:vAlign w:val="center"/>
                </w:tcPr>
                <w:p w14:paraId="3D55C3C9">
                  <w:pPr>
                    <w:pStyle w:val="24"/>
                  </w:pPr>
                </w:p>
              </w:tc>
              <w:tc>
                <w:tcPr>
                  <w:tcW w:w="539" w:type="pct"/>
                  <w:vMerge w:val="continue"/>
                  <w:vAlign w:val="center"/>
                </w:tcPr>
                <w:p w14:paraId="1E44C585">
                  <w:pPr>
                    <w:pStyle w:val="24"/>
                  </w:pPr>
                </w:p>
              </w:tc>
              <w:tc>
                <w:tcPr>
                  <w:tcW w:w="632" w:type="pct"/>
                  <w:vAlign w:val="center"/>
                </w:tcPr>
                <w:p w14:paraId="4F5A4E71">
                  <w:pPr>
                    <w:pStyle w:val="24"/>
                  </w:pPr>
                  <w:r>
                    <w:t>浓度范围mg/m</w:t>
                  </w:r>
                  <w:r>
                    <w:rPr>
                      <w:vertAlign w:val="superscript"/>
                    </w:rPr>
                    <w:t>3</w:t>
                  </w:r>
                </w:p>
              </w:tc>
              <w:tc>
                <w:tcPr>
                  <w:tcW w:w="603" w:type="pct"/>
                  <w:vAlign w:val="center"/>
                </w:tcPr>
                <w:p w14:paraId="568017B2">
                  <w:pPr>
                    <w:pStyle w:val="24"/>
                  </w:pPr>
                  <w:r>
                    <w:t>最大浓度占标率%</w:t>
                  </w:r>
                </w:p>
              </w:tc>
              <w:tc>
                <w:tcPr>
                  <w:tcW w:w="382" w:type="pct"/>
                  <w:vAlign w:val="center"/>
                </w:tcPr>
                <w:p w14:paraId="0B19EEEB">
                  <w:pPr>
                    <w:pStyle w:val="24"/>
                  </w:pPr>
                  <w:r>
                    <w:t>超标率%</w:t>
                  </w:r>
                </w:p>
              </w:tc>
              <w:tc>
                <w:tcPr>
                  <w:tcW w:w="449" w:type="pct"/>
                  <w:vAlign w:val="center"/>
                </w:tcPr>
                <w:p w14:paraId="7CEF6C62">
                  <w:pPr>
                    <w:pStyle w:val="24"/>
                  </w:pPr>
                  <w:r>
                    <w:t>标准值</w:t>
                  </w:r>
                </w:p>
              </w:tc>
              <w:tc>
                <w:tcPr>
                  <w:tcW w:w="596" w:type="pct"/>
                  <w:vAlign w:val="center"/>
                </w:tcPr>
                <w:p w14:paraId="081DE297">
                  <w:pPr>
                    <w:pStyle w:val="24"/>
                  </w:pPr>
                  <w:r>
                    <w:t>浓度范围mg/m</w:t>
                  </w:r>
                  <w:r>
                    <w:rPr>
                      <w:vertAlign w:val="superscript"/>
                    </w:rPr>
                    <w:t>3</w:t>
                  </w:r>
                </w:p>
              </w:tc>
              <w:tc>
                <w:tcPr>
                  <w:tcW w:w="485" w:type="pct"/>
                  <w:vAlign w:val="center"/>
                </w:tcPr>
                <w:p w14:paraId="7D8A7F69">
                  <w:pPr>
                    <w:pStyle w:val="24"/>
                  </w:pPr>
                  <w:r>
                    <w:t>最大浓度占标率%</w:t>
                  </w:r>
                </w:p>
              </w:tc>
              <w:tc>
                <w:tcPr>
                  <w:tcW w:w="367" w:type="pct"/>
                  <w:vAlign w:val="center"/>
                </w:tcPr>
                <w:p w14:paraId="4546E711">
                  <w:pPr>
                    <w:pStyle w:val="24"/>
                  </w:pPr>
                  <w:r>
                    <w:t>超标率%</w:t>
                  </w:r>
                </w:p>
              </w:tc>
              <w:tc>
                <w:tcPr>
                  <w:tcW w:w="341" w:type="pct"/>
                  <w:vAlign w:val="center"/>
                </w:tcPr>
                <w:p w14:paraId="4C1B3DD5">
                  <w:pPr>
                    <w:pStyle w:val="24"/>
                  </w:pPr>
                  <w:r>
                    <w:t>标准值</w:t>
                  </w:r>
                </w:p>
              </w:tc>
            </w:tr>
            <w:tr w14:paraId="2F43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 w:type="pct"/>
                  <w:vMerge w:val="restart"/>
                  <w:vAlign w:val="center"/>
                </w:tcPr>
                <w:p w14:paraId="01A93902">
                  <w:pPr>
                    <w:pStyle w:val="24"/>
                  </w:pPr>
                  <w:r>
                    <w:t>G1</w:t>
                  </w:r>
                </w:p>
                <w:p w14:paraId="53FCBCC5">
                  <w:pPr>
                    <w:pStyle w:val="24"/>
                  </w:pPr>
                  <w:r>
                    <w:t>（厂区）</w:t>
                  </w:r>
                </w:p>
              </w:tc>
              <w:tc>
                <w:tcPr>
                  <w:tcW w:w="539" w:type="pct"/>
                  <w:vAlign w:val="center"/>
                </w:tcPr>
                <w:p w14:paraId="21E2B081">
                  <w:pPr>
                    <w:pStyle w:val="24"/>
                  </w:pPr>
                  <w:r>
                    <w:t>TSP</w:t>
                  </w:r>
                </w:p>
              </w:tc>
              <w:tc>
                <w:tcPr>
                  <w:tcW w:w="632" w:type="pct"/>
                  <w:vAlign w:val="center"/>
                </w:tcPr>
                <w:p w14:paraId="109A0920">
                  <w:pPr>
                    <w:pStyle w:val="24"/>
                  </w:pPr>
                  <w:r>
                    <w:t>/</w:t>
                  </w:r>
                </w:p>
              </w:tc>
              <w:tc>
                <w:tcPr>
                  <w:tcW w:w="603" w:type="pct"/>
                  <w:vAlign w:val="center"/>
                </w:tcPr>
                <w:p w14:paraId="005CD650">
                  <w:pPr>
                    <w:pStyle w:val="24"/>
                  </w:pPr>
                  <w:r>
                    <w:t>/</w:t>
                  </w:r>
                </w:p>
              </w:tc>
              <w:tc>
                <w:tcPr>
                  <w:tcW w:w="382" w:type="pct"/>
                  <w:vAlign w:val="center"/>
                </w:tcPr>
                <w:p w14:paraId="04966BB2">
                  <w:pPr>
                    <w:pStyle w:val="24"/>
                  </w:pPr>
                  <w:r>
                    <w:t>/</w:t>
                  </w:r>
                </w:p>
              </w:tc>
              <w:tc>
                <w:tcPr>
                  <w:tcW w:w="449" w:type="pct"/>
                  <w:vAlign w:val="center"/>
                </w:tcPr>
                <w:p w14:paraId="19AE3AB9">
                  <w:pPr>
                    <w:pStyle w:val="24"/>
                  </w:pPr>
                  <w:r>
                    <w:t>/</w:t>
                  </w:r>
                </w:p>
              </w:tc>
              <w:tc>
                <w:tcPr>
                  <w:tcW w:w="596" w:type="pct"/>
                  <w:vAlign w:val="center"/>
                </w:tcPr>
                <w:p w14:paraId="4C0F8FC1">
                  <w:pPr>
                    <w:pStyle w:val="24"/>
                  </w:pPr>
                  <w:r>
                    <w:t>0.12-0.14</w:t>
                  </w:r>
                </w:p>
              </w:tc>
              <w:tc>
                <w:tcPr>
                  <w:tcW w:w="485" w:type="pct"/>
                  <w:vAlign w:val="center"/>
                </w:tcPr>
                <w:p w14:paraId="0C0AA9C8">
                  <w:pPr>
                    <w:pStyle w:val="24"/>
                  </w:pPr>
                  <w:r>
                    <w:t>46.7</w:t>
                  </w:r>
                </w:p>
              </w:tc>
              <w:tc>
                <w:tcPr>
                  <w:tcW w:w="367" w:type="pct"/>
                  <w:vAlign w:val="center"/>
                </w:tcPr>
                <w:p w14:paraId="1020248B">
                  <w:pPr>
                    <w:pStyle w:val="24"/>
                  </w:pPr>
                  <w:r>
                    <w:t>0</w:t>
                  </w:r>
                </w:p>
              </w:tc>
              <w:tc>
                <w:tcPr>
                  <w:tcW w:w="341" w:type="pct"/>
                  <w:vAlign w:val="center"/>
                </w:tcPr>
                <w:p w14:paraId="3C269587">
                  <w:pPr>
                    <w:pStyle w:val="24"/>
                  </w:pPr>
                  <w:r>
                    <w:t>0.3</w:t>
                  </w:r>
                </w:p>
              </w:tc>
            </w:tr>
            <w:tr w14:paraId="7688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 w:type="pct"/>
                  <w:vMerge w:val="continue"/>
                  <w:vAlign w:val="center"/>
                </w:tcPr>
                <w:p w14:paraId="416B45C8">
                  <w:pPr>
                    <w:pStyle w:val="24"/>
                  </w:pPr>
                </w:p>
              </w:tc>
              <w:tc>
                <w:tcPr>
                  <w:tcW w:w="539" w:type="pct"/>
                  <w:vAlign w:val="center"/>
                </w:tcPr>
                <w:p w14:paraId="4B60DE06">
                  <w:pPr>
                    <w:pStyle w:val="24"/>
                  </w:pPr>
                  <w:r>
                    <w:t>非甲烷总烃</w:t>
                  </w:r>
                </w:p>
              </w:tc>
              <w:tc>
                <w:tcPr>
                  <w:tcW w:w="632" w:type="pct"/>
                  <w:vAlign w:val="center"/>
                </w:tcPr>
                <w:p w14:paraId="5E327A3F">
                  <w:pPr>
                    <w:pStyle w:val="24"/>
                  </w:pPr>
                  <w:r>
                    <w:t>0.11-0.36</w:t>
                  </w:r>
                </w:p>
              </w:tc>
              <w:tc>
                <w:tcPr>
                  <w:tcW w:w="603" w:type="pct"/>
                  <w:vAlign w:val="center"/>
                </w:tcPr>
                <w:p w14:paraId="5188BC92">
                  <w:pPr>
                    <w:pStyle w:val="24"/>
                  </w:pPr>
                  <w:r>
                    <w:t>18</w:t>
                  </w:r>
                </w:p>
              </w:tc>
              <w:tc>
                <w:tcPr>
                  <w:tcW w:w="382" w:type="pct"/>
                  <w:vAlign w:val="center"/>
                </w:tcPr>
                <w:p w14:paraId="05B70648">
                  <w:pPr>
                    <w:pStyle w:val="24"/>
                  </w:pPr>
                  <w:r>
                    <w:t>0</w:t>
                  </w:r>
                </w:p>
              </w:tc>
              <w:tc>
                <w:tcPr>
                  <w:tcW w:w="449" w:type="pct"/>
                  <w:vAlign w:val="center"/>
                </w:tcPr>
                <w:p w14:paraId="5978B872">
                  <w:pPr>
                    <w:pStyle w:val="24"/>
                  </w:pPr>
                  <w:r>
                    <w:t>2.0</w:t>
                  </w:r>
                </w:p>
              </w:tc>
              <w:tc>
                <w:tcPr>
                  <w:tcW w:w="596" w:type="pct"/>
                  <w:vAlign w:val="center"/>
                </w:tcPr>
                <w:p w14:paraId="0748C16A">
                  <w:pPr>
                    <w:pStyle w:val="24"/>
                  </w:pPr>
                  <w:r>
                    <w:t>/</w:t>
                  </w:r>
                </w:p>
              </w:tc>
              <w:tc>
                <w:tcPr>
                  <w:tcW w:w="485" w:type="pct"/>
                  <w:vAlign w:val="center"/>
                </w:tcPr>
                <w:p w14:paraId="0D30A460">
                  <w:pPr>
                    <w:pStyle w:val="24"/>
                  </w:pPr>
                  <w:r>
                    <w:t>/</w:t>
                  </w:r>
                </w:p>
              </w:tc>
              <w:tc>
                <w:tcPr>
                  <w:tcW w:w="367" w:type="pct"/>
                  <w:vAlign w:val="center"/>
                </w:tcPr>
                <w:p w14:paraId="1E1EB871">
                  <w:pPr>
                    <w:pStyle w:val="24"/>
                  </w:pPr>
                  <w:r>
                    <w:t>/</w:t>
                  </w:r>
                </w:p>
              </w:tc>
              <w:tc>
                <w:tcPr>
                  <w:tcW w:w="341" w:type="pct"/>
                  <w:vAlign w:val="center"/>
                </w:tcPr>
                <w:p w14:paraId="1B96780E">
                  <w:pPr>
                    <w:pStyle w:val="24"/>
                  </w:pPr>
                  <w:r>
                    <w:t>/</w:t>
                  </w:r>
                </w:p>
              </w:tc>
            </w:tr>
          </w:tbl>
          <w:p w14:paraId="6E15C57A">
            <w:pPr>
              <w:ind w:firstLine="480" w:firstLineChars="200"/>
            </w:pPr>
            <w:r>
              <w:t>综上，评价区域内评价因子非甲烷总烃浓度能够满足《大气</w:t>
            </w:r>
            <w:r>
              <w:rPr>
                <w:rFonts w:hint="eastAsia"/>
              </w:rPr>
              <w:t>污染物</w:t>
            </w:r>
            <w:r>
              <w:t>综合排放标准详解》相关浓度限值，TSP浓度满足《环境空气质量标准》(GB3095-2012)中二级标准限值，说明评价区域内环境空气质量现状总体良好。</w:t>
            </w:r>
          </w:p>
          <w:p w14:paraId="5445C18B">
            <w:r>
              <w:rPr>
                <w:rFonts w:hint="eastAsia"/>
              </w:rPr>
              <w:t>2、地表水环境质量</w:t>
            </w:r>
          </w:p>
          <w:p w14:paraId="131EE4D0">
            <w:pPr>
              <w:ind w:firstLine="480" w:firstLineChars="200"/>
            </w:pPr>
            <w:r>
              <w:rPr>
                <w:rFonts w:hint="eastAsia"/>
              </w:rPr>
              <w:t>根据《建设项目环境影响报告表编制技术指南（污染影响类）（试行）》，项目所在区域地表水环境质量引用与建设项目距离近的有效数据，包括近3年的规划环境影响评价的监测数据，所在流域控制单元内国家、地方控制断面监测数据，生态环境主管部门发布的水环境质量数据或地表水达标情况的结论。</w:t>
            </w:r>
          </w:p>
          <w:p w14:paraId="233CC7F2">
            <w:pPr>
              <w:ind w:firstLine="480" w:firstLineChars="200"/>
            </w:pPr>
            <w:r>
              <w:rPr>
                <w:rFonts w:hint="eastAsia"/>
              </w:rPr>
              <w:t>2023年，全市地表水24个监测断面中优良水质比例为95.8%，比上年提升了16.6个百分点，Ⅳ类水质比例4.2%，总体水质状况优。</w:t>
            </w:r>
          </w:p>
          <w:p w14:paraId="6DCF5438">
            <w:pPr>
              <w:ind w:firstLine="480" w:firstLineChars="200"/>
            </w:pPr>
            <w:r>
              <w:rPr>
                <w:rFonts w:hint="eastAsia"/>
              </w:rPr>
              <w:t>河流：全市辖区内淮河干流水质状况为优，西淝河水质状况为优，东淝河、永幸河、架河、泥河、瓦西干渠、陡涧河、万小河、便民沟和丁家沟水质状况为良好。20个监测断面中优良水质比例为100%，比上年提升了15个百分点。其中新城口、西淝河闸下断面水质均有所好转（Ⅲ类→Ⅱ类），泥河入河口、便民沟焦岗闸、丁家沟河口和安丰塘水质均有所好转（Ⅳ类→Ⅲ类），其他断面水质保持稳定。</w:t>
            </w:r>
          </w:p>
          <w:p w14:paraId="45DEE938">
            <w:pPr>
              <w:ind w:firstLine="480" w:firstLineChars="200"/>
            </w:pPr>
            <w:r>
              <w:rPr>
                <w:rFonts w:hint="eastAsia"/>
              </w:rPr>
              <w:t>湖库：瓦埠湖、焦岗湖和安丰塘点位水质年均值符合Ⅲ类标准，水质状况为良好；高塘湖点位水质年均值符合Ⅳ类标准，水质轻度污染，主要污染指标为总磷。瓦埠湖营养状态为中营养，焦岗湖、高塘湖和安丰塘营养状态均为轻度富营养。与上年相比，安丰塘点位水质类别由Ⅳ类好转为Ⅲ类，瓦埠湖、高塘湖和焦岗湖点位水质类别保持稳定。</w:t>
            </w:r>
          </w:p>
          <w:p w14:paraId="13A5F35F">
            <w:r>
              <w:rPr>
                <w:rFonts w:hint="eastAsia"/>
              </w:rPr>
              <w:t>3、声环境</w:t>
            </w:r>
          </w:p>
          <w:p w14:paraId="607637CF">
            <w:pPr>
              <w:ind w:firstLine="480" w:firstLineChars="200"/>
            </w:pPr>
            <w:r>
              <w:rPr>
                <w:rFonts w:hint="eastAsia"/>
              </w:rPr>
              <w:t>本项目位于淮南经济技术开发区G206与朝阳路交叉口西南角，</w:t>
            </w:r>
            <w:r>
              <w:t>项目厂界外50米范围内</w:t>
            </w:r>
            <w:r>
              <w:rPr>
                <w:rFonts w:hint="eastAsia"/>
              </w:rPr>
              <w:t>存在</w:t>
            </w:r>
            <w:r>
              <w:t>声环境保护目标</w:t>
            </w:r>
            <w:r>
              <w:rPr>
                <w:rFonts w:hint="eastAsia"/>
              </w:rPr>
              <w:t>，为东侧的益康小区、淮南农场（办事处）、幸福村，本项目</w:t>
            </w:r>
            <w:r>
              <w:t>委托</w:t>
            </w:r>
            <w:r>
              <w:rPr>
                <w:rFonts w:hint="eastAsia"/>
              </w:rPr>
              <w:t>安徽鹊华检测技术有限公司</w:t>
            </w:r>
            <w:r>
              <w:t>于202</w:t>
            </w:r>
            <w:r>
              <w:rPr>
                <w:rFonts w:hint="eastAsia"/>
              </w:rPr>
              <w:t>4</w:t>
            </w:r>
            <w:r>
              <w:t>年</w:t>
            </w:r>
            <w:r>
              <w:rPr>
                <w:rFonts w:hint="eastAsia"/>
              </w:rPr>
              <w:t>8</w:t>
            </w:r>
            <w:r>
              <w:t>月</w:t>
            </w:r>
            <w:r>
              <w:rPr>
                <w:rFonts w:hint="eastAsia"/>
              </w:rPr>
              <w:t>22</w:t>
            </w:r>
            <w:r>
              <w:t>日对</w:t>
            </w:r>
            <w:r>
              <w:rPr>
                <w:rFonts w:hint="eastAsia"/>
              </w:rPr>
              <w:t>环境保护目标</w:t>
            </w:r>
            <w:r>
              <w:t>进行监测</w:t>
            </w:r>
            <w:r>
              <w:rPr>
                <w:rFonts w:hint="eastAsia"/>
              </w:rPr>
              <w:t>，</w:t>
            </w:r>
            <w:r>
              <w:t>监测结果如下表</w:t>
            </w:r>
            <w:r>
              <w:rPr>
                <w:rFonts w:hint="eastAsia"/>
              </w:rPr>
              <w:t>：</w:t>
            </w:r>
          </w:p>
          <w:p w14:paraId="3247F829">
            <w:pPr>
              <w:pStyle w:val="6"/>
            </w:pPr>
            <w:bookmarkStart w:id="24" w:name="OLE_LINK27"/>
            <w:r>
              <w:t xml:space="preserve">表 </w:t>
            </w:r>
            <w:r>
              <w:rPr>
                <w:rFonts w:hint="eastAsia"/>
              </w:rPr>
              <w:t>3-</w:t>
            </w:r>
            <w:r>
              <w:fldChar w:fldCharType="begin"/>
            </w:r>
            <w:r>
              <w:instrText xml:space="preserve"> SEQ 表 \* ARABIC \s 1 </w:instrText>
            </w:r>
            <w:r>
              <w:fldChar w:fldCharType="separate"/>
            </w:r>
            <w:r>
              <w:t>3</w:t>
            </w:r>
            <w:r>
              <w:fldChar w:fldCharType="end"/>
            </w:r>
            <w:r>
              <w:rPr>
                <w:rFonts w:hint="eastAsia"/>
              </w:rPr>
              <w:t xml:space="preserve"> 噪声监测结果统计表</w:t>
            </w:r>
            <w:bookmarkEnd w:id="24"/>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1"/>
              <w:gridCol w:w="2783"/>
              <w:gridCol w:w="2783"/>
            </w:tblGrid>
            <w:tr w14:paraId="5000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restart"/>
                  <w:vAlign w:val="center"/>
                </w:tcPr>
                <w:p w14:paraId="0E080F52">
                  <w:pPr>
                    <w:pStyle w:val="24"/>
                  </w:pPr>
                  <w:r>
                    <w:rPr>
                      <w:rFonts w:hint="eastAsia"/>
                      <w:lang w:eastAsia="zh-CN"/>
                    </w:rPr>
                    <w:t>检</w:t>
                  </w:r>
                  <w:r>
                    <w:rPr>
                      <w:rFonts w:hint="eastAsia"/>
                    </w:rPr>
                    <w:t>测点名称</w:t>
                  </w:r>
                </w:p>
              </w:tc>
              <w:tc>
                <w:tcPr>
                  <w:tcW w:w="340" w:type="dxa"/>
                  <w:gridSpan w:val="2"/>
                  <w:vAlign w:val="center"/>
                </w:tcPr>
                <w:p w14:paraId="664068C5">
                  <w:pPr>
                    <w:pStyle w:val="24"/>
                  </w:pPr>
                  <w:r>
                    <w:rPr>
                      <w:rFonts w:hint="eastAsia"/>
                    </w:rPr>
                    <w:t>测量时间：2024年9月23日</w:t>
                  </w:r>
                </w:p>
              </w:tc>
            </w:tr>
            <w:tr w14:paraId="23BB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vAlign w:val="center"/>
                </w:tcPr>
                <w:p w14:paraId="34898933">
                  <w:pPr>
                    <w:pStyle w:val="24"/>
                  </w:pPr>
                </w:p>
              </w:tc>
              <w:tc>
                <w:tcPr>
                  <w:tcW w:w="340" w:type="dxa"/>
                  <w:vAlign w:val="center"/>
                </w:tcPr>
                <w:p w14:paraId="1B6138A7">
                  <w:pPr>
                    <w:pStyle w:val="24"/>
                  </w:pPr>
                  <w:r>
                    <w:rPr>
                      <w:rFonts w:hint="eastAsia"/>
                    </w:rPr>
                    <w:t>昼间dB（A）</w:t>
                  </w:r>
                </w:p>
              </w:tc>
              <w:tc>
                <w:tcPr>
                  <w:tcW w:w="340" w:type="dxa"/>
                  <w:vAlign w:val="center"/>
                </w:tcPr>
                <w:p w14:paraId="7BC73150">
                  <w:pPr>
                    <w:pStyle w:val="24"/>
                  </w:pPr>
                  <w:r>
                    <w:rPr>
                      <w:rFonts w:hint="eastAsia"/>
                    </w:rPr>
                    <w:t>夜间dB（A）</w:t>
                  </w:r>
                </w:p>
              </w:tc>
            </w:tr>
            <w:tr w14:paraId="0CEC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28E2F96">
                  <w:pPr>
                    <w:pStyle w:val="24"/>
                    <w:rPr>
                      <w:rFonts w:hint="default" w:eastAsia="宋体"/>
                      <w:lang w:val="en-US" w:eastAsia="zh-CN"/>
                    </w:rPr>
                  </w:pPr>
                  <w:r>
                    <w:rPr>
                      <w:rFonts w:hint="eastAsia"/>
                      <w:lang w:eastAsia="zh-CN"/>
                    </w:rPr>
                    <w:t>项目东厂界外</w:t>
                  </w:r>
                  <w:r>
                    <w:rPr>
                      <w:rFonts w:hint="eastAsia"/>
                      <w:lang w:val="en-US" w:eastAsia="zh-CN"/>
                    </w:rPr>
                    <w:t>1米</w:t>
                  </w:r>
                </w:p>
              </w:tc>
              <w:tc>
                <w:tcPr>
                  <w:tcW w:w="340" w:type="dxa"/>
                  <w:vAlign w:val="center"/>
                </w:tcPr>
                <w:p w14:paraId="53C4926A">
                  <w:pPr>
                    <w:pStyle w:val="24"/>
                  </w:pPr>
                  <w:r>
                    <w:rPr>
                      <w:rFonts w:hint="eastAsia"/>
                    </w:rPr>
                    <w:t>57</w:t>
                  </w:r>
                </w:p>
              </w:tc>
              <w:tc>
                <w:tcPr>
                  <w:tcW w:w="340" w:type="dxa"/>
                  <w:vAlign w:val="center"/>
                </w:tcPr>
                <w:p w14:paraId="3731CF57">
                  <w:pPr>
                    <w:pStyle w:val="24"/>
                  </w:pPr>
                  <w:r>
                    <w:rPr>
                      <w:rFonts w:hint="eastAsia"/>
                    </w:rPr>
                    <w:t>49</w:t>
                  </w:r>
                </w:p>
              </w:tc>
            </w:tr>
            <w:tr w14:paraId="5D87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55C1A0A2">
                  <w:pPr>
                    <w:pStyle w:val="24"/>
                    <w:rPr>
                      <w:rFonts w:hint="default" w:eastAsia="宋体"/>
                      <w:lang w:val="en-US" w:eastAsia="zh-CN"/>
                    </w:rPr>
                  </w:pPr>
                  <w:r>
                    <w:rPr>
                      <w:rFonts w:hint="eastAsia"/>
                      <w:lang w:eastAsia="zh-CN"/>
                    </w:rPr>
                    <w:t>项目南厂界外</w:t>
                  </w:r>
                  <w:r>
                    <w:rPr>
                      <w:rFonts w:hint="eastAsia"/>
                      <w:lang w:val="en-US" w:eastAsia="zh-CN"/>
                    </w:rPr>
                    <w:t>1米</w:t>
                  </w:r>
                </w:p>
              </w:tc>
              <w:tc>
                <w:tcPr>
                  <w:tcW w:w="340" w:type="dxa"/>
                  <w:vAlign w:val="center"/>
                </w:tcPr>
                <w:p w14:paraId="003C3BAD">
                  <w:pPr>
                    <w:pStyle w:val="24"/>
                  </w:pPr>
                  <w:r>
                    <w:rPr>
                      <w:rFonts w:hint="eastAsia"/>
                    </w:rPr>
                    <w:t>56</w:t>
                  </w:r>
                </w:p>
              </w:tc>
              <w:tc>
                <w:tcPr>
                  <w:tcW w:w="340" w:type="dxa"/>
                  <w:vAlign w:val="center"/>
                </w:tcPr>
                <w:p w14:paraId="21CA00A4">
                  <w:pPr>
                    <w:pStyle w:val="24"/>
                  </w:pPr>
                  <w:r>
                    <w:rPr>
                      <w:rFonts w:hint="eastAsia"/>
                    </w:rPr>
                    <w:t>45</w:t>
                  </w:r>
                </w:p>
              </w:tc>
            </w:tr>
            <w:tr w14:paraId="1108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2ACED7DC">
                  <w:pPr>
                    <w:pStyle w:val="24"/>
                  </w:pPr>
                  <w:r>
                    <w:rPr>
                      <w:rFonts w:hint="eastAsia"/>
                      <w:lang w:eastAsia="zh-CN"/>
                    </w:rPr>
                    <w:t>项目西厂界外</w:t>
                  </w:r>
                  <w:r>
                    <w:rPr>
                      <w:rFonts w:hint="eastAsia"/>
                      <w:lang w:val="en-US" w:eastAsia="zh-CN"/>
                    </w:rPr>
                    <w:t>1米</w:t>
                  </w:r>
                </w:p>
              </w:tc>
              <w:tc>
                <w:tcPr>
                  <w:tcW w:w="340" w:type="dxa"/>
                  <w:vAlign w:val="center"/>
                </w:tcPr>
                <w:p w14:paraId="5C3BDFA6">
                  <w:pPr>
                    <w:pStyle w:val="24"/>
                  </w:pPr>
                  <w:r>
                    <w:rPr>
                      <w:rFonts w:hint="eastAsia"/>
                    </w:rPr>
                    <w:t>58</w:t>
                  </w:r>
                </w:p>
              </w:tc>
              <w:tc>
                <w:tcPr>
                  <w:tcW w:w="340" w:type="dxa"/>
                  <w:vAlign w:val="center"/>
                </w:tcPr>
                <w:p w14:paraId="7FFFBD24">
                  <w:pPr>
                    <w:pStyle w:val="24"/>
                  </w:pPr>
                  <w:r>
                    <w:rPr>
                      <w:rFonts w:hint="eastAsia"/>
                    </w:rPr>
                    <w:t>46</w:t>
                  </w:r>
                </w:p>
              </w:tc>
            </w:tr>
            <w:tr w14:paraId="26C9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BDF6012">
                  <w:pPr>
                    <w:pStyle w:val="24"/>
                  </w:pPr>
                  <w:r>
                    <w:rPr>
                      <w:rFonts w:hint="eastAsia"/>
                      <w:lang w:eastAsia="zh-CN"/>
                    </w:rPr>
                    <w:t>项目北厂界外</w:t>
                  </w:r>
                  <w:r>
                    <w:rPr>
                      <w:rFonts w:hint="eastAsia"/>
                      <w:lang w:val="en-US" w:eastAsia="zh-CN"/>
                    </w:rPr>
                    <w:t>1米</w:t>
                  </w:r>
                </w:p>
              </w:tc>
              <w:tc>
                <w:tcPr>
                  <w:tcW w:w="340" w:type="dxa"/>
                  <w:vAlign w:val="center"/>
                </w:tcPr>
                <w:p w14:paraId="43759510">
                  <w:pPr>
                    <w:pStyle w:val="24"/>
                  </w:pPr>
                  <w:r>
                    <w:rPr>
                      <w:rFonts w:hint="eastAsia"/>
                    </w:rPr>
                    <w:t>59</w:t>
                  </w:r>
                </w:p>
              </w:tc>
              <w:tc>
                <w:tcPr>
                  <w:tcW w:w="340" w:type="dxa"/>
                  <w:vAlign w:val="center"/>
                </w:tcPr>
                <w:p w14:paraId="10E470D7">
                  <w:pPr>
                    <w:pStyle w:val="24"/>
                  </w:pPr>
                  <w:r>
                    <w:rPr>
                      <w:rFonts w:hint="eastAsia"/>
                    </w:rPr>
                    <w:t>44</w:t>
                  </w:r>
                </w:p>
              </w:tc>
            </w:tr>
            <w:tr w14:paraId="668E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1F821361">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益康小区</w:t>
                  </w:r>
                </w:p>
              </w:tc>
              <w:tc>
                <w:tcPr>
                  <w:tcW w:w="340" w:type="dxa"/>
                  <w:vAlign w:val="center"/>
                </w:tcPr>
                <w:p w14:paraId="5C2E42A8">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59</w:t>
                  </w:r>
                </w:p>
              </w:tc>
              <w:tc>
                <w:tcPr>
                  <w:tcW w:w="340" w:type="dxa"/>
                  <w:vAlign w:val="center"/>
                </w:tcPr>
                <w:p w14:paraId="75C01FBD">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r>
            <w:tr w14:paraId="227E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4ED4A12">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淮南农场（办事处）</w:t>
                  </w:r>
                </w:p>
              </w:tc>
              <w:tc>
                <w:tcPr>
                  <w:tcW w:w="340" w:type="dxa"/>
                  <w:vAlign w:val="center"/>
                </w:tcPr>
                <w:p w14:paraId="1E3F4B3D">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54</w:t>
                  </w:r>
                </w:p>
              </w:tc>
              <w:tc>
                <w:tcPr>
                  <w:tcW w:w="340" w:type="dxa"/>
                  <w:vAlign w:val="center"/>
                </w:tcPr>
                <w:p w14:paraId="7D362D8F">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r>
            <w:tr w14:paraId="511A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6CA3C65">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幸福村</w:t>
                  </w:r>
                </w:p>
              </w:tc>
              <w:tc>
                <w:tcPr>
                  <w:tcW w:w="340" w:type="dxa"/>
                  <w:vAlign w:val="center"/>
                </w:tcPr>
                <w:p w14:paraId="477BE2D5">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56</w:t>
                  </w:r>
                </w:p>
              </w:tc>
              <w:tc>
                <w:tcPr>
                  <w:tcW w:w="340" w:type="dxa"/>
                  <w:vAlign w:val="center"/>
                </w:tcPr>
                <w:p w14:paraId="76B9CDD5">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43</w:t>
                  </w:r>
                </w:p>
              </w:tc>
            </w:tr>
          </w:tbl>
          <w:p w14:paraId="639EFD9C">
            <w:pPr>
              <w:ind w:firstLine="480" w:firstLineChars="200"/>
              <w:rPr>
                <w:rFonts w:hint="eastAsia"/>
                <w:lang w:val="en-US" w:eastAsia="zh-CN"/>
              </w:rPr>
            </w:pPr>
            <w:r>
              <w:rPr>
                <w:rFonts w:hint="eastAsia"/>
                <w:lang w:eastAsia="zh-CN"/>
              </w:rPr>
              <w:t>本项目东、北侧厂界临近</w:t>
            </w:r>
            <w:r>
              <w:rPr>
                <w:rFonts w:hint="eastAsia"/>
                <w:lang w:val="en-US" w:eastAsia="zh-CN"/>
              </w:rPr>
              <w:t>G206道路和朝阳东路，噪声监测时道路车流量见下表。</w:t>
            </w:r>
          </w:p>
          <w:p w14:paraId="74BB8BE2">
            <w:pPr>
              <w:pStyle w:val="6"/>
              <w:rPr>
                <w:rFonts w:hint="eastAsia" w:eastAsia="宋体"/>
                <w:lang w:val="en-US" w:eastAsia="zh-CN"/>
              </w:rPr>
            </w:pPr>
            <w:r>
              <w:t xml:space="preserve">表 </w:t>
            </w:r>
            <w:r>
              <w:rPr>
                <w:rFonts w:hint="eastAsia"/>
                <w:lang w:val="en-US" w:eastAsia="zh-CN"/>
              </w:rPr>
              <w:t>3</w:t>
            </w:r>
            <w:r>
              <w:rPr>
                <w:rFonts w:hint="eastAsia"/>
                <w:lang w:eastAsia="zh-CN"/>
              </w:rPr>
              <w:t>-</w:t>
            </w:r>
            <w:r>
              <w:fldChar w:fldCharType="begin"/>
            </w:r>
            <w:r>
              <w:instrText xml:space="preserve"> SEQ 表 \* ARABIC \s 1 </w:instrText>
            </w:r>
            <w:r>
              <w:fldChar w:fldCharType="separate"/>
            </w:r>
            <w:r>
              <w:t>4</w:t>
            </w:r>
            <w:r>
              <w:fldChar w:fldCharType="end"/>
            </w:r>
            <w:r>
              <w:rPr>
                <w:rFonts w:hint="eastAsia"/>
                <w:lang w:val="en-US" w:eastAsia="zh-CN"/>
              </w:rPr>
              <w:t xml:space="preserve"> 噪声监测时段车流量统计表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3546"/>
              <w:gridCol w:w="2365"/>
            </w:tblGrid>
            <w:tr w14:paraId="084D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vAlign w:val="center"/>
                </w:tcPr>
                <w:p w14:paraId="4C0277FA">
                  <w:pPr>
                    <w:pStyle w:val="24"/>
                    <w:bidi w:val="0"/>
                    <w:jc w:val="center"/>
                    <w:rPr>
                      <w:rFonts w:hint="default"/>
                      <w:lang w:val="en-US" w:eastAsia="zh-CN"/>
                    </w:rPr>
                  </w:pPr>
                  <w:r>
                    <w:rPr>
                      <w:rFonts w:hint="eastAsia"/>
                      <w:lang w:val="en-US" w:eastAsia="zh-CN"/>
                    </w:rPr>
                    <w:t>监测道路</w:t>
                  </w:r>
                </w:p>
              </w:tc>
              <w:tc>
                <w:tcPr>
                  <w:tcW w:w="340" w:type="dxa"/>
                  <w:vAlign w:val="center"/>
                </w:tcPr>
                <w:p w14:paraId="7967132A">
                  <w:pPr>
                    <w:pStyle w:val="24"/>
                    <w:bidi w:val="0"/>
                    <w:jc w:val="center"/>
                    <w:rPr>
                      <w:rFonts w:hint="default"/>
                      <w:lang w:val="en-US" w:eastAsia="zh-CN"/>
                    </w:rPr>
                  </w:pPr>
                  <w:r>
                    <w:rPr>
                      <w:rFonts w:hint="eastAsia"/>
                      <w:lang w:val="en-US" w:eastAsia="zh-CN"/>
                    </w:rPr>
                    <w:t>测量时间段</w:t>
                  </w:r>
                </w:p>
              </w:tc>
              <w:tc>
                <w:tcPr>
                  <w:tcW w:w="340" w:type="dxa"/>
                  <w:vAlign w:val="center"/>
                </w:tcPr>
                <w:p w14:paraId="2ED6B5BE">
                  <w:pPr>
                    <w:pStyle w:val="24"/>
                    <w:bidi w:val="0"/>
                    <w:jc w:val="center"/>
                    <w:rPr>
                      <w:rFonts w:hint="default"/>
                      <w:lang w:val="en-US" w:eastAsia="zh-CN"/>
                    </w:rPr>
                  </w:pPr>
                  <w:r>
                    <w:rPr>
                      <w:rFonts w:hint="eastAsia"/>
                      <w:lang w:val="en-US" w:eastAsia="zh-CN"/>
                    </w:rPr>
                    <w:t>车流量（辆）</w:t>
                  </w:r>
                </w:p>
              </w:tc>
            </w:tr>
            <w:tr w14:paraId="2242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restart"/>
                  <w:vAlign w:val="center"/>
                </w:tcPr>
                <w:p w14:paraId="0EBBFD69">
                  <w:pPr>
                    <w:pStyle w:val="24"/>
                    <w:bidi w:val="0"/>
                    <w:jc w:val="center"/>
                    <w:rPr>
                      <w:rFonts w:hint="default"/>
                      <w:lang w:val="en-US" w:eastAsia="zh-CN"/>
                    </w:rPr>
                  </w:pPr>
                  <w:r>
                    <w:rPr>
                      <w:rFonts w:hint="eastAsia"/>
                      <w:lang w:val="en-US" w:eastAsia="zh-CN"/>
                    </w:rPr>
                    <w:t>G206道路</w:t>
                  </w:r>
                </w:p>
              </w:tc>
              <w:tc>
                <w:tcPr>
                  <w:tcW w:w="340" w:type="dxa"/>
                  <w:vAlign w:val="center"/>
                </w:tcPr>
                <w:p w14:paraId="1229F407">
                  <w:pPr>
                    <w:pStyle w:val="24"/>
                    <w:bidi w:val="0"/>
                    <w:jc w:val="center"/>
                    <w:rPr>
                      <w:rFonts w:hint="default"/>
                      <w:lang w:val="en-US" w:eastAsia="zh-CN"/>
                    </w:rPr>
                  </w:pPr>
                  <w:r>
                    <w:rPr>
                      <w:rFonts w:hint="eastAsia"/>
                      <w:lang w:val="en-US" w:eastAsia="zh-CN"/>
                    </w:rPr>
                    <w:t>15：10~15:20</w:t>
                  </w:r>
                </w:p>
              </w:tc>
              <w:tc>
                <w:tcPr>
                  <w:tcW w:w="340" w:type="dxa"/>
                  <w:vAlign w:val="center"/>
                </w:tcPr>
                <w:p w14:paraId="1DC05744">
                  <w:pPr>
                    <w:pStyle w:val="24"/>
                    <w:bidi w:val="0"/>
                    <w:jc w:val="center"/>
                    <w:rPr>
                      <w:rFonts w:hint="default"/>
                      <w:lang w:val="en-US" w:eastAsia="zh-CN"/>
                    </w:rPr>
                  </w:pPr>
                  <w:r>
                    <w:rPr>
                      <w:rFonts w:hint="eastAsia"/>
                      <w:lang w:val="en-US" w:eastAsia="zh-CN"/>
                    </w:rPr>
                    <w:t>43</w:t>
                  </w:r>
                </w:p>
              </w:tc>
            </w:tr>
            <w:tr w14:paraId="3D0B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vAlign w:val="center"/>
                </w:tcPr>
                <w:p w14:paraId="1EA898B7">
                  <w:pPr>
                    <w:pStyle w:val="24"/>
                    <w:bidi w:val="0"/>
                    <w:jc w:val="center"/>
                    <w:rPr>
                      <w:rFonts w:hint="eastAsia"/>
                      <w:lang w:val="en-US" w:eastAsia="zh-CN"/>
                    </w:rPr>
                  </w:pPr>
                </w:p>
              </w:tc>
              <w:tc>
                <w:tcPr>
                  <w:tcW w:w="340" w:type="dxa"/>
                  <w:vAlign w:val="center"/>
                </w:tcPr>
                <w:p w14:paraId="535185EE">
                  <w:pPr>
                    <w:pStyle w:val="24"/>
                    <w:bidi w:val="0"/>
                    <w:jc w:val="center"/>
                    <w:rPr>
                      <w:rFonts w:hint="default"/>
                      <w:lang w:val="en-US" w:eastAsia="zh-CN"/>
                    </w:rPr>
                  </w:pPr>
                  <w:r>
                    <w:rPr>
                      <w:rFonts w:hint="eastAsia"/>
                      <w:lang w:val="en-US" w:eastAsia="zh-CN"/>
                    </w:rPr>
                    <w:t>22:35~22:45</w:t>
                  </w:r>
                </w:p>
              </w:tc>
              <w:tc>
                <w:tcPr>
                  <w:tcW w:w="340" w:type="dxa"/>
                  <w:vAlign w:val="center"/>
                </w:tcPr>
                <w:p w14:paraId="52C9DB06">
                  <w:pPr>
                    <w:pStyle w:val="24"/>
                    <w:bidi w:val="0"/>
                    <w:jc w:val="center"/>
                    <w:rPr>
                      <w:rFonts w:hint="default"/>
                      <w:lang w:val="en-US" w:eastAsia="zh-CN"/>
                    </w:rPr>
                  </w:pPr>
                  <w:r>
                    <w:rPr>
                      <w:rFonts w:hint="eastAsia"/>
                      <w:lang w:val="en-US" w:eastAsia="zh-CN"/>
                    </w:rPr>
                    <w:t>25</w:t>
                  </w:r>
                </w:p>
              </w:tc>
            </w:tr>
            <w:tr w14:paraId="7B12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restart"/>
                  <w:vAlign w:val="center"/>
                </w:tcPr>
                <w:p w14:paraId="754DE389">
                  <w:pPr>
                    <w:pStyle w:val="24"/>
                    <w:bidi w:val="0"/>
                    <w:jc w:val="center"/>
                    <w:rPr>
                      <w:rFonts w:hint="default"/>
                      <w:lang w:val="en-US" w:eastAsia="zh-CN"/>
                    </w:rPr>
                  </w:pPr>
                  <w:r>
                    <w:rPr>
                      <w:rFonts w:hint="eastAsia"/>
                      <w:lang w:val="en-US" w:eastAsia="zh-CN"/>
                    </w:rPr>
                    <w:t>朝阳东路</w:t>
                  </w:r>
                </w:p>
              </w:tc>
              <w:tc>
                <w:tcPr>
                  <w:tcW w:w="340" w:type="dxa"/>
                  <w:vAlign w:val="center"/>
                </w:tcPr>
                <w:p w14:paraId="495413DB">
                  <w:pPr>
                    <w:pStyle w:val="24"/>
                    <w:bidi w:val="0"/>
                    <w:jc w:val="center"/>
                    <w:rPr>
                      <w:rFonts w:hint="default"/>
                      <w:lang w:val="en-US" w:eastAsia="zh-CN"/>
                    </w:rPr>
                  </w:pPr>
                  <w:r>
                    <w:rPr>
                      <w:rFonts w:hint="eastAsia"/>
                      <w:lang w:val="en-US" w:eastAsia="zh-CN"/>
                    </w:rPr>
                    <w:t>15:25~15:35</w:t>
                  </w:r>
                </w:p>
              </w:tc>
              <w:tc>
                <w:tcPr>
                  <w:tcW w:w="340" w:type="dxa"/>
                  <w:vAlign w:val="center"/>
                </w:tcPr>
                <w:p w14:paraId="4BB9B0B7">
                  <w:pPr>
                    <w:pStyle w:val="24"/>
                    <w:bidi w:val="0"/>
                    <w:jc w:val="center"/>
                    <w:rPr>
                      <w:rFonts w:hint="default"/>
                      <w:lang w:val="en-US" w:eastAsia="zh-CN"/>
                    </w:rPr>
                  </w:pPr>
                  <w:r>
                    <w:rPr>
                      <w:rFonts w:hint="eastAsia"/>
                      <w:lang w:val="en-US" w:eastAsia="zh-CN"/>
                    </w:rPr>
                    <w:t>47</w:t>
                  </w:r>
                </w:p>
              </w:tc>
            </w:tr>
            <w:tr w14:paraId="16A7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vAlign w:val="center"/>
                </w:tcPr>
                <w:p w14:paraId="13ABFB89">
                  <w:pPr>
                    <w:pStyle w:val="24"/>
                    <w:bidi w:val="0"/>
                    <w:jc w:val="center"/>
                    <w:rPr>
                      <w:rFonts w:hint="eastAsia"/>
                      <w:lang w:val="en-US" w:eastAsia="zh-CN"/>
                    </w:rPr>
                  </w:pPr>
                </w:p>
              </w:tc>
              <w:tc>
                <w:tcPr>
                  <w:tcW w:w="340" w:type="dxa"/>
                  <w:vAlign w:val="center"/>
                </w:tcPr>
                <w:p w14:paraId="482C1FA2">
                  <w:pPr>
                    <w:pStyle w:val="24"/>
                    <w:bidi w:val="0"/>
                    <w:jc w:val="center"/>
                    <w:rPr>
                      <w:rFonts w:hint="default"/>
                      <w:lang w:val="en-US" w:eastAsia="zh-CN"/>
                    </w:rPr>
                  </w:pPr>
                  <w:r>
                    <w:rPr>
                      <w:rFonts w:hint="eastAsia"/>
                      <w:lang w:val="en-US" w:eastAsia="zh-CN"/>
                    </w:rPr>
                    <w:t>22:50~23:00</w:t>
                  </w:r>
                </w:p>
              </w:tc>
              <w:tc>
                <w:tcPr>
                  <w:tcW w:w="340" w:type="dxa"/>
                  <w:vAlign w:val="center"/>
                </w:tcPr>
                <w:p w14:paraId="2251B93D">
                  <w:pPr>
                    <w:pStyle w:val="24"/>
                    <w:bidi w:val="0"/>
                    <w:jc w:val="center"/>
                    <w:rPr>
                      <w:rFonts w:hint="default"/>
                      <w:lang w:val="en-US" w:eastAsia="zh-CN"/>
                    </w:rPr>
                  </w:pPr>
                  <w:r>
                    <w:rPr>
                      <w:rFonts w:hint="eastAsia"/>
                      <w:lang w:val="en-US" w:eastAsia="zh-CN"/>
                    </w:rPr>
                    <w:t>18</w:t>
                  </w:r>
                </w:p>
              </w:tc>
            </w:tr>
          </w:tbl>
          <w:p w14:paraId="7A89315B">
            <w:pPr>
              <w:ind w:firstLine="480" w:firstLineChars="200"/>
            </w:pPr>
            <w:r>
              <w:t>根据</w:t>
            </w:r>
            <w:r>
              <w:rPr>
                <w:rFonts w:hint="eastAsia"/>
              </w:rPr>
              <w:t>监测</w:t>
            </w:r>
            <w:r>
              <w:t>数据可知，</w:t>
            </w:r>
            <w:r>
              <w:rPr>
                <w:rFonts w:hint="eastAsia"/>
              </w:rPr>
              <w:t>本项目</w:t>
            </w:r>
            <w:r>
              <w:t>厂界</w:t>
            </w:r>
            <w:r>
              <w:rPr>
                <w:rFonts w:hint="eastAsia"/>
              </w:rPr>
              <w:t>西、南</w:t>
            </w:r>
            <w:r>
              <w:t>侧噪声</w:t>
            </w:r>
            <w:r>
              <w:rPr>
                <w:rFonts w:hint="eastAsia"/>
                <w:lang w:eastAsia="zh-CN"/>
              </w:rPr>
              <w:t>满足</w:t>
            </w:r>
            <w:r>
              <w:rPr>
                <w:rFonts w:hint="eastAsia"/>
              </w:rPr>
              <w:t>《声环境质量标准》（GB3096-2008）中2类标准要求</w:t>
            </w:r>
            <w:r>
              <w:t>；</w:t>
            </w:r>
            <w:r>
              <w:rPr>
                <w:rFonts w:hint="eastAsia"/>
                <w:lang w:eastAsia="zh-CN"/>
              </w:rPr>
              <w:t>厂界东、北侧噪声满足</w:t>
            </w:r>
            <w:r>
              <w:rPr>
                <w:rFonts w:hint="eastAsia"/>
              </w:rPr>
              <w:t>《声环境质量标准》（GB3096-2008）中</w:t>
            </w:r>
            <w:r>
              <w:t>4</w:t>
            </w:r>
            <w:r>
              <w:rPr>
                <w:rFonts w:hint="eastAsia"/>
                <w:lang w:val="en-US" w:eastAsia="zh-CN"/>
              </w:rPr>
              <w:t>a</w:t>
            </w:r>
            <w:r>
              <w:t>类标准</w:t>
            </w:r>
            <w:r>
              <w:rPr>
                <w:rFonts w:hint="eastAsia"/>
                <w:lang w:eastAsia="zh-CN"/>
              </w:rPr>
              <w:t>，</w:t>
            </w:r>
            <w:r>
              <w:rPr>
                <w:rFonts w:hint="eastAsia"/>
              </w:rPr>
              <w:t>环境保护目标昼、夜间声环境质量符合《声环境质量标准》（GB3096-2008）中2类标准要求。</w:t>
            </w:r>
          </w:p>
          <w:p w14:paraId="7C376864">
            <w:r>
              <w:rPr>
                <w:rFonts w:hint="eastAsia"/>
              </w:rPr>
              <w:t>4、生态环境质量现状</w:t>
            </w:r>
          </w:p>
          <w:p w14:paraId="74ACB9BD">
            <w:pPr>
              <w:ind w:firstLine="480" w:firstLineChars="200"/>
            </w:pPr>
            <w:r>
              <w:rPr>
                <w:rFonts w:hint="eastAsia"/>
              </w:rPr>
              <w:t>本项目位于淮南经济技术开发区G206与朝阳路交叉口西南角，用地范围内不涉及生态环境保护目标，故不进行生态现状调查。</w:t>
            </w:r>
          </w:p>
          <w:p w14:paraId="215E79C7">
            <w:r>
              <w:rPr>
                <w:rFonts w:hint="eastAsia"/>
              </w:rPr>
              <w:t>5、电磁辐射</w:t>
            </w:r>
          </w:p>
          <w:p w14:paraId="40729358">
            <w:pPr>
              <w:ind w:firstLine="480" w:firstLineChars="200"/>
            </w:pPr>
            <w:r>
              <w:rPr>
                <w:rFonts w:hint="eastAsia"/>
              </w:rPr>
              <w:t>本项目不涉及。</w:t>
            </w:r>
          </w:p>
          <w:p w14:paraId="068B7ED3">
            <w:r>
              <w:rPr>
                <w:rFonts w:hint="eastAsia"/>
              </w:rPr>
              <w:t>6、地下水、土壤环境</w:t>
            </w:r>
          </w:p>
          <w:p w14:paraId="308D0EB0">
            <w:pPr>
              <w:ind w:firstLine="480" w:firstLineChars="200"/>
            </w:pPr>
            <w:r>
              <w:rPr>
                <w:rFonts w:hint="eastAsia"/>
              </w:rPr>
              <w:t>根据《建设项目环境影响报告表编制技术指南（污染影响类）（试行）》规定：“原则上不开展环境质量现状调查。建设项目存在土壤地下水环境污染途径的，应结合污染源途径的，应结合污染源、保护目标分布情况开展现状调查以留作背景值”。</w:t>
            </w:r>
          </w:p>
          <w:p w14:paraId="2E794BF5">
            <w:pPr>
              <w:ind w:firstLine="480" w:firstLineChars="200"/>
              <w:rPr>
                <w:color w:val="0000FF"/>
              </w:rPr>
            </w:pPr>
            <w:r>
              <w:rPr>
                <w:rFonts w:hint="eastAsia"/>
              </w:rPr>
              <w:t>本项目在采取分区防渗等措施后（地下储罐区、加油岛、化粪池、三级油水分离池为重点防渗区，站内道路为一般防渗区，站房及其他建筑物为简单防渗区），正常生产运营时不存在土壤、地下水污染途径，故无需开展地下水、土壤环境现状调查。</w:t>
            </w:r>
          </w:p>
        </w:tc>
      </w:tr>
      <w:tr w14:paraId="5A31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3" w:hRule="atLeast"/>
        </w:trPr>
        <w:tc>
          <w:tcPr>
            <w:tcW w:w="452" w:type="dxa"/>
            <w:vAlign w:val="center"/>
          </w:tcPr>
          <w:p w14:paraId="536C02B2">
            <w:pPr>
              <w:rPr>
                <w:color w:val="0000FF"/>
              </w:rPr>
            </w:pPr>
            <w:r>
              <w:rPr>
                <w:rFonts w:hint="eastAsia"/>
              </w:rPr>
              <w:t>环境保护目标</w:t>
            </w:r>
          </w:p>
        </w:tc>
        <w:tc>
          <w:tcPr>
            <w:tcW w:w="8070" w:type="dxa"/>
          </w:tcPr>
          <w:p w14:paraId="71B0484B">
            <w:r>
              <w:rPr>
                <w:rFonts w:hint="eastAsia"/>
              </w:rPr>
              <w:t>1、大气环境</w:t>
            </w:r>
          </w:p>
          <w:p w14:paraId="12D25917">
            <w:pPr>
              <w:ind w:firstLine="480" w:firstLineChars="200"/>
            </w:pPr>
            <w:r>
              <w:t>厂界外500m范围内无自然保护区、风景名胜区和文物古迹等需要特殊保护的环境敏感对象，厂界外500m范围内</w:t>
            </w:r>
            <w:r>
              <w:rPr>
                <w:rFonts w:hint="eastAsia"/>
              </w:rPr>
              <w:t>存在居住区、学校</w:t>
            </w:r>
            <w:r>
              <w:t>。</w:t>
            </w:r>
          </w:p>
          <w:p w14:paraId="2AB073F0">
            <w:r>
              <w:rPr>
                <w:rFonts w:hint="eastAsia"/>
              </w:rPr>
              <w:t>2、声环境</w:t>
            </w:r>
          </w:p>
          <w:p w14:paraId="4E5C9AF3">
            <w:pPr>
              <w:ind w:firstLine="480" w:firstLineChars="200"/>
            </w:pPr>
            <w:r>
              <w:rPr>
                <w:rFonts w:hint="eastAsia"/>
              </w:rPr>
              <w:t>本项目厂界外50米范围内存在声环境保护目标。</w:t>
            </w:r>
          </w:p>
          <w:p w14:paraId="51B1312C">
            <w:r>
              <w:rPr>
                <w:rFonts w:hint="eastAsia"/>
              </w:rPr>
              <w:t>3、地下水环境</w:t>
            </w:r>
          </w:p>
          <w:p w14:paraId="15B8371C">
            <w:pPr>
              <w:ind w:firstLine="480" w:firstLineChars="200"/>
            </w:pPr>
            <w:r>
              <w:rPr>
                <w:rFonts w:hint="eastAsia"/>
              </w:rPr>
              <w:t>本项目</w:t>
            </w:r>
            <w:r>
              <w:t>厂界外500米范围内</w:t>
            </w:r>
            <w:r>
              <w:rPr>
                <w:rFonts w:hint="eastAsia"/>
              </w:rPr>
              <w:t>无</w:t>
            </w:r>
            <w:r>
              <w:t>地下水集中式饮用水水源和热水、矿泉水、温泉等特殊地下水资源，</w:t>
            </w:r>
            <w:r>
              <w:rPr>
                <w:rFonts w:hint="eastAsia"/>
              </w:rPr>
              <w:t>无地下水环境保护目标</w:t>
            </w:r>
            <w:r>
              <w:t>。</w:t>
            </w:r>
          </w:p>
          <w:p w14:paraId="5726E3A5">
            <w:pPr>
              <w:pStyle w:val="6"/>
            </w:pPr>
            <w:r>
              <w:t xml:space="preserve">表 </w:t>
            </w:r>
            <w:r>
              <w:rPr>
                <w:rFonts w:hint="eastAsia"/>
              </w:rPr>
              <w:t>3-</w:t>
            </w:r>
            <w:r>
              <w:fldChar w:fldCharType="begin"/>
            </w:r>
            <w:r>
              <w:instrText xml:space="preserve"> SEQ 表 \* ARABIC \s 1 </w:instrText>
            </w:r>
            <w:r>
              <w:fldChar w:fldCharType="separate"/>
            </w:r>
            <w:r>
              <w:t>5</w:t>
            </w:r>
            <w:r>
              <w:fldChar w:fldCharType="end"/>
            </w:r>
            <w:r>
              <w:rPr>
                <w:rFonts w:hint="eastAsia"/>
              </w:rPr>
              <w:t xml:space="preserve"> 环境保护目标一览表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88"/>
              <w:gridCol w:w="688"/>
              <w:gridCol w:w="992"/>
              <w:gridCol w:w="873"/>
              <w:gridCol w:w="1103"/>
              <w:gridCol w:w="1024"/>
              <w:gridCol w:w="2472"/>
            </w:tblGrid>
            <w:tr w14:paraId="22EC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8" w:type="dxa"/>
                  <w:tcBorders>
                    <w:top w:val="single" w:color="auto" w:sz="4" w:space="0"/>
                    <w:left w:val="single" w:color="auto" w:sz="4" w:space="0"/>
                    <w:bottom w:val="single" w:color="auto" w:sz="4" w:space="0"/>
                    <w:right w:val="single" w:color="auto" w:sz="4" w:space="0"/>
                  </w:tcBorders>
                  <w:vAlign w:val="center"/>
                </w:tcPr>
                <w:p w14:paraId="09F80CCF">
                  <w:pPr>
                    <w:pStyle w:val="24"/>
                  </w:pPr>
                  <w:r>
                    <w:t>环境要素</w:t>
                  </w:r>
                </w:p>
              </w:tc>
              <w:tc>
                <w:tcPr>
                  <w:tcW w:w="1680" w:type="dxa"/>
                  <w:gridSpan w:val="2"/>
                  <w:tcBorders>
                    <w:top w:val="single" w:color="auto" w:sz="4" w:space="0"/>
                    <w:left w:val="single" w:color="auto" w:sz="4" w:space="0"/>
                    <w:bottom w:val="single" w:color="auto" w:sz="4" w:space="0"/>
                    <w:right w:val="single" w:color="auto" w:sz="4" w:space="0"/>
                  </w:tcBorders>
                  <w:vAlign w:val="center"/>
                </w:tcPr>
                <w:p w14:paraId="0C1008D7">
                  <w:pPr>
                    <w:pStyle w:val="24"/>
                  </w:pPr>
                  <w:r>
                    <w:t>环境保护目标名称</w:t>
                  </w:r>
                </w:p>
              </w:tc>
              <w:tc>
                <w:tcPr>
                  <w:tcW w:w="873" w:type="dxa"/>
                  <w:tcBorders>
                    <w:top w:val="single" w:color="auto" w:sz="4" w:space="0"/>
                    <w:left w:val="single" w:color="auto" w:sz="4" w:space="0"/>
                    <w:bottom w:val="single" w:color="auto" w:sz="4" w:space="0"/>
                    <w:right w:val="single" w:color="auto" w:sz="4" w:space="0"/>
                  </w:tcBorders>
                  <w:vAlign w:val="center"/>
                </w:tcPr>
                <w:p w14:paraId="5E2FD6F4">
                  <w:pPr>
                    <w:pStyle w:val="24"/>
                  </w:pPr>
                  <w:r>
                    <w:t>方位</w:t>
                  </w:r>
                </w:p>
              </w:tc>
              <w:tc>
                <w:tcPr>
                  <w:tcW w:w="1103" w:type="dxa"/>
                  <w:tcBorders>
                    <w:top w:val="single" w:color="auto" w:sz="4" w:space="0"/>
                    <w:left w:val="single" w:color="auto" w:sz="4" w:space="0"/>
                    <w:bottom w:val="single" w:color="auto" w:sz="4" w:space="0"/>
                    <w:right w:val="single" w:color="auto" w:sz="4" w:space="0"/>
                  </w:tcBorders>
                  <w:vAlign w:val="center"/>
                </w:tcPr>
                <w:p w14:paraId="6C5626FB">
                  <w:pPr>
                    <w:pStyle w:val="24"/>
                  </w:pPr>
                  <w:r>
                    <w:t>距离（m）</w:t>
                  </w:r>
                </w:p>
              </w:tc>
              <w:tc>
                <w:tcPr>
                  <w:tcW w:w="1024" w:type="dxa"/>
                  <w:tcBorders>
                    <w:top w:val="single" w:color="auto" w:sz="4" w:space="0"/>
                    <w:left w:val="single" w:color="auto" w:sz="4" w:space="0"/>
                    <w:bottom w:val="single" w:color="auto" w:sz="4" w:space="0"/>
                    <w:right w:val="single" w:color="auto" w:sz="4" w:space="0"/>
                  </w:tcBorders>
                  <w:vAlign w:val="center"/>
                </w:tcPr>
                <w:p w14:paraId="40224AF1">
                  <w:pPr>
                    <w:pStyle w:val="24"/>
                  </w:pPr>
                  <w:r>
                    <w:t>规模</w:t>
                  </w:r>
                </w:p>
              </w:tc>
              <w:tc>
                <w:tcPr>
                  <w:tcW w:w="2472" w:type="dxa"/>
                  <w:tcBorders>
                    <w:top w:val="single" w:color="auto" w:sz="4" w:space="0"/>
                    <w:left w:val="single" w:color="auto" w:sz="4" w:space="0"/>
                    <w:bottom w:val="single" w:color="auto" w:sz="4" w:space="0"/>
                    <w:right w:val="single" w:color="auto" w:sz="4" w:space="0"/>
                  </w:tcBorders>
                  <w:vAlign w:val="center"/>
                </w:tcPr>
                <w:p w14:paraId="7EA1DEC8">
                  <w:pPr>
                    <w:pStyle w:val="24"/>
                  </w:pPr>
                  <w:r>
                    <w:t>环境功能</w:t>
                  </w:r>
                </w:p>
              </w:tc>
            </w:tr>
            <w:tr w14:paraId="2151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8" w:type="dxa"/>
                  <w:tcBorders>
                    <w:top w:val="single" w:color="auto" w:sz="4" w:space="0"/>
                    <w:left w:val="single" w:color="auto" w:sz="4" w:space="0"/>
                    <w:right w:val="single" w:color="auto" w:sz="4" w:space="0"/>
                  </w:tcBorders>
                  <w:vAlign w:val="center"/>
                </w:tcPr>
                <w:p w14:paraId="69D0D8AA">
                  <w:pPr>
                    <w:pStyle w:val="24"/>
                  </w:pPr>
                  <w:r>
                    <w:t>地表水</w:t>
                  </w:r>
                </w:p>
              </w:tc>
              <w:tc>
                <w:tcPr>
                  <w:tcW w:w="16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14E8E6">
                  <w:pPr>
                    <w:pStyle w:val="24"/>
                  </w:pPr>
                  <w:r>
                    <w:t>淮河</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9376BB1">
                  <w:pPr>
                    <w:pStyle w:val="24"/>
                  </w:pPr>
                  <w:r>
                    <w:rPr>
                      <w:rFonts w:hint="eastAsia"/>
                    </w:rPr>
                    <w:t>N</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7E2B1840">
                  <w:pPr>
                    <w:pStyle w:val="24"/>
                  </w:pPr>
                  <w:r>
                    <w:rPr>
                      <w:rFonts w:hint="eastAsia"/>
                    </w:rPr>
                    <w:t>4718</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14:paraId="564E3CDE">
                  <w:pPr>
                    <w:pStyle w:val="24"/>
                  </w:pPr>
                  <w:r>
                    <w:rPr>
                      <w:rFonts w:hint="eastAsia"/>
                    </w:rPr>
                    <w:t>大型河流</w:t>
                  </w:r>
                </w:p>
              </w:tc>
              <w:tc>
                <w:tcPr>
                  <w:tcW w:w="2472" w:type="dxa"/>
                  <w:tcBorders>
                    <w:top w:val="single" w:color="auto" w:sz="4" w:space="0"/>
                    <w:left w:val="single" w:color="auto" w:sz="4" w:space="0"/>
                    <w:right w:val="single" w:color="auto" w:sz="4" w:space="0"/>
                  </w:tcBorders>
                  <w:vAlign w:val="center"/>
                </w:tcPr>
                <w:p w14:paraId="128206F7">
                  <w:pPr>
                    <w:pStyle w:val="24"/>
                  </w:pPr>
                  <w:r>
                    <w:t>《地表水环境质量标准》</w:t>
                  </w:r>
                  <w:r>
                    <w:rPr>
                      <w:rFonts w:hint="eastAsia"/>
                    </w:rPr>
                    <w:t>（</w:t>
                  </w:r>
                  <w:r>
                    <w:t>GB3838-2002</w:t>
                  </w:r>
                  <w:r>
                    <w:rPr>
                      <w:rFonts w:hint="eastAsia"/>
                    </w:rPr>
                    <w:t>）Ⅲ</w:t>
                  </w:r>
                  <w:r>
                    <w:t>类标准</w:t>
                  </w:r>
                </w:p>
              </w:tc>
            </w:tr>
            <w:tr w14:paraId="0E3D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8" w:type="dxa"/>
                  <w:vMerge w:val="restart"/>
                  <w:tcBorders>
                    <w:top w:val="single" w:color="auto" w:sz="4" w:space="0"/>
                    <w:left w:val="single" w:color="auto" w:sz="4" w:space="0"/>
                    <w:right w:val="single" w:color="auto" w:sz="4" w:space="0"/>
                  </w:tcBorders>
                  <w:vAlign w:val="center"/>
                </w:tcPr>
                <w:p w14:paraId="5CBC2078">
                  <w:pPr>
                    <w:pStyle w:val="24"/>
                  </w:pPr>
                  <w:r>
                    <w:rPr>
                      <w:rFonts w:hint="eastAsia"/>
                    </w:rPr>
                    <w:t>大气环境保护目标</w:t>
                  </w:r>
                </w:p>
              </w:tc>
              <w:tc>
                <w:tcPr>
                  <w:tcW w:w="688" w:type="dxa"/>
                  <w:tcBorders>
                    <w:top w:val="single" w:color="auto" w:sz="4" w:space="0"/>
                    <w:left w:val="single" w:color="auto" w:sz="4" w:space="0"/>
                    <w:bottom w:val="single" w:color="auto" w:sz="4" w:space="0"/>
                    <w:right w:val="single" w:color="auto" w:sz="4" w:space="0"/>
                  </w:tcBorders>
                  <w:vAlign w:val="center"/>
                </w:tcPr>
                <w:p w14:paraId="38368518">
                  <w:pPr>
                    <w:pStyle w:val="24"/>
                  </w:pPr>
                  <w:r>
                    <w:rPr>
                      <w:rFonts w:hint="eastAsia"/>
                    </w:rPr>
                    <w:t>1</w:t>
                  </w:r>
                </w:p>
              </w:tc>
              <w:tc>
                <w:tcPr>
                  <w:tcW w:w="992" w:type="dxa"/>
                  <w:tcBorders>
                    <w:top w:val="single" w:color="auto" w:sz="4" w:space="0"/>
                    <w:left w:val="single" w:color="auto" w:sz="4" w:space="0"/>
                    <w:bottom w:val="single" w:color="auto" w:sz="4" w:space="0"/>
                    <w:right w:val="single" w:color="auto" w:sz="4" w:space="0"/>
                  </w:tcBorders>
                  <w:vAlign w:val="center"/>
                </w:tcPr>
                <w:p w14:paraId="1E9CB9F8">
                  <w:pPr>
                    <w:pStyle w:val="24"/>
                  </w:pPr>
                  <w:r>
                    <w:rPr>
                      <w:rFonts w:hint="eastAsia"/>
                    </w:rPr>
                    <w:t>益康小区</w:t>
                  </w:r>
                </w:p>
              </w:tc>
              <w:tc>
                <w:tcPr>
                  <w:tcW w:w="873" w:type="dxa"/>
                  <w:tcBorders>
                    <w:top w:val="single" w:color="auto" w:sz="4" w:space="0"/>
                    <w:left w:val="single" w:color="auto" w:sz="4" w:space="0"/>
                    <w:right w:val="single" w:color="auto" w:sz="4" w:space="0"/>
                  </w:tcBorders>
                  <w:vAlign w:val="center"/>
                </w:tcPr>
                <w:p w14:paraId="7D97272C">
                  <w:pPr>
                    <w:pStyle w:val="24"/>
                  </w:pPr>
                  <w:r>
                    <w:rPr>
                      <w:rFonts w:hint="eastAsia"/>
                    </w:rPr>
                    <w:t>E</w:t>
                  </w:r>
                </w:p>
              </w:tc>
              <w:tc>
                <w:tcPr>
                  <w:tcW w:w="1103" w:type="dxa"/>
                  <w:tcBorders>
                    <w:top w:val="single" w:color="auto" w:sz="4" w:space="0"/>
                    <w:left w:val="single" w:color="auto" w:sz="4" w:space="0"/>
                    <w:right w:val="single" w:color="auto" w:sz="4" w:space="0"/>
                  </w:tcBorders>
                  <w:vAlign w:val="center"/>
                </w:tcPr>
                <w:p w14:paraId="2AC6B926">
                  <w:pPr>
                    <w:pStyle w:val="24"/>
                  </w:pPr>
                  <w:r>
                    <w:rPr>
                      <w:rFonts w:hint="eastAsia"/>
                    </w:rPr>
                    <w:t>32</w:t>
                  </w:r>
                </w:p>
              </w:tc>
              <w:tc>
                <w:tcPr>
                  <w:tcW w:w="1024" w:type="dxa"/>
                  <w:tcBorders>
                    <w:top w:val="single" w:color="auto" w:sz="4" w:space="0"/>
                    <w:left w:val="single" w:color="auto" w:sz="4" w:space="0"/>
                    <w:right w:val="single" w:color="auto" w:sz="4" w:space="0"/>
                  </w:tcBorders>
                  <w:vAlign w:val="center"/>
                </w:tcPr>
                <w:p w14:paraId="24B9AB84">
                  <w:pPr>
                    <w:pStyle w:val="24"/>
                  </w:pPr>
                  <w:r>
                    <w:t>约500人</w:t>
                  </w:r>
                </w:p>
              </w:tc>
              <w:tc>
                <w:tcPr>
                  <w:tcW w:w="2472" w:type="dxa"/>
                  <w:vMerge w:val="restart"/>
                  <w:tcBorders>
                    <w:top w:val="single" w:color="auto" w:sz="4" w:space="0"/>
                    <w:left w:val="single" w:color="auto" w:sz="4" w:space="0"/>
                    <w:right w:val="single" w:color="auto" w:sz="4" w:space="0"/>
                  </w:tcBorders>
                  <w:vAlign w:val="center"/>
                </w:tcPr>
                <w:p w14:paraId="01F5B016">
                  <w:pPr>
                    <w:pStyle w:val="24"/>
                  </w:pPr>
                  <w:r>
                    <w:t>《环境空气质量标准》</w:t>
                  </w:r>
                </w:p>
                <w:p w14:paraId="4970FA42">
                  <w:pPr>
                    <w:pStyle w:val="24"/>
                  </w:pPr>
                  <w:r>
                    <w:t>（GB3095-2012）二级标准</w:t>
                  </w:r>
                </w:p>
              </w:tc>
            </w:tr>
            <w:tr w14:paraId="6409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8" w:type="dxa"/>
                  <w:vMerge w:val="continue"/>
                  <w:tcBorders>
                    <w:left w:val="single" w:color="auto" w:sz="4" w:space="0"/>
                    <w:right w:val="single" w:color="auto" w:sz="4" w:space="0"/>
                  </w:tcBorders>
                  <w:vAlign w:val="center"/>
                </w:tcPr>
                <w:p w14:paraId="6A6FD159">
                  <w:pPr>
                    <w:pStyle w:val="24"/>
                  </w:pPr>
                </w:p>
              </w:tc>
              <w:tc>
                <w:tcPr>
                  <w:tcW w:w="688" w:type="dxa"/>
                  <w:tcBorders>
                    <w:top w:val="single" w:color="auto" w:sz="4" w:space="0"/>
                    <w:left w:val="single" w:color="auto" w:sz="4" w:space="0"/>
                    <w:bottom w:val="single" w:color="auto" w:sz="4" w:space="0"/>
                    <w:right w:val="single" w:color="auto" w:sz="4" w:space="0"/>
                  </w:tcBorders>
                  <w:vAlign w:val="center"/>
                </w:tcPr>
                <w:p w14:paraId="5EBF3E70">
                  <w:pPr>
                    <w:pStyle w:val="24"/>
                  </w:pPr>
                  <w:r>
                    <w:rPr>
                      <w:rFonts w:hint="eastAsia"/>
                    </w:rPr>
                    <w:t>2</w:t>
                  </w:r>
                </w:p>
              </w:tc>
              <w:tc>
                <w:tcPr>
                  <w:tcW w:w="992" w:type="dxa"/>
                  <w:tcBorders>
                    <w:top w:val="single" w:color="auto" w:sz="4" w:space="0"/>
                    <w:left w:val="single" w:color="auto" w:sz="4" w:space="0"/>
                    <w:bottom w:val="single" w:color="auto" w:sz="4" w:space="0"/>
                    <w:right w:val="single" w:color="auto" w:sz="4" w:space="0"/>
                  </w:tcBorders>
                  <w:vAlign w:val="center"/>
                </w:tcPr>
                <w:p w14:paraId="69CB393C">
                  <w:pPr>
                    <w:pStyle w:val="24"/>
                  </w:pPr>
                  <w:r>
                    <w:rPr>
                      <w:rFonts w:hint="eastAsia"/>
                    </w:rPr>
                    <w:t>淮南农场（办事处）</w:t>
                  </w:r>
                </w:p>
              </w:tc>
              <w:tc>
                <w:tcPr>
                  <w:tcW w:w="873" w:type="dxa"/>
                  <w:tcBorders>
                    <w:top w:val="single" w:color="auto" w:sz="4" w:space="0"/>
                    <w:left w:val="single" w:color="auto" w:sz="4" w:space="0"/>
                    <w:right w:val="single" w:color="auto" w:sz="4" w:space="0"/>
                  </w:tcBorders>
                  <w:vAlign w:val="center"/>
                </w:tcPr>
                <w:p w14:paraId="345F97E0">
                  <w:pPr>
                    <w:pStyle w:val="24"/>
                  </w:pPr>
                  <w:r>
                    <w:rPr>
                      <w:rFonts w:hint="eastAsia"/>
                    </w:rPr>
                    <w:t>E</w:t>
                  </w:r>
                </w:p>
              </w:tc>
              <w:tc>
                <w:tcPr>
                  <w:tcW w:w="1103" w:type="dxa"/>
                  <w:tcBorders>
                    <w:top w:val="single" w:color="auto" w:sz="4" w:space="0"/>
                    <w:left w:val="single" w:color="auto" w:sz="4" w:space="0"/>
                    <w:right w:val="single" w:color="auto" w:sz="4" w:space="0"/>
                  </w:tcBorders>
                  <w:vAlign w:val="center"/>
                </w:tcPr>
                <w:p w14:paraId="5252477D">
                  <w:pPr>
                    <w:pStyle w:val="24"/>
                  </w:pPr>
                  <w:r>
                    <w:rPr>
                      <w:rFonts w:hint="eastAsia"/>
                    </w:rPr>
                    <w:t>21</w:t>
                  </w:r>
                </w:p>
              </w:tc>
              <w:tc>
                <w:tcPr>
                  <w:tcW w:w="1024" w:type="dxa"/>
                  <w:tcBorders>
                    <w:top w:val="single" w:color="auto" w:sz="4" w:space="0"/>
                    <w:left w:val="single" w:color="auto" w:sz="4" w:space="0"/>
                    <w:right w:val="single" w:color="auto" w:sz="4" w:space="0"/>
                  </w:tcBorders>
                  <w:vAlign w:val="center"/>
                </w:tcPr>
                <w:p w14:paraId="398D5B74">
                  <w:pPr>
                    <w:pStyle w:val="24"/>
                  </w:pPr>
                  <w:r>
                    <w:t>约80人</w:t>
                  </w:r>
                </w:p>
              </w:tc>
              <w:tc>
                <w:tcPr>
                  <w:tcW w:w="2472" w:type="dxa"/>
                  <w:vMerge w:val="continue"/>
                  <w:tcBorders>
                    <w:left w:val="single" w:color="auto" w:sz="4" w:space="0"/>
                    <w:right w:val="single" w:color="auto" w:sz="4" w:space="0"/>
                  </w:tcBorders>
                  <w:vAlign w:val="center"/>
                </w:tcPr>
                <w:p w14:paraId="7EFA5132">
                  <w:pPr>
                    <w:pStyle w:val="24"/>
                  </w:pPr>
                </w:p>
              </w:tc>
            </w:tr>
            <w:tr w14:paraId="1823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8" w:type="dxa"/>
                  <w:vMerge w:val="continue"/>
                  <w:tcBorders>
                    <w:left w:val="single" w:color="auto" w:sz="4" w:space="0"/>
                    <w:right w:val="single" w:color="auto" w:sz="4" w:space="0"/>
                  </w:tcBorders>
                  <w:vAlign w:val="center"/>
                </w:tcPr>
                <w:p w14:paraId="6ACE0FF2">
                  <w:pPr>
                    <w:pStyle w:val="24"/>
                  </w:pPr>
                </w:p>
              </w:tc>
              <w:tc>
                <w:tcPr>
                  <w:tcW w:w="688" w:type="dxa"/>
                  <w:tcBorders>
                    <w:top w:val="single" w:color="auto" w:sz="4" w:space="0"/>
                    <w:left w:val="single" w:color="auto" w:sz="4" w:space="0"/>
                    <w:bottom w:val="single" w:color="auto" w:sz="4" w:space="0"/>
                    <w:right w:val="single" w:color="auto" w:sz="4" w:space="0"/>
                  </w:tcBorders>
                  <w:vAlign w:val="center"/>
                </w:tcPr>
                <w:p w14:paraId="7E46AB33">
                  <w:pPr>
                    <w:pStyle w:val="24"/>
                  </w:pPr>
                  <w:r>
                    <w:rPr>
                      <w:rFonts w:hint="eastAsia"/>
                    </w:rPr>
                    <w:t>3</w:t>
                  </w:r>
                </w:p>
              </w:tc>
              <w:tc>
                <w:tcPr>
                  <w:tcW w:w="992" w:type="dxa"/>
                  <w:tcBorders>
                    <w:top w:val="single" w:color="auto" w:sz="4" w:space="0"/>
                    <w:left w:val="single" w:color="auto" w:sz="4" w:space="0"/>
                    <w:bottom w:val="single" w:color="auto" w:sz="4" w:space="0"/>
                    <w:right w:val="single" w:color="auto" w:sz="4" w:space="0"/>
                  </w:tcBorders>
                  <w:vAlign w:val="center"/>
                </w:tcPr>
                <w:p w14:paraId="7822C021">
                  <w:pPr>
                    <w:pStyle w:val="24"/>
                  </w:pPr>
                  <w:r>
                    <w:rPr>
                      <w:rFonts w:hint="eastAsia"/>
                    </w:rPr>
                    <w:t>农场社区居住区</w:t>
                  </w:r>
                </w:p>
              </w:tc>
              <w:tc>
                <w:tcPr>
                  <w:tcW w:w="873" w:type="dxa"/>
                  <w:tcBorders>
                    <w:top w:val="single" w:color="auto" w:sz="4" w:space="0"/>
                    <w:left w:val="single" w:color="auto" w:sz="4" w:space="0"/>
                    <w:right w:val="single" w:color="auto" w:sz="4" w:space="0"/>
                  </w:tcBorders>
                  <w:shd w:val="clear" w:color="auto" w:fill="auto"/>
                  <w:vAlign w:val="center"/>
                </w:tcPr>
                <w:p w14:paraId="6831B4E3">
                  <w:pPr>
                    <w:pStyle w:val="24"/>
                  </w:pPr>
                  <w:r>
                    <w:rPr>
                      <w:rFonts w:hint="eastAsia"/>
                    </w:rPr>
                    <w:t>E</w:t>
                  </w:r>
                </w:p>
              </w:tc>
              <w:tc>
                <w:tcPr>
                  <w:tcW w:w="1103" w:type="dxa"/>
                  <w:tcBorders>
                    <w:top w:val="single" w:color="auto" w:sz="4" w:space="0"/>
                    <w:left w:val="single" w:color="auto" w:sz="4" w:space="0"/>
                    <w:right w:val="single" w:color="auto" w:sz="4" w:space="0"/>
                  </w:tcBorders>
                  <w:shd w:val="clear" w:color="auto" w:fill="auto"/>
                  <w:vAlign w:val="center"/>
                </w:tcPr>
                <w:p w14:paraId="55F54EE4">
                  <w:pPr>
                    <w:pStyle w:val="24"/>
                  </w:pPr>
                  <w:r>
                    <w:rPr>
                      <w:rFonts w:hint="eastAsia"/>
                    </w:rPr>
                    <w:t>109</w:t>
                  </w:r>
                </w:p>
              </w:tc>
              <w:tc>
                <w:tcPr>
                  <w:tcW w:w="1024" w:type="dxa"/>
                  <w:tcBorders>
                    <w:top w:val="single" w:color="auto" w:sz="4" w:space="0"/>
                    <w:left w:val="single" w:color="auto" w:sz="4" w:space="0"/>
                    <w:right w:val="single" w:color="auto" w:sz="4" w:space="0"/>
                  </w:tcBorders>
                  <w:vAlign w:val="center"/>
                </w:tcPr>
                <w:p w14:paraId="3EE06648">
                  <w:pPr>
                    <w:pStyle w:val="24"/>
                  </w:pPr>
                  <w:r>
                    <w:t>约1500人</w:t>
                  </w:r>
                </w:p>
              </w:tc>
              <w:tc>
                <w:tcPr>
                  <w:tcW w:w="2472" w:type="dxa"/>
                  <w:vMerge w:val="continue"/>
                  <w:tcBorders>
                    <w:left w:val="single" w:color="auto" w:sz="4" w:space="0"/>
                    <w:right w:val="single" w:color="auto" w:sz="4" w:space="0"/>
                  </w:tcBorders>
                  <w:vAlign w:val="center"/>
                </w:tcPr>
                <w:p w14:paraId="41C0AFBF">
                  <w:pPr>
                    <w:pStyle w:val="24"/>
                  </w:pPr>
                </w:p>
              </w:tc>
            </w:tr>
            <w:tr w14:paraId="71F8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88" w:type="dxa"/>
                  <w:vMerge w:val="continue"/>
                  <w:tcBorders>
                    <w:left w:val="single" w:color="auto" w:sz="4" w:space="0"/>
                    <w:right w:val="single" w:color="auto" w:sz="4" w:space="0"/>
                  </w:tcBorders>
                  <w:vAlign w:val="center"/>
                </w:tcPr>
                <w:p w14:paraId="158A285F">
                  <w:pPr>
                    <w:pStyle w:val="24"/>
                  </w:pPr>
                </w:p>
              </w:tc>
              <w:tc>
                <w:tcPr>
                  <w:tcW w:w="688" w:type="dxa"/>
                  <w:tcBorders>
                    <w:top w:val="single" w:color="auto" w:sz="4" w:space="0"/>
                    <w:left w:val="single" w:color="auto" w:sz="4" w:space="0"/>
                    <w:bottom w:val="single" w:color="auto" w:sz="4" w:space="0"/>
                    <w:right w:val="single" w:color="auto" w:sz="4" w:space="0"/>
                  </w:tcBorders>
                  <w:vAlign w:val="center"/>
                </w:tcPr>
                <w:p w14:paraId="703B877F">
                  <w:pPr>
                    <w:pStyle w:val="24"/>
                  </w:pPr>
                  <w:r>
                    <w:rPr>
                      <w:rFonts w:hint="eastAsia"/>
                    </w:rPr>
                    <w:t>4</w:t>
                  </w:r>
                </w:p>
              </w:tc>
              <w:tc>
                <w:tcPr>
                  <w:tcW w:w="992" w:type="dxa"/>
                  <w:tcBorders>
                    <w:top w:val="single" w:color="auto" w:sz="4" w:space="0"/>
                    <w:left w:val="single" w:color="auto" w:sz="4" w:space="0"/>
                    <w:bottom w:val="single" w:color="auto" w:sz="4" w:space="0"/>
                    <w:right w:val="single" w:color="auto" w:sz="4" w:space="0"/>
                  </w:tcBorders>
                  <w:vAlign w:val="center"/>
                </w:tcPr>
                <w:p w14:paraId="36C9FBD0">
                  <w:pPr>
                    <w:pStyle w:val="24"/>
                  </w:pPr>
                  <w:r>
                    <w:rPr>
                      <w:rFonts w:hint="eastAsia"/>
                    </w:rPr>
                    <w:t>农场小学</w:t>
                  </w:r>
                </w:p>
              </w:tc>
              <w:tc>
                <w:tcPr>
                  <w:tcW w:w="873" w:type="dxa"/>
                  <w:tcBorders>
                    <w:top w:val="single" w:color="auto" w:sz="4" w:space="0"/>
                    <w:left w:val="single" w:color="auto" w:sz="4" w:space="0"/>
                    <w:right w:val="single" w:color="auto" w:sz="4" w:space="0"/>
                  </w:tcBorders>
                  <w:vAlign w:val="center"/>
                </w:tcPr>
                <w:p w14:paraId="7DCE2AF5">
                  <w:pPr>
                    <w:pStyle w:val="24"/>
                  </w:pPr>
                  <w:r>
                    <w:rPr>
                      <w:rFonts w:hint="eastAsia"/>
                    </w:rPr>
                    <w:t>E</w:t>
                  </w:r>
                </w:p>
              </w:tc>
              <w:tc>
                <w:tcPr>
                  <w:tcW w:w="1103" w:type="dxa"/>
                  <w:tcBorders>
                    <w:top w:val="single" w:color="auto" w:sz="4" w:space="0"/>
                    <w:left w:val="single" w:color="auto" w:sz="4" w:space="0"/>
                    <w:right w:val="single" w:color="auto" w:sz="4" w:space="0"/>
                  </w:tcBorders>
                  <w:vAlign w:val="center"/>
                </w:tcPr>
                <w:p w14:paraId="6952F562">
                  <w:pPr>
                    <w:pStyle w:val="24"/>
                  </w:pPr>
                  <w:r>
                    <w:rPr>
                      <w:rFonts w:hint="eastAsia"/>
                    </w:rPr>
                    <w:t>366</w:t>
                  </w:r>
                </w:p>
              </w:tc>
              <w:tc>
                <w:tcPr>
                  <w:tcW w:w="1024" w:type="dxa"/>
                  <w:tcBorders>
                    <w:top w:val="single" w:color="auto" w:sz="4" w:space="0"/>
                    <w:left w:val="single" w:color="auto" w:sz="4" w:space="0"/>
                    <w:right w:val="single" w:color="auto" w:sz="4" w:space="0"/>
                  </w:tcBorders>
                  <w:vAlign w:val="center"/>
                </w:tcPr>
                <w:p w14:paraId="2E9C9E86">
                  <w:pPr>
                    <w:pStyle w:val="24"/>
                  </w:pPr>
                  <w:r>
                    <w:t>约400人</w:t>
                  </w:r>
                </w:p>
              </w:tc>
              <w:tc>
                <w:tcPr>
                  <w:tcW w:w="2472" w:type="dxa"/>
                  <w:vMerge w:val="continue"/>
                  <w:tcBorders>
                    <w:left w:val="single" w:color="auto" w:sz="4" w:space="0"/>
                    <w:right w:val="single" w:color="auto" w:sz="4" w:space="0"/>
                  </w:tcBorders>
                  <w:vAlign w:val="center"/>
                </w:tcPr>
                <w:p w14:paraId="497A4010">
                  <w:pPr>
                    <w:pStyle w:val="24"/>
                  </w:pPr>
                </w:p>
              </w:tc>
            </w:tr>
            <w:tr w14:paraId="161A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88" w:type="dxa"/>
                  <w:vMerge w:val="continue"/>
                  <w:tcBorders>
                    <w:left w:val="single" w:color="auto" w:sz="4" w:space="0"/>
                    <w:right w:val="single" w:color="auto" w:sz="4" w:space="0"/>
                  </w:tcBorders>
                  <w:vAlign w:val="center"/>
                </w:tcPr>
                <w:p w14:paraId="666B2E26">
                  <w:pPr>
                    <w:pStyle w:val="24"/>
                  </w:pPr>
                </w:p>
              </w:tc>
              <w:tc>
                <w:tcPr>
                  <w:tcW w:w="688" w:type="dxa"/>
                  <w:tcBorders>
                    <w:top w:val="single" w:color="auto" w:sz="4" w:space="0"/>
                    <w:left w:val="single" w:color="auto" w:sz="4" w:space="0"/>
                    <w:bottom w:val="single" w:color="auto" w:sz="4" w:space="0"/>
                    <w:right w:val="single" w:color="auto" w:sz="4" w:space="0"/>
                  </w:tcBorders>
                  <w:vAlign w:val="center"/>
                </w:tcPr>
                <w:p w14:paraId="38D642D8">
                  <w:pPr>
                    <w:pStyle w:val="24"/>
                  </w:pPr>
                  <w:r>
                    <w:rPr>
                      <w:rFonts w:hint="eastAsia"/>
                    </w:rPr>
                    <w:t>5</w:t>
                  </w:r>
                </w:p>
              </w:tc>
              <w:tc>
                <w:tcPr>
                  <w:tcW w:w="992" w:type="dxa"/>
                  <w:tcBorders>
                    <w:top w:val="single" w:color="auto" w:sz="4" w:space="0"/>
                    <w:left w:val="single" w:color="auto" w:sz="4" w:space="0"/>
                    <w:bottom w:val="single" w:color="auto" w:sz="4" w:space="0"/>
                    <w:right w:val="single" w:color="auto" w:sz="4" w:space="0"/>
                  </w:tcBorders>
                  <w:vAlign w:val="center"/>
                </w:tcPr>
                <w:p w14:paraId="0ECF268C">
                  <w:pPr>
                    <w:pStyle w:val="24"/>
                  </w:pPr>
                  <w:r>
                    <w:rPr>
                      <w:rFonts w:hint="eastAsia"/>
                    </w:rPr>
                    <w:t>幸福村</w:t>
                  </w:r>
                </w:p>
              </w:tc>
              <w:tc>
                <w:tcPr>
                  <w:tcW w:w="873" w:type="dxa"/>
                  <w:tcBorders>
                    <w:top w:val="single" w:color="auto" w:sz="4" w:space="0"/>
                    <w:left w:val="single" w:color="auto" w:sz="4" w:space="0"/>
                    <w:right w:val="single" w:color="auto" w:sz="4" w:space="0"/>
                  </w:tcBorders>
                  <w:vAlign w:val="center"/>
                </w:tcPr>
                <w:p w14:paraId="3C0686AD">
                  <w:pPr>
                    <w:pStyle w:val="24"/>
                  </w:pPr>
                  <w:r>
                    <w:rPr>
                      <w:rFonts w:hint="eastAsia"/>
                    </w:rPr>
                    <w:t>E</w:t>
                  </w:r>
                </w:p>
              </w:tc>
              <w:tc>
                <w:tcPr>
                  <w:tcW w:w="1103" w:type="dxa"/>
                  <w:tcBorders>
                    <w:top w:val="single" w:color="auto" w:sz="4" w:space="0"/>
                    <w:left w:val="single" w:color="auto" w:sz="4" w:space="0"/>
                    <w:right w:val="single" w:color="auto" w:sz="4" w:space="0"/>
                  </w:tcBorders>
                  <w:vAlign w:val="center"/>
                </w:tcPr>
                <w:p w14:paraId="61696F11">
                  <w:pPr>
                    <w:pStyle w:val="24"/>
                  </w:pPr>
                  <w:r>
                    <w:rPr>
                      <w:rFonts w:hint="eastAsia"/>
                    </w:rPr>
                    <w:t>19</w:t>
                  </w:r>
                </w:p>
              </w:tc>
              <w:tc>
                <w:tcPr>
                  <w:tcW w:w="1024" w:type="dxa"/>
                  <w:tcBorders>
                    <w:top w:val="single" w:color="auto" w:sz="4" w:space="0"/>
                    <w:left w:val="single" w:color="auto" w:sz="4" w:space="0"/>
                    <w:right w:val="single" w:color="auto" w:sz="4" w:space="0"/>
                  </w:tcBorders>
                  <w:vAlign w:val="center"/>
                </w:tcPr>
                <w:p w14:paraId="24D6BF50">
                  <w:pPr>
                    <w:pStyle w:val="24"/>
                  </w:pPr>
                  <w:r>
                    <w:t>约800人</w:t>
                  </w:r>
                </w:p>
              </w:tc>
              <w:tc>
                <w:tcPr>
                  <w:tcW w:w="2472" w:type="dxa"/>
                  <w:vMerge w:val="continue"/>
                  <w:tcBorders>
                    <w:left w:val="single" w:color="auto" w:sz="4" w:space="0"/>
                    <w:right w:val="single" w:color="auto" w:sz="4" w:space="0"/>
                  </w:tcBorders>
                  <w:vAlign w:val="center"/>
                </w:tcPr>
                <w:p w14:paraId="5D761543">
                  <w:pPr>
                    <w:pStyle w:val="24"/>
                  </w:pPr>
                </w:p>
              </w:tc>
            </w:tr>
            <w:tr w14:paraId="5D8D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88" w:type="dxa"/>
                  <w:vMerge w:val="continue"/>
                  <w:tcBorders>
                    <w:left w:val="single" w:color="auto" w:sz="4" w:space="0"/>
                    <w:right w:val="single" w:color="auto" w:sz="4" w:space="0"/>
                  </w:tcBorders>
                  <w:vAlign w:val="center"/>
                </w:tcPr>
                <w:p w14:paraId="124049B7">
                  <w:pPr>
                    <w:pStyle w:val="24"/>
                  </w:pPr>
                </w:p>
              </w:tc>
              <w:tc>
                <w:tcPr>
                  <w:tcW w:w="688" w:type="dxa"/>
                  <w:tcBorders>
                    <w:top w:val="single" w:color="auto" w:sz="4" w:space="0"/>
                    <w:left w:val="single" w:color="auto" w:sz="4" w:space="0"/>
                    <w:bottom w:val="single" w:color="auto" w:sz="4" w:space="0"/>
                    <w:right w:val="single" w:color="auto" w:sz="4" w:space="0"/>
                  </w:tcBorders>
                  <w:vAlign w:val="center"/>
                </w:tcPr>
                <w:p w14:paraId="4758A1F5">
                  <w:pPr>
                    <w:pStyle w:val="24"/>
                  </w:pPr>
                  <w:r>
                    <w:rPr>
                      <w:rFonts w:hint="eastAsia"/>
                    </w:rPr>
                    <w:t>6</w:t>
                  </w:r>
                </w:p>
              </w:tc>
              <w:tc>
                <w:tcPr>
                  <w:tcW w:w="992" w:type="dxa"/>
                  <w:tcBorders>
                    <w:top w:val="single" w:color="auto" w:sz="4" w:space="0"/>
                    <w:left w:val="single" w:color="auto" w:sz="4" w:space="0"/>
                    <w:bottom w:val="single" w:color="auto" w:sz="4" w:space="0"/>
                    <w:right w:val="single" w:color="auto" w:sz="4" w:space="0"/>
                  </w:tcBorders>
                  <w:vAlign w:val="center"/>
                </w:tcPr>
                <w:p w14:paraId="2E4A21DA">
                  <w:pPr>
                    <w:pStyle w:val="24"/>
                  </w:pPr>
                  <w:r>
                    <w:rPr>
                      <w:rFonts w:hint="eastAsia"/>
                    </w:rPr>
                    <w:t>农一队</w:t>
                  </w:r>
                </w:p>
              </w:tc>
              <w:tc>
                <w:tcPr>
                  <w:tcW w:w="873" w:type="dxa"/>
                  <w:tcBorders>
                    <w:top w:val="single" w:color="auto" w:sz="4" w:space="0"/>
                    <w:left w:val="single" w:color="auto" w:sz="4" w:space="0"/>
                    <w:right w:val="single" w:color="auto" w:sz="4" w:space="0"/>
                  </w:tcBorders>
                  <w:vAlign w:val="center"/>
                </w:tcPr>
                <w:p w14:paraId="6D01669C">
                  <w:pPr>
                    <w:pStyle w:val="24"/>
                  </w:pPr>
                  <w:r>
                    <w:rPr>
                      <w:rFonts w:hint="eastAsia"/>
                    </w:rPr>
                    <w:t>NE</w:t>
                  </w:r>
                </w:p>
              </w:tc>
              <w:tc>
                <w:tcPr>
                  <w:tcW w:w="1103" w:type="dxa"/>
                  <w:tcBorders>
                    <w:top w:val="single" w:color="auto" w:sz="4" w:space="0"/>
                    <w:left w:val="single" w:color="auto" w:sz="4" w:space="0"/>
                    <w:right w:val="single" w:color="auto" w:sz="4" w:space="0"/>
                  </w:tcBorders>
                  <w:vAlign w:val="center"/>
                </w:tcPr>
                <w:p w14:paraId="69CA5446">
                  <w:pPr>
                    <w:pStyle w:val="24"/>
                  </w:pPr>
                  <w:r>
                    <w:rPr>
                      <w:rFonts w:hint="eastAsia"/>
                    </w:rPr>
                    <w:t>92</w:t>
                  </w:r>
                </w:p>
              </w:tc>
              <w:tc>
                <w:tcPr>
                  <w:tcW w:w="1024" w:type="dxa"/>
                  <w:tcBorders>
                    <w:top w:val="single" w:color="auto" w:sz="4" w:space="0"/>
                    <w:left w:val="single" w:color="auto" w:sz="4" w:space="0"/>
                    <w:right w:val="single" w:color="auto" w:sz="4" w:space="0"/>
                  </w:tcBorders>
                  <w:vAlign w:val="center"/>
                </w:tcPr>
                <w:p w14:paraId="120FE6F6">
                  <w:pPr>
                    <w:pStyle w:val="24"/>
                  </w:pPr>
                  <w:r>
                    <w:t>约1200人</w:t>
                  </w:r>
                </w:p>
              </w:tc>
              <w:tc>
                <w:tcPr>
                  <w:tcW w:w="2472" w:type="dxa"/>
                  <w:vMerge w:val="continue"/>
                  <w:tcBorders>
                    <w:left w:val="single" w:color="auto" w:sz="4" w:space="0"/>
                    <w:right w:val="single" w:color="auto" w:sz="4" w:space="0"/>
                  </w:tcBorders>
                  <w:vAlign w:val="center"/>
                </w:tcPr>
                <w:p w14:paraId="071C2391">
                  <w:pPr>
                    <w:pStyle w:val="24"/>
                  </w:pPr>
                </w:p>
              </w:tc>
            </w:tr>
            <w:tr w14:paraId="3988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88" w:type="dxa"/>
                  <w:vMerge w:val="continue"/>
                  <w:tcBorders>
                    <w:left w:val="single" w:color="auto" w:sz="4" w:space="0"/>
                    <w:right w:val="single" w:color="auto" w:sz="4" w:space="0"/>
                  </w:tcBorders>
                  <w:vAlign w:val="center"/>
                </w:tcPr>
                <w:p w14:paraId="0C2A4B95">
                  <w:pPr>
                    <w:pStyle w:val="24"/>
                  </w:pPr>
                </w:p>
              </w:tc>
              <w:tc>
                <w:tcPr>
                  <w:tcW w:w="688" w:type="dxa"/>
                  <w:tcBorders>
                    <w:top w:val="single" w:color="auto" w:sz="4" w:space="0"/>
                    <w:left w:val="single" w:color="auto" w:sz="4" w:space="0"/>
                    <w:bottom w:val="single" w:color="auto" w:sz="4" w:space="0"/>
                    <w:right w:val="single" w:color="auto" w:sz="4" w:space="0"/>
                  </w:tcBorders>
                  <w:vAlign w:val="center"/>
                </w:tcPr>
                <w:p w14:paraId="4DA25298">
                  <w:pPr>
                    <w:pStyle w:val="24"/>
                  </w:pPr>
                  <w:r>
                    <w:rPr>
                      <w:rFonts w:hint="eastAsia"/>
                    </w:rPr>
                    <w:t>7</w:t>
                  </w:r>
                </w:p>
              </w:tc>
              <w:tc>
                <w:tcPr>
                  <w:tcW w:w="992" w:type="dxa"/>
                  <w:tcBorders>
                    <w:top w:val="single" w:color="auto" w:sz="4" w:space="0"/>
                    <w:left w:val="single" w:color="auto" w:sz="4" w:space="0"/>
                    <w:bottom w:val="single" w:color="auto" w:sz="4" w:space="0"/>
                    <w:right w:val="single" w:color="auto" w:sz="4" w:space="0"/>
                  </w:tcBorders>
                  <w:vAlign w:val="center"/>
                </w:tcPr>
                <w:p w14:paraId="67476549">
                  <w:pPr>
                    <w:pStyle w:val="24"/>
                  </w:pPr>
                  <w:r>
                    <w:rPr>
                      <w:rFonts w:hint="eastAsia"/>
                    </w:rPr>
                    <w:t>宫集派出所</w:t>
                  </w:r>
                </w:p>
              </w:tc>
              <w:tc>
                <w:tcPr>
                  <w:tcW w:w="873" w:type="dxa"/>
                  <w:tcBorders>
                    <w:top w:val="single" w:color="auto" w:sz="4" w:space="0"/>
                    <w:left w:val="single" w:color="auto" w:sz="4" w:space="0"/>
                    <w:right w:val="single" w:color="auto" w:sz="4" w:space="0"/>
                  </w:tcBorders>
                  <w:vAlign w:val="center"/>
                </w:tcPr>
                <w:p w14:paraId="39059A14">
                  <w:pPr>
                    <w:pStyle w:val="24"/>
                  </w:pPr>
                  <w:r>
                    <w:rPr>
                      <w:rFonts w:hint="eastAsia"/>
                    </w:rPr>
                    <w:t>NE</w:t>
                  </w:r>
                </w:p>
              </w:tc>
              <w:tc>
                <w:tcPr>
                  <w:tcW w:w="1103" w:type="dxa"/>
                  <w:tcBorders>
                    <w:top w:val="single" w:color="auto" w:sz="4" w:space="0"/>
                    <w:left w:val="single" w:color="auto" w:sz="4" w:space="0"/>
                    <w:right w:val="single" w:color="auto" w:sz="4" w:space="0"/>
                  </w:tcBorders>
                  <w:vAlign w:val="center"/>
                </w:tcPr>
                <w:p w14:paraId="26F4D512">
                  <w:pPr>
                    <w:pStyle w:val="24"/>
                  </w:pPr>
                  <w:r>
                    <w:rPr>
                      <w:rFonts w:hint="eastAsia"/>
                    </w:rPr>
                    <w:t>370</w:t>
                  </w:r>
                </w:p>
              </w:tc>
              <w:tc>
                <w:tcPr>
                  <w:tcW w:w="1024" w:type="dxa"/>
                  <w:tcBorders>
                    <w:top w:val="single" w:color="auto" w:sz="4" w:space="0"/>
                    <w:left w:val="single" w:color="auto" w:sz="4" w:space="0"/>
                    <w:right w:val="single" w:color="auto" w:sz="4" w:space="0"/>
                  </w:tcBorders>
                  <w:vAlign w:val="center"/>
                </w:tcPr>
                <w:p w14:paraId="199EEB48">
                  <w:pPr>
                    <w:pStyle w:val="24"/>
                  </w:pPr>
                  <w:r>
                    <w:rPr>
                      <w:rFonts w:hint="eastAsia"/>
                    </w:rPr>
                    <w:t>约50人</w:t>
                  </w:r>
                </w:p>
              </w:tc>
              <w:tc>
                <w:tcPr>
                  <w:tcW w:w="2472" w:type="dxa"/>
                  <w:vMerge w:val="continue"/>
                  <w:tcBorders>
                    <w:left w:val="single" w:color="auto" w:sz="4" w:space="0"/>
                    <w:right w:val="single" w:color="auto" w:sz="4" w:space="0"/>
                  </w:tcBorders>
                  <w:vAlign w:val="center"/>
                </w:tcPr>
                <w:p w14:paraId="00B4F789">
                  <w:pPr>
                    <w:pStyle w:val="24"/>
                  </w:pPr>
                </w:p>
              </w:tc>
            </w:tr>
            <w:tr w14:paraId="4886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88" w:type="dxa"/>
                  <w:vMerge w:val="continue"/>
                  <w:tcBorders>
                    <w:left w:val="single" w:color="auto" w:sz="4" w:space="0"/>
                    <w:right w:val="single" w:color="auto" w:sz="4" w:space="0"/>
                  </w:tcBorders>
                  <w:vAlign w:val="center"/>
                </w:tcPr>
                <w:p w14:paraId="5655E0D1">
                  <w:pPr>
                    <w:pStyle w:val="24"/>
                  </w:pPr>
                </w:p>
              </w:tc>
              <w:tc>
                <w:tcPr>
                  <w:tcW w:w="688" w:type="dxa"/>
                  <w:tcBorders>
                    <w:top w:val="single" w:color="auto" w:sz="4" w:space="0"/>
                    <w:left w:val="single" w:color="auto" w:sz="4" w:space="0"/>
                    <w:bottom w:val="single" w:color="auto" w:sz="4" w:space="0"/>
                    <w:right w:val="single" w:color="auto" w:sz="4" w:space="0"/>
                  </w:tcBorders>
                  <w:vAlign w:val="center"/>
                </w:tcPr>
                <w:p w14:paraId="379E9F06">
                  <w:pPr>
                    <w:pStyle w:val="24"/>
                  </w:pPr>
                  <w:r>
                    <w:rPr>
                      <w:rFonts w:hint="eastAsia"/>
                    </w:rPr>
                    <w:t>8</w:t>
                  </w:r>
                </w:p>
              </w:tc>
              <w:tc>
                <w:tcPr>
                  <w:tcW w:w="992" w:type="dxa"/>
                  <w:tcBorders>
                    <w:top w:val="single" w:color="auto" w:sz="4" w:space="0"/>
                    <w:left w:val="single" w:color="auto" w:sz="4" w:space="0"/>
                    <w:bottom w:val="single" w:color="auto" w:sz="4" w:space="0"/>
                    <w:right w:val="single" w:color="auto" w:sz="4" w:space="0"/>
                  </w:tcBorders>
                  <w:vAlign w:val="center"/>
                </w:tcPr>
                <w:p w14:paraId="5B476EA3">
                  <w:pPr>
                    <w:pStyle w:val="24"/>
                  </w:pPr>
                  <w:r>
                    <w:rPr>
                      <w:rFonts w:hint="eastAsia"/>
                    </w:rPr>
                    <w:t>文华东郡</w:t>
                  </w:r>
                </w:p>
              </w:tc>
              <w:tc>
                <w:tcPr>
                  <w:tcW w:w="873" w:type="dxa"/>
                  <w:tcBorders>
                    <w:top w:val="single" w:color="auto" w:sz="4" w:space="0"/>
                    <w:left w:val="single" w:color="auto" w:sz="4" w:space="0"/>
                    <w:bottom w:val="single" w:color="auto" w:sz="4" w:space="0"/>
                    <w:right w:val="single" w:color="auto" w:sz="4" w:space="0"/>
                  </w:tcBorders>
                  <w:vAlign w:val="center"/>
                </w:tcPr>
                <w:p w14:paraId="5E6C4BAA">
                  <w:pPr>
                    <w:pStyle w:val="24"/>
                  </w:pPr>
                  <w:r>
                    <w:rPr>
                      <w:rFonts w:hint="eastAsia"/>
                    </w:rPr>
                    <w:t>NW</w:t>
                  </w:r>
                </w:p>
              </w:tc>
              <w:tc>
                <w:tcPr>
                  <w:tcW w:w="1103" w:type="dxa"/>
                  <w:tcBorders>
                    <w:top w:val="single" w:color="auto" w:sz="4" w:space="0"/>
                    <w:left w:val="single" w:color="auto" w:sz="4" w:space="0"/>
                    <w:bottom w:val="single" w:color="auto" w:sz="4" w:space="0"/>
                    <w:right w:val="single" w:color="auto" w:sz="4" w:space="0"/>
                  </w:tcBorders>
                  <w:vAlign w:val="center"/>
                </w:tcPr>
                <w:p w14:paraId="7B9F9A89">
                  <w:pPr>
                    <w:pStyle w:val="24"/>
                  </w:pPr>
                  <w:r>
                    <w:rPr>
                      <w:rFonts w:hint="eastAsia"/>
                    </w:rPr>
                    <w:t>253</w:t>
                  </w:r>
                </w:p>
              </w:tc>
              <w:tc>
                <w:tcPr>
                  <w:tcW w:w="1024" w:type="dxa"/>
                  <w:tcBorders>
                    <w:top w:val="single" w:color="auto" w:sz="4" w:space="0"/>
                    <w:left w:val="single" w:color="auto" w:sz="4" w:space="0"/>
                    <w:bottom w:val="single" w:color="auto" w:sz="4" w:space="0"/>
                    <w:right w:val="single" w:color="auto" w:sz="4" w:space="0"/>
                  </w:tcBorders>
                  <w:vAlign w:val="center"/>
                </w:tcPr>
                <w:p w14:paraId="34F87B8C">
                  <w:pPr>
                    <w:pStyle w:val="24"/>
                  </w:pPr>
                  <w:r>
                    <w:t>在建</w:t>
                  </w:r>
                </w:p>
              </w:tc>
              <w:tc>
                <w:tcPr>
                  <w:tcW w:w="2472" w:type="dxa"/>
                  <w:vMerge w:val="continue"/>
                  <w:tcBorders>
                    <w:left w:val="single" w:color="auto" w:sz="4" w:space="0"/>
                    <w:right w:val="single" w:color="auto" w:sz="4" w:space="0"/>
                  </w:tcBorders>
                  <w:vAlign w:val="center"/>
                </w:tcPr>
                <w:p w14:paraId="3BA8746A">
                  <w:pPr>
                    <w:pStyle w:val="24"/>
                  </w:pPr>
                </w:p>
              </w:tc>
            </w:tr>
            <w:tr w14:paraId="1E50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88" w:type="dxa"/>
                  <w:vMerge w:val="restart"/>
                  <w:tcBorders>
                    <w:left w:val="single" w:color="auto" w:sz="4" w:space="0"/>
                    <w:right w:val="single" w:color="auto" w:sz="4" w:space="0"/>
                  </w:tcBorders>
                  <w:vAlign w:val="center"/>
                </w:tcPr>
                <w:p w14:paraId="77CFB9B8">
                  <w:pPr>
                    <w:pStyle w:val="24"/>
                  </w:pPr>
                  <w:r>
                    <w:rPr>
                      <w:rFonts w:hint="eastAsia"/>
                    </w:rPr>
                    <w:t>声环境</w:t>
                  </w:r>
                </w:p>
              </w:tc>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14:paraId="7714BCBB">
                  <w:pPr>
                    <w:pStyle w:val="24"/>
                  </w:pPr>
                  <w:r>
                    <w:rPr>
                      <w:rFonts w:hint="eastAsia"/>
                    </w:rPr>
                    <w:t>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199398F">
                  <w:pPr>
                    <w:pStyle w:val="24"/>
                  </w:pPr>
                  <w:r>
                    <w:rPr>
                      <w:rFonts w:hint="eastAsia"/>
                    </w:rPr>
                    <w:t>益康小区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E4204E2">
                  <w:pPr>
                    <w:pStyle w:val="24"/>
                  </w:pPr>
                  <w:r>
                    <w:rPr>
                      <w:rFonts w:hint="eastAsia"/>
                    </w:rPr>
                    <w:t>E</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65C21529">
                  <w:pPr>
                    <w:pStyle w:val="24"/>
                  </w:pPr>
                  <w:r>
                    <w:rPr>
                      <w:rFonts w:hint="eastAsia"/>
                    </w:rPr>
                    <w:t>32</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14:paraId="61B2B589">
                  <w:pPr>
                    <w:pStyle w:val="24"/>
                  </w:pPr>
                  <w:r>
                    <w:t>约500人</w:t>
                  </w:r>
                </w:p>
              </w:tc>
              <w:tc>
                <w:tcPr>
                  <w:tcW w:w="2472" w:type="dxa"/>
                  <w:vMerge w:val="restart"/>
                  <w:tcBorders>
                    <w:left w:val="single" w:color="auto" w:sz="4" w:space="0"/>
                    <w:right w:val="single" w:color="auto" w:sz="4" w:space="0"/>
                  </w:tcBorders>
                  <w:vAlign w:val="center"/>
                </w:tcPr>
                <w:p w14:paraId="1FEB3B56">
                  <w:pPr>
                    <w:pStyle w:val="24"/>
                  </w:pPr>
                  <w:r>
                    <w:t>《声环境质量标准》</w:t>
                  </w:r>
                  <w:r>
                    <w:rPr>
                      <w:rFonts w:hint="eastAsia"/>
                    </w:rPr>
                    <w:t>（</w:t>
                  </w:r>
                  <w:r>
                    <w:t>GB3096-2008</w:t>
                  </w:r>
                  <w:r>
                    <w:rPr>
                      <w:rFonts w:hint="eastAsia"/>
                    </w:rPr>
                    <w:t>）</w:t>
                  </w:r>
                  <w:r>
                    <w:t>中</w:t>
                  </w:r>
                  <w:r>
                    <w:rPr>
                      <w:rFonts w:hint="eastAsia"/>
                    </w:rPr>
                    <w:t>2</w:t>
                  </w:r>
                  <w:r>
                    <w:t>类标准</w:t>
                  </w:r>
                </w:p>
              </w:tc>
            </w:tr>
            <w:tr w14:paraId="3A66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88" w:type="dxa"/>
                  <w:vMerge w:val="continue"/>
                  <w:tcBorders>
                    <w:left w:val="single" w:color="auto" w:sz="4" w:space="0"/>
                    <w:right w:val="single" w:color="auto" w:sz="4" w:space="0"/>
                  </w:tcBorders>
                  <w:vAlign w:val="center"/>
                </w:tcPr>
                <w:p w14:paraId="03286548">
                  <w:pPr>
                    <w:pStyle w:val="24"/>
                  </w:pPr>
                </w:p>
              </w:tc>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14:paraId="3FC22B8F">
                  <w:pPr>
                    <w:pStyle w:val="24"/>
                  </w:pPr>
                  <w:r>
                    <w:rPr>
                      <w:rFonts w:hint="eastAsia"/>
                    </w:rPr>
                    <w:t>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70DF3D5">
                  <w:pPr>
                    <w:pStyle w:val="24"/>
                  </w:pPr>
                  <w:r>
                    <w:rPr>
                      <w:rFonts w:hint="eastAsia"/>
                    </w:rPr>
                    <w:t>淮南农场（办事处）</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D4FE58F">
                  <w:pPr>
                    <w:pStyle w:val="24"/>
                  </w:pPr>
                  <w:r>
                    <w:rPr>
                      <w:rFonts w:hint="eastAsia"/>
                    </w:rPr>
                    <w:t>E</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4D2654BF">
                  <w:pPr>
                    <w:pStyle w:val="24"/>
                  </w:pPr>
                  <w:r>
                    <w:rPr>
                      <w:rFonts w:hint="eastAsia"/>
                    </w:rPr>
                    <w:t>21</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14:paraId="528E0D42">
                  <w:pPr>
                    <w:pStyle w:val="24"/>
                  </w:pPr>
                  <w:r>
                    <w:t>约80人</w:t>
                  </w:r>
                </w:p>
              </w:tc>
              <w:tc>
                <w:tcPr>
                  <w:tcW w:w="2472" w:type="dxa"/>
                  <w:vMerge w:val="continue"/>
                  <w:tcBorders>
                    <w:left w:val="single" w:color="auto" w:sz="4" w:space="0"/>
                    <w:right w:val="single" w:color="auto" w:sz="4" w:space="0"/>
                  </w:tcBorders>
                  <w:vAlign w:val="center"/>
                </w:tcPr>
                <w:p w14:paraId="2E9F9011">
                  <w:pPr>
                    <w:pStyle w:val="24"/>
                  </w:pPr>
                </w:p>
              </w:tc>
            </w:tr>
            <w:tr w14:paraId="18E6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8" w:type="dxa"/>
                  <w:vMerge w:val="continue"/>
                  <w:tcBorders>
                    <w:left w:val="single" w:color="auto" w:sz="4" w:space="0"/>
                    <w:right w:val="single" w:color="auto" w:sz="4" w:space="0"/>
                  </w:tcBorders>
                  <w:vAlign w:val="center"/>
                </w:tcPr>
                <w:p w14:paraId="11618921">
                  <w:pPr>
                    <w:pStyle w:val="24"/>
                  </w:pPr>
                </w:p>
              </w:tc>
              <w:tc>
                <w:tcPr>
                  <w:tcW w:w="688" w:type="dxa"/>
                  <w:tcBorders>
                    <w:top w:val="single" w:color="auto" w:sz="4" w:space="0"/>
                    <w:left w:val="single" w:color="auto" w:sz="4" w:space="0"/>
                    <w:bottom w:val="single" w:color="auto" w:sz="4" w:space="0"/>
                    <w:right w:val="single" w:color="auto" w:sz="4" w:space="0"/>
                  </w:tcBorders>
                  <w:shd w:val="clear" w:color="auto" w:fill="auto"/>
                  <w:vAlign w:val="center"/>
                </w:tcPr>
                <w:p w14:paraId="65D66A03">
                  <w:pPr>
                    <w:pStyle w:val="24"/>
                  </w:pPr>
                  <w:r>
                    <w:rPr>
                      <w:rFonts w:hint="eastAsia"/>
                    </w:rPr>
                    <w:t>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DADE9AD">
                  <w:pPr>
                    <w:pStyle w:val="24"/>
                  </w:pPr>
                  <w:r>
                    <w:rPr>
                      <w:rFonts w:hint="eastAsia"/>
                    </w:rPr>
                    <w:t>幸福村</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43EA83F7">
                  <w:pPr>
                    <w:pStyle w:val="24"/>
                  </w:pPr>
                  <w:r>
                    <w:rPr>
                      <w:rFonts w:hint="eastAsia"/>
                    </w:rPr>
                    <w:t>E</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16D566C9">
                  <w:pPr>
                    <w:pStyle w:val="24"/>
                  </w:pPr>
                  <w:r>
                    <w:rPr>
                      <w:rFonts w:hint="eastAsia"/>
                    </w:rPr>
                    <w:t>19</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14:paraId="13D4EE83">
                  <w:pPr>
                    <w:pStyle w:val="24"/>
                  </w:pPr>
                  <w:r>
                    <w:t>约800人</w:t>
                  </w:r>
                </w:p>
              </w:tc>
              <w:tc>
                <w:tcPr>
                  <w:tcW w:w="2472" w:type="dxa"/>
                  <w:vMerge w:val="continue"/>
                  <w:tcBorders>
                    <w:left w:val="single" w:color="auto" w:sz="4" w:space="0"/>
                    <w:right w:val="single" w:color="auto" w:sz="4" w:space="0"/>
                  </w:tcBorders>
                  <w:vAlign w:val="center"/>
                </w:tcPr>
                <w:p w14:paraId="6ACEC19F">
                  <w:pPr>
                    <w:pStyle w:val="24"/>
                  </w:pPr>
                </w:p>
              </w:tc>
            </w:tr>
            <w:tr w14:paraId="4651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88" w:type="dxa"/>
                  <w:tcBorders>
                    <w:left w:val="single" w:color="auto" w:sz="4" w:space="0"/>
                    <w:right w:val="single" w:color="auto" w:sz="4" w:space="0"/>
                  </w:tcBorders>
                  <w:shd w:val="clear" w:color="auto" w:fill="auto"/>
                  <w:vAlign w:val="center"/>
                </w:tcPr>
                <w:p w14:paraId="6E246BFF">
                  <w:pPr>
                    <w:pStyle w:val="24"/>
                  </w:pPr>
                  <w:r>
                    <w:t>地下水环境</w:t>
                  </w:r>
                </w:p>
              </w:tc>
              <w:tc>
                <w:tcPr>
                  <w:tcW w:w="715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6500163">
                  <w:pPr>
                    <w:pStyle w:val="24"/>
                  </w:pPr>
                  <w:r>
                    <w:t>厂界外500米范围内</w:t>
                  </w:r>
                  <w:r>
                    <w:rPr>
                      <w:rFonts w:hint="eastAsia"/>
                    </w:rPr>
                    <w:t>无</w:t>
                  </w:r>
                  <w:r>
                    <w:t>地下水集中式饮用水水源和热水、矿泉水、温泉等特殊地下水资源</w:t>
                  </w:r>
                </w:p>
              </w:tc>
            </w:tr>
            <w:tr w14:paraId="43F2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8" w:type="dxa"/>
                  <w:shd w:val="clear" w:color="auto" w:fill="auto"/>
                  <w:vAlign w:val="center"/>
                </w:tcPr>
                <w:p w14:paraId="502D4146">
                  <w:pPr>
                    <w:pStyle w:val="24"/>
                  </w:pPr>
                  <w:r>
                    <w:t>生态环境</w:t>
                  </w:r>
                </w:p>
              </w:tc>
              <w:tc>
                <w:tcPr>
                  <w:tcW w:w="7152" w:type="dxa"/>
                  <w:gridSpan w:val="6"/>
                  <w:shd w:val="clear" w:color="auto" w:fill="auto"/>
                  <w:vAlign w:val="center"/>
                </w:tcPr>
                <w:p w14:paraId="732DED39">
                  <w:pPr>
                    <w:pStyle w:val="24"/>
                  </w:pPr>
                  <w:r>
                    <w:t>项目用地范围内无生态环境保护目标。</w:t>
                  </w:r>
                </w:p>
              </w:tc>
            </w:tr>
          </w:tbl>
          <w:p w14:paraId="4CE06654">
            <w:pPr>
              <w:pStyle w:val="6"/>
              <w:adjustRightInd w:val="0"/>
              <w:snapToGrid w:val="0"/>
              <w:spacing w:line="240" w:lineRule="auto"/>
              <w:rPr>
                <w:color w:val="0000FF"/>
              </w:rPr>
            </w:pPr>
            <w:r>
              <w:rPr>
                <w:color w:val="0000FF"/>
              </w:rPr>
              <w:drawing>
                <wp:anchor distT="0" distB="0" distL="114300" distR="114300" simplePos="0" relativeHeight="251662336" behindDoc="0" locked="0" layoutInCell="1" allowOverlap="1">
                  <wp:simplePos x="0" y="0"/>
                  <wp:positionH relativeFrom="column">
                    <wp:posOffset>4316095</wp:posOffset>
                  </wp:positionH>
                  <wp:positionV relativeFrom="paragraph">
                    <wp:posOffset>122555</wp:posOffset>
                  </wp:positionV>
                  <wp:extent cx="537210" cy="546735"/>
                  <wp:effectExtent l="0" t="0" r="15240" b="5715"/>
                  <wp:wrapNone/>
                  <wp:docPr id="23" name="图片 5" descr="C:\Users\李青青\AppData\Roaming\Tencent\Users\403002229\QQ\WinTemp\RichOle\030%UR9BYU3GM772(UBE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C:\Users\李青青\AppData\Roaming\Tencent\Users\403002229\QQ\WinTemp\RichOle\030%UR9BYU3GM772(UBEC80.png"/>
                          <pic:cNvPicPr>
                            <a:picLocks noChangeAspect="1" noChangeArrowheads="1"/>
                          </pic:cNvPicPr>
                        </pic:nvPicPr>
                        <pic:blipFill>
                          <a:blip r:embed="rId27" r:link="rId28" cstate="print"/>
                          <a:srcRect/>
                          <a:stretch>
                            <a:fillRect/>
                          </a:stretch>
                        </pic:blipFill>
                        <pic:spPr>
                          <a:xfrm>
                            <a:off x="0" y="0"/>
                            <a:ext cx="537210" cy="546735"/>
                          </a:xfrm>
                          <a:prstGeom prst="rect">
                            <a:avLst/>
                          </a:prstGeom>
                          <a:noFill/>
                          <a:ln w="19050">
                            <a:noFill/>
                          </a:ln>
                        </pic:spPr>
                      </pic:pic>
                    </a:graphicData>
                  </a:graphic>
                </wp:anchor>
              </w:drawing>
            </w:r>
            <w:r>
              <w:drawing>
                <wp:inline distT="0" distB="0" distL="114300" distR="114300">
                  <wp:extent cx="4891405" cy="3179445"/>
                  <wp:effectExtent l="0" t="0" r="4445" b="190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9"/>
                          <a:stretch>
                            <a:fillRect/>
                          </a:stretch>
                        </pic:blipFill>
                        <pic:spPr>
                          <a:xfrm>
                            <a:off x="0" y="0"/>
                            <a:ext cx="4891405" cy="3179445"/>
                          </a:xfrm>
                          <a:prstGeom prst="rect">
                            <a:avLst/>
                          </a:prstGeom>
                          <a:noFill/>
                          <a:ln>
                            <a:noFill/>
                          </a:ln>
                        </pic:spPr>
                      </pic:pic>
                    </a:graphicData>
                  </a:graphic>
                </wp:inline>
              </w:drawing>
            </w:r>
          </w:p>
          <w:p w14:paraId="57C275E3">
            <w:pPr>
              <w:pStyle w:val="6"/>
              <w:rPr>
                <w:color w:val="0000FF"/>
              </w:rPr>
            </w:pPr>
            <w:r>
              <w:t xml:space="preserve">图 </w:t>
            </w:r>
            <w:r>
              <w:rPr>
                <w:rFonts w:hint="eastAsia"/>
              </w:rPr>
              <w:t>3-</w:t>
            </w:r>
            <w:r>
              <w:fldChar w:fldCharType="begin"/>
            </w:r>
            <w:r>
              <w:instrText xml:space="preserve"> SEQ 图 \* ARABIC \s 1 </w:instrText>
            </w:r>
            <w:r>
              <w:fldChar w:fldCharType="separate"/>
            </w:r>
            <w:r>
              <w:t>2</w:t>
            </w:r>
            <w:r>
              <w:fldChar w:fldCharType="end"/>
            </w:r>
            <w:r>
              <w:rPr>
                <w:rFonts w:hint="eastAsia"/>
              </w:rPr>
              <w:t xml:space="preserve"> 项目环境保护目标分布图</w:t>
            </w:r>
          </w:p>
        </w:tc>
      </w:tr>
      <w:tr w14:paraId="2CA5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452" w:type="dxa"/>
            <w:vAlign w:val="center"/>
          </w:tcPr>
          <w:p w14:paraId="34A333AE">
            <w:pPr>
              <w:jc w:val="center"/>
              <w:rPr>
                <w:color w:val="0000FF"/>
              </w:rPr>
            </w:pPr>
            <w:r>
              <w:rPr>
                <w:rFonts w:hint="eastAsia"/>
              </w:rPr>
              <w:t>污染物排放控制标准</w:t>
            </w:r>
          </w:p>
        </w:tc>
        <w:tc>
          <w:tcPr>
            <w:tcW w:w="8070" w:type="dxa"/>
          </w:tcPr>
          <w:p w14:paraId="74026476">
            <w:r>
              <w:rPr>
                <w:rFonts w:hint="eastAsia"/>
              </w:rPr>
              <w:t>1、施工期污染物排放标准</w:t>
            </w:r>
          </w:p>
          <w:p w14:paraId="1AD5034C">
            <w:pPr>
              <w:ind w:firstLine="480" w:firstLineChars="200"/>
            </w:pPr>
            <w:r>
              <w:rPr>
                <w:rFonts w:hint="eastAsia"/>
              </w:rPr>
              <w:t>（1）大气污染物排放标准</w:t>
            </w:r>
          </w:p>
          <w:p w14:paraId="78EC3AF8">
            <w:pPr>
              <w:ind w:firstLine="480" w:firstLineChars="200"/>
              <w:rPr>
                <w:bCs/>
              </w:rPr>
            </w:pPr>
            <w:r>
              <w:rPr>
                <w:rFonts w:hint="eastAsia"/>
              </w:rPr>
              <w:t>项目施工期大气污染物执行</w:t>
            </w:r>
            <w:r>
              <w:rPr>
                <w:rFonts w:hint="eastAsia"/>
                <w:bCs/>
              </w:rPr>
              <w:t>《大气污染物综合排放标准》（</w:t>
            </w:r>
            <w:r>
              <w:rPr>
                <w:bCs/>
              </w:rPr>
              <w:t>GB16297-1996</w:t>
            </w:r>
            <w:r>
              <w:rPr>
                <w:rFonts w:hint="eastAsia"/>
                <w:bCs/>
              </w:rPr>
              <w:t>）表</w:t>
            </w:r>
            <w:r>
              <w:rPr>
                <w:bCs/>
              </w:rPr>
              <w:t>2</w:t>
            </w:r>
            <w:r>
              <w:rPr>
                <w:rFonts w:hint="eastAsia"/>
                <w:bCs/>
              </w:rPr>
              <w:t>二级标准，颗粒物无组织排放浓度</w:t>
            </w:r>
            <w:r>
              <w:rPr>
                <w:bCs/>
              </w:rPr>
              <w:t>≤1mg/m</w:t>
            </w:r>
            <w:r>
              <w:rPr>
                <w:bCs/>
                <w:vertAlign w:val="superscript"/>
              </w:rPr>
              <w:t>3</w:t>
            </w:r>
            <w:r>
              <w:rPr>
                <w:rFonts w:hint="eastAsia"/>
                <w:bCs/>
              </w:rPr>
              <w:t>。具体见下表。</w:t>
            </w:r>
          </w:p>
          <w:p w14:paraId="199F3D6C">
            <w:pPr>
              <w:pStyle w:val="6"/>
            </w:pPr>
            <w:r>
              <w:t xml:space="preserve">表 </w:t>
            </w:r>
            <w:r>
              <w:rPr>
                <w:rFonts w:hint="eastAsia"/>
              </w:rPr>
              <w:t>3-</w:t>
            </w:r>
            <w:r>
              <w:fldChar w:fldCharType="begin"/>
            </w:r>
            <w:r>
              <w:instrText xml:space="preserve"> SEQ 表 \* ARABIC \s 1 </w:instrText>
            </w:r>
            <w:r>
              <w:fldChar w:fldCharType="separate"/>
            </w:r>
            <w:r>
              <w:t>6</w:t>
            </w:r>
            <w:r>
              <w:fldChar w:fldCharType="end"/>
            </w:r>
            <w:r>
              <w:rPr>
                <w:rFonts w:hint="eastAsia"/>
              </w:rPr>
              <w:t xml:space="preserve"> </w:t>
            </w:r>
            <w:r>
              <w:rPr>
                <w:rFonts w:hint="eastAsia"/>
                <w:bCs/>
              </w:rPr>
              <w:t>《大气污染物综合排放标准》（</w:t>
            </w:r>
            <w:r>
              <w:rPr>
                <w:bCs/>
              </w:rPr>
              <w:t>GB16297-1996</w:t>
            </w:r>
            <w:r>
              <w:rPr>
                <w:rFonts w:hint="eastAsia"/>
                <w:bCs/>
              </w:rPr>
              <w:t>）</w:t>
            </w:r>
            <w:r>
              <w:rPr>
                <w:rFonts w:hint="eastAsia"/>
              </w:rPr>
              <w:t>（mg/m</w:t>
            </w:r>
            <w:r>
              <w:rPr>
                <w:rFonts w:hint="eastAsia"/>
                <w:vertAlign w:val="superscript"/>
              </w:rPr>
              <w:t>3</w:t>
            </w:r>
            <w:r>
              <w:rPr>
                <w:rFonts w:hint="eastAsia"/>
              </w:rPr>
              <w:t>）</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3"/>
              <w:gridCol w:w="4124"/>
            </w:tblGrid>
            <w:tr w14:paraId="0E0E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tcBorders>
                    <w:tl2br w:val="nil"/>
                    <w:tr2bl w:val="nil"/>
                  </w:tcBorders>
                  <w:vAlign w:val="center"/>
                </w:tcPr>
                <w:p w14:paraId="0D041F7F">
                  <w:pPr>
                    <w:pStyle w:val="24"/>
                    <w:rPr>
                      <w:b/>
                      <w:bCs/>
                    </w:rPr>
                  </w:pPr>
                  <w:r>
                    <w:rPr>
                      <w:rFonts w:hint="eastAsia"/>
                      <w:b/>
                      <w:bCs/>
                    </w:rPr>
                    <w:t>污染物</w:t>
                  </w:r>
                </w:p>
              </w:tc>
              <w:tc>
                <w:tcPr>
                  <w:tcW w:w="340" w:type="dxa"/>
                  <w:tcBorders>
                    <w:tl2br w:val="nil"/>
                    <w:tr2bl w:val="nil"/>
                  </w:tcBorders>
                  <w:vAlign w:val="center"/>
                </w:tcPr>
                <w:p w14:paraId="7238F4A5">
                  <w:pPr>
                    <w:pStyle w:val="24"/>
                    <w:rPr>
                      <w:b/>
                      <w:bCs/>
                    </w:rPr>
                  </w:pPr>
                  <w:r>
                    <w:rPr>
                      <w:rFonts w:hint="eastAsia"/>
                      <w:b/>
                      <w:bCs/>
                    </w:rPr>
                    <w:t>无组织排放监控浓度限值</w:t>
                  </w:r>
                </w:p>
              </w:tc>
            </w:tr>
            <w:tr w14:paraId="2623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tcBorders>
                    <w:tl2br w:val="nil"/>
                    <w:tr2bl w:val="nil"/>
                  </w:tcBorders>
                  <w:vAlign w:val="center"/>
                </w:tcPr>
                <w:p w14:paraId="561C5BC2">
                  <w:pPr>
                    <w:pStyle w:val="24"/>
                  </w:pPr>
                  <w:r>
                    <w:rPr>
                      <w:rFonts w:hint="eastAsia"/>
                    </w:rPr>
                    <w:t>颗粒物</w:t>
                  </w:r>
                </w:p>
              </w:tc>
              <w:tc>
                <w:tcPr>
                  <w:tcW w:w="340" w:type="dxa"/>
                  <w:tcBorders>
                    <w:tl2br w:val="nil"/>
                    <w:tr2bl w:val="nil"/>
                  </w:tcBorders>
                  <w:vAlign w:val="center"/>
                </w:tcPr>
                <w:p w14:paraId="18F91192">
                  <w:pPr>
                    <w:pStyle w:val="24"/>
                  </w:pPr>
                  <w:r>
                    <w:rPr>
                      <w:rFonts w:hint="eastAsia"/>
                    </w:rPr>
                    <w:t>1.0</w:t>
                  </w:r>
                </w:p>
              </w:tc>
            </w:tr>
          </w:tbl>
          <w:p w14:paraId="48FC8600">
            <w:pPr>
              <w:ind w:firstLine="480" w:firstLineChars="200"/>
            </w:pPr>
            <w:r>
              <w:rPr>
                <w:rFonts w:hint="eastAsia"/>
              </w:rPr>
              <w:t>（2）废水排放标准</w:t>
            </w:r>
          </w:p>
          <w:p w14:paraId="1AAD7868">
            <w:pPr>
              <w:ind w:firstLine="480" w:firstLineChars="200"/>
            </w:pPr>
            <w:r>
              <w:rPr>
                <w:rFonts w:hint="eastAsia"/>
              </w:rPr>
              <w:t>项目施工期产生废水主要为生活污水，执行《污水综合排放标准》（GB8978-1996）三级标准。</w:t>
            </w:r>
            <w:r>
              <w:rPr>
                <w:rFonts w:hint="eastAsia"/>
                <w:bCs/>
              </w:rPr>
              <w:t>具体见下表。</w:t>
            </w:r>
          </w:p>
          <w:p w14:paraId="0BF0EF6C">
            <w:pPr>
              <w:pStyle w:val="6"/>
            </w:pPr>
            <w:r>
              <w:t xml:space="preserve">表 </w:t>
            </w:r>
            <w:r>
              <w:rPr>
                <w:rFonts w:hint="eastAsia"/>
              </w:rPr>
              <w:t>3-</w:t>
            </w:r>
            <w:r>
              <w:fldChar w:fldCharType="begin"/>
            </w:r>
            <w:r>
              <w:instrText xml:space="preserve"> SEQ 表 \* ARABIC \s 1 </w:instrText>
            </w:r>
            <w:r>
              <w:fldChar w:fldCharType="separate"/>
            </w:r>
            <w:r>
              <w:t>7</w:t>
            </w:r>
            <w:r>
              <w:fldChar w:fldCharType="end"/>
            </w:r>
            <w:r>
              <w:rPr>
                <w:rFonts w:hint="eastAsia"/>
              </w:rPr>
              <w:t xml:space="preserve"> 《污水综合排放标准》（GB8978-1996）三级标准（单位：mg/L）</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374"/>
              <w:gridCol w:w="1844"/>
              <w:gridCol w:w="1580"/>
              <w:gridCol w:w="943"/>
              <w:gridCol w:w="1156"/>
            </w:tblGrid>
            <w:tr w14:paraId="47C8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51DBA35">
                  <w:pPr>
                    <w:pStyle w:val="24"/>
                    <w:rPr>
                      <w:b/>
                      <w:bCs/>
                    </w:rPr>
                  </w:pPr>
                  <w:r>
                    <w:rPr>
                      <w:rFonts w:hint="eastAsia"/>
                      <w:b/>
                      <w:bCs/>
                    </w:rPr>
                    <w:t>项目</w:t>
                  </w:r>
                </w:p>
              </w:tc>
              <w:tc>
                <w:tcPr>
                  <w:tcW w:w="340" w:type="dxa"/>
                  <w:vAlign w:val="center"/>
                </w:tcPr>
                <w:p w14:paraId="507D5107">
                  <w:pPr>
                    <w:pStyle w:val="24"/>
                    <w:rPr>
                      <w:b/>
                      <w:bCs/>
                    </w:rPr>
                  </w:pPr>
                  <w:r>
                    <w:rPr>
                      <w:rFonts w:hint="eastAsia"/>
                      <w:b/>
                      <w:bCs/>
                    </w:rPr>
                    <w:t>PH（无量纲）</w:t>
                  </w:r>
                </w:p>
              </w:tc>
              <w:tc>
                <w:tcPr>
                  <w:tcW w:w="340" w:type="dxa"/>
                  <w:vAlign w:val="center"/>
                </w:tcPr>
                <w:p w14:paraId="729A6836">
                  <w:pPr>
                    <w:pStyle w:val="24"/>
                    <w:rPr>
                      <w:b/>
                      <w:bCs/>
                    </w:rPr>
                  </w:pPr>
                  <w:r>
                    <w:rPr>
                      <w:rFonts w:hint="eastAsia"/>
                      <w:b/>
                      <w:bCs/>
                    </w:rPr>
                    <w:t>CODcr</w:t>
                  </w:r>
                </w:p>
              </w:tc>
              <w:tc>
                <w:tcPr>
                  <w:tcW w:w="340" w:type="dxa"/>
                  <w:vAlign w:val="center"/>
                </w:tcPr>
                <w:p w14:paraId="289CC453">
                  <w:pPr>
                    <w:pStyle w:val="24"/>
                    <w:rPr>
                      <w:b/>
                      <w:bCs/>
                    </w:rPr>
                  </w:pPr>
                  <w:r>
                    <w:rPr>
                      <w:rFonts w:hint="eastAsia"/>
                      <w:b/>
                      <w:bCs/>
                    </w:rPr>
                    <w:t>BOD</w:t>
                  </w:r>
                  <w:r>
                    <w:rPr>
                      <w:rFonts w:hint="eastAsia"/>
                      <w:b/>
                      <w:bCs/>
                      <w:vertAlign w:val="subscript"/>
                    </w:rPr>
                    <w:t>5</w:t>
                  </w:r>
                </w:p>
              </w:tc>
              <w:tc>
                <w:tcPr>
                  <w:tcW w:w="340" w:type="dxa"/>
                  <w:vAlign w:val="center"/>
                </w:tcPr>
                <w:p w14:paraId="21245C6D">
                  <w:pPr>
                    <w:pStyle w:val="24"/>
                    <w:rPr>
                      <w:b/>
                      <w:bCs/>
                    </w:rPr>
                  </w:pPr>
                  <w:r>
                    <w:rPr>
                      <w:rFonts w:hint="eastAsia"/>
                      <w:b/>
                      <w:bCs/>
                    </w:rPr>
                    <w:t>氨氮</w:t>
                  </w:r>
                </w:p>
              </w:tc>
              <w:tc>
                <w:tcPr>
                  <w:tcW w:w="340" w:type="dxa"/>
                  <w:vAlign w:val="center"/>
                </w:tcPr>
                <w:p w14:paraId="0AFA84E3">
                  <w:pPr>
                    <w:pStyle w:val="24"/>
                    <w:rPr>
                      <w:b/>
                      <w:bCs/>
                    </w:rPr>
                  </w:pPr>
                  <w:r>
                    <w:rPr>
                      <w:rFonts w:hint="eastAsia"/>
                      <w:b/>
                      <w:bCs/>
                    </w:rPr>
                    <w:t>SS</w:t>
                  </w:r>
                </w:p>
              </w:tc>
            </w:tr>
            <w:tr w14:paraId="4423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91FC6B8">
                  <w:pPr>
                    <w:pStyle w:val="24"/>
                  </w:pPr>
                  <w:r>
                    <w:rPr>
                      <w:rFonts w:hint="eastAsia"/>
                    </w:rPr>
                    <w:t>三级标准值</w:t>
                  </w:r>
                </w:p>
              </w:tc>
              <w:tc>
                <w:tcPr>
                  <w:tcW w:w="340" w:type="dxa"/>
                  <w:vAlign w:val="center"/>
                </w:tcPr>
                <w:p w14:paraId="531777C1">
                  <w:pPr>
                    <w:pStyle w:val="24"/>
                  </w:pPr>
                  <w:r>
                    <w:rPr>
                      <w:rFonts w:hint="eastAsia"/>
                    </w:rPr>
                    <w:t>6~9</w:t>
                  </w:r>
                </w:p>
              </w:tc>
              <w:tc>
                <w:tcPr>
                  <w:tcW w:w="340" w:type="dxa"/>
                  <w:vAlign w:val="center"/>
                </w:tcPr>
                <w:p w14:paraId="465A0B24">
                  <w:pPr>
                    <w:pStyle w:val="24"/>
                  </w:pPr>
                  <w:r>
                    <w:rPr>
                      <w:rFonts w:hint="eastAsia"/>
                    </w:rPr>
                    <w:t>≤500</w:t>
                  </w:r>
                </w:p>
              </w:tc>
              <w:tc>
                <w:tcPr>
                  <w:tcW w:w="340" w:type="dxa"/>
                  <w:vAlign w:val="center"/>
                </w:tcPr>
                <w:p w14:paraId="076A50BA">
                  <w:pPr>
                    <w:pStyle w:val="24"/>
                  </w:pPr>
                  <w:r>
                    <w:rPr>
                      <w:rFonts w:hint="eastAsia"/>
                    </w:rPr>
                    <w:t>≤300</w:t>
                  </w:r>
                </w:p>
              </w:tc>
              <w:tc>
                <w:tcPr>
                  <w:tcW w:w="340" w:type="dxa"/>
                  <w:vAlign w:val="center"/>
                </w:tcPr>
                <w:p w14:paraId="14A7B196">
                  <w:pPr>
                    <w:pStyle w:val="24"/>
                  </w:pPr>
                  <w:r>
                    <w:rPr>
                      <w:rFonts w:hint="eastAsia"/>
                    </w:rPr>
                    <w:t>--</w:t>
                  </w:r>
                </w:p>
              </w:tc>
              <w:tc>
                <w:tcPr>
                  <w:tcW w:w="340" w:type="dxa"/>
                  <w:vAlign w:val="center"/>
                </w:tcPr>
                <w:p w14:paraId="00547BF2">
                  <w:pPr>
                    <w:pStyle w:val="24"/>
                  </w:pPr>
                  <w:r>
                    <w:rPr>
                      <w:rFonts w:hint="eastAsia"/>
                    </w:rPr>
                    <w:t>≤400</w:t>
                  </w:r>
                </w:p>
              </w:tc>
            </w:tr>
          </w:tbl>
          <w:p w14:paraId="278D922D">
            <w:pPr>
              <w:ind w:firstLine="480" w:firstLineChars="200"/>
            </w:pPr>
            <w:r>
              <w:rPr>
                <w:rFonts w:hint="eastAsia"/>
              </w:rPr>
              <w:t>（3）环境噪声排放标准</w:t>
            </w:r>
          </w:p>
          <w:p w14:paraId="7D2D8376">
            <w:pPr>
              <w:ind w:firstLine="480" w:firstLineChars="200"/>
            </w:pPr>
            <w:r>
              <w:rPr>
                <w:rFonts w:hint="eastAsia"/>
              </w:rPr>
              <w:t>施工现场噪声执行《建筑施工场界环境噪声排放标准》（GB12523-2011），具体标准见下表。</w:t>
            </w:r>
          </w:p>
          <w:p w14:paraId="56195222">
            <w:pPr>
              <w:pStyle w:val="6"/>
            </w:pPr>
            <w:r>
              <w:t xml:space="preserve">表 </w:t>
            </w:r>
            <w:r>
              <w:rPr>
                <w:rFonts w:hint="eastAsia"/>
              </w:rPr>
              <w:t>3-</w:t>
            </w:r>
            <w:r>
              <w:fldChar w:fldCharType="begin"/>
            </w:r>
            <w:r>
              <w:instrText xml:space="preserve"> SEQ 表 \* ARABIC \s 1 </w:instrText>
            </w:r>
            <w:r>
              <w:fldChar w:fldCharType="separate"/>
            </w:r>
            <w:r>
              <w:t>8</w:t>
            </w:r>
            <w:r>
              <w:fldChar w:fldCharType="end"/>
            </w:r>
            <w:r>
              <w:rPr>
                <w:rFonts w:hint="eastAsia"/>
              </w:rPr>
              <w:t xml:space="preserve"> 建筑施工场界环境噪声排放标准</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0"/>
              <w:gridCol w:w="3920"/>
            </w:tblGrid>
            <w:tr w14:paraId="141E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2"/>
                  <w:vAlign w:val="center"/>
                </w:tcPr>
                <w:p w14:paraId="2470BD64">
                  <w:pPr>
                    <w:pStyle w:val="24"/>
                  </w:pPr>
                  <w:r>
                    <w:rPr>
                      <w:rFonts w:hint="eastAsia"/>
                      <w:b/>
                      <w:bCs/>
                    </w:rPr>
                    <w:t>等效声级[dB（A）]</w:t>
                  </w:r>
                </w:p>
              </w:tc>
            </w:tr>
            <w:tr w14:paraId="5CC3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6F3E1A98">
                  <w:pPr>
                    <w:pStyle w:val="24"/>
                  </w:pPr>
                  <w:r>
                    <w:rPr>
                      <w:rFonts w:hint="eastAsia"/>
                    </w:rPr>
                    <w:t>昼间</w:t>
                  </w:r>
                </w:p>
              </w:tc>
              <w:tc>
                <w:tcPr>
                  <w:tcW w:w="340" w:type="dxa"/>
                  <w:vAlign w:val="center"/>
                </w:tcPr>
                <w:p w14:paraId="3C8F33CD">
                  <w:pPr>
                    <w:pStyle w:val="24"/>
                  </w:pPr>
                  <w:r>
                    <w:rPr>
                      <w:rFonts w:hint="eastAsia"/>
                    </w:rPr>
                    <w:t>夜间</w:t>
                  </w:r>
                </w:p>
              </w:tc>
            </w:tr>
            <w:tr w14:paraId="43BD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44A058DF">
                  <w:pPr>
                    <w:pStyle w:val="24"/>
                  </w:pPr>
                  <w:r>
                    <w:rPr>
                      <w:rFonts w:hint="eastAsia"/>
                    </w:rPr>
                    <w:t>70</w:t>
                  </w:r>
                </w:p>
              </w:tc>
              <w:tc>
                <w:tcPr>
                  <w:tcW w:w="340" w:type="dxa"/>
                  <w:vAlign w:val="center"/>
                </w:tcPr>
                <w:p w14:paraId="567E3B80">
                  <w:pPr>
                    <w:pStyle w:val="24"/>
                  </w:pPr>
                  <w:r>
                    <w:rPr>
                      <w:rFonts w:hint="eastAsia"/>
                    </w:rPr>
                    <w:t>55</w:t>
                  </w:r>
                </w:p>
              </w:tc>
            </w:tr>
          </w:tbl>
          <w:p w14:paraId="5991D401">
            <w:r>
              <w:rPr>
                <w:rFonts w:hint="eastAsia"/>
              </w:rPr>
              <w:t>2、运营期污染物排放标准</w:t>
            </w:r>
          </w:p>
          <w:p w14:paraId="4A7F1835">
            <w:pPr>
              <w:ind w:firstLine="480" w:firstLineChars="200"/>
            </w:pPr>
            <w:r>
              <w:rPr>
                <w:rFonts w:hint="eastAsia"/>
              </w:rPr>
              <w:t>（1）废气排放标准</w:t>
            </w:r>
          </w:p>
          <w:p w14:paraId="08D08E09">
            <w:pPr>
              <w:ind w:firstLine="480" w:firstLineChars="200"/>
            </w:pPr>
            <w:r>
              <w:rPr>
                <w:rFonts w:hint="eastAsia"/>
              </w:rPr>
              <w:t>综合能源站卸油、油罐贮存、加油机加油过程中有少量油品挥发产生，主要污染物为非甲烷总烃，以无组织形式排放。其厂区内浓度执行《挥发性有机物无组织排放控制标准》（GB37822-2019）表A.1标准限值；储油罐油气回收装置的油气无组织排放非甲烷总烃厂界浓度执行《加油站大气污染物排放标准》（GB20952-2020）表3中限值。</w:t>
            </w:r>
          </w:p>
          <w:p w14:paraId="43E5AE82">
            <w:pPr>
              <w:ind w:firstLine="480" w:firstLineChars="200"/>
            </w:pPr>
            <w:r>
              <w:rPr>
                <w:rFonts w:hint="eastAsia"/>
              </w:rPr>
              <w:t>货运网络信息服务中心内厨房设置6个基准灶头，产生餐饮油烟执行《饮食业油烟排放标准（试行）》（GB18483-2001）大型标准要求。</w:t>
            </w:r>
          </w:p>
          <w:p w14:paraId="5D6496C1">
            <w:pPr>
              <w:ind w:firstLine="480" w:firstLineChars="200"/>
              <w:rPr>
                <w:color w:val="0000FF"/>
              </w:rPr>
            </w:pPr>
            <w:r>
              <w:rPr>
                <w:rFonts w:hint="eastAsia"/>
              </w:rPr>
              <w:t>货车应急维修中心维修过程中产生的焊接烟尘，主要污染物为颗粒物，经移动式焊烟净化器处理后以无组织形式排放，排放执行《大气污染物综合排放标准》（GB16297-1996）中无组织排放监控浓度限值。详见下表。</w:t>
            </w:r>
          </w:p>
          <w:p w14:paraId="76F848AB">
            <w:pPr>
              <w:pStyle w:val="6"/>
            </w:pPr>
            <w:r>
              <w:t xml:space="preserve">表 </w:t>
            </w:r>
            <w:r>
              <w:rPr>
                <w:rFonts w:hint="eastAsia"/>
              </w:rPr>
              <w:t>3-</w:t>
            </w:r>
            <w:r>
              <w:fldChar w:fldCharType="begin"/>
            </w:r>
            <w:r>
              <w:instrText xml:space="preserve"> SEQ 表 \* ARABIC \s 1 </w:instrText>
            </w:r>
            <w:r>
              <w:fldChar w:fldCharType="separate"/>
            </w:r>
            <w:r>
              <w:t>9</w:t>
            </w:r>
            <w:r>
              <w:fldChar w:fldCharType="end"/>
            </w:r>
            <w:r>
              <w:rPr>
                <w:rFonts w:hint="eastAsia"/>
              </w:rPr>
              <w:t xml:space="preserve"> 《加油站大气污染物排放标准》（GB20952-2020）</w:t>
            </w:r>
          </w:p>
          <w:p w14:paraId="2E08D12B">
            <w:pPr>
              <w:wordWrap w:val="0"/>
              <w:spacing w:line="240" w:lineRule="auto"/>
              <w:jc w:val="right"/>
            </w:pPr>
            <w:r>
              <w:rPr>
                <w:rFonts w:hint="eastAsia"/>
                <w:sz w:val="21"/>
                <w:szCs w:val="21"/>
              </w:rPr>
              <w:t>单位：mg/m</w:t>
            </w:r>
            <w:r>
              <w:rPr>
                <w:rFonts w:hint="eastAsia"/>
                <w:sz w:val="21"/>
                <w:szCs w:val="21"/>
                <w:vertAlign w:val="superscript"/>
              </w:rPr>
              <w:t xml:space="preserve">3 </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3212"/>
              <w:gridCol w:w="1185"/>
              <w:gridCol w:w="2258"/>
            </w:tblGrid>
            <w:tr w14:paraId="0FC8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234D1AA4">
                  <w:pPr>
                    <w:pStyle w:val="24"/>
                    <w:rPr>
                      <w:b/>
                      <w:bCs/>
                    </w:rPr>
                  </w:pPr>
                  <w:r>
                    <w:rPr>
                      <w:rFonts w:hint="eastAsia"/>
                      <w:b/>
                      <w:bCs/>
                    </w:rPr>
                    <w:t>污染物</w:t>
                  </w:r>
                </w:p>
              </w:tc>
              <w:tc>
                <w:tcPr>
                  <w:tcW w:w="340" w:type="dxa"/>
                  <w:vAlign w:val="center"/>
                </w:tcPr>
                <w:p w14:paraId="6003CC02">
                  <w:pPr>
                    <w:pStyle w:val="24"/>
                    <w:rPr>
                      <w:b/>
                      <w:bCs/>
                    </w:rPr>
                  </w:pPr>
                  <w:r>
                    <w:rPr>
                      <w:b/>
                      <w:bCs/>
                    </w:rPr>
                    <w:t>排放限值</w:t>
                  </w:r>
                  <w:r>
                    <w:rPr>
                      <w:rFonts w:hint="eastAsia"/>
                      <w:b/>
                      <w:bCs/>
                    </w:rPr>
                    <w:t>（</w:t>
                  </w:r>
                  <w:r>
                    <w:rPr>
                      <w:b/>
                      <w:bCs/>
                    </w:rPr>
                    <w:t>mg/m</w:t>
                  </w:r>
                  <w:r>
                    <w:rPr>
                      <w:b/>
                      <w:bCs/>
                      <w:vertAlign w:val="superscript"/>
                    </w:rPr>
                    <w:t>3</w:t>
                  </w:r>
                  <w:r>
                    <w:rPr>
                      <w:rFonts w:hint="eastAsia"/>
                      <w:b/>
                      <w:bCs/>
                    </w:rPr>
                    <w:t>）</w:t>
                  </w:r>
                </w:p>
              </w:tc>
              <w:tc>
                <w:tcPr>
                  <w:tcW w:w="340" w:type="dxa"/>
                  <w:vAlign w:val="center"/>
                </w:tcPr>
                <w:p w14:paraId="0CB65F0B">
                  <w:pPr>
                    <w:pStyle w:val="24"/>
                    <w:rPr>
                      <w:b/>
                      <w:bCs/>
                    </w:rPr>
                  </w:pPr>
                  <w:r>
                    <w:rPr>
                      <w:rFonts w:hint="eastAsia"/>
                      <w:b/>
                      <w:bCs/>
                    </w:rPr>
                    <w:t>限值含义</w:t>
                  </w:r>
                </w:p>
              </w:tc>
              <w:tc>
                <w:tcPr>
                  <w:tcW w:w="340" w:type="dxa"/>
                  <w:vAlign w:val="center"/>
                </w:tcPr>
                <w:p w14:paraId="4B68D534">
                  <w:pPr>
                    <w:pStyle w:val="24"/>
                    <w:rPr>
                      <w:b/>
                      <w:bCs/>
                    </w:rPr>
                  </w:pPr>
                  <w:r>
                    <w:rPr>
                      <w:rFonts w:hint="eastAsia"/>
                      <w:b/>
                      <w:bCs/>
                    </w:rPr>
                    <w:t>无组织排放监控位置</w:t>
                  </w:r>
                </w:p>
              </w:tc>
            </w:tr>
            <w:tr w14:paraId="1033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887DD7D">
                  <w:pPr>
                    <w:pStyle w:val="24"/>
                  </w:pPr>
                  <w:r>
                    <w:rPr>
                      <w:rFonts w:hint="eastAsia"/>
                    </w:rPr>
                    <w:t>非甲烷总烃</w:t>
                  </w:r>
                </w:p>
              </w:tc>
              <w:tc>
                <w:tcPr>
                  <w:tcW w:w="340" w:type="dxa"/>
                  <w:vAlign w:val="center"/>
                </w:tcPr>
                <w:p w14:paraId="5F48AE4B">
                  <w:pPr>
                    <w:pStyle w:val="24"/>
                  </w:pPr>
                  <w:r>
                    <w:rPr>
                      <w:rFonts w:hint="eastAsia"/>
                    </w:rPr>
                    <w:t>4.0</w:t>
                  </w:r>
                </w:p>
              </w:tc>
              <w:tc>
                <w:tcPr>
                  <w:tcW w:w="340" w:type="dxa"/>
                  <w:vAlign w:val="center"/>
                </w:tcPr>
                <w:p w14:paraId="025361B2">
                  <w:pPr>
                    <w:pStyle w:val="24"/>
                  </w:pPr>
                  <w:r>
                    <w:t>监控点处1h平均浓度</w:t>
                  </w:r>
                </w:p>
              </w:tc>
              <w:tc>
                <w:tcPr>
                  <w:tcW w:w="340" w:type="dxa"/>
                  <w:vAlign w:val="center"/>
                </w:tcPr>
                <w:p w14:paraId="53D79319">
                  <w:pPr>
                    <w:pStyle w:val="24"/>
                  </w:pPr>
                  <w:r>
                    <w:rPr>
                      <w:rFonts w:hint="eastAsia"/>
                    </w:rPr>
                    <w:t>参照HJ/T55规定</w:t>
                  </w:r>
                </w:p>
              </w:tc>
            </w:tr>
          </w:tbl>
          <w:p w14:paraId="12232BCC">
            <w:pPr>
              <w:pStyle w:val="6"/>
            </w:pPr>
            <w:r>
              <w:t xml:space="preserve">表 </w:t>
            </w:r>
            <w:r>
              <w:rPr>
                <w:rFonts w:hint="eastAsia"/>
              </w:rPr>
              <w:t>3-</w:t>
            </w:r>
            <w:r>
              <w:fldChar w:fldCharType="begin"/>
            </w:r>
            <w:r>
              <w:instrText xml:space="preserve"> SEQ 表 \* ARABIC \s 1 </w:instrText>
            </w:r>
            <w:r>
              <w:fldChar w:fldCharType="separate"/>
            </w:r>
            <w:r>
              <w:t>10</w:t>
            </w:r>
            <w:r>
              <w:fldChar w:fldCharType="end"/>
            </w:r>
            <w:r>
              <w:rPr>
                <w:rFonts w:hint="eastAsia"/>
              </w:rPr>
              <w:t xml:space="preserve"> 《挥发性有机物无组织排放控制标准》（GB37822-2019）</w:t>
            </w:r>
          </w:p>
          <w:p w14:paraId="6A53EA6D">
            <w:pPr>
              <w:wordWrap w:val="0"/>
              <w:spacing w:line="240" w:lineRule="auto"/>
              <w:jc w:val="right"/>
              <w:rPr>
                <w:sz w:val="21"/>
                <w:szCs w:val="21"/>
              </w:rPr>
            </w:pPr>
            <w:r>
              <w:rPr>
                <w:rFonts w:hint="eastAsia"/>
                <w:sz w:val="21"/>
                <w:szCs w:val="21"/>
              </w:rPr>
              <w:t>单位：mg/m</w:t>
            </w:r>
            <w:r>
              <w:rPr>
                <w:rFonts w:hint="eastAsia"/>
                <w:sz w:val="21"/>
                <w:szCs w:val="21"/>
                <w:vertAlign w:val="superscript"/>
              </w:rPr>
              <w:t xml:space="preserve">3 </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1"/>
              <w:gridCol w:w="1327"/>
              <w:gridCol w:w="1327"/>
              <w:gridCol w:w="1327"/>
              <w:gridCol w:w="1328"/>
            </w:tblGrid>
            <w:tr w14:paraId="01FE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0555614">
                  <w:pPr>
                    <w:pStyle w:val="24"/>
                    <w:rPr>
                      <w:b/>
                      <w:bCs/>
                    </w:rPr>
                  </w:pPr>
                  <w:r>
                    <w:rPr>
                      <w:rFonts w:hint="eastAsia"/>
                      <w:b/>
                      <w:bCs/>
                    </w:rPr>
                    <w:t>污染物名称</w:t>
                  </w:r>
                </w:p>
              </w:tc>
              <w:tc>
                <w:tcPr>
                  <w:tcW w:w="340" w:type="dxa"/>
                  <w:vAlign w:val="center"/>
                </w:tcPr>
                <w:p w14:paraId="54D4081E">
                  <w:pPr>
                    <w:pStyle w:val="24"/>
                    <w:rPr>
                      <w:rFonts w:hint="eastAsia" w:eastAsia="宋体"/>
                      <w:b/>
                      <w:bCs/>
                      <w:lang w:eastAsia="zh-CN"/>
                    </w:rPr>
                  </w:pPr>
                  <w:r>
                    <w:rPr>
                      <w:rFonts w:hint="eastAsia"/>
                      <w:b/>
                      <w:bCs/>
                    </w:rPr>
                    <w:t>排放限</w:t>
                  </w:r>
                  <w:r>
                    <w:rPr>
                      <w:rFonts w:hint="eastAsia"/>
                      <w:b/>
                      <w:bCs/>
                      <w:lang w:eastAsia="zh-CN"/>
                    </w:rPr>
                    <w:t>值</w:t>
                  </w:r>
                </w:p>
              </w:tc>
              <w:tc>
                <w:tcPr>
                  <w:tcW w:w="340" w:type="dxa"/>
                  <w:vAlign w:val="center"/>
                </w:tcPr>
                <w:p w14:paraId="65485258">
                  <w:pPr>
                    <w:pStyle w:val="24"/>
                    <w:rPr>
                      <w:rFonts w:hint="eastAsia" w:eastAsia="宋体"/>
                      <w:b/>
                      <w:bCs/>
                      <w:lang w:eastAsia="zh-CN"/>
                    </w:rPr>
                  </w:pPr>
                  <w:r>
                    <w:rPr>
                      <w:rFonts w:hint="eastAsia"/>
                      <w:b/>
                      <w:bCs/>
                    </w:rPr>
                    <w:t>特别排放限</w:t>
                  </w:r>
                  <w:r>
                    <w:rPr>
                      <w:rFonts w:hint="eastAsia"/>
                      <w:b/>
                      <w:bCs/>
                      <w:lang w:eastAsia="zh-CN"/>
                    </w:rPr>
                    <w:t>值</w:t>
                  </w:r>
                </w:p>
              </w:tc>
              <w:tc>
                <w:tcPr>
                  <w:tcW w:w="340" w:type="dxa"/>
                  <w:vAlign w:val="center"/>
                </w:tcPr>
                <w:p w14:paraId="228BE5F1">
                  <w:pPr>
                    <w:pStyle w:val="24"/>
                    <w:rPr>
                      <w:b/>
                      <w:bCs/>
                    </w:rPr>
                  </w:pPr>
                  <w:r>
                    <w:rPr>
                      <w:rFonts w:hint="eastAsia"/>
                      <w:b/>
                      <w:bCs/>
                    </w:rPr>
                    <w:t>限制含义</w:t>
                  </w:r>
                </w:p>
              </w:tc>
              <w:tc>
                <w:tcPr>
                  <w:tcW w:w="340" w:type="dxa"/>
                  <w:vAlign w:val="center"/>
                </w:tcPr>
                <w:p w14:paraId="6C011E92">
                  <w:pPr>
                    <w:pStyle w:val="24"/>
                    <w:rPr>
                      <w:b/>
                      <w:bCs/>
                    </w:rPr>
                  </w:pPr>
                  <w:r>
                    <w:rPr>
                      <w:rFonts w:hint="eastAsia"/>
                      <w:b/>
                      <w:bCs/>
                    </w:rPr>
                    <w:t>无组织排放监控位置</w:t>
                  </w:r>
                </w:p>
              </w:tc>
            </w:tr>
            <w:tr w14:paraId="1B67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restart"/>
                  <w:vAlign w:val="center"/>
                </w:tcPr>
                <w:p w14:paraId="2622E7CA">
                  <w:pPr>
                    <w:pStyle w:val="24"/>
                  </w:pPr>
                  <w:r>
                    <w:t>NMHC</w:t>
                  </w:r>
                </w:p>
              </w:tc>
              <w:tc>
                <w:tcPr>
                  <w:tcW w:w="340" w:type="dxa"/>
                  <w:vAlign w:val="center"/>
                </w:tcPr>
                <w:p w14:paraId="2422FADE">
                  <w:pPr>
                    <w:pStyle w:val="24"/>
                  </w:pPr>
                  <w:r>
                    <w:t>10</w:t>
                  </w:r>
                </w:p>
              </w:tc>
              <w:tc>
                <w:tcPr>
                  <w:tcW w:w="340" w:type="dxa"/>
                  <w:vAlign w:val="center"/>
                </w:tcPr>
                <w:p w14:paraId="6CFECFE4">
                  <w:pPr>
                    <w:pStyle w:val="24"/>
                  </w:pPr>
                  <w:r>
                    <w:t>6</w:t>
                  </w:r>
                </w:p>
              </w:tc>
              <w:tc>
                <w:tcPr>
                  <w:tcW w:w="340" w:type="dxa"/>
                  <w:vAlign w:val="center"/>
                </w:tcPr>
                <w:p w14:paraId="067A5558">
                  <w:pPr>
                    <w:pStyle w:val="24"/>
                  </w:pPr>
                  <w:r>
                    <w:rPr>
                      <w:rFonts w:hint="eastAsia"/>
                    </w:rPr>
                    <w:t>监控点处1h平均浓度值</w:t>
                  </w:r>
                </w:p>
              </w:tc>
              <w:tc>
                <w:tcPr>
                  <w:tcW w:w="340" w:type="dxa"/>
                  <w:vMerge w:val="restart"/>
                  <w:vAlign w:val="center"/>
                </w:tcPr>
                <w:p w14:paraId="1E28B9A8">
                  <w:pPr>
                    <w:pStyle w:val="24"/>
                  </w:pPr>
                  <w:r>
                    <w:rPr>
                      <w:rFonts w:hint="eastAsia"/>
                    </w:rPr>
                    <w:t>在厂房外设置监控点</w:t>
                  </w:r>
                </w:p>
              </w:tc>
            </w:tr>
            <w:tr w14:paraId="2A16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vAlign w:val="center"/>
                </w:tcPr>
                <w:p w14:paraId="60516420">
                  <w:pPr>
                    <w:pStyle w:val="24"/>
                  </w:pPr>
                </w:p>
              </w:tc>
              <w:tc>
                <w:tcPr>
                  <w:tcW w:w="340" w:type="dxa"/>
                  <w:vAlign w:val="center"/>
                </w:tcPr>
                <w:p w14:paraId="2D7B04A1">
                  <w:pPr>
                    <w:pStyle w:val="24"/>
                  </w:pPr>
                  <w:r>
                    <w:t>30</w:t>
                  </w:r>
                </w:p>
              </w:tc>
              <w:tc>
                <w:tcPr>
                  <w:tcW w:w="340" w:type="dxa"/>
                  <w:vAlign w:val="center"/>
                </w:tcPr>
                <w:p w14:paraId="636D68A2">
                  <w:pPr>
                    <w:pStyle w:val="24"/>
                  </w:pPr>
                  <w:r>
                    <w:t>20</w:t>
                  </w:r>
                </w:p>
              </w:tc>
              <w:tc>
                <w:tcPr>
                  <w:tcW w:w="340" w:type="dxa"/>
                  <w:vAlign w:val="center"/>
                </w:tcPr>
                <w:p w14:paraId="7753E803">
                  <w:pPr>
                    <w:pStyle w:val="24"/>
                  </w:pPr>
                  <w:r>
                    <w:rPr>
                      <w:rFonts w:hint="eastAsia"/>
                    </w:rPr>
                    <w:t>监控点处任意一次浓度值</w:t>
                  </w:r>
                </w:p>
              </w:tc>
              <w:tc>
                <w:tcPr>
                  <w:tcW w:w="340" w:type="dxa"/>
                  <w:vMerge w:val="continue"/>
                  <w:vAlign w:val="center"/>
                </w:tcPr>
                <w:p w14:paraId="68F8C122">
                  <w:pPr>
                    <w:pStyle w:val="24"/>
                  </w:pPr>
                </w:p>
              </w:tc>
            </w:tr>
          </w:tbl>
          <w:p w14:paraId="30D21D1B">
            <w:pPr>
              <w:pStyle w:val="6"/>
            </w:pPr>
            <w:r>
              <w:t xml:space="preserve">表 </w:t>
            </w:r>
            <w:r>
              <w:rPr>
                <w:rFonts w:hint="eastAsia"/>
              </w:rPr>
              <w:t>3-</w:t>
            </w:r>
            <w:r>
              <w:fldChar w:fldCharType="begin"/>
            </w:r>
            <w:r>
              <w:instrText xml:space="preserve"> SEQ 表 \* ARABIC \s 1 </w:instrText>
            </w:r>
            <w:r>
              <w:fldChar w:fldCharType="separate"/>
            </w:r>
            <w:r>
              <w:t>11</w:t>
            </w:r>
            <w:r>
              <w:fldChar w:fldCharType="end"/>
            </w:r>
            <w:r>
              <w:rPr>
                <w:rFonts w:hint="eastAsia"/>
              </w:rPr>
              <w:t xml:space="preserve"> 《饮食业油烟排放标准（试行）》（GB18483-2001）</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2"/>
              <w:gridCol w:w="1386"/>
              <w:gridCol w:w="1386"/>
              <w:gridCol w:w="1386"/>
            </w:tblGrid>
            <w:tr w14:paraId="3A7F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07B355C6">
                  <w:pPr>
                    <w:pStyle w:val="24"/>
                    <w:rPr>
                      <w:b/>
                      <w:bCs/>
                    </w:rPr>
                  </w:pPr>
                  <w:r>
                    <w:rPr>
                      <w:rFonts w:hint="eastAsia"/>
                      <w:b/>
                      <w:bCs/>
                    </w:rPr>
                    <w:t>规模</w:t>
                  </w:r>
                </w:p>
              </w:tc>
              <w:tc>
                <w:tcPr>
                  <w:tcW w:w="340" w:type="dxa"/>
                  <w:vAlign w:val="center"/>
                </w:tcPr>
                <w:p w14:paraId="05EE52EB">
                  <w:pPr>
                    <w:pStyle w:val="24"/>
                    <w:rPr>
                      <w:b/>
                      <w:bCs/>
                    </w:rPr>
                  </w:pPr>
                  <w:r>
                    <w:rPr>
                      <w:rFonts w:hint="eastAsia"/>
                      <w:b/>
                      <w:bCs/>
                    </w:rPr>
                    <w:t>小型</w:t>
                  </w:r>
                </w:p>
              </w:tc>
              <w:tc>
                <w:tcPr>
                  <w:tcW w:w="340" w:type="dxa"/>
                  <w:vAlign w:val="center"/>
                </w:tcPr>
                <w:p w14:paraId="22EFA783">
                  <w:pPr>
                    <w:pStyle w:val="24"/>
                    <w:rPr>
                      <w:b/>
                      <w:bCs/>
                    </w:rPr>
                  </w:pPr>
                  <w:r>
                    <w:rPr>
                      <w:rFonts w:hint="eastAsia"/>
                      <w:b/>
                      <w:bCs/>
                    </w:rPr>
                    <w:t>中型</w:t>
                  </w:r>
                </w:p>
              </w:tc>
              <w:tc>
                <w:tcPr>
                  <w:tcW w:w="340" w:type="dxa"/>
                  <w:vAlign w:val="center"/>
                </w:tcPr>
                <w:p w14:paraId="5EFA1186">
                  <w:pPr>
                    <w:pStyle w:val="24"/>
                    <w:rPr>
                      <w:b/>
                      <w:bCs/>
                    </w:rPr>
                  </w:pPr>
                  <w:r>
                    <w:rPr>
                      <w:rFonts w:hint="eastAsia"/>
                      <w:b/>
                      <w:bCs/>
                    </w:rPr>
                    <w:t>大型</w:t>
                  </w:r>
                </w:p>
              </w:tc>
            </w:tr>
            <w:tr w14:paraId="6B79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9F087BF">
                  <w:pPr>
                    <w:pStyle w:val="24"/>
                  </w:pPr>
                  <w:r>
                    <w:rPr>
                      <w:rFonts w:hint="eastAsia"/>
                    </w:rPr>
                    <w:t>最高允许排放浓度（mg/m</w:t>
                  </w:r>
                  <w:r>
                    <w:rPr>
                      <w:rFonts w:hint="eastAsia"/>
                      <w:vertAlign w:val="superscript"/>
                    </w:rPr>
                    <w:t>3</w:t>
                  </w:r>
                  <w:r>
                    <w:rPr>
                      <w:rFonts w:hint="eastAsia"/>
                    </w:rPr>
                    <w:t>）</w:t>
                  </w:r>
                </w:p>
              </w:tc>
              <w:tc>
                <w:tcPr>
                  <w:tcW w:w="340" w:type="dxa"/>
                  <w:gridSpan w:val="3"/>
                  <w:vAlign w:val="center"/>
                </w:tcPr>
                <w:p w14:paraId="5B94832D">
                  <w:pPr>
                    <w:pStyle w:val="24"/>
                  </w:pPr>
                  <w:r>
                    <w:rPr>
                      <w:rFonts w:hint="eastAsia"/>
                    </w:rPr>
                    <w:t>2.0</w:t>
                  </w:r>
                </w:p>
              </w:tc>
            </w:tr>
            <w:tr w14:paraId="7B0E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247B65F2">
                  <w:pPr>
                    <w:pStyle w:val="24"/>
                  </w:pPr>
                  <w:r>
                    <w:rPr>
                      <w:rFonts w:hint="eastAsia"/>
                    </w:rPr>
                    <w:t>净化设施最低去除效率（％）</w:t>
                  </w:r>
                </w:p>
              </w:tc>
              <w:tc>
                <w:tcPr>
                  <w:tcW w:w="340" w:type="dxa"/>
                  <w:vAlign w:val="center"/>
                </w:tcPr>
                <w:p w14:paraId="2D02BDF8">
                  <w:pPr>
                    <w:pStyle w:val="24"/>
                  </w:pPr>
                  <w:r>
                    <w:rPr>
                      <w:rFonts w:hint="eastAsia"/>
                    </w:rPr>
                    <w:t>60</w:t>
                  </w:r>
                </w:p>
              </w:tc>
              <w:tc>
                <w:tcPr>
                  <w:tcW w:w="340" w:type="dxa"/>
                  <w:vAlign w:val="center"/>
                </w:tcPr>
                <w:p w14:paraId="5D3EB0C1">
                  <w:pPr>
                    <w:pStyle w:val="24"/>
                  </w:pPr>
                  <w:r>
                    <w:rPr>
                      <w:rFonts w:hint="eastAsia"/>
                    </w:rPr>
                    <w:t>75</w:t>
                  </w:r>
                </w:p>
              </w:tc>
              <w:tc>
                <w:tcPr>
                  <w:tcW w:w="340" w:type="dxa"/>
                  <w:vAlign w:val="center"/>
                </w:tcPr>
                <w:p w14:paraId="490FB7E6">
                  <w:pPr>
                    <w:pStyle w:val="24"/>
                  </w:pPr>
                  <w:r>
                    <w:rPr>
                      <w:rFonts w:hint="eastAsia"/>
                    </w:rPr>
                    <w:t>85</w:t>
                  </w:r>
                </w:p>
              </w:tc>
            </w:tr>
          </w:tbl>
          <w:p w14:paraId="5D35C65D">
            <w:pPr>
              <w:pStyle w:val="6"/>
            </w:pPr>
            <w:r>
              <w:t xml:space="preserve">表 </w:t>
            </w:r>
            <w:r>
              <w:rPr>
                <w:rFonts w:hint="eastAsia"/>
              </w:rPr>
              <w:t>3-</w:t>
            </w:r>
            <w:r>
              <w:fldChar w:fldCharType="begin"/>
            </w:r>
            <w:r>
              <w:instrText xml:space="preserve"> SEQ 表 \* ARABIC \s 1 </w:instrText>
            </w:r>
            <w:r>
              <w:fldChar w:fldCharType="separate"/>
            </w:r>
            <w:r>
              <w:t>12</w:t>
            </w:r>
            <w:r>
              <w:fldChar w:fldCharType="end"/>
            </w:r>
            <w:r>
              <w:rPr>
                <w:rFonts w:hint="eastAsia"/>
              </w:rPr>
              <w:t xml:space="preserve"> 《大气污染物综合排放标准》（GB16297-1996）</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5727"/>
            </w:tblGrid>
            <w:tr w14:paraId="6598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307CD5A">
                  <w:pPr>
                    <w:pStyle w:val="24"/>
                    <w:rPr>
                      <w:b/>
                      <w:bCs/>
                    </w:rPr>
                  </w:pPr>
                  <w:r>
                    <w:rPr>
                      <w:rFonts w:hint="eastAsia"/>
                      <w:b/>
                      <w:bCs/>
                    </w:rPr>
                    <w:t>污染物名称</w:t>
                  </w:r>
                </w:p>
              </w:tc>
              <w:tc>
                <w:tcPr>
                  <w:tcW w:w="340" w:type="dxa"/>
                  <w:vAlign w:val="center"/>
                </w:tcPr>
                <w:p w14:paraId="0D5DE14C">
                  <w:pPr>
                    <w:pStyle w:val="24"/>
                    <w:rPr>
                      <w:b/>
                      <w:bCs/>
                    </w:rPr>
                  </w:pPr>
                  <w:r>
                    <w:rPr>
                      <w:rFonts w:hint="eastAsia"/>
                      <w:b/>
                      <w:bCs/>
                    </w:rPr>
                    <w:t>无组织排放浓度限值（mg/m</w:t>
                  </w:r>
                  <w:r>
                    <w:rPr>
                      <w:rFonts w:hint="eastAsia"/>
                      <w:b/>
                      <w:bCs/>
                      <w:vertAlign w:val="superscript"/>
                    </w:rPr>
                    <w:t>3</w:t>
                  </w:r>
                  <w:r>
                    <w:rPr>
                      <w:rFonts w:hint="eastAsia"/>
                      <w:b/>
                      <w:bCs/>
                    </w:rPr>
                    <w:t>）</w:t>
                  </w:r>
                </w:p>
              </w:tc>
            </w:tr>
            <w:tr w14:paraId="78F2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321BAC87">
                  <w:pPr>
                    <w:pStyle w:val="24"/>
                  </w:pPr>
                  <w:r>
                    <w:rPr>
                      <w:rFonts w:hint="eastAsia"/>
                    </w:rPr>
                    <w:t>颗粒物</w:t>
                  </w:r>
                </w:p>
              </w:tc>
              <w:tc>
                <w:tcPr>
                  <w:tcW w:w="340" w:type="dxa"/>
                  <w:vAlign w:val="center"/>
                </w:tcPr>
                <w:p w14:paraId="6AB69154">
                  <w:pPr>
                    <w:pStyle w:val="24"/>
                  </w:pPr>
                  <w:r>
                    <w:rPr>
                      <w:rFonts w:hint="eastAsia"/>
                    </w:rPr>
                    <w:t>1.0</w:t>
                  </w:r>
                </w:p>
              </w:tc>
            </w:tr>
          </w:tbl>
          <w:p w14:paraId="0067A3AB">
            <w:pPr>
              <w:ind w:firstLine="480" w:firstLineChars="200"/>
            </w:pPr>
            <w:r>
              <w:rPr>
                <w:rFonts w:hint="eastAsia"/>
              </w:rPr>
              <w:t>（2）废水排放标准</w:t>
            </w:r>
          </w:p>
          <w:p w14:paraId="22FE814F">
            <w:pPr>
              <w:widowControl/>
              <w:ind w:firstLine="480" w:firstLineChars="200"/>
              <w:rPr>
                <w:kern w:val="0"/>
              </w:rPr>
            </w:pPr>
            <w:bookmarkStart w:id="25" w:name="OLE_LINK21"/>
            <w:r>
              <w:rPr>
                <w:rFonts w:hint="eastAsia"/>
              </w:rPr>
              <w:t>本项目</w:t>
            </w:r>
            <w:r>
              <w:rPr>
                <w:rFonts w:hint="eastAsia"/>
                <w:kern w:val="0"/>
              </w:rPr>
              <w:t>餐饮废水经隔油池进行处理后汇同生活污水经过化粪池预处理，加油站</w:t>
            </w:r>
            <w:r>
              <w:rPr>
                <w:rFonts w:hint="eastAsia"/>
              </w:rPr>
              <w:t>地面冲洗废水、加油站初期雨水经过一套三级油水分离池预处理，</w:t>
            </w:r>
            <w:bookmarkStart w:id="26" w:name="OLE_LINK32"/>
            <w:r>
              <w:rPr>
                <w:rFonts w:hint="eastAsia"/>
                <w:kern w:val="0"/>
              </w:rPr>
              <w:t>货车应急维修中心产生的地面冲洗废水、洗车废水</w:t>
            </w:r>
            <w:bookmarkEnd w:id="26"/>
            <w:r>
              <w:rPr>
                <w:rFonts w:hint="eastAsia"/>
                <w:kern w:val="0"/>
              </w:rPr>
              <w:t>经一套隔油沉淀池处理达到《汽车维修业水污染物排放标准》（GB26877－2011）表2间接排放标准</w:t>
            </w:r>
            <w:r>
              <w:rPr>
                <w:rFonts w:hint="eastAsia"/>
              </w:rPr>
              <w:t>后与其他废水一同</w:t>
            </w:r>
            <w:r>
              <w:rPr>
                <w:rFonts w:hint="eastAsia"/>
                <w:kern w:val="0"/>
              </w:rPr>
              <w:t>接入市政污水管网</w:t>
            </w:r>
            <w:r>
              <w:rPr>
                <w:rFonts w:hint="eastAsia" w:ascii="宋体" w:hAnsi="宋体" w:cs="宋体"/>
                <w:kern w:val="0"/>
                <w:lang w:bidi="ar"/>
              </w:rPr>
              <w:t>进入经济技术开发区工业污水处理厂</w:t>
            </w:r>
            <w:r>
              <w:rPr>
                <w:rFonts w:hint="eastAsia"/>
                <w:kern w:val="0"/>
              </w:rPr>
              <w:t>处理。</w:t>
            </w:r>
            <w:bookmarkEnd w:id="25"/>
            <w:r>
              <w:rPr>
                <w:rFonts w:hint="eastAsia"/>
                <w:kern w:val="0"/>
              </w:rPr>
              <w:t>污水排放从严执行淮南经济技术开发区工业污水处理厂接管标准、《污水综合排放标准》（GB8978-1996）表4中三级标准。其标准值见下表：</w:t>
            </w:r>
          </w:p>
          <w:p w14:paraId="18B3714B">
            <w:pPr>
              <w:pStyle w:val="6"/>
            </w:pPr>
            <w:r>
              <w:t xml:space="preserve">表 </w:t>
            </w:r>
            <w:r>
              <w:rPr>
                <w:rFonts w:hint="eastAsia"/>
              </w:rPr>
              <w:t>3-</w:t>
            </w:r>
            <w:r>
              <w:fldChar w:fldCharType="begin"/>
            </w:r>
            <w:r>
              <w:instrText xml:space="preserve"> SEQ 表 \* ARABIC \s 1 </w:instrText>
            </w:r>
            <w:r>
              <w:fldChar w:fldCharType="separate"/>
            </w:r>
            <w:r>
              <w:t>13</w:t>
            </w:r>
            <w:r>
              <w:fldChar w:fldCharType="end"/>
            </w:r>
            <w:r>
              <w:rPr>
                <w:rFonts w:hint="eastAsia"/>
              </w:rPr>
              <w:t xml:space="preserve"> 《</w:t>
            </w:r>
            <w:r>
              <w:t>汽车维修业水污染物排放标准》（GB26877－2011）</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476"/>
              <w:gridCol w:w="1265"/>
              <w:gridCol w:w="924"/>
              <w:gridCol w:w="1076"/>
              <w:gridCol w:w="1075"/>
              <w:gridCol w:w="1079"/>
            </w:tblGrid>
            <w:tr w14:paraId="4C50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39" w:type="dxa"/>
                  <w:vAlign w:val="center"/>
                </w:tcPr>
                <w:p w14:paraId="370E17F3">
                  <w:pPr>
                    <w:pStyle w:val="24"/>
                    <w:rPr>
                      <w:b/>
                      <w:bCs/>
                    </w:rPr>
                  </w:pPr>
                  <w:r>
                    <w:rPr>
                      <w:b/>
                      <w:bCs/>
                    </w:rPr>
                    <w:t>pH</w:t>
                  </w:r>
                </w:p>
              </w:tc>
              <w:tc>
                <w:tcPr>
                  <w:tcW w:w="1476" w:type="dxa"/>
                  <w:vAlign w:val="center"/>
                </w:tcPr>
                <w:p w14:paraId="32B9869E">
                  <w:pPr>
                    <w:pStyle w:val="24"/>
                    <w:rPr>
                      <w:b/>
                      <w:bCs/>
                    </w:rPr>
                  </w:pPr>
                  <w:r>
                    <w:rPr>
                      <w:b/>
                      <w:bCs/>
                    </w:rPr>
                    <w:t>COD</w:t>
                  </w:r>
                  <w:r>
                    <w:rPr>
                      <w:rFonts w:hint="eastAsia"/>
                      <w:b/>
                      <w:bCs/>
                    </w:rPr>
                    <w:t>cr</w:t>
                  </w:r>
                </w:p>
              </w:tc>
              <w:tc>
                <w:tcPr>
                  <w:tcW w:w="1265" w:type="dxa"/>
                  <w:vAlign w:val="center"/>
                </w:tcPr>
                <w:p w14:paraId="126E1DDD">
                  <w:pPr>
                    <w:pStyle w:val="24"/>
                    <w:rPr>
                      <w:b/>
                      <w:bCs/>
                    </w:rPr>
                  </w:pPr>
                  <w:r>
                    <w:rPr>
                      <w:b/>
                      <w:bCs/>
                    </w:rPr>
                    <w:t>BOD</w:t>
                  </w:r>
                  <w:r>
                    <w:rPr>
                      <w:b/>
                      <w:bCs/>
                      <w:vertAlign w:val="subscript"/>
                    </w:rPr>
                    <w:t>5</w:t>
                  </w:r>
                </w:p>
              </w:tc>
              <w:tc>
                <w:tcPr>
                  <w:tcW w:w="924" w:type="dxa"/>
                  <w:vAlign w:val="center"/>
                </w:tcPr>
                <w:p w14:paraId="257C5F2F">
                  <w:pPr>
                    <w:pStyle w:val="24"/>
                    <w:rPr>
                      <w:b/>
                      <w:bCs/>
                    </w:rPr>
                  </w:pPr>
                  <w:r>
                    <w:rPr>
                      <w:b/>
                      <w:bCs/>
                    </w:rPr>
                    <w:t>SS</w:t>
                  </w:r>
                </w:p>
              </w:tc>
              <w:tc>
                <w:tcPr>
                  <w:tcW w:w="1076" w:type="dxa"/>
                  <w:vAlign w:val="center"/>
                </w:tcPr>
                <w:p w14:paraId="2F5C54E2">
                  <w:pPr>
                    <w:pStyle w:val="24"/>
                    <w:rPr>
                      <w:b/>
                      <w:bCs/>
                    </w:rPr>
                  </w:pPr>
                  <w:r>
                    <w:rPr>
                      <w:b/>
                      <w:bCs/>
                    </w:rPr>
                    <w:t>NH</w:t>
                  </w:r>
                  <w:r>
                    <w:rPr>
                      <w:b/>
                      <w:bCs/>
                      <w:vertAlign w:val="subscript"/>
                    </w:rPr>
                    <w:t>3</w:t>
                  </w:r>
                  <w:r>
                    <w:rPr>
                      <w:b/>
                      <w:bCs/>
                    </w:rPr>
                    <w:t>-N</w:t>
                  </w:r>
                </w:p>
              </w:tc>
              <w:tc>
                <w:tcPr>
                  <w:tcW w:w="1075" w:type="dxa"/>
                  <w:vAlign w:val="center"/>
                </w:tcPr>
                <w:p w14:paraId="04312E88">
                  <w:pPr>
                    <w:pStyle w:val="24"/>
                    <w:rPr>
                      <w:b/>
                      <w:bCs/>
                    </w:rPr>
                  </w:pPr>
                  <w:r>
                    <w:rPr>
                      <w:rFonts w:hint="eastAsia"/>
                      <w:b/>
                      <w:bCs/>
                    </w:rPr>
                    <w:t>石油类</w:t>
                  </w:r>
                </w:p>
              </w:tc>
              <w:tc>
                <w:tcPr>
                  <w:tcW w:w="1079" w:type="dxa"/>
                  <w:vAlign w:val="center"/>
                </w:tcPr>
                <w:p w14:paraId="6DD2D55F">
                  <w:pPr>
                    <w:pStyle w:val="24"/>
                    <w:rPr>
                      <w:b/>
                      <w:bCs/>
                    </w:rPr>
                  </w:pPr>
                  <w:r>
                    <w:rPr>
                      <w:rFonts w:hint="eastAsia"/>
                      <w:b/>
                      <w:bCs/>
                    </w:rPr>
                    <w:t>LAS</w:t>
                  </w:r>
                </w:p>
              </w:tc>
            </w:tr>
            <w:tr w14:paraId="5C0A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39" w:type="dxa"/>
                  <w:vAlign w:val="center"/>
                </w:tcPr>
                <w:p w14:paraId="473E9B29">
                  <w:pPr>
                    <w:pStyle w:val="24"/>
                  </w:pPr>
                  <w:r>
                    <w:rPr>
                      <w:rFonts w:hint="eastAsia"/>
                    </w:rPr>
                    <w:t>6~9</w:t>
                  </w:r>
                </w:p>
              </w:tc>
              <w:tc>
                <w:tcPr>
                  <w:tcW w:w="1476" w:type="dxa"/>
                  <w:vAlign w:val="center"/>
                </w:tcPr>
                <w:p w14:paraId="47D35E25">
                  <w:pPr>
                    <w:pStyle w:val="24"/>
                  </w:pPr>
                  <w:r>
                    <w:rPr>
                      <w:rFonts w:hint="eastAsia"/>
                    </w:rPr>
                    <w:t>300</w:t>
                  </w:r>
                </w:p>
              </w:tc>
              <w:tc>
                <w:tcPr>
                  <w:tcW w:w="1265" w:type="dxa"/>
                  <w:vAlign w:val="center"/>
                </w:tcPr>
                <w:p w14:paraId="12CF7AA6">
                  <w:pPr>
                    <w:pStyle w:val="24"/>
                  </w:pPr>
                  <w:r>
                    <w:rPr>
                      <w:rFonts w:hint="eastAsia"/>
                    </w:rPr>
                    <w:t>150</w:t>
                  </w:r>
                </w:p>
              </w:tc>
              <w:tc>
                <w:tcPr>
                  <w:tcW w:w="924" w:type="dxa"/>
                  <w:vAlign w:val="center"/>
                </w:tcPr>
                <w:p w14:paraId="3CA0F78A">
                  <w:pPr>
                    <w:pStyle w:val="24"/>
                  </w:pPr>
                  <w:r>
                    <w:rPr>
                      <w:rFonts w:hint="eastAsia"/>
                    </w:rPr>
                    <w:t>100</w:t>
                  </w:r>
                </w:p>
              </w:tc>
              <w:tc>
                <w:tcPr>
                  <w:tcW w:w="1076" w:type="dxa"/>
                  <w:vAlign w:val="center"/>
                </w:tcPr>
                <w:p w14:paraId="06453CAF">
                  <w:pPr>
                    <w:pStyle w:val="24"/>
                  </w:pPr>
                  <w:r>
                    <w:rPr>
                      <w:rFonts w:hint="eastAsia"/>
                    </w:rPr>
                    <w:t>25</w:t>
                  </w:r>
                </w:p>
              </w:tc>
              <w:tc>
                <w:tcPr>
                  <w:tcW w:w="1075" w:type="dxa"/>
                  <w:vAlign w:val="center"/>
                </w:tcPr>
                <w:p w14:paraId="2935A6FE">
                  <w:pPr>
                    <w:pStyle w:val="24"/>
                  </w:pPr>
                  <w:r>
                    <w:rPr>
                      <w:rFonts w:hint="eastAsia"/>
                    </w:rPr>
                    <w:t>10</w:t>
                  </w:r>
                </w:p>
              </w:tc>
              <w:tc>
                <w:tcPr>
                  <w:tcW w:w="1079" w:type="dxa"/>
                  <w:vAlign w:val="center"/>
                </w:tcPr>
                <w:p w14:paraId="0A543891">
                  <w:pPr>
                    <w:pStyle w:val="24"/>
                  </w:pPr>
                  <w:r>
                    <w:rPr>
                      <w:rFonts w:hint="eastAsia"/>
                    </w:rPr>
                    <w:t>10</w:t>
                  </w:r>
                </w:p>
              </w:tc>
            </w:tr>
          </w:tbl>
          <w:p w14:paraId="23AB7FFD">
            <w:pPr>
              <w:pStyle w:val="6"/>
            </w:pPr>
            <w:r>
              <w:t xml:space="preserve">表 </w:t>
            </w:r>
            <w:r>
              <w:rPr>
                <w:rFonts w:hint="eastAsia"/>
              </w:rPr>
              <w:t>3-</w:t>
            </w:r>
            <w:r>
              <w:fldChar w:fldCharType="begin"/>
            </w:r>
            <w:r>
              <w:instrText xml:space="preserve"> SEQ 表 \* ARABIC \s 1 </w:instrText>
            </w:r>
            <w:r>
              <w:fldChar w:fldCharType="separate"/>
            </w:r>
            <w:r>
              <w:t>14</w:t>
            </w:r>
            <w:r>
              <w:fldChar w:fldCharType="end"/>
            </w:r>
            <w:r>
              <w:rPr>
                <w:rFonts w:hint="eastAsia"/>
              </w:rPr>
              <w:t xml:space="preserve"> 本项目污水排放标准（mg/L，pH值除外）</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685"/>
              <w:gridCol w:w="1077"/>
              <w:gridCol w:w="924"/>
              <w:gridCol w:w="674"/>
              <w:gridCol w:w="820"/>
              <w:gridCol w:w="751"/>
              <w:gridCol w:w="674"/>
            </w:tblGrid>
            <w:tr w14:paraId="2C59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2" w:type="pct"/>
                  <w:tcBorders>
                    <w:top w:val="single" w:color="auto" w:sz="4" w:space="0"/>
                    <w:left w:val="single" w:color="auto" w:sz="4" w:space="0"/>
                    <w:bottom w:val="single" w:color="auto" w:sz="4" w:space="0"/>
                    <w:right w:val="single" w:color="auto" w:sz="4" w:space="0"/>
                    <w:tl2br w:val="single" w:color="auto" w:sz="4" w:space="0"/>
                  </w:tcBorders>
                  <w:vAlign w:val="center"/>
                </w:tcPr>
                <w:p w14:paraId="0559DD63">
                  <w:pPr>
                    <w:pStyle w:val="24"/>
                    <w:jc w:val="right"/>
                    <w:rPr>
                      <w:b/>
                      <w:bCs/>
                    </w:rPr>
                  </w:pPr>
                  <w:r>
                    <w:rPr>
                      <w:b/>
                      <w:bCs/>
                    </w:rPr>
                    <w:t>污染因子</w:t>
                  </w:r>
                </w:p>
                <w:p w14:paraId="638ED596">
                  <w:pPr>
                    <w:pStyle w:val="24"/>
                    <w:ind w:firstLine="181" w:firstLineChars="100"/>
                    <w:jc w:val="both"/>
                    <w:rPr>
                      <w:b/>
                      <w:bCs/>
                    </w:rPr>
                  </w:pPr>
                  <w:r>
                    <w:rPr>
                      <w:b/>
                      <w:bCs/>
                    </w:rPr>
                    <w:t>标准来源</w:t>
                  </w:r>
                </w:p>
              </w:tc>
              <w:tc>
                <w:tcPr>
                  <w:tcW w:w="437" w:type="pct"/>
                  <w:tcBorders>
                    <w:top w:val="single" w:color="auto" w:sz="4" w:space="0"/>
                    <w:left w:val="single" w:color="auto" w:sz="4" w:space="0"/>
                    <w:bottom w:val="single" w:color="auto" w:sz="4" w:space="0"/>
                    <w:right w:val="single" w:color="auto" w:sz="4" w:space="0"/>
                  </w:tcBorders>
                  <w:vAlign w:val="center"/>
                </w:tcPr>
                <w:p w14:paraId="79A4C54A">
                  <w:pPr>
                    <w:pStyle w:val="24"/>
                    <w:rPr>
                      <w:b/>
                      <w:bCs/>
                    </w:rPr>
                  </w:pPr>
                  <w:r>
                    <w:rPr>
                      <w:b/>
                      <w:bCs/>
                    </w:rPr>
                    <w:t>pH</w:t>
                  </w:r>
                </w:p>
              </w:tc>
              <w:tc>
                <w:tcPr>
                  <w:tcW w:w="687" w:type="pct"/>
                  <w:tcBorders>
                    <w:top w:val="single" w:color="auto" w:sz="4" w:space="0"/>
                    <w:left w:val="single" w:color="auto" w:sz="4" w:space="0"/>
                    <w:bottom w:val="single" w:color="auto" w:sz="4" w:space="0"/>
                    <w:right w:val="single" w:color="auto" w:sz="4" w:space="0"/>
                  </w:tcBorders>
                  <w:vAlign w:val="center"/>
                </w:tcPr>
                <w:p w14:paraId="41319401">
                  <w:pPr>
                    <w:pStyle w:val="24"/>
                    <w:rPr>
                      <w:b/>
                      <w:bCs/>
                    </w:rPr>
                  </w:pPr>
                  <w:r>
                    <w:rPr>
                      <w:b/>
                      <w:bCs/>
                    </w:rPr>
                    <w:t>COD</w:t>
                  </w:r>
                  <w:r>
                    <w:rPr>
                      <w:rFonts w:hint="eastAsia"/>
                      <w:b/>
                      <w:bCs/>
                    </w:rPr>
                    <w:t>cr</w:t>
                  </w:r>
                </w:p>
              </w:tc>
              <w:tc>
                <w:tcPr>
                  <w:tcW w:w="589" w:type="pct"/>
                  <w:tcBorders>
                    <w:top w:val="single" w:color="auto" w:sz="4" w:space="0"/>
                    <w:left w:val="single" w:color="auto" w:sz="4" w:space="0"/>
                    <w:bottom w:val="single" w:color="auto" w:sz="4" w:space="0"/>
                    <w:right w:val="single" w:color="auto" w:sz="4" w:space="0"/>
                  </w:tcBorders>
                  <w:vAlign w:val="center"/>
                </w:tcPr>
                <w:p w14:paraId="2607C866">
                  <w:pPr>
                    <w:pStyle w:val="24"/>
                    <w:rPr>
                      <w:b/>
                      <w:bCs/>
                    </w:rPr>
                  </w:pPr>
                  <w:r>
                    <w:rPr>
                      <w:b/>
                      <w:bCs/>
                    </w:rPr>
                    <w:t>BOD</w:t>
                  </w:r>
                  <w:r>
                    <w:rPr>
                      <w:b/>
                      <w:bCs/>
                      <w:vertAlign w:val="subscript"/>
                    </w:rPr>
                    <w:t>5</w:t>
                  </w:r>
                </w:p>
              </w:tc>
              <w:tc>
                <w:tcPr>
                  <w:tcW w:w="430" w:type="pct"/>
                  <w:tcBorders>
                    <w:top w:val="single" w:color="auto" w:sz="4" w:space="0"/>
                    <w:left w:val="single" w:color="auto" w:sz="4" w:space="0"/>
                    <w:bottom w:val="single" w:color="auto" w:sz="4" w:space="0"/>
                    <w:right w:val="single" w:color="auto" w:sz="4" w:space="0"/>
                  </w:tcBorders>
                  <w:vAlign w:val="center"/>
                </w:tcPr>
                <w:p w14:paraId="139FC953">
                  <w:pPr>
                    <w:pStyle w:val="24"/>
                    <w:rPr>
                      <w:b/>
                      <w:bCs/>
                    </w:rPr>
                  </w:pPr>
                  <w:r>
                    <w:rPr>
                      <w:b/>
                      <w:bCs/>
                    </w:rPr>
                    <w:t>SS</w:t>
                  </w:r>
                </w:p>
              </w:tc>
              <w:tc>
                <w:tcPr>
                  <w:tcW w:w="523" w:type="pct"/>
                  <w:tcBorders>
                    <w:top w:val="single" w:color="auto" w:sz="4" w:space="0"/>
                    <w:left w:val="single" w:color="auto" w:sz="4" w:space="0"/>
                    <w:bottom w:val="single" w:color="auto" w:sz="4" w:space="0"/>
                    <w:right w:val="single" w:color="auto" w:sz="4" w:space="0"/>
                  </w:tcBorders>
                  <w:vAlign w:val="center"/>
                </w:tcPr>
                <w:p w14:paraId="73FB2794">
                  <w:pPr>
                    <w:pStyle w:val="24"/>
                    <w:rPr>
                      <w:b/>
                      <w:bCs/>
                    </w:rPr>
                  </w:pPr>
                  <w:r>
                    <w:rPr>
                      <w:b/>
                      <w:bCs/>
                    </w:rPr>
                    <w:t>NH</w:t>
                  </w:r>
                  <w:r>
                    <w:rPr>
                      <w:b/>
                      <w:bCs/>
                      <w:vertAlign w:val="subscript"/>
                    </w:rPr>
                    <w:t>3</w:t>
                  </w:r>
                  <w:r>
                    <w:rPr>
                      <w:b/>
                      <w:bCs/>
                    </w:rPr>
                    <w:t>-N</w:t>
                  </w:r>
                </w:p>
              </w:tc>
              <w:tc>
                <w:tcPr>
                  <w:tcW w:w="479" w:type="pct"/>
                  <w:tcBorders>
                    <w:top w:val="single" w:color="auto" w:sz="4" w:space="0"/>
                    <w:left w:val="single" w:color="auto" w:sz="4" w:space="0"/>
                    <w:bottom w:val="single" w:color="auto" w:sz="4" w:space="0"/>
                    <w:right w:val="single" w:color="auto" w:sz="4" w:space="0"/>
                  </w:tcBorders>
                  <w:vAlign w:val="center"/>
                </w:tcPr>
                <w:p w14:paraId="052A3BF9">
                  <w:pPr>
                    <w:pStyle w:val="24"/>
                    <w:rPr>
                      <w:b/>
                      <w:bCs/>
                    </w:rPr>
                  </w:pPr>
                  <w:r>
                    <w:rPr>
                      <w:rFonts w:hint="eastAsia"/>
                      <w:b/>
                      <w:bCs/>
                    </w:rPr>
                    <w:t>石油类</w:t>
                  </w:r>
                </w:p>
              </w:tc>
              <w:tc>
                <w:tcPr>
                  <w:tcW w:w="429" w:type="pct"/>
                  <w:tcBorders>
                    <w:top w:val="single" w:color="auto" w:sz="4" w:space="0"/>
                    <w:left w:val="single" w:color="auto" w:sz="4" w:space="0"/>
                    <w:bottom w:val="single" w:color="auto" w:sz="4" w:space="0"/>
                    <w:right w:val="single" w:color="auto" w:sz="4" w:space="0"/>
                  </w:tcBorders>
                  <w:vAlign w:val="center"/>
                </w:tcPr>
                <w:p w14:paraId="404B85D1">
                  <w:pPr>
                    <w:pStyle w:val="24"/>
                    <w:rPr>
                      <w:b/>
                      <w:bCs/>
                    </w:rPr>
                  </w:pPr>
                  <w:r>
                    <w:rPr>
                      <w:rFonts w:hint="eastAsia"/>
                      <w:b/>
                      <w:bCs/>
                    </w:rPr>
                    <w:t>动植物油</w:t>
                  </w:r>
                </w:p>
              </w:tc>
            </w:tr>
            <w:tr w14:paraId="0721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2" w:type="pct"/>
                  <w:tcBorders>
                    <w:top w:val="single" w:color="auto" w:sz="4" w:space="0"/>
                    <w:left w:val="single" w:color="auto" w:sz="4" w:space="0"/>
                    <w:bottom w:val="single" w:color="auto" w:sz="4" w:space="0"/>
                    <w:right w:val="single" w:color="auto" w:sz="4" w:space="0"/>
                  </w:tcBorders>
                  <w:shd w:val="clear" w:color="auto" w:fill="auto"/>
                  <w:vAlign w:val="center"/>
                </w:tcPr>
                <w:p w14:paraId="7D8D79F8">
                  <w:pPr>
                    <w:pStyle w:val="24"/>
                  </w:pPr>
                  <w:r>
                    <w:t>淮南经济技术开发区工业污水处理厂</w:t>
                  </w:r>
                  <w:r>
                    <w:rPr>
                      <w:rFonts w:hint="eastAsia"/>
                    </w:rPr>
                    <w:t>接管标准</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14:paraId="378D255E">
                  <w:pPr>
                    <w:pStyle w:val="34"/>
                    <w:rPr>
                      <w:rFonts w:cs="Times New Roman"/>
                      <w:color w:val="auto"/>
                      <w:szCs w:val="18"/>
                      <w:lang w:val="en-US"/>
                    </w:rPr>
                  </w:pPr>
                  <w:r>
                    <w:rPr>
                      <w:color w:val="auto"/>
                    </w:rPr>
                    <w:t>6~9</w:t>
                  </w: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3CDF4DCE">
                  <w:pPr>
                    <w:pStyle w:val="34"/>
                    <w:rPr>
                      <w:rFonts w:cs="Times New Roman"/>
                      <w:color w:val="auto"/>
                      <w:szCs w:val="18"/>
                      <w:lang w:val="en-US"/>
                    </w:rPr>
                  </w:pPr>
                  <w:r>
                    <w:rPr>
                      <w:color w:val="auto"/>
                    </w:rPr>
                    <w:t>360</w:t>
                  </w:r>
                </w:p>
              </w:tc>
              <w:tc>
                <w:tcPr>
                  <w:tcW w:w="589" w:type="pct"/>
                  <w:tcBorders>
                    <w:top w:val="single" w:color="auto" w:sz="4" w:space="0"/>
                    <w:left w:val="single" w:color="auto" w:sz="4" w:space="0"/>
                    <w:bottom w:val="single" w:color="auto" w:sz="4" w:space="0"/>
                    <w:right w:val="single" w:color="auto" w:sz="4" w:space="0"/>
                  </w:tcBorders>
                  <w:shd w:val="clear" w:color="auto" w:fill="auto"/>
                  <w:vAlign w:val="center"/>
                </w:tcPr>
                <w:p w14:paraId="5DB8BCB0">
                  <w:pPr>
                    <w:pStyle w:val="34"/>
                    <w:rPr>
                      <w:rFonts w:cs="Times New Roman"/>
                      <w:color w:val="auto"/>
                      <w:szCs w:val="18"/>
                      <w:lang w:val="en-US"/>
                    </w:rPr>
                  </w:pPr>
                  <w:r>
                    <w:rPr>
                      <w:color w:val="auto"/>
                    </w:rPr>
                    <w:t>80</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14:paraId="132B9883">
                  <w:pPr>
                    <w:pStyle w:val="34"/>
                    <w:rPr>
                      <w:rFonts w:cs="Times New Roman"/>
                      <w:color w:val="auto"/>
                      <w:szCs w:val="18"/>
                      <w:lang w:val="en-US"/>
                    </w:rPr>
                  </w:pPr>
                  <w:r>
                    <w:rPr>
                      <w:color w:val="auto"/>
                    </w:rPr>
                    <w:t>200</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0A8694A3">
                  <w:pPr>
                    <w:pStyle w:val="34"/>
                    <w:rPr>
                      <w:rFonts w:cs="Times New Roman"/>
                      <w:color w:val="auto"/>
                      <w:szCs w:val="18"/>
                      <w:lang w:val="en-US"/>
                    </w:rPr>
                  </w:pPr>
                  <w:r>
                    <w:rPr>
                      <w:color w:val="auto"/>
                    </w:rPr>
                    <w:t>35</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6800E9C9">
                  <w:pPr>
                    <w:pStyle w:val="34"/>
                    <w:rPr>
                      <w:rFonts w:cs="Times New Roman"/>
                      <w:color w:val="auto"/>
                      <w:szCs w:val="18"/>
                      <w:lang w:val="en-US"/>
                    </w:rPr>
                  </w:pPr>
                  <w:r>
                    <w:rPr>
                      <w:rFonts w:hint="eastAsia"/>
                      <w:color w:val="auto"/>
                    </w:rPr>
                    <w:t>/</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0615A32F">
                  <w:pPr>
                    <w:pStyle w:val="34"/>
                    <w:rPr>
                      <w:rFonts w:cs="Times New Roman"/>
                      <w:color w:val="auto"/>
                      <w:szCs w:val="18"/>
                      <w:lang w:val="en-US"/>
                    </w:rPr>
                  </w:pPr>
                  <w:r>
                    <w:rPr>
                      <w:rFonts w:hint="eastAsia"/>
                      <w:color w:val="auto"/>
                    </w:rPr>
                    <w:t>/</w:t>
                  </w:r>
                </w:p>
              </w:tc>
            </w:tr>
            <w:tr w14:paraId="3E36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2" w:type="pct"/>
                  <w:tcBorders>
                    <w:top w:val="single" w:color="auto" w:sz="4" w:space="0"/>
                    <w:left w:val="single" w:color="auto" w:sz="4" w:space="0"/>
                    <w:bottom w:val="single" w:color="auto" w:sz="4" w:space="0"/>
                    <w:right w:val="single" w:color="auto" w:sz="4" w:space="0"/>
                  </w:tcBorders>
                  <w:shd w:val="clear" w:color="auto" w:fill="auto"/>
                  <w:vAlign w:val="center"/>
                </w:tcPr>
                <w:p w14:paraId="3B0448D9">
                  <w:pPr>
                    <w:pStyle w:val="24"/>
                  </w:pPr>
                  <w:r>
                    <w:t>（GB8978-1996）表</w:t>
                  </w:r>
                  <w:r>
                    <w:rPr>
                      <w:rFonts w:hint="eastAsia"/>
                    </w:rPr>
                    <w:t>4</w:t>
                  </w:r>
                  <w:r>
                    <w:t>中三级标准</w:t>
                  </w:r>
                </w:p>
              </w:tc>
              <w:tc>
                <w:tcPr>
                  <w:tcW w:w="437" w:type="pct"/>
                  <w:tcBorders>
                    <w:top w:val="single" w:color="auto" w:sz="4" w:space="0"/>
                    <w:left w:val="single" w:color="auto" w:sz="4" w:space="0"/>
                    <w:bottom w:val="single" w:color="auto" w:sz="4" w:space="0"/>
                    <w:right w:val="single" w:color="auto" w:sz="4" w:space="0"/>
                  </w:tcBorders>
                  <w:shd w:val="clear" w:color="auto" w:fill="auto"/>
                  <w:vAlign w:val="center"/>
                </w:tcPr>
                <w:p w14:paraId="2E6B6F4B">
                  <w:pPr>
                    <w:pStyle w:val="24"/>
                  </w:pPr>
                  <w:r>
                    <w:t>6~9</w:t>
                  </w: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14:paraId="6A996E81">
                  <w:pPr>
                    <w:pStyle w:val="24"/>
                  </w:pPr>
                  <w:r>
                    <w:t>500</w:t>
                  </w:r>
                </w:p>
              </w:tc>
              <w:tc>
                <w:tcPr>
                  <w:tcW w:w="589" w:type="pct"/>
                  <w:tcBorders>
                    <w:top w:val="single" w:color="auto" w:sz="4" w:space="0"/>
                    <w:left w:val="single" w:color="auto" w:sz="4" w:space="0"/>
                    <w:bottom w:val="single" w:color="auto" w:sz="4" w:space="0"/>
                    <w:right w:val="single" w:color="auto" w:sz="4" w:space="0"/>
                  </w:tcBorders>
                  <w:shd w:val="clear" w:color="auto" w:fill="auto"/>
                  <w:vAlign w:val="center"/>
                </w:tcPr>
                <w:p w14:paraId="1B313809">
                  <w:pPr>
                    <w:pStyle w:val="24"/>
                  </w:pPr>
                  <w:r>
                    <w:t>300</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14:paraId="4A3F7DB2">
                  <w:pPr>
                    <w:pStyle w:val="24"/>
                  </w:pPr>
                  <w:r>
                    <w:rPr>
                      <w:rFonts w:hint="eastAsia"/>
                    </w:rPr>
                    <w:t>400</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00C5F9FF">
                  <w:pPr>
                    <w:pStyle w:val="24"/>
                  </w:pPr>
                  <w:r>
                    <w:rPr>
                      <w:rFonts w:hint="eastAsia"/>
                    </w:rPr>
                    <w:t>--</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14:paraId="4614676E">
                  <w:pPr>
                    <w:pStyle w:val="24"/>
                  </w:pPr>
                  <w:r>
                    <w:rPr>
                      <w:rFonts w:hint="eastAsia"/>
                    </w:rPr>
                    <w:t>20</w:t>
                  </w:r>
                </w:p>
              </w:tc>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14:paraId="17D0BEDB">
                  <w:pPr>
                    <w:pStyle w:val="24"/>
                  </w:pPr>
                  <w:r>
                    <w:rPr>
                      <w:rFonts w:hint="eastAsia"/>
                    </w:rPr>
                    <w:t>100</w:t>
                  </w:r>
                </w:p>
              </w:tc>
            </w:tr>
            <w:tr w14:paraId="5788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2" w:type="pct"/>
                  <w:tcBorders>
                    <w:top w:val="single" w:color="auto" w:sz="4" w:space="0"/>
                    <w:left w:val="single" w:color="auto" w:sz="4" w:space="0"/>
                    <w:bottom w:val="single" w:color="auto" w:sz="4" w:space="0"/>
                    <w:right w:val="single" w:color="auto" w:sz="4" w:space="0"/>
                  </w:tcBorders>
                  <w:vAlign w:val="center"/>
                </w:tcPr>
                <w:p w14:paraId="4F9751E3">
                  <w:pPr>
                    <w:pStyle w:val="24"/>
                  </w:pPr>
                  <w:r>
                    <w:rPr>
                      <w:rFonts w:hint="eastAsia"/>
                    </w:rPr>
                    <w:t>本项目执行标准</w:t>
                  </w:r>
                </w:p>
              </w:tc>
              <w:tc>
                <w:tcPr>
                  <w:tcW w:w="437" w:type="pct"/>
                  <w:tcBorders>
                    <w:top w:val="single" w:color="auto" w:sz="4" w:space="0"/>
                    <w:left w:val="single" w:color="auto" w:sz="4" w:space="0"/>
                    <w:bottom w:val="single" w:color="auto" w:sz="4" w:space="0"/>
                    <w:right w:val="single" w:color="auto" w:sz="4" w:space="0"/>
                  </w:tcBorders>
                  <w:vAlign w:val="center"/>
                </w:tcPr>
                <w:p w14:paraId="7B2D4B9A">
                  <w:pPr>
                    <w:pStyle w:val="24"/>
                  </w:pPr>
                  <w:r>
                    <w:t>6~9</w:t>
                  </w:r>
                </w:p>
              </w:tc>
              <w:tc>
                <w:tcPr>
                  <w:tcW w:w="687" w:type="pct"/>
                  <w:tcBorders>
                    <w:top w:val="single" w:color="auto" w:sz="4" w:space="0"/>
                    <w:left w:val="single" w:color="auto" w:sz="4" w:space="0"/>
                    <w:bottom w:val="single" w:color="auto" w:sz="4" w:space="0"/>
                    <w:right w:val="single" w:color="auto" w:sz="4" w:space="0"/>
                  </w:tcBorders>
                  <w:vAlign w:val="center"/>
                </w:tcPr>
                <w:p w14:paraId="13BA407E">
                  <w:pPr>
                    <w:pStyle w:val="24"/>
                  </w:pPr>
                  <w:r>
                    <w:rPr>
                      <w:rFonts w:hint="eastAsia"/>
                    </w:rPr>
                    <w:t>360</w:t>
                  </w:r>
                </w:p>
              </w:tc>
              <w:tc>
                <w:tcPr>
                  <w:tcW w:w="589" w:type="pct"/>
                  <w:tcBorders>
                    <w:top w:val="single" w:color="auto" w:sz="4" w:space="0"/>
                    <w:left w:val="single" w:color="auto" w:sz="4" w:space="0"/>
                    <w:bottom w:val="single" w:color="auto" w:sz="4" w:space="0"/>
                    <w:right w:val="single" w:color="auto" w:sz="4" w:space="0"/>
                  </w:tcBorders>
                  <w:vAlign w:val="center"/>
                </w:tcPr>
                <w:p w14:paraId="6B48EAD4">
                  <w:pPr>
                    <w:pStyle w:val="24"/>
                  </w:pPr>
                  <w:r>
                    <w:rPr>
                      <w:rFonts w:hint="eastAsia"/>
                    </w:rPr>
                    <w:t>80</w:t>
                  </w:r>
                </w:p>
              </w:tc>
              <w:tc>
                <w:tcPr>
                  <w:tcW w:w="430" w:type="pct"/>
                  <w:tcBorders>
                    <w:top w:val="single" w:color="auto" w:sz="4" w:space="0"/>
                    <w:left w:val="single" w:color="auto" w:sz="4" w:space="0"/>
                    <w:bottom w:val="single" w:color="auto" w:sz="4" w:space="0"/>
                    <w:right w:val="single" w:color="auto" w:sz="4" w:space="0"/>
                  </w:tcBorders>
                  <w:vAlign w:val="center"/>
                </w:tcPr>
                <w:p w14:paraId="6765A4AD">
                  <w:pPr>
                    <w:pStyle w:val="24"/>
                  </w:pPr>
                  <w:r>
                    <w:rPr>
                      <w:rFonts w:hint="eastAsia"/>
                    </w:rPr>
                    <w:t>200</w:t>
                  </w:r>
                </w:p>
              </w:tc>
              <w:tc>
                <w:tcPr>
                  <w:tcW w:w="523" w:type="pct"/>
                  <w:tcBorders>
                    <w:top w:val="single" w:color="auto" w:sz="4" w:space="0"/>
                    <w:left w:val="single" w:color="auto" w:sz="4" w:space="0"/>
                    <w:bottom w:val="single" w:color="auto" w:sz="4" w:space="0"/>
                    <w:right w:val="single" w:color="auto" w:sz="4" w:space="0"/>
                  </w:tcBorders>
                  <w:vAlign w:val="center"/>
                </w:tcPr>
                <w:p w14:paraId="416B5CC9">
                  <w:pPr>
                    <w:pStyle w:val="24"/>
                  </w:pPr>
                  <w:r>
                    <w:rPr>
                      <w:rFonts w:hint="eastAsia"/>
                    </w:rPr>
                    <w:t>35</w:t>
                  </w:r>
                </w:p>
              </w:tc>
              <w:tc>
                <w:tcPr>
                  <w:tcW w:w="479" w:type="pct"/>
                  <w:tcBorders>
                    <w:top w:val="single" w:color="auto" w:sz="4" w:space="0"/>
                    <w:left w:val="single" w:color="auto" w:sz="4" w:space="0"/>
                    <w:bottom w:val="single" w:color="auto" w:sz="4" w:space="0"/>
                    <w:right w:val="single" w:color="auto" w:sz="4" w:space="0"/>
                  </w:tcBorders>
                  <w:vAlign w:val="center"/>
                </w:tcPr>
                <w:p w14:paraId="4ED35FFD">
                  <w:pPr>
                    <w:pStyle w:val="24"/>
                  </w:pPr>
                  <w:r>
                    <w:rPr>
                      <w:rFonts w:hint="eastAsia"/>
                    </w:rPr>
                    <w:t>20</w:t>
                  </w:r>
                </w:p>
              </w:tc>
              <w:tc>
                <w:tcPr>
                  <w:tcW w:w="429" w:type="pct"/>
                  <w:tcBorders>
                    <w:top w:val="single" w:color="auto" w:sz="4" w:space="0"/>
                    <w:left w:val="single" w:color="auto" w:sz="4" w:space="0"/>
                    <w:bottom w:val="single" w:color="auto" w:sz="4" w:space="0"/>
                    <w:right w:val="single" w:color="auto" w:sz="4" w:space="0"/>
                  </w:tcBorders>
                  <w:vAlign w:val="center"/>
                </w:tcPr>
                <w:p w14:paraId="1E164601">
                  <w:pPr>
                    <w:pStyle w:val="24"/>
                  </w:pPr>
                  <w:r>
                    <w:rPr>
                      <w:rFonts w:hint="eastAsia"/>
                    </w:rPr>
                    <w:t>100</w:t>
                  </w:r>
                </w:p>
              </w:tc>
            </w:tr>
          </w:tbl>
          <w:p w14:paraId="220DB6B8">
            <w:pPr>
              <w:ind w:firstLine="480" w:firstLineChars="200"/>
            </w:pPr>
            <w:r>
              <w:rPr>
                <w:rFonts w:hint="eastAsia"/>
              </w:rPr>
              <w:t>（3）噪声排放标准</w:t>
            </w:r>
          </w:p>
          <w:p w14:paraId="03277B54">
            <w:pPr>
              <w:ind w:firstLine="480" w:firstLineChars="200"/>
              <w:rPr>
                <w:color w:val="0000FF"/>
              </w:rPr>
            </w:pPr>
            <w:bookmarkStart w:id="27" w:name="OLE_LINK23"/>
            <w:r>
              <w:t>本项目运营期厂界</w:t>
            </w:r>
            <w:r>
              <w:rPr>
                <w:rFonts w:hint="eastAsia"/>
              </w:rPr>
              <w:t>西、南</w:t>
            </w:r>
            <w:r>
              <w:t>侧噪声执行《工业企业厂界环境噪声排放标准》（GB12348-2008）中</w:t>
            </w:r>
            <w:r>
              <w:rPr>
                <w:rFonts w:hint="eastAsia"/>
              </w:rPr>
              <w:t>2</w:t>
            </w:r>
            <w:r>
              <w:t>类标准；西侧</w:t>
            </w:r>
            <w:r>
              <w:rPr>
                <w:rFonts w:hint="eastAsia"/>
              </w:rPr>
              <w:t>临</w:t>
            </w:r>
            <w:r>
              <w:t>206国道，</w:t>
            </w:r>
            <w:r>
              <w:rPr>
                <w:rFonts w:hint="eastAsia"/>
              </w:rPr>
              <w:t>北侧临朝阳路，</w:t>
            </w:r>
            <w:r>
              <w:t>噪声执行《工业企业厂界环境噪声排放标准》（GB12348-2008）中4类标准，噪声执行具体数值详见下表。</w:t>
            </w:r>
            <w:bookmarkEnd w:id="27"/>
          </w:p>
          <w:p w14:paraId="1CB2E7C3">
            <w:pPr>
              <w:pStyle w:val="6"/>
            </w:pPr>
            <w:r>
              <w:t xml:space="preserve">表 </w:t>
            </w:r>
            <w:r>
              <w:rPr>
                <w:rFonts w:hint="eastAsia"/>
              </w:rPr>
              <w:t>3-</w:t>
            </w:r>
            <w:r>
              <w:fldChar w:fldCharType="begin"/>
            </w:r>
            <w:r>
              <w:instrText xml:space="preserve"> SEQ 表 \* ARABIC \s 1 </w:instrText>
            </w:r>
            <w:r>
              <w:fldChar w:fldCharType="separate"/>
            </w:r>
            <w:r>
              <w:t>15</w:t>
            </w:r>
            <w:r>
              <w:fldChar w:fldCharType="end"/>
            </w:r>
            <w:r>
              <w:rPr>
                <w:rFonts w:hint="eastAsia"/>
              </w:rPr>
              <w:t xml:space="preserve"> </w:t>
            </w:r>
            <w:r>
              <w:t>《工业企业厂界环境噪声排放标准》（GB12348-2008）</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59"/>
              <w:gridCol w:w="1759"/>
              <w:gridCol w:w="1759"/>
              <w:gridCol w:w="1760"/>
            </w:tblGrid>
            <w:tr w14:paraId="494F4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0" w:type="dxa"/>
                  <w:vMerge w:val="restart"/>
                  <w:tcBorders>
                    <w:top w:val="single" w:color="000000" w:sz="4" w:space="0"/>
                    <w:left w:val="single" w:color="000000" w:sz="4" w:space="0"/>
                    <w:right w:val="single" w:color="000000" w:sz="4" w:space="0"/>
                  </w:tcBorders>
                  <w:vAlign w:val="center"/>
                </w:tcPr>
                <w:p w14:paraId="1671D7B2">
                  <w:pPr>
                    <w:pStyle w:val="24"/>
                  </w:pPr>
                  <w:r>
                    <w:rPr>
                      <w:rFonts w:hint="eastAsia"/>
                    </w:rPr>
                    <w:t>执行区域</w:t>
                  </w:r>
                </w:p>
              </w:tc>
              <w:tc>
                <w:tcPr>
                  <w:tcW w:w="340" w:type="dxa"/>
                  <w:vMerge w:val="restart"/>
                  <w:tcBorders>
                    <w:top w:val="single" w:color="000000" w:sz="4" w:space="0"/>
                    <w:left w:val="single" w:color="000000" w:sz="4" w:space="0"/>
                    <w:right w:val="single" w:color="000000" w:sz="4" w:space="0"/>
                  </w:tcBorders>
                  <w:vAlign w:val="center"/>
                </w:tcPr>
                <w:p w14:paraId="286C8675">
                  <w:pPr>
                    <w:pStyle w:val="24"/>
                  </w:pPr>
                  <w:r>
                    <w:rPr>
                      <w:rFonts w:hint="eastAsia"/>
                    </w:rPr>
                    <w:t>类别</w:t>
                  </w:r>
                </w:p>
              </w:tc>
              <w:tc>
                <w:tcPr>
                  <w:tcW w:w="340" w:type="dxa"/>
                  <w:gridSpan w:val="2"/>
                  <w:tcBorders>
                    <w:top w:val="single" w:color="000000" w:sz="4" w:space="0"/>
                    <w:left w:val="single" w:color="000000" w:sz="4" w:space="0"/>
                    <w:bottom w:val="single" w:color="auto" w:sz="4" w:space="0"/>
                    <w:right w:val="single" w:color="000000" w:sz="4" w:space="0"/>
                  </w:tcBorders>
                  <w:vAlign w:val="center"/>
                </w:tcPr>
                <w:p w14:paraId="666EF238">
                  <w:pPr>
                    <w:pStyle w:val="24"/>
                  </w:pPr>
                  <w:r>
                    <w:rPr>
                      <w:rFonts w:hint="eastAsia"/>
                    </w:rPr>
                    <w:t>环境噪声标准限值</w:t>
                  </w:r>
                </w:p>
              </w:tc>
            </w:tr>
            <w:tr w14:paraId="42CE7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0" w:type="dxa"/>
                  <w:vMerge w:val="continue"/>
                  <w:tcBorders>
                    <w:left w:val="single" w:color="000000" w:sz="4" w:space="0"/>
                    <w:bottom w:val="single" w:color="000000" w:sz="4" w:space="0"/>
                    <w:right w:val="single" w:color="000000" w:sz="4" w:space="0"/>
                  </w:tcBorders>
                  <w:vAlign w:val="center"/>
                </w:tcPr>
                <w:p w14:paraId="012F11ED">
                  <w:pPr>
                    <w:pStyle w:val="24"/>
                  </w:pPr>
                </w:p>
              </w:tc>
              <w:tc>
                <w:tcPr>
                  <w:tcW w:w="340" w:type="dxa"/>
                  <w:vMerge w:val="continue"/>
                  <w:tcBorders>
                    <w:left w:val="single" w:color="000000" w:sz="4" w:space="0"/>
                    <w:bottom w:val="single" w:color="000000" w:sz="4" w:space="0"/>
                    <w:right w:val="single" w:color="000000" w:sz="4" w:space="0"/>
                  </w:tcBorders>
                  <w:vAlign w:val="center"/>
                </w:tcPr>
                <w:p w14:paraId="05CF5BD0">
                  <w:pPr>
                    <w:pStyle w:val="24"/>
                  </w:pPr>
                </w:p>
              </w:tc>
              <w:tc>
                <w:tcPr>
                  <w:tcW w:w="340" w:type="dxa"/>
                  <w:tcBorders>
                    <w:top w:val="single" w:color="auto" w:sz="4" w:space="0"/>
                    <w:left w:val="single" w:color="000000" w:sz="4" w:space="0"/>
                    <w:bottom w:val="single" w:color="000000" w:sz="4" w:space="0"/>
                    <w:right w:val="single" w:color="auto" w:sz="4" w:space="0"/>
                  </w:tcBorders>
                  <w:vAlign w:val="center"/>
                </w:tcPr>
                <w:p w14:paraId="7F01DC34">
                  <w:pPr>
                    <w:pStyle w:val="24"/>
                  </w:pPr>
                  <w:r>
                    <w:rPr>
                      <w:rFonts w:hint="eastAsia"/>
                    </w:rPr>
                    <w:t>昼间</w:t>
                  </w:r>
                </w:p>
              </w:tc>
              <w:tc>
                <w:tcPr>
                  <w:tcW w:w="340" w:type="dxa"/>
                  <w:tcBorders>
                    <w:top w:val="single" w:color="auto" w:sz="4" w:space="0"/>
                    <w:left w:val="single" w:color="auto" w:sz="4" w:space="0"/>
                    <w:bottom w:val="single" w:color="000000" w:sz="4" w:space="0"/>
                    <w:right w:val="single" w:color="000000" w:sz="4" w:space="0"/>
                  </w:tcBorders>
                  <w:vAlign w:val="center"/>
                </w:tcPr>
                <w:p w14:paraId="0569B196">
                  <w:pPr>
                    <w:pStyle w:val="24"/>
                  </w:pPr>
                  <w:r>
                    <w:rPr>
                      <w:rFonts w:hint="eastAsia"/>
                    </w:rPr>
                    <w:t>夜间</w:t>
                  </w:r>
                </w:p>
              </w:tc>
            </w:tr>
            <w:tr w14:paraId="7FDAE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0" w:type="dxa"/>
                  <w:tcBorders>
                    <w:top w:val="single" w:color="000000" w:sz="4" w:space="0"/>
                    <w:left w:val="single" w:color="000000" w:sz="4" w:space="0"/>
                    <w:bottom w:val="single" w:color="auto" w:sz="4" w:space="0"/>
                    <w:right w:val="single" w:color="000000" w:sz="4" w:space="0"/>
                  </w:tcBorders>
                  <w:vAlign w:val="center"/>
                </w:tcPr>
                <w:p w14:paraId="04CF1F19">
                  <w:pPr>
                    <w:pStyle w:val="24"/>
                  </w:pPr>
                  <w:r>
                    <w:rPr>
                      <w:rFonts w:hint="eastAsia"/>
                    </w:rPr>
                    <w:t>西、南侧厂界</w:t>
                  </w:r>
                </w:p>
              </w:tc>
              <w:tc>
                <w:tcPr>
                  <w:tcW w:w="340" w:type="dxa"/>
                  <w:tcBorders>
                    <w:top w:val="single" w:color="000000" w:sz="4" w:space="0"/>
                    <w:left w:val="single" w:color="000000" w:sz="4" w:space="0"/>
                    <w:bottom w:val="single" w:color="000000" w:sz="4" w:space="0"/>
                    <w:right w:val="single" w:color="000000" w:sz="4" w:space="0"/>
                  </w:tcBorders>
                  <w:vAlign w:val="center"/>
                </w:tcPr>
                <w:p w14:paraId="18E8C43F">
                  <w:pPr>
                    <w:pStyle w:val="24"/>
                  </w:pPr>
                  <w:r>
                    <w:rPr>
                      <w:rFonts w:hint="eastAsia"/>
                    </w:rPr>
                    <w:t>2类标准</w:t>
                  </w:r>
                </w:p>
              </w:tc>
              <w:tc>
                <w:tcPr>
                  <w:tcW w:w="340" w:type="dxa"/>
                  <w:tcBorders>
                    <w:top w:val="single" w:color="000000" w:sz="4" w:space="0"/>
                    <w:left w:val="single" w:color="000000" w:sz="4" w:space="0"/>
                    <w:bottom w:val="single" w:color="000000" w:sz="4" w:space="0"/>
                    <w:right w:val="single" w:color="auto" w:sz="4" w:space="0"/>
                  </w:tcBorders>
                  <w:vAlign w:val="center"/>
                </w:tcPr>
                <w:p w14:paraId="34BD6746">
                  <w:pPr>
                    <w:pStyle w:val="24"/>
                  </w:pPr>
                  <w:r>
                    <w:rPr>
                      <w:rFonts w:hint="eastAsia"/>
                    </w:rPr>
                    <w:t>60</w:t>
                  </w:r>
                </w:p>
              </w:tc>
              <w:tc>
                <w:tcPr>
                  <w:tcW w:w="340" w:type="dxa"/>
                  <w:tcBorders>
                    <w:top w:val="single" w:color="000000" w:sz="4" w:space="0"/>
                    <w:left w:val="single" w:color="auto" w:sz="4" w:space="0"/>
                    <w:bottom w:val="single" w:color="000000" w:sz="4" w:space="0"/>
                    <w:right w:val="single" w:color="000000" w:sz="4" w:space="0"/>
                  </w:tcBorders>
                  <w:vAlign w:val="center"/>
                </w:tcPr>
                <w:p w14:paraId="612FBFB8">
                  <w:pPr>
                    <w:pStyle w:val="24"/>
                  </w:pPr>
                  <w:r>
                    <w:rPr>
                      <w:rFonts w:hint="eastAsia"/>
                    </w:rPr>
                    <w:t>50</w:t>
                  </w:r>
                </w:p>
              </w:tc>
            </w:tr>
            <w:tr w14:paraId="0BBE9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40" w:type="dxa"/>
                  <w:tcBorders>
                    <w:top w:val="single" w:color="auto" w:sz="4" w:space="0"/>
                    <w:left w:val="single" w:color="000000" w:sz="4" w:space="0"/>
                    <w:bottom w:val="single" w:color="auto" w:sz="4" w:space="0"/>
                    <w:right w:val="single" w:color="000000" w:sz="4" w:space="0"/>
                  </w:tcBorders>
                  <w:vAlign w:val="center"/>
                </w:tcPr>
                <w:p w14:paraId="0BE1F5C5">
                  <w:pPr>
                    <w:pStyle w:val="24"/>
                  </w:pPr>
                  <w:r>
                    <w:rPr>
                      <w:rFonts w:hint="eastAsia"/>
                    </w:rPr>
                    <w:t>东、北侧厂界</w:t>
                  </w:r>
                </w:p>
              </w:tc>
              <w:tc>
                <w:tcPr>
                  <w:tcW w:w="340" w:type="dxa"/>
                  <w:tcBorders>
                    <w:top w:val="single" w:color="000000" w:sz="4" w:space="0"/>
                    <w:left w:val="single" w:color="000000" w:sz="4" w:space="0"/>
                    <w:bottom w:val="single" w:color="auto" w:sz="4" w:space="0"/>
                    <w:right w:val="single" w:color="000000" w:sz="4" w:space="0"/>
                  </w:tcBorders>
                  <w:vAlign w:val="center"/>
                </w:tcPr>
                <w:p w14:paraId="769E4820">
                  <w:pPr>
                    <w:pStyle w:val="24"/>
                  </w:pPr>
                  <w:r>
                    <w:rPr>
                      <w:rFonts w:hint="eastAsia"/>
                    </w:rPr>
                    <w:t>4类标准</w:t>
                  </w:r>
                </w:p>
              </w:tc>
              <w:tc>
                <w:tcPr>
                  <w:tcW w:w="340" w:type="dxa"/>
                  <w:tcBorders>
                    <w:top w:val="single" w:color="000000" w:sz="4" w:space="0"/>
                    <w:left w:val="single" w:color="000000" w:sz="4" w:space="0"/>
                    <w:bottom w:val="single" w:color="auto" w:sz="4" w:space="0"/>
                    <w:right w:val="single" w:color="auto" w:sz="4" w:space="0"/>
                  </w:tcBorders>
                  <w:vAlign w:val="center"/>
                </w:tcPr>
                <w:p w14:paraId="3141F15B">
                  <w:pPr>
                    <w:pStyle w:val="24"/>
                  </w:pPr>
                  <w:r>
                    <w:rPr>
                      <w:rFonts w:hint="eastAsia"/>
                    </w:rPr>
                    <w:t>70</w:t>
                  </w:r>
                </w:p>
              </w:tc>
              <w:tc>
                <w:tcPr>
                  <w:tcW w:w="340" w:type="dxa"/>
                  <w:tcBorders>
                    <w:top w:val="single" w:color="000000" w:sz="4" w:space="0"/>
                    <w:left w:val="single" w:color="auto" w:sz="4" w:space="0"/>
                    <w:bottom w:val="single" w:color="auto" w:sz="4" w:space="0"/>
                    <w:right w:val="single" w:color="000000" w:sz="4" w:space="0"/>
                  </w:tcBorders>
                  <w:vAlign w:val="center"/>
                </w:tcPr>
                <w:p w14:paraId="49D5021B">
                  <w:pPr>
                    <w:pStyle w:val="24"/>
                  </w:pPr>
                  <w:r>
                    <w:rPr>
                      <w:rFonts w:hint="eastAsia"/>
                    </w:rPr>
                    <w:t>55</w:t>
                  </w:r>
                </w:p>
              </w:tc>
            </w:tr>
          </w:tbl>
          <w:p w14:paraId="2A671BD5">
            <w:pPr>
              <w:ind w:firstLine="480" w:firstLineChars="200"/>
            </w:pPr>
            <w:r>
              <w:rPr>
                <w:rFonts w:hint="eastAsia"/>
              </w:rPr>
              <w:t>（4）固体废物排放标准</w:t>
            </w:r>
          </w:p>
          <w:p w14:paraId="50A38801">
            <w:pPr>
              <w:ind w:firstLine="480" w:firstLineChars="200"/>
              <w:rPr>
                <w:color w:val="0000FF"/>
              </w:rPr>
            </w:pPr>
            <w:r>
              <w:rPr>
                <w:rFonts w:hint="eastAsia"/>
              </w:rPr>
              <w:t>项目</w:t>
            </w:r>
            <w:r>
              <w:t>固体废物</w:t>
            </w:r>
            <w:r>
              <w:rPr>
                <w:rFonts w:hint="eastAsia"/>
              </w:rPr>
              <w:t>参照执行</w:t>
            </w:r>
            <w:r>
              <w:t>《一般工业固体废物</w:t>
            </w:r>
            <w:r>
              <w:rPr>
                <w:rFonts w:hint="eastAsia"/>
              </w:rPr>
              <w:t>贮存和填埋</w:t>
            </w:r>
            <w:r>
              <w:t>污染</w:t>
            </w:r>
            <w:r>
              <w:rPr>
                <w:rFonts w:hint="eastAsia"/>
              </w:rPr>
              <w:t>物</w:t>
            </w:r>
            <w:r>
              <w:t>控制标准》（GB18599-20</w:t>
            </w:r>
            <w:r>
              <w:rPr>
                <w:rFonts w:hint="eastAsia"/>
              </w:rPr>
              <w:t>20</w:t>
            </w:r>
            <w:r>
              <w:t>）中的相关</w:t>
            </w:r>
            <w:r>
              <w:rPr>
                <w:rFonts w:hint="eastAsia"/>
              </w:rPr>
              <w:t>规定，危险废物执行</w:t>
            </w:r>
            <w:r>
              <w:t>《</w:t>
            </w:r>
            <w:r>
              <w:rPr>
                <w:rFonts w:hint="eastAsia"/>
              </w:rPr>
              <w:t>危险废物贮存污染控制标准</w:t>
            </w:r>
            <w:r>
              <w:t>》</w:t>
            </w:r>
            <w:r>
              <w:rPr>
                <w:rFonts w:hint="eastAsia"/>
              </w:rPr>
              <w:t>（GB18597-2023）规定。</w:t>
            </w:r>
          </w:p>
        </w:tc>
      </w:tr>
      <w:tr w14:paraId="371B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2" w:hRule="atLeast"/>
        </w:trPr>
        <w:tc>
          <w:tcPr>
            <w:tcW w:w="452" w:type="dxa"/>
            <w:vAlign w:val="center"/>
          </w:tcPr>
          <w:p w14:paraId="61A3D8AA">
            <w:pPr>
              <w:jc w:val="center"/>
            </w:pPr>
            <w:r>
              <w:rPr>
                <w:rFonts w:hint="eastAsia"/>
              </w:rPr>
              <w:t>总量控制指标</w:t>
            </w:r>
          </w:p>
        </w:tc>
        <w:tc>
          <w:tcPr>
            <w:tcW w:w="8070" w:type="dxa"/>
          </w:tcPr>
          <w:p w14:paraId="65BBCFA4">
            <w:pPr>
              <w:ind w:firstLine="480" w:firstLineChars="200"/>
            </w:pPr>
            <w:r>
              <w:rPr>
                <w:rFonts w:hint="eastAsia"/>
              </w:rPr>
              <w:t>根据“安徽省环保厅关于进一步加强建设项目新增大气主要污染物总量指标管理工作的通知”中有关规定，大气主要污染物总量指标从两项增加为四项，在</w:t>
            </w:r>
            <w:r>
              <w:t>SO</w:t>
            </w:r>
            <w:r>
              <w:rPr>
                <w:vertAlign w:val="subscript"/>
              </w:rPr>
              <w:t>2</w:t>
            </w:r>
            <w:r>
              <w:rPr>
                <w:rFonts w:hint="eastAsia"/>
              </w:rPr>
              <w:t>、</w:t>
            </w:r>
            <w:r>
              <w:t>NO</w:t>
            </w:r>
            <w:r>
              <w:rPr>
                <w:vertAlign w:val="subscript"/>
              </w:rPr>
              <w:t>x</w:t>
            </w:r>
            <w:r>
              <w:rPr>
                <w:rFonts w:hint="eastAsia"/>
              </w:rPr>
              <w:t>的基础上增加烟（粉）尘、挥发性有机物两项指标。</w:t>
            </w:r>
          </w:p>
          <w:p w14:paraId="7119B745">
            <w:pPr>
              <w:ind w:firstLine="480" w:firstLineChars="200"/>
              <w:rPr>
                <w:highlight w:val="yellow"/>
              </w:rPr>
            </w:pPr>
            <w:r>
              <w:rPr>
                <w:rFonts w:hint="eastAsia"/>
                <w:shd w:val="clear" w:color="auto" w:fill="FFFFFF" w:themeFill="background1"/>
              </w:rPr>
              <w:t>本项目产生的废气主要为非甲烷总烃，均为无组织排放，无需申请总量。</w:t>
            </w:r>
          </w:p>
          <w:p w14:paraId="0298B31A">
            <w:pPr>
              <w:ind w:firstLine="480" w:firstLineChars="200"/>
            </w:pPr>
            <w:r>
              <w:rPr>
                <w:rFonts w:hint="eastAsia"/>
              </w:rPr>
              <w:t>废水：本项目废水经污水总排口排入经济技术开发区工业污水处理厂，最终排入淮河。排放总量指标纳入经济技术开发区工业污水处理厂污染物总量控制指标统一考核，无需另外申请总量指标。</w:t>
            </w:r>
          </w:p>
        </w:tc>
      </w:tr>
    </w:tbl>
    <w:p w14:paraId="1477FACC">
      <w:pPr>
        <w:rPr>
          <w:color w:val="0000FF"/>
        </w:rPr>
        <w:sectPr>
          <w:pgSz w:w="11906" w:h="16838"/>
          <w:pgMar w:top="1440" w:right="1800" w:bottom="1440" w:left="1800" w:header="851" w:footer="992" w:gutter="0"/>
          <w:cols w:space="425" w:num="1"/>
          <w:docGrid w:type="lines" w:linePitch="312" w:charSpace="0"/>
        </w:sectPr>
      </w:pPr>
    </w:p>
    <w:p w14:paraId="64926B7D">
      <w:pPr>
        <w:pStyle w:val="2"/>
      </w:pPr>
      <w:bookmarkStart w:id="28" w:name="_Toc1251"/>
      <w:r>
        <w:rPr>
          <w:rFonts w:hint="eastAsia"/>
        </w:rPr>
        <w:t>四、主要环境影响和保护措施</w:t>
      </w:r>
      <w:bookmarkEnd w:id="28"/>
    </w:p>
    <w:tbl>
      <w:tblPr>
        <w:tblStyle w:val="19"/>
        <w:tblW w:w="8558"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7830"/>
        <w:gridCol w:w="240"/>
      </w:tblGrid>
      <w:tr w14:paraId="0FD7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vAlign w:val="center"/>
          </w:tcPr>
          <w:p w14:paraId="60328B07">
            <w:pPr>
              <w:jc w:val="center"/>
              <w:rPr>
                <w:color w:val="0000FF"/>
              </w:rPr>
            </w:pPr>
            <w:r>
              <w:rPr>
                <w:rFonts w:hint="eastAsia"/>
              </w:rPr>
              <w:t>施工期环境保护措施</w:t>
            </w:r>
          </w:p>
        </w:tc>
        <w:tc>
          <w:tcPr>
            <w:tcW w:w="7830" w:type="dxa"/>
          </w:tcPr>
          <w:p w14:paraId="0E0C659C">
            <w:pPr>
              <w:shd w:val="clear" w:color="auto" w:fill="FFFFFF" w:themeFill="background1"/>
            </w:pPr>
            <w:r>
              <w:rPr>
                <w:rFonts w:hint="eastAsia"/>
              </w:rPr>
              <w:t>1、</w:t>
            </w:r>
            <w:r>
              <w:t>施工期大气环境保护措施</w:t>
            </w:r>
          </w:p>
          <w:p w14:paraId="0CA2D1E4">
            <w:pPr>
              <w:shd w:val="clear" w:color="auto" w:fill="FFFFFF" w:themeFill="background1"/>
              <w:ind w:firstLine="480" w:firstLineChars="200"/>
            </w:pPr>
            <w:r>
              <w:rPr>
                <w:rFonts w:hint="eastAsia"/>
              </w:rPr>
              <w:t>（1）</w:t>
            </w:r>
            <w:r>
              <w:t>施工扬尘</w:t>
            </w:r>
          </w:p>
          <w:p w14:paraId="5D5ABE7D">
            <w:pPr>
              <w:shd w:val="clear" w:color="auto" w:fill="FFFFFF" w:themeFill="background1"/>
              <w:ind w:firstLine="480" w:firstLineChars="200"/>
            </w:pPr>
            <w:r>
              <w:t>为了减轻施工期扬尘对周边敏感点生活环境产生污染影响，针对施工期扬尘境问题，</w:t>
            </w:r>
            <w:r>
              <w:rPr>
                <w:rFonts w:hint="eastAsia"/>
              </w:rPr>
              <w:t>建筑工程施工现场扬尘污染防治应做到施工范围全覆盖，同时做到工地周边围挡、物料堆放覆盖、路面硬化、土方开挖湿法作业、出入车辆清洗、渣土车辆密闭运输“六个百分之百”。</w:t>
            </w:r>
          </w:p>
          <w:p w14:paraId="7D4AB71E">
            <w:pPr>
              <w:shd w:val="clear" w:color="auto" w:fill="FFFFFF" w:themeFill="background1"/>
              <w:ind w:firstLine="480" w:firstLineChars="200"/>
            </w:pPr>
            <w:r>
              <w:t>在施工期拟采取如下控制措施：</w:t>
            </w:r>
          </w:p>
          <w:p w14:paraId="366007D0">
            <w:pPr>
              <w:ind w:firstLine="480" w:firstLineChars="200"/>
            </w:pPr>
            <w:r>
              <w:t>①在场地围墙拆除、场地平整、地基开挖等施工过程中，作业场地四周设置1.8～2.5m高围挡，以减少扬尘扩散；围挡对减少扬尘有明显作用，当风速为2.5m/s时可使影响距离缩短40%。</w:t>
            </w:r>
          </w:p>
          <w:p w14:paraId="1D18919A">
            <w:pPr>
              <w:ind w:firstLine="480" w:firstLineChars="200"/>
            </w:pPr>
            <w:r>
              <w:t>②安排专职员工对施工场地进行洒水，采取随挖随洒水，保持一定湿度，最大限度减少扬尘量，洒水次数根据天气状况而定，一般每天早、午、晚各洒水1次，若遇大风或干燥天气可适当增加洒水次数。施工场地洒水与否对扬尘的影响很大，场地洒水后，扬尘量将降低75%以上，可大大减少其对环境的影响。</w:t>
            </w:r>
          </w:p>
          <w:p w14:paraId="52968F05">
            <w:pPr>
              <w:ind w:firstLine="480" w:firstLineChars="200"/>
            </w:pPr>
            <w:r>
              <w:t>③对运载建筑材料及建筑垃圾的车辆加盖蓬布以减少洒落，车辆行驶线路应避开居民区及中心区。施工场地出口设一座车辆清洗池，车辆驶出施工场地前，应将车厢外和轮胎冲洗干净，避免车辆将泥土带到道路上产生二次扬尘，冲洗水沉淀后循环使用。</w:t>
            </w:r>
          </w:p>
          <w:p w14:paraId="74F996FE">
            <w:pPr>
              <w:ind w:firstLine="480" w:firstLineChars="200"/>
            </w:pPr>
            <w:r>
              <w:t>④在施工场地设置专人监管建筑垃圾、建筑材料的堆放、清运和处置，必要时加盖蓬布或洒水，防止二次扬尘污染。</w:t>
            </w:r>
          </w:p>
          <w:p w14:paraId="262288DC">
            <w:pPr>
              <w:ind w:firstLine="480" w:firstLineChars="200"/>
            </w:pPr>
            <w:r>
              <w:t>⑤对建筑垃圾及时处理、清运，以减少占地，防止扬尘污染，改善施工场地的环境。</w:t>
            </w:r>
          </w:p>
          <w:p w14:paraId="15E919B2">
            <w:pPr>
              <w:ind w:firstLine="480" w:firstLineChars="200"/>
            </w:pPr>
            <w:r>
              <w:t>⑥施工现场禁止烧煤、沥青、油毡、橡胶、塑料、皮革、垃圾及其它产生有毒、有害烟尘或恶臭气体的物质。</w:t>
            </w:r>
          </w:p>
          <w:p w14:paraId="2A8B76DD">
            <w:pPr>
              <w:ind w:firstLine="480" w:firstLineChars="200"/>
            </w:pPr>
            <w:r>
              <w:t>⑦坚决查处超载行为，防止路面受损。同时尽量选择对周围环境影响较小的运输路线，并限制施工区内运输车辆的车速，将卡车在施工场地的车速减至10km/h，其他区域减至30km/h。</w:t>
            </w:r>
          </w:p>
          <w:p w14:paraId="435BD4C7">
            <w:pPr>
              <w:ind w:firstLine="480" w:firstLineChars="200"/>
            </w:pPr>
            <w:r>
              <w:t>⑧</w:t>
            </w:r>
            <w:r>
              <w:rPr>
                <w:rFonts w:hint="eastAsia"/>
              </w:rPr>
              <w:t>施工</w:t>
            </w:r>
            <w:r>
              <w:t>过程会产生一定量的扬尘，采取边界围挡、裸露地面和物料覆盖和洒水抑尘等措施可控制一定的扬尘量。</w:t>
            </w:r>
            <w:r>
              <w:rPr>
                <w:rFonts w:hint="eastAsia"/>
              </w:rPr>
              <w:t>项目区域北侧距离敏感点（刘小村）较近，应在厂界北面设置1.2m以上围挡设施，可有效防止施工及拆除过程产生扬尘对敏感点的影响</w:t>
            </w:r>
            <w:r>
              <w:t>。</w:t>
            </w:r>
          </w:p>
          <w:p w14:paraId="34FE9DA0">
            <w:pPr>
              <w:ind w:firstLine="480" w:firstLineChars="200"/>
            </w:pPr>
            <w:r>
              <w:rPr>
                <w:rFonts w:hint="eastAsia"/>
              </w:rPr>
              <w:t>（2）</w:t>
            </w:r>
            <w:r>
              <w:t>施工机械废气</w:t>
            </w:r>
          </w:p>
          <w:p w14:paraId="26F1D9F8">
            <w:pPr>
              <w:ind w:firstLine="480" w:firstLineChars="200"/>
            </w:pPr>
            <w:r>
              <w:t>以燃油为动力的施工机械、运输车辆等在施工场地附近排放一定量的废气，因施工点较为分散，且施工场地周围空旷，施工机械废气易扩散，很难积累。因此，只要加强设备维护，控制排放未完全燃烧的黑烟，对周围环境空气将不会有较大的影响。</w:t>
            </w:r>
          </w:p>
          <w:p w14:paraId="2743C694">
            <w:r>
              <w:rPr>
                <w:rFonts w:hint="eastAsia"/>
              </w:rPr>
              <w:t>2、</w:t>
            </w:r>
            <w:r>
              <w:t>施工期水环境保护措施</w:t>
            </w:r>
          </w:p>
          <w:p w14:paraId="6E25DA2E">
            <w:pPr>
              <w:ind w:firstLine="480" w:firstLineChars="200"/>
            </w:pPr>
            <w:r>
              <w:t>项目施工期间产生的废水主要包括施工人员的生活污水、建筑施工废水。</w:t>
            </w:r>
          </w:p>
          <w:p w14:paraId="3D2FFC50">
            <w:pPr>
              <w:ind w:firstLine="480" w:firstLineChars="200"/>
            </w:pPr>
            <w:r>
              <w:rPr>
                <w:rFonts w:hint="eastAsia"/>
              </w:rPr>
              <w:t>（1）</w:t>
            </w:r>
            <w:r>
              <w:t>施工人员生活污水</w:t>
            </w:r>
          </w:p>
          <w:p w14:paraId="74EF6E96">
            <w:pPr>
              <w:ind w:firstLine="480" w:firstLineChars="200"/>
            </w:pPr>
            <w:r>
              <w:t>施工期产生的生活废水主要为施工人员的洗手废水，经沉淀池处理后可用作项目区内的场地洒水降尘，不外排；本项目在施项目设置移动厕所，委托环卫部门定期清运处理。因此施工期生活污水经处理后对周边地表水环境影响较小。</w:t>
            </w:r>
          </w:p>
          <w:p w14:paraId="2072756B">
            <w:pPr>
              <w:ind w:firstLine="480" w:firstLineChars="200"/>
            </w:pPr>
            <w:r>
              <w:rPr>
                <w:rFonts w:hint="eastAsia"/>
              </w:rPr>
              <w:t>（2）</w:t>
            </w:r>
            <w:r>
              <w:t>施工废水</w:t>
            </w:r>
          </w:p>
          <w:p w14:paraId="620F4656">
            <w:pPr>
              <w:ind w:firstLine="480" w:firstLineChars="200"/>
            </w:pPr>
            <w:r>
              <w:t>根据项目设计，项目方拟购买商品混凝土，可以大大减少施工废水的产生，因此，施工废水主要来自于施工机械的冲刷、楼地及墙面的冲洗、构件与建筑材料的保潮、墙体的浸润、材料的洗刷以及桩基础施工中排出的泥浆等。由于施工期施工废水排放不易收集和管理，废水的排放方式和排放时间具有一定的随意性，往往不受重视而随意排放，施工废水还包括少量含油废水。含油废水主要为机械维修及车辆冲洗废水，对这部分废水，施工单位采用将废水多级沉淀池沉淀处理，去除SS，少量的废油被隔沉淀池内，定期收集池内水面上的油污，排水则用于场地洒水。从而减轻周边水体造成影响。</w:t>
            </w:r>
          </w:p>
          <w:p w14:paraId="7F0A417B">
            <w:r>
              <w:rPr>
                <w:rFonts w:hint="eastAsia"/>
              </w:rPr>
              <w:t>3、</w:t>
            </w:r>
            <w:r>
              <w:t>施工期声环境保护措施</w:t>
            </w:r>
          </w:p>
          <w:p w14:paraId="477F0FA2">
            <w:pPr>
              <w:ind w:firstLine="480" w:firstLineChars="200"/>
            </w:pPr>
            <w:r>
              <w:rPr>
                <w:rFonts w:hint="eastAsia"/>
              </w:rPr>
              <w:t>本项目北侧距离居民区较近，对此施工期针对性采取以下工程措施：</w:t>
            </w:r>
          </w:p>
          <w:p w14:paraId="70878EBE">
            <w:pPr>
              <w:ind w:firstLine="480" w:firstLineChars="200"/>
            </w:pPr>
            <w:r>
              <w:rPr>
                <w:rFonts w:hint="eastAsia"/>
              </w:rPr>
              <w:t>（1）避免在居民休息时间（如夜间和午休时段）进行高噪声作业。</w:t>
            </w:r>
          </w:p>
          <w:p w14:paraId="1B7C0783">
            <w:pPr>
              <w:ind w:firstLine="480" w:firstLineChars="200"/>
            </w:pPr>
            <w:r>
              <w:rPr>
                <w:rFonts w:hint="eastAsia"/>
              </w:rPr>
              <w:t>（2）在施工场地靠近敏感点的一侧设置隔音屏障，如砖墙、金属板或吸音材料制成的屏障，阻挡施工噪声的传播。</w:t>
            </w:r>
          </w:p>
          <w:p w14:paraId="0038E311">
            <w:pPr>
              <w:ind w:firstLine="480" w:firstLineChars="200"/>
            </w:pPr>
            <w:r>
              <w:rPr>
                <w:rFonts w:hint="eastAsia"/>
              </w:rPr>
              <w:t>（3）减少施工车辆在靠近敏感点区域行驶时产生的噪声。</w:t>
            </w:r>
          </w:p>
          <w:p w14:paraId="216BB8AD">
            <w:pPr>
              <w:ind w:firstLine="480" w:firstLineChars="200"/>
            </w:pPr>
            <w:r>
              <w:rPr>
                <w:rFonts w:hint="eastAsia"/>
              </w:rPr>
              <w:t>（4）在施工场地与敏感点之间种植密集的树木和绿化带，利用植物的吸音和阻挡作用降低噪声。</w:t>
            </w:r>
          </w:p>
          <w:p w14:paraId="3C9892DA">
            <w:pPr>
              <w:ind w:firstLine="480" w:firstLineChars="200"/>
            </w:pPr>
            <w:r>
              <w:t>为了降低本项目施工噪声影响，建设单位在施工过程还应采取如下措施：</w:t>
            </w:r>
          </w:p>
          <w:p w14:paraId="44467A6E">
            <w:pPr>
              <w:ind w:firstLine="480" w:firstLineChars="200"/>
            </w:pPr>
            <w:r>
              <w:rPr>
                <w:rFonts w:hint="eastAsia"/>
              </w:rPr>
              <w:t>（1）</w:t>
            </w:r>
            <w:r>
              <w:t>鉴于施工期噪声对环境产生的影响，建设单位必须对施工时段作统筹安排，尽量避免高噪源同时进行施工；</w:t>
            </w:r>
          </w:p>
          <w:p w14:paraId="5ED3A181">
            <w:pPr>
              <w:ind w:firstLine="480" w:firstLineChars="200"/>
            </w:pPr>
            <w:r>
              <w:rPr>
                <w:rFonts w:hint="eastAsia"/>
              </w:rPr>
              <w:t>（2）</w:t>
            </w:r>
            <w:r>
              <w:t>施工期间必须按《建筑施工场界环境噪声排放标准》（GB12523-2011）进行施工时间、施工噪声的控制，夜间禁止施工。如根据工况要求必须连续作业，必须得到当地生态环境部门的许可方可施工，并可在必要时采用柔性吸声屏替代目前通用的尼龙质地的围挡；</w:t>
            </w:r>
          </w:p>
          <w:p w14:paraId="77E7C001">
            <w:pPr>
              <w:ind w:firstLine="480" w:firstLineChars="200"/>
            </w:pPr>
            <w:r>
              <w:rPr>
                <w:rFonts w:hint="eastAsia"/>
              </w:rPr>
              <w:t>（3）</w:t>
            </w:r>
            <w:r>
              <w:t>选用施工设备时将设备噪声作为一项重要的选取指标，尽量选用低噪声设备，并对产生噪声的施工设备加强维护和维修工作，以减少机械故障噪声的产生；</w:t>
            </w:r>
          </w:p>
          <w:p w14:paraId="10BDE705">
            <w:pPr>
              <w:ind w:firstLine="480" w:firstLineChars="200"/>
            </w:pPr>
            <w:r>
              <w:rPr>
                <w:rFonts w:hint="eastAsia"/>
              </w:rPr>
              <w:t>（4）</w:t>
            </w:r>
            <w:r>
              <w:t>制定合理的运输线路，车辆运输应尽量避开居民区。结合本项目周边敏感点的分布情况，在施工期安排合理的运输路线以避开居住区，汽车途径居住区时应减速慢行，晚间运输用灯光示警，禁鸣喇叭；</w:t>
            </w:r>
          </w:p>
          <w:p w14:paraId="605459A5">
            <w:pPr>
              <w:ind w:firstLine="480" w:firstLineChars="200"/>
            </w:pPr>
            <w:r>
              <w:rPr>
                <w:rFonts w:hint="eastAsia"/>
              </w:rPr>
              <w:t>（5）</w:t>
            </w:r>
            <w:r>
              <w:t>与施工单位签订控噪协议，督促和监督其施工控噪工作的有效实施；</w:t>
            </w:r>
          </w:p>
          <w:p w14:paraId="1EFFFCF0">
            <w:pPr>
              <w:ind w:firstLine="480" w:firstLineChars="200"/>
            </w:pPr>
            <w:r>
              <w:rPr>
                <w:rFonts w:hint="eastAsia"/>
              </w:rPr>
              <w:t>（6）</w:t>
            </w:r>
            <w:r>
              <w:t>夜间施工作业必需向周边居民公布施工的时间，并征求附近易受影响居民对工程建设的意见和建议，协调好与周边居民及单位之间的关系，取得民众的理解，避免引起噪声投诉。</w:t>
            </w:r>
          </w:p>
          <w:p w14:paraId="5D974F8A">
            <w:pPr>
              <w:ind w:firstLine="480" w:firstLineChars="200"/>
              <w:rPr>
                <w:color w:val="0000FF"/>
              </w:rPr>
            </w:pPr>
            <w:r>
              <w:t>建设单位落实以上防治措施后，可使噪声对项目周围敏感点环境保护目标的影响降至最小。施工结束，影响即消失，不会对周边环境造成大的影响。</w:t>
            </w:r>
          </w:p>
          <w:p w14:paraId="10D33E7F">
            <w:r>
              <w:rPr>
                <w:rFonts w:hint="eastAsia"/>
              </w:rPr>
              <w:t>4、</w:t>
            </w:r>
            <w:r>
              <w:t>施工期固体废物环境保护措施</w:t>
            </w:r>
          </w:p>
          <w:p w14:paraId="13114E0E">
            <w:pPr>
              <w:ind w:firstLine="480" w:firstLineChars="200"/>
            </w:pPr>
            <w:r>
              <w:rPr>
                <w:rFonts w:hint="eastAsia"/>
              </w:rPr>
              <w:t>施工期固体废物主要包括场地平整及基础开挖土石方、施工人员的生活垃圾、剩余建筑等对环境的影响</w:t>
            </w:r>
            <w:r>
              <w:t>。</w:t>
            </w:r>
          </w:p>
          <w:p w14:paraId="19EC203E">
            <w:pPr>
              <w:ind w:firstLine="480" w:firstLineChars="200"/>
            </w:pPr>
            <w:r>
              <w:t>为降低施工固体废物的环境影响，建设单位应采取如下措施：</w:t>
            </w:r>
          </w:p>
          <w:p w14:paraId="129DA3FF">
            <w:pPr>
              <w:ind w:firstLine="480" w:firstLineChars="200"/>
            </w:pPr>
            <w:r>
              <w:rPr>
                <w:rFonts w:hint="eastAsia"/>
              </w:rPr>
              <w:t>（1）在施工期间，严禁向区域外抛掷生活垃圾。建筑垃圾作为区域回填土；施工人员的生活垃圾应放置到指定的垃圾箱（桶）里，由环卫部门送至垃圾场统一及时处理，避免污染环境，影响人群健康。生活垃圾如不及时清运处理，则会腐烂变质，滋生蚊虫苍蝇，产生恶臭，传染疾病，从而对周围环境和作业人员的健康带来不利影响，因此施工场地内应设临时收集施工垃圾的垃圾站，定期送指定垃圾处置场所进行处理。</w:t>
            </w:r>
          </w:p>
          <w:p w14:paraId="44A92D53">
            <w:pPr>
              <w:ind w:firstLine="480" w:firstLineChars="200"/>
            </w:pPr>
            <w:r>
              <w:rPr>
                <w:rFonts w:hint="eastAsia"/>
              </w:rPr>
              <w:t>（2）建筑垃圾应遵照建筑垃圾管理办法进行处置，土建工程垃圾一般在施工后都可以作为区域回填土及时回填，加以综合利用，防止因其长期堆放而产生扬尘。但为了保护该区地下水，禁止利用生活垃圾和废物回填沟、坑等。</w:t>
            </w:r>
          </w:p>
          <w:p w14:paraId="293CB221">
            <w:pPr>
              <w:ind w:firstLine="480" w:firstLineChars="200"/>
              <w:rPr>
                <w:color w:val="0000FF"/>
              </w:rPr>
            </w:pPr>
            <w:r>
              <w:t>在采取上述有效技术和管理措施后，生活垃圾、施工垃圾对环境的影响可以降至最低。</w:t>
            </w:r>
          </w:p>
        </w:tc>
        <w:tc>
          <w:tcPr>
            <w:tcW w:w="240" w:type="dxa"/>
          </w:tcPr>
          <w:p w14:paraId="188A61D3">
            <w:pPr>
              <w:ind w:firstLine="480" w:firstLineChars="200"/>
              <w:rPr>
                <w:color w:val="0000FF"/>
              </w:rPr>
            </w:pPr>
          </w:p>
        </w:tc>
      </w:tr>
      <w:tr w14:paraId="601B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488" w:type="dxa"/>
            <w:vAlign w:val="center"/>
          </w:tcPr>
          <w:p w14:paraId="5D442385">
            <w:pPr>
              <w:jc w:val="center"/>
              <w:rPr>
                <w:color w:val="0000FF"/>
              </w:rPr>
            </w:pPr>
            <w:r>
              <w:rPr>
                <w:rFonts w:hint="eastAsia"/>
              </w:rPr>
              <w:t>运营期环境影响和保护措施</w:t>
            </w:r>
          </w:p>
        </w:tc>
        <w:tc>
          <w:tcPr>
            <w:tcW w:w="7830" w:type="dxa"/>
          </w:tcPr>
          <w:p w14:paraId="1A13829B">
            <w:pPr>
              <w:ind w:firstLine="480" w:firstLineChars="200"/>
              <w:jc w:val="left"/>
            </w:pPr>
            <w:r>
              <w:rPr>
                <w:rFonts w:hint="eastAsia"/>
              </w:rPr>
              <w:t>一、</w:t>
            </w:r>
            <w:r>
              <w:t>大气污染源强及环境影响和保护措施</w:t>
            </w:r>
          </w:p>
          <w:p w14:paraId="79862D40">
            <w:pPr>
              <w:ind w:firstLine="480" w:firstLineChars="200"/>
            </w:pPr>
            <w:r>
              <w:rPr>
                <w:rFonts w:hint="eastAsia"/>
              </w:rPr>
              <w:t>1、废气源强核算</w:t>
            </w:r>
          </w:p>
          <w:p w14:paraId="2B82F241">
            <w:pPr>
              <w:ind w:firstLine="480" w:firstLineChars="200"/>
            </w:pPr>
            <w:r>
              <w:rPr>
                <w:rFonts w:hint="eastAsia"/>
              </w:rPr>
              <w:t>本项目营运期产生的废气主要为餐饮油烟G1、成品油卸油、储油、加油过程中产生的油气G2（以非甲烷总烃计）、车辆维修过程中产生的焊接烟尘G3以及汽车尾气G4。</w:t>
            </w:r>
          </w:p>
          <w:p w14:paraId="599460C8">
            <w:pPr>
              <w:ind w:firstLine="480" w:firstLineChars="200"/>
            </w:pPr>
            <w:r>
              <w:rPr>
                <w:rFonts w:hint="eastAsia"/>
              </w:rPr>
              <w:t>（1）餐饮油烟G1</w:t>
            </w:r>
          </w:p>
          <w:p w14:paraId="2C51C933">
            <w:pPr>
              <w:ind w:firstLine="480" w:firstLineChars="200"/>
              <w:rPr>
                <w:color w:val="0000FF"/>
              </w:rPr>
            </w:pPr>
            <w:r>
              <w:rPr>
                <w:rFonts w:hint="eastAsia"/>
                <w:bCs/>
              </w:rPr>
              <w:t>货运网络信息服务中心一层设置餐饮服务，</w:t>
            </w:r>
            <w:r>
              <w:rPr>
                <w:bCs/>
              </w:rPr>
              <w:t>每天吃饭人数（含旅客及员工）</w:t>
            </w:r>
            <w:r>
              <w:rPr>
                <w:rFonts w:hint="eastAsia"/>
                <w:bCs/>
              </w:rPr>
              <w:t>预计</w:t>
            </w:r>
            <w:r>
              <w:rPr>
                <w:rFonts w:hint="eastAsia"/>
                <w:bCs/>
                <w:lang w:val="en-US" w:eastAsia="zh-CN"/>
              </w:rPr>
              <w:t>350</w:t>
            </w:r>
            <w:r>
              <w:rPr>
                <w:bCs/>
              </w:rPr>
              <w:t>人，</w:t>
            </w:r>
            <w:r>
              <w:t>人均食用油日用量约</w:t>
            </w:r>
            <w:r>
              <w:rPr>
                <w:rFonts w:hint="eastAsia"/>
              </w:rPr>
              <w:t>20</w:t>
            </w:r>
            <w:r>
              <w:t>g/人</w:t>
            </w:r>
            <w:r>
              <w:rPr>
                <w:rFonts w:hint="eastAsia"/>
              </w:rPr>
              <w:t>，则</w:t>
            </w:r>
            <w:r>
              <w:t>食用油消耗量为</w:t>
            </w:r>
            <w:r>
              <w:rPr>
                <w:rFonts w:hint="eastAsia"/>
                <w:lang w:val="en-US" w:eastAsia="zh-CN"/>
              </w:rPr>
              <w:t>7</w:t>
            </w:r>
            <w:r>
              <w:t>kg/d</w:t>
            </w:r>
            <w:r>
              <w:rPr>
                <w:rFonts w:hint="eastAsia"/>
              </w:rPr>
              <w:t>，餐饮油烟产生量为</w:t>
            </w:r>
            <w:r>
              <w:rPr>
                <w:rFonts w:hint="eastAsia"/>
                <w:lang w:val="en-US" w:eastAsia="zh-CN"/>
              </w:rPr>
              <w:t>76.65</w:t>
            </w:r>
            <w:r>
              <w:t>kg/a</w:t>
            </w:r>
            <w:r>
              <w:rPr>
                <w:rFonts w:hint="eastAsia"/>
              </w:rPr>
              <w:t>，</w:t>
            </w:r>
            <w:r>
              <w:rPr>
                <w:rFonts w:hint="eastAsia"/>
                <w:bCs/>
              </w:rPr>
              <w:t>厨房拟</w:t>
            </w:r>
            <w:r>
              <w:rPr>
                <w:bCs/>
              </w:rPr>
              <w:t>设置</w:t>
            </w:r>
            <w:r>
              <w:rPr>
                <w:rFonts w:hint="eastAsia"/>
                <w:bCs/>
              </w:rPr>
              <w:t>6</w:t>
            </w:r>
            <w:r>
              <w:rPr>
                <w:bCs/>
              </w:rPr>
              <w:t>个灶头，</w:t>
            </w:r>
            <w:r>
              <w:rPr>
                <w:rFonts w:hint="eastAsia"/>
                <w:kern w:val="0"/>
              </w:rPr>
              <w:t>设1台总风量为</w:t>
            </w:r>
            <w:r>
              <w:rPr>
                <w:rFonts w:hint="eastAsia"/>
                <w:kern w:val="0"/>
                <w:lang w:val="en-US" w:eastAsia="zh-CN"/>
              </w:rPr>
              <w:t>12000</w:t>
            </w:r>
            <w:r>
              <w:rPr>
                <w:rFonts w:hint="eastAsia"/>
                <w:kern w:val="0"/>
              </w:rPr>
              <w:t>m</w:t>
            </w:r>
            <w:r>
              <w:rPr>
                <w:rFonts w:hint="eastAsia"/>
                <w:kern w:val="0"/>
                <w:vertAlign w:val="superscript"/>
              </w:rPr>
              <w:t>3</w:t>
            </w:r>
            <w:r>
              <w:rPr>
                <w:rFonts w:hint="eastAsia"/>
                <w:kern w:val="0"/>
              </w:rPr>
              <w:t>/h的油烟净化器，每天运行6小时，油烟废气经过净化效率不低于85%的油烟净化器处理后经专用排气筒排放。采取上述措施，则油烟排放量为</w:t>
            </w:r>
            <w:r>
              <w:rPr>
                <w:rFonts w:hint="eastAsia"/>
                <w:kern w:val="0"/>
                <w:lang w:val="en-US" w:eastAsia="zh-CN"/>
              </w:rPr>
              <w:t>11.5</w:t>
            </w:r>
            <w:r>
              <w:rPr>
                <w:rFonts w:hint="eastAsia"/>
                <w:kern w:val="0"/>
              </w:rPr>
              <w:t>kg/a，排放浓度为</w:t>
            </w:r>
            <w:r>
              <w:rPr>
                <w:rFonts w:hint="eastAsia"/>
                <w:kern w:val="0"/>
                <w:lang w:val="en-US" w:eastAsia="zh-CN"/>
              </w:rPr>
              <w:t>0.438</w:t>
            </w:r>
            <w:r>
              <w:rPr>
                <w:rFonts w:hint="eastAsia"/>
                <w:kern w:val="0"/>
              </w:rPr>
              <w:t>mg/m</w:t>
            </w:r>
            <w:r>
              <w:rPr>
                <w:rFonts w:hint="eastAsia"/>
                <w:kern w:val="0"/>
                <w:vertAlign w:val="superscript"/>
              </w:rPr>
              <w:t>3</w:t>
            </w:r>
            <w:r>
              <w:rPr>
                <w:rFonts w:hint="eastAsia"/>
                <w:kern w:val="0"/>
              </w:rPr>
              <w:t>，达到《饮食业油烟排放标准（试行）》（GB18483-2001）标准中“大型规模”要求，对周围环境影响较小</w:t>
            </w:r>
            <w:r>
              <w:t>。</w:t>
            </w:r>
          </w:p>
          <w:p w14:paraId="58A07C9F">
            <w:pPr>
              <w:ind w:firstLine="480" w:firstLineChars="200"/>
            </w:pPr>
            <w:r>
              <w:rPr>
                <w:rFonts w:hint="eastAsia"/>
              </w:rPr>
              <w:t>（2）油气G2（以非甲烷总烃计）</w:t>
            </w:r>
          </w:p>
          <w:p w14:paraId="1FD9CA76">
            <w:pPr>
              <w:ind w:firstLine="480" w:firstLineChars="200"/>
            </w:pPr>
            <w:r>
              <w:t>储油罐</w:t>
            </w:r>
            <w:r>
              <w:rPr>
                <w:rFonts w:hint="eastAsia"/>
              </w:rPr>
              <w:t>大呼吸时产生油气通过卸油油气回收系统处理后无组织排放，</w:t>
            </w:r>
            <w:r>
              <w:t>进行小呼吸时</w:t>
            </w:r>
            <w:r>
              <w:rPr>
                <w:rFonts w:hint="eastAsia"/>
              </w:rPr>
              <w:t>产生油气直接</w:t>
            </w:r>
            <w:r>
              <w:t>排放</w:t>
            </w:r>
            <w:r>
              <w:rPr>
                <w:rFonts w:hint="eastAsia"/>
              </w:rPr>
              <w:t>。</w:t>
            </w:r>
          </w:p>
          <w:p w14:paraId="0138DD86">
            <w:pPr>
              <w:ind w:firstLine="480" w:firstLineChars="200"/>
            </w:pPr>
            <w:r>
              <w:rPr>
                <w:rFonts w:hint="eastAsia"/>
              </w:rPr>
              <w:t>①储油罐大呼吸损失</w:t>
            </w:r>
          </w:p>
          <w:p w14:paraId="7D970A2F">
            <w:pPr>
              <w:ind w:firstLine="480" w:firstLineChars="200"/>
            </w:pPr>
            <w:r>
              <w:rPr>
                <w:rFonts w:hint="eastAsia"/>
              </w:rPr>
              <w:t>储罐大呼吸损失是指油罐进行进油作业时所呼出的油蒸汽而造成的油品蒸发损失。油罐进油时，由于右面逐渐升高，气体空间逐渐减少，罐内压力增大，当压力超过呼吸阀控制压力时，一定浓度的油蒸汽开始从呼吸阀呼出，直到油罐停止收油。本项目采用卸油油气回收系统将油罐车内的油气导入罐车内，可减少油罐收油时的大呼吸损失。</w:t>
            </w:r>
          </w:p>
          <w:p w14:paraId="266EA93C">
            <w:pPr>
              <w:ind w:firstLine="480" w:firstLineChars="200"/>
            </w:pPr>
            <w:r>
              <w:rPr>
                <w:rFonts w:hint="eastAsia"/>
              </w:rPr>
              <w:t>②储罐小呼吸损失</w:t>
            </w:r>
          </w:p>
          <w:p w14:paraId="7E5F210F">
            <w:pPr>
              <w:ind w:firstLine="480" w:firstLineChars="200"/>
            </w:pPr>
            <w:r>
              <w:t>油罐在没有收发油作业的情况下，随着外界气温、压力在一天内的升降周期变化，罐内气体空间温度、油品蒸发速度、油气浓度和蒸汽压力也随之变化。这种排出油蒸汽和呼入空气的过程造成的油气损失，叫小呼吸损失。</w:t>
            </w:r>
          </w:p>
          <w:p w14:paraId="22843A7B">
            <w:pPr>
              <w:ind w:firstLine="480" w:firstLineChars="200"/>
            </w:pPr>
            <w:r>
              <w:rPr>
                <w:rFonts w:hint="eastAsia"/>
              </w:rPr>
              <w:t>③加油作业损失</w:t>
            </w:r>
          </w:p>
          <w:p w14:paraId="45C4483D">
            <w:pPr>
              <w:ind w:firstLine="480" w:firstLineChars="200"/>
            </w:pPr>
            <w:r>
              <w:rPr>
                <w:rFonts w:hint="eastAsia"/>
              </w:rPr>
              <w:t>加油作业损失主要指为车辆加油时，油品进入汽车油箱，油箱内的烃类气体被油品置换排入大气。本项目采用加油油气回收系，经真空泵将汽车油箱内的烃类气体吸入储油罐内，管路直接通入油罐底部，可使一部分油气转化为油，减少加油作业损失。</w:t>
            </w:r>
          </w:p>
          <w:p w14:paraId="161437E9">
            <w:pPr>
              <w:ind w:firstLine="480" w:firstLineChars="200"/>
            </w:pPr>
            <w:r>
              <w:t>根据《中国加油站VOC排放污染现状及控制》</w:t>
            </w:r>
            <w:r>
              <w:rPr>
                <w:rFonts w:hint="eastAsia"/>
              </w:rPr>
              <w:t>（环境科学第27卷第8期2006年8月，作者：沈旻嘉，郝吉明，王丽涛）</w:t>
            </w:r>
            <w:r>
              <w:t>，</w:t>
            </w:r>
            <w:r>
              <w:rPr>
                <w:rFonts w:hint="eastAsia"/>
              </w:rPr>
              <w:t>本项目</w:t>
            </w:r>
            <w:r>
              <w:t>具体各</w:t>
            </w:r>
            <w:r>
              <w:rPr>
                <w:rFonts w:hint="eastAsia"/>
              </w:rPr>
              <w:t>产生</w:t>
            </w:r>
            <w:r>
              <w:t>环节的</w:t>
            </w:r>
            <w:r>
              <w:rPr>
                <w:rFonts w:hint="eastAsia"/>
              </w:rPr>
              <w:t>排放因子见下表</w:t>
            </w:r>
            <w:r>
              <w:t>。</w:t>
            </w:r>
          </w:p>
          <w:p w14:paraId="20B1A0C4">
            <w:pPr>
              <w:pStyle w:val="6"/>
            </w:pPr>
            <w:r>
              <w:t xml:space="preserve">表 </w:t>
            </w:r>
            <w:r>
              <w:rPr>
                <w:rFonts w:hint="eastAsia"/>
              </w:rPr>
              <w:t>4-</w:t>
            </w:r>
            <w:r>
              <w:fldChar w:fldCharType="begin"/>
            </w:r>
            <w:r>
              <w:instrText xml:space="preserve"> SEQ 表 \* ARABIC \s 1 </w:instrText>
            </w:r>
            <w:r>
              <w:fldChar w:fldCharType="separate"/>
            </w:r>
            <w:r>
              <w:t>1</w:t>
            </w:r>
            <w:r>
              <w:fldChar w:fldCharType="end"/>
            </w:r>
            <w:r>
              <w:rPr>
                <w:rFonts w:hint="eastAsia"/>
              </w:rPr>
              <w:t xml:space="preserve"> </w:t>
            </w:r>
            <w:r>
              <w:rPr>
                <w:bCs/>
              </w:rPr>
              <w:t>加油</w:t>
            </w:r>
            <w:r>
              <w:rPr>
                <w:rFonts w:hint="eastAsia"/>
                <w:bCs/>
              </w:rPr>
              <w:t>作业</w:t>
            </w:r>
            <w:r>
              <w:rPr>
                <w:bCs/>
              </w:rPr>
              <w:t>非甲烷总烃</w:t>
            </w:r>
            <w:r>
              <w:rPr>
                <w:rFonts w:hint="eastAsia"/>
                <w:bCs/>
              </w:rPr>
              <w:t>排放因子</w:t>
            </w:r>
            <w:r>
              <w:rPr>
                <w:bCs/>
              </w:rPr>
              <w:t>（kg/t）</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4124"/>
              <w:gridCol w:w="2173"/>
            </w:tblGrid>
            <w:tr w14:paraId="0563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59713EBE">
                  <w:pPr>
                    <w:pStyle w:val="24"/>
                  </w:pPr>
                  <w:r>
                    <w:t>项目</w:t>
                  </w:r>
                </w:p>
              </w:tc>
              <w:tc>
                <w:tcPr>
                  <w:tcW w:w="2712" w:type="pct"/>
                  <w:tcBorders>
                    <w:tl2br w:val="nil"/>
                    <w:tr2bl w:val="nil"/>
                  </w:tcBorders>
                  <w:vAlign w:val="center"/>
                </w:tcPr>
                <w:p w14:paraId="6880DA0F">
                  <w:pPr>
                    <w:pStyle w:val="24"/>
                  </w:pPr>
                  <w:r>
                    <w:t>活动过程</w:t>
                  </w:r>
                </w:p>
              </w:tc>
              <w:tc>
                <w:tcPr>
                  <w:tcW w:w="1429" w:type="pct"/>
                  <w:tcBorders>
                    <w:tl2br w:val="nil"/>
                    <w:tr2bl w:val="nil"/>
                  </w:tcBorders>
                  <w:vAlign w:val="center"/>
                </w:tcPr>
                <w:p w14:paraId="323A65E4">
                  <w:pPr>
                    <w:pStyle w:val="24"/>
                  </w:pPr>
                  <w:r>
                    <w:rPr>
                      <w:rFonts w:hint="eastAsia"/>
                    </w:rPr>
                    <w:t>排放因子</w:t>
                  </w:r>
                </w:p>
              </w:tc>
            </w:tr>
            <w:tr w14:paraId="08B8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restart"/>
                  <w:tcBorders>
                    <w:tl2br w:val="nil"/>
                    <w:tr2bl w:val="nil"/>
                  </w:tcBorders>
                  <w:vAlign w:val="center"/>
                </w:tcPr>
                <w:p w14:paraId="590A2329">
                  <w:pPr>
                    <w:pStyle w:val="24"/>
                  </w:pPr>
                  <w:r>
                    <w:t>汽油</w:t>
                  </w:r>
                </w:p>
              </w:tc>
              <w:tc>
                <w:tcPr>
                  <w:tcW w:w="2712" w:type="pct"/>
                  <w:tcBorders>
                    <w:tl2br w:val="nil"/>
                    <w:tr2bl w:val="nil"/>
                  </w:tcBorders>
                  <w:vAlign w:val="center"/>
                </w:tcPr>
                <w:p w14:paraId="74F3BC06">
                  <w:pPr>
                    <w:pStyle w:val="24"/>
                  </w:pPr>
                  <w:r>
                    <w:t>加油过程挥发排放</w:t>
                  </w:r>
                </w:p>
              </w:tc>
              <w:tc>
                <w:tcPr>
                  <w:tcW w:w="1429" w:type="pct"/>
                  <w:tcBorders>
                    <w:tl2br w:val="nil"/>
                    <w:tr2bl w:val="nil"/>
                  </w:tcBorders>
                  <w:vAlign w:val="center"/>
                </w:tcPr>
                <w:p w14:paraId="4581341B">
                  <w:pPr>
                    <w:pStyle w:val="24"/>
                  </w:pPr>
                  <w:r>
                    <w:t>2.49</w:t>
                  </w:r>
                </w:p>
              </w:tc>
            </w:tr>
            <w:tr w14:paraId="4605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vMerge w:val="continue"/>
                  <w:tcBorders>
                    <w:tl2br w:val="nil"/>
                    <w:tr2bl w:val="nil"/>
                  </w:tcBorders>
                  <w:vAlign w:val="center"/>
                </w:tcPr>
                <w:p w14:paraId="33EEB90C">
                  <w:pPr>
                    <w:pStyle w:val="24"/>
                  </w:pPr>
                </w:p>
              </w:tc>
              <w:tc>
                <w:tcPr>
                  <w:tcW w:w="2712" w:type="pct"/>
                  <w:tcBorders>
                    <w:tl2br w:val="nil"/>
                    <w:tr2bl w:val="nil"/>
                  </w:tcBorders>
                  <w:vAlign w:val="center"/>
                </w:tcPr>
                <w:p w14:paraId="683DCFF5">
                  <w:pPr>
                    <w:pStyle w:val="24"/>
                  </w:pPr>
                  <w:r>
                    <w:t>储油罐（小呼吸损失）</w:t>
                  </w:r>
                </w:p>
              </w:tc>
              <w:tc>
                <w:tcPr>
                  <w:tcW w:w="1429" w:type="pct"/>
                  <w:tcBorders>
                    <w:tl2br w:val="nil"/>
                    <w:tr2bl w:val="nil"/>
                  </w:tcBorders>
                  <w:vAlign w:val="center"/>
                </w:tcPr>
                <w:p w14:paraId="265FD89A">
                  <w:pPr>
                    <w:pStyle w:val="24"/>
                  </w:pPr>
                  <w:r>
                    <w:t>0.16</w:t>
                  </w:r>
                </w:p>
              </w:tc>
            </w:tr>
            <w:tr w14:paraId="034D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vMerge w:val="continue"/>
                  <w:tcBorders>
                    <w:tl2br w:val="nil"/>
                    <w:tr2bl w:val="nil"/>
                  </w:tcBorders>
                  <w:vAlign w:val="center"/>
                </w:tcPr>
                <w:p w14:paraId="52F45D2E">
                  <w:pPr>
                    <w:pStyle w:val="24"/>
                  </w:pPr>
                </w:p>
              </w:tc>
              <w:tc>
                <w:tcPr>
                  <w:tcW w:w="2712" w:type="pct"/>
                  <w:tcBorders>
                    <w:tl2br w:val="nil"/>
                    <w:tr2bl w:val="nil"/>
                  </w:tcBorders>
                  <w:vAlign w:val="center"/>
                </w:tcPr>
                <w:p w14:paraId="03A796FD">
                  <w:pPr>
                    <w:pStyle w:val="24"/>
                  </w:pPr>
                  <w:r>
                    <w:t>卸油过程损失（大呼吸损失）</w:t>
                  </w:r>
                </w:p>
              </w:tc>
              <w:tc>
                <w:tcPr>
                  <w:tcW w:w="1429" w:type="pct"/>
                  <w:tcBorders>
                    <w:tl2br w:val="nil"/>
                    <w:tr2bl w:val="nil"/>
                  </w:tcBorders>
                  <w:vAlign w:val="center"/>
                </w:tcPr>
                <w:p w14:paraId="4F582341">
                  <w:pPr>
                    <w:pStyle w:val="24"/>
                  </w:pPr>
                  <w:r>
                    <w:t>2.3</w:t>
                  </w:r>
                </w:p>
              </w:tc>
            </w:tr>
            <w:tr w14:paraId="7BB7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vMerge w:val="continue"/>
                  <w:tcBorders>
                    <w:tl2br w:val="nil"/>
                    <w:tr2bl w:val="nil"/>
                  </w:tcBorders>
                  <w:vAlign w:val="center"/>
                </w:tcPr>
                <w:p w14:paraId="46F89320">
                  <w:pPr>
                    <w:pStyle w:val="24"/>
                  </w:pPr>
                </w:p>
              </w:tc>
              <w:tc>
                <w:tcPr>
                  <w:tcW w:w="2712" w:type="pct"/>
                  <w:tcBorders>
                    <w:tl2br w:val="nil"/>
                    <w:tr2bl w:val="nil"/>
                  </w:tcBorders>
                  <w:vAlign w:val="center"/>
                </w:tcPr>
                <w:p w14:paraId="493101D4">
                  <w:pPr>
                    <w:pStyle w:val="24"/>
                  </w:pPr>
                  <w:r>
                    <w:t>总计</w:t>
                  </w:r>
                </w:p>
              </w:tc>
              <w:tc>
                <w:tcPr>
                  <w:tcW w:w="1429" w:type="pct"/>
                  <w:tcBorders>
                    <w:tl2br w:val="nil"/>
                    <w:tr2bl w:val="nil"/>
                  </w:tcBorders>
                  <w:vAlign w:val="center"/>
                </w:tcPr>
                <w:p w14:paraId="781FEC44">
                  <w:pPr>
                    <w:pStyle w:val="24"/>
                  </w:pPr>
                  <w:r>
                    <w:t>4.95</w:t>
                  </w:r>
                </w:p>
              </w:tc>
            </w:tr>
            <w:tr w14:paraId="7B8F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vMerge w:val="restart"/>
                  <w:tcBorders>
                    <w:tl2br w:val="nil"/>
                    <w:tr2bl w:val="nil"/>
                  </w:tcBorders>
                  <w:vAlign w:val="center"/>
                </w:tcPr>
                <w:p w14:paraId="5A10F1B7">
                  <w:pPr>
                    <w:pStyle w:val="24"/>
                  </w:pPr>
                  <w:r>
                    <w:t>柴油</w:t>
                  </w:r>
                </w:p>
              </w:tc>
              <w:tc>
                <w:tcPr>
                  <w:tcW w:w="2712" w:type="pct"/>
                  <w:tcBorders>
                    <w:tl2br w:val="nil"/>
                    <w:tr2bl w:val="nil"/>
                  </w:tcBorders>
                  <w:vAlign w:val="center"/>
                </w:tcPr>
                <w:p w14:paraId="5715D484">
                  <w:pPr>
                    <w:pStyle w:val="24"/>
                  </w:pPr>
                  <w:r>
                    <w:t>加油过程挥发排放</w:t>
                  </w:r>
                </w:p>
              </w:tc>
              <w:tc>
                <w:tcPr>
                  <w:tcW w:w="1429" w:type="pct"/>
                  <w:tcBorders>
                    <w:tl2br w:val="nil"/>
                    <w:tr2bl w:val="nil"/>
                  </w:tcBorders>
                  <w:vAlign w:val="center"/>
                </w:tcPr>
                <w:p w14:paraId="7B86C063">
                  <w:pPr>
                    <w:pStyle w:val="24"/>
                  </w:pPr>
                  <w:r>
                    <w:t>0.048</w:t>
                  </w:r>
                </w:p>
              </w:tc>
            </w:tr>
            <w:tr w14:paraId="2D20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tcBorders>
                    <w:tl2br w:val="nil"/>
                    <w:tr2bl w:val="nil"/>
                  </w:tcBorders>
                  <w:vAlign w:val="center"/>
                </w:tcPr>
                <w:p w14:paraId="500D6F85">
                  <w:pPr>
                    <w:pStyle w:val="24"/>
                  </w:pPr>
                </w:p>
              </w:tc>
              <w:tc>
                <w:tcPr>
                  <w:tcW w:w="2712" w:type="pct"/>
                  <w:tcBorders>
                    <w:tl2br w:val="nil"/>
                    <w:tr2bl w:val="nil"/>
                  </w:tcBorders>
                  <w:vAlign w:val="center"/>
                </w:tcPr>
                <w:p w14:paraId="2E7C287E">
                  <w:pPr>
                    <w:pStyle w:val="24"/>
                  </w:pPr>
                  <w:r>
                    <w:t>储油罐（小呼吸损失）</w:t>
                  </w:r>
                </w:p>
              </w:tc>
              <w:tc>
                <w:tcPr>
                  <w:tcW w:w="1429" w:type="pct"/>
                  <w:tcBorders>
                    <w:tl2br w:val="nil"/>
                    <w:tr2bl w:val="nil"/>
                  </w:tcBorders>
                  <w:vAlign w:val="center"/>
                </w:tcPr>
                <w:p w14:paraId="6C2A482E">
                  <w:pPr>
                    <w:pStyle w:val="24"/>
                  </w:pPr>
                  <w:r>
                    <w:t>-</w:t>
                  </w:r>
                </w:p>
              </w:tc>
            </w:tr>
            <w:tr w14:paraId="1F84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tcBorders>
                    <w:tl2br w:val="nil"/>
                    <w:tr2bl w:val="nil"/>
                  </w:tcBorders>
                  <w:vAlign w:val="center"/>
                </w:tcPr>
                <w:p w14:paraId="40D8C78D">
                  <w:pPr>
                    <w:pStyle w:val="24"/>
                  </w:pPr>
                </w:p>
              </w:tc>
              <w:tc>
                <w:tcPr>
                  <w:tcW w:w="2712" w:type="pct"/>
                  <w:tcBorders>
                    <w:tl2br w:val="nil"/>
                    <w:tr2bl w:val="nil"/>
                  </w:tcBorders>
                  <w:vAlign w:val="center"/>
                </w:tcPr>
                <w:p w14:paraId="576C31E8">
                  <w:pPr>
                    <w:pStyle w:val="24"/>
                  </w:pPr>
                  <w:r>
                    <w:t>卸油过程损失（大呼吸损失）</w:t>
                  </w:r>
                </w:p>
              </w:tc>
              <w:tc>
                <w:tcPr>
                  <w:tcW w:w="1429" w:type="pct"/>
                  <w:tcBorders>
                    <w:tl2br w:val="nil"/>
                    <w:tr2bl w:val="nil"/>
                  </w:tcBorders>
                  <w:vAlign w:val="center"/>
                </w:tcPr>
                <w:p w14:paraId="6CC36845">
                  <w:pPr>
                    <w:pStyle w:val="24"/>
                  </w:pPr>
                  <w:r>
                    <w:t>0.027</w:t>
                  </w:r>
                </w:p>
              </w:tc>
            </w:tr>
            <w:tr w14:paraId="7FD4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tcBorders>
                    <w:tl2br w:val="nil"/>
                    <w:tr2bl w:val="nil"/>
                  </w:tcBorders>
                  <w:vAlign w:val="center"/>
                </w:tcPr>
                <w:p w14:paraId="2A06D35F">
                  <w:pPr>
                    <w:pStyle w:val="24"/>
                  </w:pPr>
                </w:p>
              </w:tc>
              <w:tc>
                <w:tcPr>
                  <w:tcW w:w="2712" w:type="pct"/>
                  <w:tcBorders>
                    <w:tl2br w:val="nil"/>
                    <w:tr2bl w:val="nil"/>
                  </w:tcBorders>
                  <w:vAlign w:val="center"/>
                </w:tcPr>
                <w:p w14:paraId="62E7A380">
                  <w:pPr>
                    <w:pStyle w:val="24"/>
                  </w:pPr>
                  <w:r>
                    <w:t>总计</w:t>
                  </w:r>
                </w:p>
              </w:tc>
              <w:tc>
                <w:tcPr>
                  <w:tcW w:w="1429" w:type="pct"/>
                  <w:tcBorders>
                    <w:tl2br w:val="nil"/>
                    <w:tr2bl w:val="nil"/>
                  </w:tcBorders>
                  <w:vAlign w:val="center"/>
                </w:tcPr>
                <w:p w14:paraId="6B7843FB">
                  <w:pPr>
                    <w:pStyle w:val="24"/>
                  </w:pPr>
                  <w:r>
                    <w:t>0.075</w:t>
                  </w:r>
                </w:p>
              </w:tc>
            </w:tr>
          </w:tbl>
          <w:p w14:paraId="27F82868">
            <w:pPr>
              <w:ind w:firstLine="480" w:firstLineChars="200"/>
            </w:pPr>
            <w:r>
              <w:rPr>
                <w:rFonts w:hint="eastAsia"/>
              </w:rPr>
              <w:t>本项目年销售汽油1095t，销售柴油2555t，根据上表中排放系数，计算该项目加油过程中挥发性有机物产排情况。</w:t>
            </w:r>
          </w:p>
          <w:p w14:paraId="7632DCF1">
            <w:pPr>
              <w:pStyle w:val="6"/>
            </w:pPr>
            <w:r>
              <w:t xml:space="preserve">表 </w:t>
            </w:r>
            <w:r>
              <w:rPr>
                <w:rFonts w:hint="eastAsia"/>
              </w:rPr>
              <w:t>4-</w:t>
            </w:r>
            <w:r>
              <w:fldChar w:fldCharType="begin"/>
            </w:r>
            <w:r>
              <w:instrText xml:space="preserve"> SEQ 表 \* ARABIC \s 1 </w:instrText>
            </w:r>
            <w:r>
              <w:fldChar w:fldCharType="separate"/>
            </w:r>
            <w:r>
              <w:t>2</w:t>
            </w:r>
            <w:r>
              <w:fldChar w:fldCharType="end"/>
            </w:r>
            <w:r>
              <w:rPr>
                <w:rFonts w:hint="eastAsia"/>
              </w:rPr>
              <w:t xml:space="preserve"> 加油挥发性有机物产排计算一览表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677"/>
              <w:gridCol w:w="1303"/>
              <w:gridCol w:w="1008"/>
              <w:gridCol w:w="1040"/>
              <w:gridCol w:w="1039"/>
              <w:gridCol w:w="928"/>
              <w:gridCol w:w="970"/>
            </w:tblGrid>
            <w:tr w14:paraId="2C80CD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Align w:val="center"/>
                </w:tcPr>
                <w:p w14:paraId="18530E7A">
                  <w:pPr>
                    <w:pStyle w:val="24"/>
                  </w:pPr>
                  <w:r>
                    <w:t>项目</w:t>
                  </w:r>
                </w:p>
              </w:tc>
              <w:tc>
                <w:tcPr>
                  <w:tcW w:w="445" w:type="pct"/>
                  <w:vAlign w:val="center"/>
                </w:tcPr>
                <w:p w14:paraId="455F1ACA">
                  <w:pPr>
                    <w:pStyle w:val="24"/>
                  </w:pPr>
                  <w:r>
                    <w:t>油品种类</w:t>
                  </w:r>
                </w:p>
              </w:tc>
              <w:tc>
                <w:tcPr>
                  <w:tcW w:w="857" w:type="pct"/>
                  <w:vAlign w:val="center"/>
                </w:tcPr>
                <w:p w14:paraId="6C938142">
                  <w:pPr>
                    <w:pStyle w:val="24"/>
                  </w:pPr>
                  <w:r>
                    <w:t>项目</w:t>
                  </w:r>
                </w:p>
              </w:tc>
              <w:tc>
                <w:tcPr>
                  <w:tcW w:w="663" w:type="pct"/>
                  <w:vAlign w:val="center"/>
                </w:tcPr>
                <w:p w14:paraId="71D2C4EC">
                  <w:pPr>
                    <w:pStyle w:val="24"/>
                  </w:pPr>
                  <w:r>
                    <w:t>年通过量（t/a）</w:t>
                  </w:r>
                </w:p>
              </w:tc>
              <w:tc>
                <w:tcPr>
                  <w:tcW w:w="684" w:type="pct"/>
                  <w:vAlign w:val="center"/>
                </w:tcPr>
                <w:p w14:paraId="3DD98CFE">
                  <w:pPr>
                    <w:pStyle w:val="24"/>
                  </w:pPr>
                  <w:r>
                    <w:t>产污系数（kg/t）</w:t>
                  </w:r>
                </w:p>
              </w:tc>
              <w:tc>
                <w:tcPr>
                  <w:tcW w:w="683" w:type="pct"/>
                  <w:vAlign w:val="center"/>
                </w:tcPr>
                <w:p w14:paraId="5E02BE78">
                  <w:pPr>
                    <w:pStyle w:val="24"/>
                  </w:pPr>
                  <w:r>
                    <w:t>产生量（t/a）</w:t>
                  </w:r>
                </w:p>
              </w:tc>
              <w:tc>
                <w:tcPr>
                  <w:tcW w:w="610" w:type="pct"/>
                  <w:vAlign w:val="center"/>
                </w:tcPr>
                <w:p w14:paraId="2A51E566">
                  <w:pPr>
                    <w:pStyle w:val="24"/>
                  </w:pPr>
                  <w:r>
                    <w:t>治理措施及处理效率</w:t>
                  </w:r>
                </w:p>
              </w:tc>
              <w:tc>
                <w:tcPr>
                  <w:tcW w:w="638" w:type="pct"/>
                  <w:vAlign w:val="center"/>
                </w:tcPr>
                <w:p w14:paraId="22DA51CC">
                  <w:pPr>
                    <w:pStyle w:val="24"/>
                  </w:pPr>
                  <w:r>
                    <w:t>排放量（t/a）</w:t>
                  </w:r>
                </w:p>
              </w:tc>
            </w:tr>
            <w:tr w14:paraId="1F2F36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restart"/>
                  <w:vAlign w:val="center"/>
                </w:tcPr>
                <w:p w14:paraId="6457E7BC">
                  <w:pPr>
                    <w:pStyle w:val="24"/>
                  </w:pPr>
                  <w:r>
                    <w:t>加油站</w:t>
                  </w:r>
                </w:p>
              </w:tc>
              <w:tc>
                <w:tcPr>
                  <w:tcW w:w="445" w:type="pct"/>
                  <w:vMerge w:val="restart"/>
                  <w:vAlign w:val="center"/>
                </w:tcPr>
                <w:p w14:paraId="1B620166">
                  <w:pPr>
                    <w:pStyle w:val="24"/>
                  </w:pPr>
                  <w:r>
                    <w:t>汽油</w:t>
                  </w:r>
                </w:p>
              </w:tc>
              <w:tc>
                <w:tcPr>
                  <w:tcW w:w="857" w:type="pct"/>
                  <w:vAlign w:val="center"/>
                </w:tcPr>
                <w:p w14:paraId="19DC6153">
                  <w:pPr>
                    <w:pStyle w:val="24"/>
                  </w:pPr>
                  <w:r>
                    <w:t>储罐小呼吸</w:t>
                  </w:r>
                </w:p>
              </w:tc>
              <w:tc>
                <w:tcPr>
                  <w:tcW w:w="663" w:type="pct"/>
                  <w:vMerge w:val="restart"/>
                  <w:vAlign w:val="center"/>
                </w:tcPr>
                <w:p w14:paraId="368E7AA1">
                  <w:pPr>
                    <w:pStyle w:val="24"/>
                  </w:pPr>
                  <w:r>
                    <w:rPr>
                      <w:rFonts w:hint="eastAsia"/>
                    </w:rPr>
                    <w:t>1095</w:t>
                  </w:r>
                </w:p>
              </w:tc>
              <w:tc>
                <w:tcPr>
                  <w:tcW w:w="684" w:type="pct"/>
                  <w:vAlign w:val="center"/>
                </w:tcPr>
                <w:p w14:paraId="1303454A">
                  <w:pPr>
                    <w:pStyle w:val="24"/>
                  </w:pPr>
                  <w:r>
                    <w:t>0.16</w:t>
                  </w:r>
                </w:p>
              </w:tc>
              <w:tc>
                <w:tcPr>
                  <w:tcW w:w="683" w:type="pct"/>
                  <w:tcBorders>
                    <w:bottom w:val="single" w:color="000000" w:sz="4" w:space="0"/>
                  </w:tcBorders>
                  <w:vAlign w:val="center"/>
                </w:tcPr>
                <w:p w14:paraId="7F85D057">
                  <w:pPr>
                    <w:pStyle w:val="24"/>
                  </w:pPr>
                  <w:r>
                    <w:t>0.175</w:t>
                  </w:r>
                </w:p>
              </w:tc>
              <w:tc>
                <w:tcPr>
                  <w:tcW w:w="610" w:type="pct"/>
                  <w:vMerge w:val="restart"/>
                  <w:vAlign w:val="center"/>
                </w:tcPr>
                <w:p w14:paraId="4B969D1B">
                  <w:pPr>
                    <w:pStyle w:val="24"/>
                  </w:pPr>
                  <w:r>
                    <w:t>油气回收系统回收效率95%</w:t>
                  </w:r>
                </w:p>
              </w:tc>
              <w:tc>
                <w:tcPr>
                  <w:tcW w:w="638" w:type="pct"/>
                  <w:vAlign w:val="center"/>
                </w:tcPr>
                <w:p w14:paraId="6C15E641">
                  <w:pPr>
                    <w:pStyle w:val="24"/>
                  </w:pPr>
                  <w:r>
                    <w:t>0.009</w:t>
                  </w:r>
                </w:p>
              </w:tc>
            </w:tr>
            <w:tr w14:paraId="60261A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continue"/>
                  <w:vAlign w:val="center"/>
                </w:tcPr>
                <w:p w14:paraId="7149279A">
                  <w:pPr>
                    <w:pStyle w:val="24"/>
                  </w:pPr>
                </w:p>
              </w:tc>
              <w:tc>
                <w:tcPr>
                  <w:tcW w:w="445" w:type="pct"/>
                  <w:vMerge w:val="continue"/>
                  <w:vAlign w:val="center"/>
                </w:tcPr>
                <w:p w14:paraId="1E813DE0">
                  <w:pPr>
                    <w:pStyle w:val="24"/>
                  </w:pPr>
                </w:p>
              </w:tc>
              <w:tc>
                <w:tcPr>
                  <w:tcW w:w="857" w:type="pct"/>
                  <w:vAlign w:val="center"/>
                </w:tcPr>
                <w:p w14:paraId="5F2F88D3">
                  <w:pPr>
                    <w:pStyle w:val="24"/>
                  </w:pPr>
                  <w:r>
                    <w:t>储罐大呼吸</w:t>
                  </w:r>
                </w:p>
              </w:tc>
              <w:tc>
                <w:tcPr>
                  <w:tcW w:w="663" w:type="pct"/>
                  <w:vMerge w:val="continue"/>
                  <w:vAlign w:val="center"/>
                </w:tcPr>
                <w:p w14:paraId="3DA0E74F">
                  <w:pPr>
                    <w:pStyle w:val="24"/>
                  </w:pPr>
                </w:p>
              </w:tc>
              <w:tc>
                <w:tcPr>
                  <w:tcW w:w="684" w:type="pct"/>
                  <w:vAlign w:val="center"/>
                </w:tcPr>
                <w:p w14:paraId="60D6A7AD">
                  <w:pPr>
                    <w:pStyle w:val="24"/>
                  </w:pPr>
                  <w:r>
                    <w:t>2.3</w:t>
                  </w:r>
                </w:p>
              </w:tc>
              <w:tc>
                <w:tcPr>
                  <w:tcW w:w="683" w:type="pct"/>
                  <w:tcBorders>
                    <w:top w:val="single" w:color="000000" w:sz="4" w:space="0"/>
                  </w:tcBorders>
                  <w:vAlign w:val="center"/>
                </w:tcPr>
                <w:p w14:paraId="25EB79DB">
                  <w:pPr>
                    <w:pStyle w:val="24"/>
                  </w:pPr>
                  <w:r>
                    <w:t>2.519</w:t>
                  </w:r>
                </w:p>
              </w:tc>
              <w:tc>
                <w:tcPr>
                  <w:tcW w:w="610" w:type="pct"/>
                  <w:vMerge w:val="continue"/>
                  <w:vAlign w:val="center"/>
                </w:tcPr>
                <w:p w14:paraId="55AE9083">
                  <w:pPr>
                    <w:pStyle w:val="24"/>
                  </w:pPr>
                </w:p>
              </w:tc>
              <w:tc>
                <w:tcPr>
                  <w:tcW w:w="638" w:type="pct"/>
                  <w:vAlign w:val="center"/>
                </w:tcPr>
                <w:p w14:paraId="24EAD625">
                  <w:pPr>
                    <w:pStyle w:val="24"/>
                  </w:pPr>
                  <w:r>
                    <w:t>0.126</w:t>
                  </w:r>
                </w:p>
              </w:tc>
            </w:tr>
            <w:tr w14:paraId="3108DC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continue"/>
                  <w:vAlign w:val="center"/>
                </w:tcPr>
                <w:p w14:paraId="30C5A29B">
                  <w:pPr>
                    <w:pStyle w:val="24"/>
                  </w:pPr>
                </w:p>
              </w:tc>
              <w:tc>
                <w:tcPr>
                  <w:tcW w:w="445" w:type="pct"/>
                  <w:vMerge w:val="continue"/>
                  <w:vAlign w:val="center"/>
                </w:tcPr>
                <w:p w14:paraId="28FBF1BF">
                  <w:pPr>
                    <w:pStyle w:val="24"/>
                  </w:pPr>
                </w:p>
              </w:tc>
              <w:tc>
                <w:tcPr>
                  <w:tcW w:w="857" w:type="pct"/>
                  <w:vAlign w:val="center"/>
                </w:tcPr>
                <w:p w14:paraId="6475F344">
                  <w:pPr>
                    <w:pStyle w:val="24"/>
                  </w:pPr>
                  <w:r>
                    <w:t>加油损失</w:t>
                  </w:r>
                </w:p>
              </w:tc>
              <w:tc>
                <w:tcPr>
                  <w:tcW w:w="663" w:type="pct"/>
                  <w:vMerge w:val="continue"/>
                  <w:tcBorders>
                    <w:bottom w:val="single" w:color="000000" w:sz="4" w:space="0"/>
                  </w:tcBorders>
                  <w:vAlign w:val="center"/>
                </w:tcPr>
                <w:p w14:paraId="1C027177">
                  <w:pPr>
                    <w:pStyle w:val="24"/>
                  </w:pPr>
                </w:p>
              </w:tc>
              <w:tc>
                <w:tcPr>
                  <w:tcW w:w="684" w:type="pct"/>
                  <w:vAlign w:val="center"/>
                </w:tcPr>
                <w:p w14:paraId="24C79C14">
                  <w:pPr>
                    <w:pStyle w:val="24"/>
                  </w:pPr>
                  <w:r>
                    <w:t>2.49</w:t>
                  </w:r>
                </w:p>
              </w:tc>
              <w:tc>
                <w:tcPr>
                  <w:tcW w:w="683" w:type="pct"/>
                  <w:tcBorders>
                    <w:top w:val="single" w:color="000000" w:sz="4" w:space="0"/>
                    <w:bottom w:val="single" w:color="000000" w:sz="4" w:space="0"/>
                  </w:tcBorders>
                  <w:vAlign w:val="center"/>
                </w:tcPr>
                <w:p w14:paraId="18BB6770">
                  <w:pPr>
                    <w:pStyle w:val="24"/>
                  </w:pPr>
                  <w:r>
                    <w:t>2.727</w:t>
                  </w:r>
                </w:p>
              </w:tc>
              <w:tc>
                <w:tcPr>
                  <w:tcW w:w="610" w:type="pct"/>
                  <w:vMerge w:val="continue"/>
                  <w:tcBorders>
                    <w:bottom w:val="single" w:color="000000" w:sz="4" w:space="0"/>
                  </w:tcBorders>
                  <w:vAlign w:val="center"/>
                </w:tcPr>
                <w:p w14:paraId="687BE1B1">
                  <w:pPr>
                    <w:pStyle w:val="24"/>
                  </w:pPr>
                </w:p>
              </w:tc>
              <w:tc>
                <w:tcPr>
                  <w:tcW w:w="638" w:type="pct"/>
                  <w:vAlign w:val="center"/>
                </w:tcPr>
                <w:p w14:paraId="738E315E">
                  <w:pPr>
                    <w:pStyle w:val="24"/>
                  </w:pPr>
                  <w:r>
                    <w:t>0.136</w:t>
                  </w:r>
                </w:p>
              </w:tc>
            </w:tr>
            <w:tr w14:paraId="091E4A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continue"/>
                  <w:vAlign w:val="center"/>
                </w:tcPr>
                <w:p w14:paraId="3C0CB09E">
                  <w:pPr>
                    <w:pStyle w:val="24"/>
                  </w:pPr>
                </w:p>
              </w:tc>
              <w:tc>
                <w:tcPr>
                  <w:tcW w:w="445" w:type="pct"/>
                  <w:vMerge w:val="restart"/>
                  <w:vAlign w:val="center"/>
                </w:tcPr>
                <w:p w14:paraId="4DE0840D">
                  <w:pPr>
                    <w:pStyle w:val="24"/>
                  </w:pPr>
                  <w:r>
                    <w:t>柴油</w:t>
                  </w:r>
                </w:p>
              </w:tc>
              <w:tc>
                <w:tcPr>
                  <w:tcW w:w="857" w:type="pct"/>
                  <w:vAlign w:val="center"/>
                </w:tcPr>
                <w:p w14:paraId="3936BAB8">
                  <w:pPr>
                    <w:pStyle w:val="24"/>
                  </w:pPr>
                  <w:r>
                    <w:t>储罐小呼吸</w:t>
                  </w:r>
                </w:p>
              </w:tc>
              <w:tc>
                <w:tcPr>
                  <w:tcW w:w="663" w:type="pct"/>
                  <w:vMerge w:val="restart"/>
                  <w:tcBorders>
                    <w:top w:val="single" w:color="000000" w:sz="4" w:space="0"/>
                  </w:tcBorders>
                  <w:vAlign w:val="center"/>
                </w:tcPr>
                <w:p w14:paraId="03A5F013">
                  <w:pPr>
                    <w:pStyle w:val="24"/>
                  </w:pPr>
                  <w:r>
                    <w:rPr>
                      <w:rFonts w:hint="eastAsia"/>
                    </w:rPr>
                    <w:t>2555</w:t>
                  </w:r>
                </w:p>
              </w:tc>
              <w:tc>
                <w:tcPr>
                  <w:tcW w:w="684" w:type="pct"/>
                  <w:vAlign w:val="center"/>
                </w:tcPr>
                <w:p w14:paraId="0FF7CA78">
                  <w:pPr>
                    <w:pStyle w:val="24"/>
                  </w:pPr>
                  <w:r>
                    <w:t>/</w:t>
                  </w:r>
                </w:p>
              </w:tc>
              <w:tc>
                <w:tcPr>
                  <w:tcW w:w="683" w:type="pct"/>
                  <w:tcBorders>
                    <w:top w:val="single" w:color="000000" w:sz="4" w:space="0"/>
                  </w:tcBorders>
                  <w:vAlign w:val="center"/>
                </w:tcPr>
                <w:p w14:paraId="301F0E99">
                  <w:pPr>
                    <w:pStyle w:val="24"/>
                  </w:pPr>
                  <w:r>
                    <w:t>/</w:t>
                  </w:r>
                </w:p>
              </w:tc>
              <w:tc>
                <w:tcPr>
                  <w:tcW w:w="610" w:type="pct"/>
                  <w:vMerge w:val="restart"/>
                  <w:tcBorders>
                    <w:top w:val="single" w:color="000000" w:sz="4" w:space="0"/>
                  </w:tcBorders>
                  <w:vAlign w:val="center"/>
                </w:tcPr>
                <w:p w14:paraId="327FD57B">
                  <w:pPr>
                    <w:pStyle w:val="24"/>
                  </w:pPr>
                  <w:r>
                    <w:t>/</w:t>
                  </w:r>
                </w:p>
              </w:tc>
              <w:tc>
                <w:tcPr>
                  <w:tcW w:w="638" w:type="pct"/>
                  <w:vAlign w:val="center"/>
                </w:tcPr>
                <w:p w14:paraId="6D2D979D">
                  <w:pPr>
                    <w:pStyle w:val="24"/>
                  </w:pPr>
                  <w:r>
                    <w:t>/</w:t>
                  </w:r>
                </w:p>
              </w:tc>
            </w:tr>
            <w:tr w14:paraId="6D44D2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continue"/>
                  <w:vAlign w:val="center"/>
                </w:tcPr>
                <w:p w14:paraId="6A13B94A">
                  <w:pPr>
                    <w:pStyle w:val="24"/>
                  </w:pPr>
                </w:p>
              </w:tc>
              <w:tc>
                <w:tcPr>
                  <w:tcW w:w="445" w:type="pct"/>
                  <w:vMerge w:val="continue"/>
                  <w:vAlign w:val="center"/>
                </w:tcPr>
                <w:p w14:paraId="11B83AA1">
                  <w:pPr>
                    <w:pStyle w:val="24"/>
                  </w:pPr>
                </w:p>
              </w:tc>
              <w:tc>
                <w:tcPr>
                  <w:tcW w:w="857" w:type="pct"/>
                  <w:vAlign w:val="center"/>
                </w:tcPr>
                <w:p w14:paraId="63ADF7CC">
                  <w:pPr>
                    <w:pStyle w:val="24"/>
                  </w:pPr>
                  <w:r>
                    <w:t>储罐大呼吸</w:t>
                  </w:r>
                </w:p>
              </w:tc>
              <w:tc>
                <w:tcPr>
                  <w:tcW w:w="663" w:type="pct"/>
                  <w:vMerge w:val="continue"/>
                  <w:vAlign w:val="center"/>
                </w:tcPr>
                <w:p w14:paraId="240827A0">
                  <w:pPr>
                    <w:pStyle w:val="24"/>
                  </w:pPr>
                </w:p>
              </w:tc>
              <w:tc>
                <w:tcPr>
                  <w:tcW w:w="684" w:type="pct"/>
                  <w:vAlign w:val="center"/>
                </w:tcPr>
                <w:p w14:paraId="67E4E8C8">
                  <w:pPr>
                    <w:pStyle w:val="24"/>
                  </w:pPr>
                  <w:r>
                    <w:t>0.027</w:t>
                  </w:r>
                </w:p>
              </w:tc>
              <w:tc>
                <w:tcPr>
                  <w:tcW w:w="683" w:type="pct"/>
                  <w:tcBorders>
                    <w:top w:val="single" w:color="000000" w:sz="4" w:space="0"/>
                    <w:bottom w:val="single" w:color="000000" w:sz="4" w:space="0"/>
                  </w:tcBorders>
                  <w:vAlign w:val="center"/>
                </w:tcPr>
                <w:p w14:paraId="53C341AF">
                  <w:pPr>
                    <w:pStyle w:val="24"/>
                  </w:pPr>
                  <w:r>
                    <w:t>0.069</w:t>
                  </w:r>
                </w:p>
              </w:tc>
              <w:tc>
                <w:tcPr>
                  <w:tcW w:w="610" w:type="pct"/>
                  <w:vMerge w:val="continue"/>
                  <w:tcBorders>
                    <w:top w:val="single" w:color="000000" w:sz="4" w:space="0"/>
                    <w:bottom w:val="single" w:color="000000" w:sz="4" w:space="0"/>
                  </w:tcBorders>
                  <w:vAlign w:val="center"/>
                </w:tcPr>
                <w:p w14:paraId="04BBA82D">
                  <w:pPr>
                    <w:pStyle w:val="24"/>
                  </w:pPr>
                </w:p>
              </w:tc>
              <w:tc>
                <w:tcPr>
                  <w:tcW w:w="638" w:type="pct"/>
                  <w:vAlign w:val="center"/>
                </w:tcPr>
                <w:p w14:paraId="2E2F7268">
                  <w:pPr>
                    <w:pStyle w:val="24"/>
                  </w:pPr>
                  <w:r>
                    <w:t>0.069</w:t>
                  </w:r>
                </w:p>
              </w:tc>
            </w:tr>
            <w:tr w14:paraId="764B79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18" w:type="pct"/>
                  <w:vMerge w:val="continue"/>
                  <w:vAlign w:val="center"/>
                </w:tcPr>
                <w:p w14:paraId="043E075F">
                  <w:pPr>
                    <w:pStyle w:val="24"/>
                  </w:pPr>
                </w:p>
              </w:tc>
              <w:tc>
                <w:tcPr>
                  <w:tcW w:w="445" w:type="pct"/>
                  <w:vMerge w:val="continue"/>
                  <w:vAlign w:val="center"/>
                </w:tcPr>
                <w:p w14:paraId="5AAD70CC">
                  <w:pPr>
                    <w:pStyle w:val="24"/>
                  </w:pPr>
                </w:p>
              </w:tc>
              <w:tc>
                <w:tcPr>
                  <w:tcW w:w="857" w:type="pct"/>
                  <w:vAlign w:val="center"/>
                </w:tcPr>
                <w:p w14:paraId="4ACD1F2C">
                  <w:pPr>
                    <w:pStyle w:val="24"/>
                  </w:pPr>
                  <w:r>
                    <w:t>加油损失</w:t>
                  </w:r>
                </w:p>
              </w:tc>
              <w:tc>
                <w:tcPr>
                  <w:tcW w:w="663" w:type="pct"/>
                  <w:vMerge w:val="continue"/>
                  <w:vAlign w:val="center"/>
                </w:tcPr>
                <w:p w14:paraId="3A31A564">
                  <w:pPr>
                    <w:pStyle w:val="24"/>
                  </w:pPr>
                </w:p>
              </w:tc>
              <w:tc>
                <w:tcPr>
                  <w:tcW w:w="684" w:type="pct"/>
                  <w:vAlign w:val="center"/>
                </w:tcPr>
                <w:p w14:paraId="1DA2AEF8">
                  <w:pPr>
                    <w:pStyle w:val="24"/>
                  </w:pPr>
                  <w:r>
                    <w:t>0.048</w:t>
                  </w:r>
                </w:p>
              </w:tc>
              <w:tc>
                <w:tcPr>
                  <w:tcW w:w="683" w:type="pct"/>
                  <w:tcBorders>
                    <w:top w:val="single" w:color="000000" w:sz="4" w:space="0"/>
                    <w:bottom w:val="single" w:color="000000" w:sz="4" w:space="0"/>
                  </w:tcBorders>
                  <w:vAlign w:val="center"/>
                </w:tcPr>
                <w:p w14:paraId="051F1812">
                  <w:pPr>
                    <w:pStyle w:val="24"/>
                  </w:pPr>
                  <w:r>
                    <w:t>0.123</w:t>
                  </w:r>
                </w:p>
              </w:tc>
              <w:tc>
                <w:tcPr>
                  <w:tcW w:w="610" w:type="pct"/>
                  <w:vMerge w:val="continue"/>
                  <w:tcBorders>
                    <w:top w:val="single" w:color="000000" w:sz="4" w:space="0"/>
                    <w:bottom w:val="single" w:color="000000" w:sz="4" w:space="0"/>
                  </w:tcBorders>
                  <w:vAlign w:val="center"/>
                </w:tcPr>
                <w:p w14:paraId="14EB11F4">
                  <w:pPr>
                    <w:pStyle w:val="24"/>
                  </w:pPr>
                </w:p>
              </w:tc>
              <w:tc>
                <w:tcPr>
                  <w:tcW w:w="638" w:type="pct"/>
                  <w:vAlign w:val="center"/>
                </w:tcPr>
                <w:p w14:paraId="191C85F3">
                  <w:pPr>
                    <w:pStyle w:val="24"/>
                  </w:pPr>
                  <w:r>
                    <w:t>0.123</w:t>
                  </w:r>
                </w:p>
              </w:tc>
            </w:tr>
            <w:tr w14:paraId="6B1506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0" w:type="pct"/>
                  <w:gridSpan w:val="3"/>
                  <w:vAlign w:val="center"/>
                </w:tcPr>
                <w:p w14:paraId="48858108">
                  <w:pPr>
                    <w:pStyle w:val="24"/>
                  </w:pPr>
                  <w:r>
                    <w:t>合计</w:t>
                  </w:r>
                </w:p>
              </w:tc>
              <w:tc>
                <w:tcPr>
                  <w:tcW w:w="663" w:type="pct"/>
                  <w:vAlign w:val="center"/>
                </w:tcPr>
                <w:p w14:paraId="44B3F9A1">
                  <w:pPr>
                    <w:pStyle w:val="24"/>
                  </w:pPr>
                  <w:r>
                    <w:t>/</w:t>
                  </w:r>
                </w:p>
              </w:tc>
              <w:tc>
                <w:tcPr>
                  <w:tcW w:w="684" w:type="pct"/>
                  <w:vAlign w:val="center"/>
                </w:tcPr>
                <w:p w14:paraId="477C7AA4">
                  <w:pPr>
                    <w:pStyle w:val="24"/>
                  </w:pPr>
                  <w:r>
                    <w:t>/</w:t>
                  </w:r>
                </w:p>
              </w:tc>
              <w:tc>
                <w:tcPr>
                  <w:tcW w:w="683" w:type="pct"/>
                  <w:vAlign w:val="center"/>
                </w:tcPr>
                <w:p w14:paraId="0D79C7AA">
                  <w:pPr>
                    <w:pStyle w:val="24"/>
                  </w:pPr>
                  <w:r>
                    <w:t>5.612</w:t>
                  </w:r>
                </w:p>
              </w:tc>
              <w:tc>
                <w:tcPr>
                  <w:tcW w:w="610" w:type="pct"/>
                  <w:vAlign w:val="center"/>
                </w:tcPr>
                <w:p w14:paraId="13ED6F52">
                  <w:pPr>
                    <w:pStyle w:val="24"/>
                  </w:pPr>
                  <w:r>
                    <w:t>/</w:t>
                  </w:r>
                </w:p>
              </w:tc>
              <w:tc>
                <w:tcPr>
                  <w:tcW w:w="638" w:type="pct"/>
                  <w:vAlign w:val="center"/>
                </w:tcPr>
                <w:p w14:paraId="16D456DD">
                  <w:pPr>
                    <w:pStyle w:val="24"/>
                  </w:pPr>
                  <w:r>
                    <w:rPr>
                      <w:rFonts w:hint="eastAsia"/>
                    </w:rPr>
                    <w:t>0.463</w:t>
                  </w:r>
                </w:p>
              </w:tc>
            </w:tr>
          </w:tbl>
          <w:p w14:paraId="20BA2CA5">
            <w:pPr>
              <w:ind w:firstLine="480" w:firstLineChars="200"/>
              <w:rPr>
                <w:kern w:val="0"/>
              </w:rPr>
            </w:pPr>
            <w:r>
              <w:t>由上表可知，项目废气主要污染物非甲烷总烃经过</w:t>
            </w:r>
            <w:r>
              <w:rPr>
                <w:rFonts w:hint="eastAsia"/>
              </w:rPr>
              <w:t>三次</w:t>
            </w:r>
            <w:r>
              <w:t>油气回收系统处理后，排放量为</w:t>
            </w:r>
            <w:r>
              <w:rPr>
                <w:rFonts w:hint="eastAsia"/>
              </w:rPr>
              <w:t>0.463</w:t>
            </w:r>
            <w:r>
              <w:t>t/a，排放速率为0.</w:t>
            </w:r>
            <w:r>
              <w:rPr>
                <w:rFonts w:hint="eastAsia"/>
              </w:rPr>
              <w:t>05</w:t>
            </w:r>
            <w:r>
              <w:t>kg/h，年排放时长为8760h/a，呈无组织排放。</w:t>
            </w:r>
            <w:r>
              <w:rPr>
                <w:kern w:val="0"/>
              </w:rPr>
              <w:t>项目</w:t>
            </w:r>
            <w:r>
              <w:rPr>
                <w:rFonts w:hint="eastAsia"/>
                <w:kern w:val="0"/>
              </w:rPr>
              <w:t>综合能源站</w:t>
            </w:r>
            <w:r>
              <w:rPr>
                <w:kern w:val="0"/>
              </w:rPr>
              <w:t>站址开阔，空气流动良好，且经油气回收系统处理后的非甲烷总烃排放量较小，可很快在大气中扩散可满足《加油站大气污染物排放标准》（GB20952-2020）表3油气浓度无组织排放限值要求。</w:t>
            </w:r>
          </w:p>
          <w:p w14:paraId="214F7ED9">
            <w:pPr>
              <w:ind w:firstLine="480" w:firstLineChars="200"/>
              <w:rPr>
                <w:kern w:val="0"/>
              </w:rPr>
            </w:pPr>
            <w:r>
              <w:rPr>
                <w:rFonts w:hint="eastAsia"/>
                <w:kern w:val="0"/>
              </w:rPr>
              <w:t>（3）焊接烟尘G3</w:t>
            </w:r>
          </w:p>
          <w:p w14:paraId="01C21A8F">
            <w:pPr>
              <w:widowControl/>
              <w:ind w:firstLine="480" w:firstLineChars="200"/>
              <w:jc w:val="left"/>
            </w:pPr>
            <w:r>
              <w:rPr>
                <w:rFonts w:hint="eastAsia"/>
              </w:rPr>
              <w:t>车辆维修</w:t>
            </w:r>
            <w:r>
              <w:t>过程</w:t>
            </w:r>
            <w:r>
              <w:rPr>
                <w:rFonts w:hint="eastAsia"/>
              </w:rPr>
              <w:t>中少量</w:t>
            </w:r>
            <w:r>
              <w:t>使用到焊接，焊接过程会产生焊接烟尘，项目采用二氧化碳焊机，采用</w:t>
            </w:r>
            <w:r>
              <w:rPr>
                <w:rFonts w:hint="eastAsia"/>
                <w:lang w:eastAsia="zh-CN"/>
              </w:rPr>
              <w:t>无铅</w:t>
            </w:r>
            <w:r>
              <w:t>环保药芯焊丝，焊接烟尘产生量参考</w:t>
            </w:r>
            <w:r>
              <w:rPr>
                <w:rFonts w:hint="eastAsia"/>
              </w:rPr>
              <w:t>2021年6月11日</w:t>
            </w:r>
            <w:r>
              <w:t>生态环境部发布的《排放源统计调查产排污核算方法</w:t>
            </w:r>
            <w:r>
              <w:rPr>
                <w:rFonts w:hint="eastAsia"/>
              </w:rPr>
              <w:t>和</w:t>
            </w:r>
            <w:r>
              <w:t>系数手册》中的</w:t>
            </w:r>
            <w:r>
              <w:rPr>
                <w:rFonts w:hint="eastAsia"/>
              </w:rPr>
              <w:t>“</w:t>
            </w:r>
            <w:r>
              <w:t>432通用设备修理产排系数表09焊接-实芯焊丝中颗粒物的产污系数9.19kg/t-原料，项目CO</w:t>
            </w:r>
            <w:r>
              <w:rPr>
                <w:vertAlign w:val="subscript"/>
              </w:rPr>
              <w:t>2</w:t>
            </w:r>
            <w:r>
              <w:t>保护焊焊接过程中焊丝</w:t>
            </w:r>
            <w:r>
              <w:rPr>
                <w:rFonts w:hint="eastAsia"/>
              </w:rPr>
              <w:t>年</w:t>
            </w:r>
            <w:r>
              <w:t>用量为</w:t>
            </w:r>
            <w:r>
              <w:rPr>
                <w:rFonts w:hint="eastAsia"/>
              </w:rPr>
              <w:t>25kg</w:t>
            </w:r>
            <w:r>
              <w:t>，则焊接烟尘</w:t>
            </w:r>
            <w:r>
              <w:rPr>
                <w:rFonts w:hint="eastAsia"/>
              </w:rPr>
              <w:t>的产生量为0.23kg/a。产生的颗粒物经移动式焊烟净化器处理后无组织排放，移动式焊烟净化器的效率以90%计，则焊接烟尘排放量为0.023kg</w:t>
            </w:r>
            <w:r>
              <w:t>/a</w:t>
            </w:r>
            <w:r>
              <w:rPr>
                <w:rFonts w:hint="eastAsia"/>
              </w:rPr>
              <w:t>。</w:t>
            </w:r>
          </w:p>
          <w:p w14:paraId="0E819D9E">
            <w:pPr>
              <w:ind w:firstLine="480" w:firstLineChars="200"/>
            </w:pPr>
            <w:r>
              <w:rPr>
                <w:rFonts w:hint="eastAsia"/>
              </w:rPr>
              <w:t>（4）汽车尾气G4</w:t>
            </w:r>
          </w:p>
          <w:p w14:paraId="1D887CB0">
            <w:pPr>
              <w:ind w:firstLine="480" w:firstLineChars="200"/>
              <w:rPr>
                <w:color w:val="0000FF"/>
              </w:rPr>
            </w:pPr>
            <w:r>
              <w:rPr>
                <w:rFonts w:hint="eastAsia"/>
              </w:rPr>
              <w:t>预计本项目主要为通行车辆服务，</w:t>
            </w:r>
            <w:r>
              <w:rPr>
                <w:rFonts w:hint="eastAsia"/>
                <w:lang w:eastAsia="zh-CN"/>
              </w:rPr>
              <w:t>进出车辆</w:t>
            </w:r>
            <w:r>
              <w:rPr>
                <w:rFonts w:hint="eastAsia"/>
              </w:rPr>
              <w:t>会产生少量尾气，尾气中主要污染物为</w:t>
            </w:r>
            <w:r>
              <w:t>CO、SO</w:t>
            </w:r>
            <w:r>
              <w:rPr>
                <w:vertAlign w:val="subscript"/>
              </w:rPr>
              <w:t>2</w:t>
            </w:r>
            <w:r>
              <w:t>、THC、NO</w:t>
            </w:r>
            <w:r>
              <w:rPr>
                <w:vertAlign w:val="subscript"/>
              </w:rPr>
              <w:t>x</w:t>
            </w:r>
            <w:r>
              <w:t>，呈无组织排放</w:t>
            </w:r>
            <w:r>
              <w:rPr>
                <w:rFonts w:hint="eastAsia"/>
              </w:rPr>
              <w:t>。停车场所设泊车位较多，四周建设绿化带。汽车停留时间短，且项目周边场地较为平整开阔，利于汽车尾气的稀释扩散。所产生的污染物经过大气稀释扩散及周边绿化的吸附，其排放不大，对周边大气环境影响较小。</w:t>
            </w:r>
          </w:p>
          <w:p w14:paraId="18241E97">
            <w:pPr>
              <w:ind w:firstLine="480" w:firstLineChars="200"/>
            </w:pPr>
            <w:r>
              <w:rPr>
                <w:rFonts w:hint="eastAsia"/>
              </w:rPr>
              <w:t>2、废气非正常工况分析</w:t>
            </w:r>
          </w:p>
          <w:p w14:paraId="3CB6589A">
            <w:pPr>
              <w:autoSpaceDE w:val="0"/>
              <w:autoSpaceDN w:val="0"/>
              <w:snapToGrid w:val="0"/>
              <w:ind w:firstLine="480"/>
              <w:rPr>
                <w:bCs/>
              </w:rPr>
            </w:pPr>
            <w:r>
              <w:rPr>
                <w:rFonts w:hint="eastAsia"/>
                <w:bCs/>
              </w:rPr>
              <w:t>本项目非正常工况主要考虑油气回收系统完全失效的情况，本次评价按最不利的情况考虑，即废气处理设施完全失效，处理效率为0的情况。根据工程分析，该情况下废气</w:t>
            </w:r>
            <w:r>
              <w:rPr>
                <w:bCs/>
              </w:rPr>
              <w:t>排放情况见</w:t>
            </w:r>
            <w:r>
              <w:rPr>
                <w:rFonts w:hint="eastAsia"/>
                <w:bCs/>
              </w:rPr>
              <w:t>下表</w:t>
            </w:r>
            <w:r>
              <w:rPr>
                <w:bCs/>
              </w:rPr>
              <w:t>。</w:t>
            </w:r>
          </w:p>
          <w:p w14:paraId="3A71EC4E">
            <w:pPr>
              <w:pStyle w:val="6"/>
            </w:pPr>
            <w:r>
              <w:t xml:space="preserve">表 </w:t>
            </w:r>
            <w:r>
              <w:rPr>
                <w:rFonts w:hint="eastAsia"/>
              </w:rPr>
              <w:t>4-</w:t>
            </w:r>
            <w:r>
              <w:fldChar w:fldCharType="begin"/>
            </w:r>
            <w:r>
              <w:instrText xml:space="preserve"> SEQ 表 \* ARABIC \s 1 </w:instrText>
            </w:r>
            <w:r>
              <w:fldChar w:fldCharType="separate"/>
            </w:r>
            <w:r>
              <w:t>3</w:t>
            </w:r>
            <w:r>
              <w:fldChar w:fldCharType="end"/>
            </w:r>
            <w:r>
              <w:rPr>
                <w:rFonts w:hint="eastAsia"/>
              </w:rPr>
              <w:t xml:space="preserve"> </w:t>
            </w:r>
            <w:r>
              <w:rPr>
                <w:kern w:val="0"/>
                <w:szCs w:val="18"/>
              </w:rPr>
              <w:t>非正常排放情况项目废气排放情况表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51"/>
              <w:gridCol w:w="751"/>
              <w:gridCol w:w="751"/>
              <w:gridCol w:w="918"/>
              <w:gridCol w:w="751"/>
              <w:gridCol w:w="751"/>
              <w:gridCol w:w="1181"/>
              <w:gridCol w:w="832"/>
              <w:gridCol w:w="918"/>
            </w:tblGrid>
            <w:tr w14:paraId="7F40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0" w:type="dxa"/>
                  <w:vMerge w:val="restart"/>
                  <w:vAlign w:val="center"/>
                </w:tcPr>
                <w:p w14:paraId="3F833671">
                  <w:pPr>
                    <w:pStyle w:val="24"/>
                  </w:pPr>
                  <w:r>
                    <w:t>项目</w:t>
                  </w:r>
                </w:p>
              </w:tc>
              <w:tc>
                <w:tcPr>
                  <w:tcW w:w="340" w:type="dxa"/>
                  <w:vMerge w:val="restart"/>
                  <w:vAlign w:val="center"/>
                </w:tcPr>
                <w:p w14:paraId="27CC592E">
                  <w:pPr>
                    <w:pStyle w:val="24"/>
                  </w:pPr>
                  <w:r>
                    <w:t>产排污环节</w:t>
                  </w:r>
                </w:p>
              </w:tc>
              <w:tc>
                <w:tcPr>
                  <w:tcW w:w="340" w:type="dxa"/>
                  <w:vMerge w:val="restart"/>
                  <w:vAlign w:val="center"/>
                </w:tcPr>
                <w:p w14:paraId="6586022A">
                  <w:pPr>
                    <w:pStyle w:val="24"/>
                  </w:pPr>
                  <w:r>
                    <w:t>污染因子</w:t>
                  </w:r>
                </w:p>
              </w:tc>
              <w:tc>
                <w:tcPr>
                  <w:tcW w:w="340" w:type="dxa"/>
                  <w:vMerge w:val="restart"/>
                  <w:vAlign w:val="center"/>
                </w:tcPr>
                <w:p w14:paraId="610DF7E5">
                  <w:pPr>
                    <w:pStyle w:val="24"/>
                  </w:pPr>
                  <w:r>
                    <w:t>非正常排放原因</w:t>
                  </w:r>
                </w:p>
              </w:tc>
              <w:tc>
                <w:tcPr>
                  <w:tcW w:w="340" w:type="dxa"/>
                  <w:vMerge w:val="restart"/>
                  <w:vAlign w:val="center"/>
                </w:tcPr>
                <w:p w14:paraId="6FEC08F2">
                  <w:pPr>
                    <w:pStyle w:val="24"/>
                  </w:pPr>
                  <w:r>
                    <w:t>频次</w:t>
                  </w:r>
                </w:p>
              </w:tc>
              <w:tc>
                <w:tcPr>
                  <w:tcW w:w="340" w:type="dxa"/>
                  <w:vMerge w:val="restart"/>
                  <w:vAlign w:val="center"/>
                </w:tcPr>
                <w:p w14:paraId="4D201650">
                  <w:pPr>
                    <w:pStyle w:val="24"/>
                  </w:pPr>
                  <w:r>
                    <w:t>持续时间</w:t>
                  </w:r>
                </w:p>
              </w:tc>
              <w:tc>
                <w:tcPr>
                  <w:tcW w:w="340" w:type="dxa"/>
                  <w:gridSpan w:val="2"/>
                  <w:vAlign w:val="center"/>
                </w:tcPr>
                <w:p w14:paraId="6304D234">
                  <w:pPr>
                    <w:pStyle w:val="24"/>
                  </w:pPr>
                  <w:r>
                    <w:t>排放情况</w:t>
                  </w:r>
                </w:p>
              </w:tc>
              <w:tc>
                <w:tcPr>
                  <w:tcW w:w="340" w:type="dxa"/>
                  <w:vMerge w:val="restart"/>
                  <w:vAlign w:val="center"/>
                </w:tcPr>
                <w:p w14:paraId="4B00F83F">
                  <w:pPr>
                    <w:pStyle w:val="24"/>
                  </w:pPr>
                  <w:r>
                    <w:t>控制措施</w:t>
                  </w:r>
                </w:p>
              </w:tc>
            </w:tr>
            <w:tr w14:paraId="6B5A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0" w:type="dxa"/>
                  <w:vMerge w:val="continue"/>
                  <w:vAlign w:val="center"/>
                </w:tcPr>
                <w:p w14:paraId="634394CF">
                  <w:pPr>
                    <w:pStyle w:val="24"/>
                  </w:pPr>
                </w:p>
              </w:tc>
              <w:tc>
                <w:tcPr>
                  <w:tcW w:w="340" w:type="dxa"/>
                  <w:vMerge w:val="continue"/>
                  <w:vAlign w:val="center"/>
                </w:tcPr>
                <w:p w14:paraId="32B0C701">
                  <w:pPr>
                    <w:pStyle w:val="24"/>
                  </w:pPr>
                </w:p>
              </w:tc>
              <w:tc>
                <w:tcPr>
                  <w:tcW w:w="340" w:type="dxa"/>
                  <w:vMerge w:val="continue"/>
                  <w:vAlign w:val="center"/>
                </w:tcPr>
                <w:p w14:paraId="42CF4A3A">
                  <w:pPr>
                    <w:pStyle w:val="24"/>
                  </w:pPr>
                </w:p>
              </w:tc>
              <w:tc>
                <w:tcPr>
                  <w:tcW w:w="340" w:type="dxa"/>
                  <w:vMerge w:val="continue"/>
                  <w:vAlign w:val="center"/>
                </w:tcPr>
                <w:p w14:paraId="255F7D3F">
                  <w:pPr>
                    <w:pStyle w:val="24"/>
                  </w:pPr>
                </w:p>
              </w:tc>
              <w:tc>
                <w:tcPr>
                  <w:tcW w:w="340" w:type="dxa"/>
                  <w:vMerge w:val="continue"/>
                  <w:vAlign w:val="center"/>
                </w:tcPr>
                <w:p w14:paraId="5B549C1F">
                  <w:pPr>
                    <w:pStyle w:val="24"/>
                  </w:pPr>
                </w:p>
              </w:tc>
              <w:tc>
                <w:tcPr>
                  <w:tcW w:w="340" w:type="dxa"/>
                  <w:vMerge w:val="continue"/>
                  <w:vAlign w:val="center"/>
                </w:tcPr>
                <w:p w14:paraId="57F640FB">
                  <w:pPr>
                    <w:pStyle w:val="24"/>
                  </w:pPr>
                </w:p>
              </w:tc>
              <w:tc>
                <w:tcPr>
                  <w:tcW w:w="340" w:type="dxa"/>
                  <w:vAlign w:val="center"/>
                </w:tcPr>
                <w:p w14:paraId="1D27B05B">
                  <w:pPr>
                    <w:pStyle w:val="24"/>
                  </w:pPr>
                  <w:r>
                    <w:t>排放浓度mg/m</w:t>
                  </w:r>
                  <w:r>
                    <w:rPr>
                      <w:vertAlign w:val="superscript"/>
                    </w:rPr>
                    <w:t>3</w:t>
                  </w:r>
                </w:p>
              </w:tc>
              <w:tc>
                <w:tcPr>
                  <w:tcW w:w="340" w:type="dxa"/>
                  <w:vAlign w:val="center"/>
                </w:tcPr>
                <w:p w14:paraId="16A55E5D">
                  <w:pPr>
                    <w:pStyle w:val="24"/>
                  </w:pPr>
                  <w:r>
                    <w:t>排放速率kg/h</w:t>
                  </w:r>
                </w:p>
              </w:tc>
              <w:tc>
                <w:tcPr>
                  <w:tcW w:w="340" w:type="dxa"/>
                  <w:vMerge w:val="continue"/>
                  <w:vAlign w:val="center"/>
                </w:tcPr>
                <w:p w14:paraId="6121DE50">
                  <w:pPr>
                    <w:pStyle w:val="24"/>
                  </w:pPr>
                </w:p>
              </w:tc>
            </w:tr>
            <w:tr w14:paraId="313D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2" w:hRule="atLeast"/>
                <w:jc w:val="center"/>
              </w:trPr>
              <w:tc>
                <w:tcPr>
                  <w:tcW w:w="340" w:type="dxa"/>
                  <w:vMerge w:val="restart"/>
                  <w:vAlign w:val="center"/>
                </w:tcPr>
                <w:p w14:paraId="0E3944C2">
                  <w:pPr>
                    <w:pStyle w:val="24"/>
                  </w:pPr>
                  <w:r>
                    <w:rPr>
                      <w:rFonts w:hint="eastAsia"/>
                    </w:rPr>
                    <w:t>加油站</w:t>
                  </w:r>
                </w:p>
              </w:tc>
              <w:tc>
                <w:tcPr>
                  <w:tcW w:w="340" w:type="dxa"/>
                  <w:vAlign w:val="center"/>
                </w:tcPr>
                <w:p w14:paraId="460F8B09">
                  <w:pPr>
                    <w:pStyle w:val="24"/>
                  </w:pPr>
                  <w:r>
                    <w:t>加油</w:t>
                  </w:r>
                </w:p>
              </w:tc>
              <w:tc>
                <w:tcPr>
                  <w:tcW w:w="340" w:type="dxa"/>
                  <w:vAlign w:val="center"/>
                </w:tcPr>
                <w:p w14:paraId="5D55B9D3">
                  <w:pPr>
                    <w:pStyle w:val="24"/>
                  </w:pPr>
                  <w:r>
                    <w:t>非甲烷总烃</w:t>
                  </w:r>
                </w:p>
              </w:tc>
              <w:tc>
                <w:tcPr>
                  <w:tcW w:w="340" w:type="dxa"/>
                  <w:vMerge w:val="restart"/>
                  <w:vAlign w:val="center"/>
                </w:tcPr>
                <w:p w14:paraId="3CC6C086">
                  <w:pPr>
                    <w:pStyle w:val="24"/>
                  </w:pPr>
                  <w:r>
                    <w:t>油气回收系统发生故障，回收效率为0</w:t>
                  </w:r>
                </w:p>
              </w:tc>
              <w:tc>
                <w:tcPr>
                  <w:tcW w:w="340" w:type="dxa"/>
                  <w:vAlign w:val="center"/>
                </w:tcPr>
                <w:p w14:paraId="2FD4AB99">
                  <w:pPr>
                    <w:pStyle w:val="24"/>
                  </w:pPr>
                  <w:r>
                    <w:t>1次/a</w:t>
                  </w:r>
                </w:p>
              </w:tc>
              <w:tc>
                <w:tcPr>
                  <w:tcW w:w="340" w:type="dxa"/>
                  <w:vAlign w:val="center"/>
                </w:tcPr>
                <w:p w14:paraId="0CC7DB09">
                  <w:pPr>
                    <w:pStyle w:val="24"/>
                  </w:pPr>
                  <w:r>
                    <w:t>1h/次</w:t>
                  </w:r>
                </w:p>
              </w:tc>
              <w:tc>
                <w:tcPr>
                  <w:tcW w:w="340" w:type="dxa"/>
                  <w:vMerge w:val="restart"/>
                  <w:vAlign w:val="center"/>
                </w:tcPr>
                <w:p w14:paraId="6A2AA290">
                  <w:pPr>
                    <w:pStyle w:val="24"/>
                  </w:pPr>
                  <w:r>
                    <w:t>/</w:t>
                  </w:r>
                </w:p>
              </w:tc>
              <w:tc>
                <w:tcPr>
                  <w:tcW w:w="340" w:type="dxa"/>
                  <w:vMerge w:val="restart"/>
                  <w:vAlign w:val="center"/>
                </w:tcPr>
                <w:p w14:paraId="00AB544B">
                  <w:pPr>
                    <w:pStyle w:val="24"/>
                  </w:pPr>
                  <w:r>
                    <w:rPr>
                      <w:rFonts w:hint="eastAsia"/>
                    </w:rPr>
                    <w:t>0.64</w:t>
                  </w:r>
                </w:p>
              </w:tc>
              <w:tc>
                <w:tcPr>
                  <w:tcW w:w="340" w:type="dxa"/>
                  <w:vMerge w:val="restart"/>
                  <w:vAlign w:val="center"/>
                </w:tcPr>
                <w:p w14:paraId="47CD7CE4">
                  <w:pPr>
                    <w:pStyle w:val="24"/>
                  </w:pPr>
                  <w:r>
                    <w:t>企业应加强管理，一旦废气治理系统故障，立即停产检修，防止事故废气排放</w:t>
                  </w:r>
                </w:p>
              </w:tc>
            </w:tr>
            <w:tr w14:paraId="1FE0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0" w:type="dxa"/>
                  <w:vMerge w:val="continue"/>
                  <w:vAlign w:val="center"/>
                </w:tcPr>
                <w:p w14:paraId="0C53E8AD">
                  <w:pPr>
                    <w:pStyle w:val="24"/>
                  </w:pPr>
                </w:p>
              </w:tc>
              <w:tc>
                <w:tcPr>
                  <w:tcW w:w="340" w:type="dxa"/>
                  <w:vAlign w:val="center"/>
                </w:tcPr>
                <w:p w14:paraId="0A11FD88">
                  <w:pPr>
                    <w:pStyle w:val="24"/>
                  </w:pPr>
                  <w:r>
                    <w:t>汽油卸油</w:t>
                  </w:r>
                </w:p>
              </w:tc>
              <w:tc>
                <w:tcPr>
                  <w:tcW w:w="340" w:type="dxa"/>
                  <w:vAlign w:val="center"/>
                </w:tcPr>
                <w:p w14:paraId="6F380539">
                  <w:pPr>
                    <w:pStyle w:val="24"/>
                  </w:pPr>
                  <w:r>
                    <w:t>非甲烷总烃</w:t>
                  </w:r>
                </w:p>
              </w:tc>
              <w:tc>
                <w:tcPr>
                  <w:tcW w:w="340" w:type="dxa"/>
                  <w:vMerge w:val="continue"/>
                  <w:vAlign w:val="center"/>
                </w:tcPr>
                <w:p w14:paraId="532D4C19">
                  <w:pPr>
                    <w:pStyle w:val="24"/>
                  </w:pPr>
                </w:p>
              </w:tc>
              <w:tc>
                <w:tcPr>
                  <w:tcW w:w="340" w:type="dxa"/>
                  <w:vAlign w:val="center"/>
                </w:tcPr>
                <w:p w14:paraId="0BCD469C">
                  <w:pPr>
                    <w:pStyle w:val="24"/>
                  </w:pPr>
                  <w:r>
                    <w:t>1次/a</w:t>
                  </w:r>
                </w:p>
              </w:tc>
              <w:tc>
                <w:tcPr>
                  <w:tcW w:w="340" w:type="dxa"/>
                  <w:vAlign w:val="center"/>
                </w:tcPr>
                <w:p w14:paraId="5D1A74E2">
                  <w:pPr>
                    <w:pStyle w:val="24"/>
                  </w:pPr>
                  <w:r>
                    <w:t>1h/次</w:t>
                  </w:r>
                </w:p>
              </w:tc>
              <w:tc>
                <w:tcPr>
                  <w:tcW w:w="340" w:type="dxa"/>
                  <w:vMerge w:val="continue"/>
                  <w:vAlign w:val="center"/>
                </w:tcPr>
                <w:p w14:paraId="5B02F45E">
                  <w:pPr>
                    <w:pStyle w:val="24"/>
                  </w:pPr>
                </w:p>
              </w:tc>
              <w:tc>
                <w:tcPr>
                  <w:tcW w:w="340" w:type="dxa"/>
                  <w:vMerge w:val="continue"/>
                  <w:vAlign w:val="center"/>
                </w:tcPr>
                <w:p w14:paraId="1B659411">
                  <w:pPr>
                    <w:pStyle w:val="24"/>
                  </w:pPr>
                </w:p>
              </w:tc>
              <w:tc>
                <w:tcPr>
                  <w:tcW w:w="340" w:type="dxa"/>
                  <w:vMerge w:val="continue"/>
                  <w:vAlign w:val="center"/>
                </w:tcPr>
                <w:p w14:paraId="22EE0274">
                  <w:pPr>
                    <w:pStyle w:val="24"/>
                  </w:pPr>
                </w:p>
              </w:tc>
            </w:tr>
          </w:tbl>
          <w:p w14:paraId="139A17BF">
            <w:pPr>
              <w:autoSpaceDE w:val="0"/>
              <w:autoSpaceDN w:val="0"/>
              <w:snapToGrid w:val="0"/>
              <w:ind w:firstLine="480"/>
              <w:rPr>
                <w:bCs/>
              </w:rPr>
            </w:pPr>
            <w:r>
              <w:rPr>
                <w:bCs/>
              </w:rPr>
              <w:t>为防止废气非正常排放，建设单位必须加强废气污染治理设施的管理，定期检修，确保废气污染治理设施正常运行，应采取以下措施确保废气达标排放：</w:t>
            </w:r>
          </w:p>
          <w:p w14:paraId="198DC29F">
            <w:pPr>
              <w:autoSpaceDE w:val="0"/>
              <w:autoSpaceDN w:val="0"/>
              <w:snapToGrid w:val="0"/>
              <w:ind w:firstLine="480"/>
              <w:rPr>
                <w:bCs/>
              </w:rPr>
            </w:pPr>
            <w:r>
              <w:rPr>
                <w:bCs/>
              </w:rPr>
              <w:t>①安排专人负责环保设备的日常维护和管理，每个固定时间检查、汇报情况，及时发现废气处理设备的隐患，确保废气处理设施正常运行；</w:t>
            </w:r>
          </w:p>
          <w:p w14:paraId="6E700522">
            <w:pPr>
              <w:autoSpaceDE w:val="0"/>
              <w:autoSpaceDN w:val="0"/>
              <w:snapToGrid w:val="0"/>
              <w:ind w:firstLine="480"/>
              <w:rPr>
                <w:bCs/>
              </w:rPr>
            </w:pPr>
            <w:r>
              <w:rPr>
                <w:bCs/>
              </w:rPr>
              <w:t>②建立健全的环保管理机构，对环保管理人员和技术人员进行岗位培训，委托具有专业资质的环境检测单位对项目排放的各类污染物进行定期检测；</w:t>
            </w:r>
          </w:p>
          <w:p w14:paraId="5A81CC1B">
            <w:pPr>
              <w:autoSpaceDE w:val="0"/>
              <w:autoSpaceDN w:val="0"/>
              <w:snapToGrid w:val="0"/>
              <w:ind w:firstLine="480"/>
              <w:rPr>
                <w:bCs/>
              </w:rPr>
            </w:pPr>
            <w:r>
              <w:rPr>
                <w:bCs/>
              </w:rPr>
              <w:t>③应定期维护、检修废气污染治理设施，以保持废气污染治理设施的处理效果；</w:t>
            </w:r>
          </w:p>
          <w:p w14:paraId="4080113C">
            <w:pPr>
              <w:autoSpaceDE w:val="0"/>
              <w:autoSpaceDN w:val="0"/>
              <w:snapToGrid w:val="0"/>
              <w:ind w:firstLine="480"/>
              <w:rPr>
                <w:bCs/>
              </w:rPr>
            </w:pPr>
            <w:r>
              <w:rPr>
                <w:bCs/>
              </w:rPr>
              <w:t>④固定顶管管体应保持完好，不应有孔洞、缝隙，避免油气挥发；</w:t>
            </w:r>
          </w:p>
          <w:p w14:paraId="0C21F415">
            <w:pPr>
              <w:autoSpaceDE w:val="0"/>
              <w:autoSpaceDN w:val="0"/>
              <w:snapToGrid w:val="0"/>
              <w:ind w:firstLine="480"/>
              <w:rPr>
                <w:bCs/>
              </w:rPr>
            </w:pPr>
            <w:r>
              <w:rPr>
                <w:bCs/>
              </w:rPr>
              <w:t>⑤储罐附件开口（孔），除采样、计量、例行检查、维护和其他正常活动外，应密闭；</w:t>
            </w:r>
          </w:p>
          <w:p w14:paraId="0D9D6F79">
            <w:pPr>
              <w:autoSpaceDE w:val="0"/>
              <w:autoSpaceDN w:val="0"/>
              <w:snapToGrid w:val="0"/>
              <w:ind w:firstLine="480"/>
            </w:pPr>
            <w:r>
              <w:rPr>
                <w:bCs/>
              </w:rPr>
              <w:t>⑥定期检查呼吸阀的定压是否符合设定要求。</w:t>
            </w:r>
          </w:p>
          <w:p w14:paraId="6BCA1E04">
            <w:pPr>
              <w:ind w:firstLine="480" w:firstLineChars="200"/>
            </w:pPr>
            <w:r>
              <w:rPr>
                <w:rFonts w:hint="eastAsia"/>
              </w:rPr>
              <w:t>3、废气收集处理措施可行性分析</w:t>
            </w:r>
          </w:p>
          <w:p w14:paraId="43EE6DF9">
            <w:pPr>
              <w:ind w:firstLine="480" w:firstLineChars="200"/>
            </w:pPr>
            <w:r>
              <w:t>本项目产生的废气主要来自于储油罐呼吸损耗、油罐车卸油灌注以及加油</w:t>
            </w:r>
            <w:r>
              <w:rPr>
                <w:rFonts w:hint="eastAsia"/>
              </w:rPr>
              <w:t>加气</w:t>
            </w:r>
            <w:r>
              <w:t>作业过程中排放的少量油气、过往车辆产生的少量汽车尾气。</w:t>
            </w:r>
          </w:p>
          <w:p w14:paraId="2CFDC04D">
            <w:pPr>
              <w:ind w:firstLine="480" w:firstLineChars="200"/>
            </w:pPr>
            <w:r>
              <w:t>本项目场地开阔，过往车辆产生的汽车尾气易于扩散，对周围环境影响较小。</w:t>
            </w:r>
          </w:p>
          <w:p w14:paraId="1DC71175">
            <w:pPr>
              <w:ind w:firstLine="480" w:firstLineChars="200"/>
            </w:pPr>
            <w:r>
              <w:rPr>
                <w:rFonts w:hint="eastAsia"/>
              </w:rPr>
              <w:t>本项目采用埋地式储油罐，卸油方式为密闭卸油，密闭性良好，为减少加油站卸油、加油过程造成的非甲烷总烃无组织排放，项目采取以密闭收集为基础的油气回收系统回收效率为</w:t>
            </w:r>
            <w:r>
              <w:t>95%</w:t>
            </w:r>
            <w:r>
              <w:rPr>
                <w:rFonts w:hint="eastAsia"/>
              </w:rPr>
              <w:t>。采用上述污染治理措施后，废气无组织排放量较少，对周边环境影响不大。此外，企业需加强管理，确保废气回收设施正常运行，杜绝非正常工况的发生。因此，本项目建成后，大气环境影响可接受，项目大气污染物排放方案可行。</w:t>
            </w:r>
          </w:p>
          <w:p w14:paraId="78F573EB">
            <w:pPr>
              <w:ind w:firstLine="480" w:firstLineChars="200"/>
            </w:pPr>
            <w:r>
              <w:rPr>
                <w:rFonts w:hint="eastAsia"/>
              </w:rPr>
              <w:t>综上，</w:t>
            </w:r>
            <w:r>
              <w:t>经采取以上措施后，项目区</w:t>
            </w:r>
            <w:r>
              <w:rPr>
                <w:rFonts w:hint="eastAsia"/>
              </w:rPr>
              <w:t>废</w:t>
            </w:r>
            <w:r>
              <w:t>气对周边环境影响较小</w:t>
            </w:r>
            <w:r>
              <w:rPr>
                <w:rFonts w:hint="eastAsia"/>
              </w:rPr>
              <w:t>，不会改变项目区的大气环境功能。</w:t>
            </w:r>
          </w:p>
          <w:p w14:paraId="7B6CE3F8">
            <w:pPr>
              <w:ind w:firstLine="480" w:firstLineChars="200"/>
            </w:pPr>
            <w:r>
              <w:rPr>
                <w:rFonts w:hint="eastAsia"/>
              </w:rPr>
              <w:t>4、废气监测要求</w:t>
            </w:r>
          </w:p>
          <w:p w14:paraId="1B72ACFD">
            <w:pPr>
              <w:ind w:firstLine="480" w:firstLineChars="200"/>
            </w:pPr>
            <w:r>
              <w:t>根据《排污单位自行监测技术指南 储油库、加油站》（HJ 1249-2022）</w:t>
            </w:r>
            <w:r>
              <w:rPr>
                <w:rFonts w:hint="eastAsia"/>
              </w:rPr>
              <w:t>、</w:t>
            </w:r>
            <w:r>
              <w:rPr>
                <w:spacing w:val="-1"/>
              </w:rPr>
              <w:t>《排污单位自行监测技术指南</w:t>
            </w:r>
            <w:r>
              <w:rPr>
                <w:rFonts w:hint="eastAsia"/>
                <w:spacing w:val="-1"/>
              </w:rPr>
              <w:t xml:space="preserve"> </w:t>
            </w:r>
            <w:r>
              <w:rPr>
                <w:spacing w:val="-1"/>
              </w:rPr>
              <w:t>总则》（HJ819-2017）</w:t>
            </w:r>
            <w:r>
              <w:t>，项目废气监测计划见</w:t>
            </w:r>
            <w:r>
              <w:rPr>
                <w:rFonts w:hint="eastAsia"/>
              </w:rPr>
              <w:t>下表</w:t>
            </w:r>
            <w:r>
              <w:t>。</w:t>
            </w:r>
          </w:p>
          <w:p w14:paraId="19631E2F">
            <w:pPr>
              <w:pStyle w:val="6"/>
            </w:pPr>
            <w:r>
              <w:t xml:space="preserve">表 </w:t>
            </w:r>
            <w:r>
              <w:rPr>
                <w:rFonts w:hint="eastAsia"/>
              </w:rPr>
              <w:t>4-</w:t>
            </w:r>
            <w:r>
              <w:fldChar w:fldCharType="begin"/>
            </w:r>
            <w:r>
              <w:instrText xml:space="preserve"> SEQ 表 \* ARABIC \s 1 </w:instrText>
            </w:r>
            <w:r>
              <w:fldChar w:fldCharType="separate"/>
            </w:r>
            <w:r>
              <w:t>4</w:t>
            </w:r>
            <w:r>
              <w:fldChar w:fldCharType="end"/>
            </w:r>
            <w:r>
              <w:rPr>
                <w:rFonts w:hint="eastAsia"/>
              </w:rPr>
              <w:t xml:space="preserve"> </w:t>
            </w:r>
            <w:r>
              <w:rPr>
                <w:kern w:val="0"/>
                <w:szCs w:val="18"/>
              </w:rPr>
              <w:t>废气监测计划一览表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429"/>
              <w:gridCol w:w="982"/>
              <w:gridCol w:w="4208"/>
            </w:tblGrid>
            <w:tr w14:paraId="2299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Align w:val="center"/>
                </w:tcPr>
                <w:p w14:paraId="0A89B45D">
                  <w:pPr>
                    <w:pStyle w:val="24"/>
                  </w:pPr>
                  <w:r>
                    <w:t>监测点位</w:t>
                  </w:r>
                </w:p>
              </w:tc>
              <w:tc>
                <w:tcPr>
                  <w:tcW w:w="340" w:type="dxa"/>
                  <w:vAlign w:val="center"/>
                </w:tcPr>
                <w:p w14:paraId="5FD90B9B">
                  <w:pPr>
                    <w:pStyle w:val="24"/>
                  </w:pPr>
                  <w:r>
                    <w:t>监测指标</w:t>
                  </w:r>
                </w:p>
              </w:tc>
              <w:tc>
                <w:tcPr>
                  <w:tcW w:w="340" w:type="dxa"/>
                  <w:vAlign w:val="center"/>
                </w:tcPr>
                <w:p w14:paraId="249F1F83">
                  <w:pPr>
                    <w:pStyle w:val="24"/>
                  </w:pPr>
                  <w:r>
                    <w:t>监测频次</w:t>
                  </w:r>
                </w:p>
              </w:tc>
              <w:tc>
                <w:tcPr>
                  <w:tcW w:w="340" w:type="dxa"/>
                  <w:vAlign w:val="center"/>
                </w:tcPr>
                <w:p w14:paraId="0788B524">
                  <w:pPr>
                    <w:pStyle w:val="24"/>
                  </w:pPr>
                  <w:r>
                    <w:t>执行排放标准</w:t>
                  </w:r>
                </w:p>
              </w:tc>
            </w:tr>
            <w:tr w14:paraId="7BFF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shd w:val="clear" w:color="auto" w:fill="auto"/>
                  <w:vAlign w:val="center"/>
                </w:tcPr>
                <w:p w14:paraId="04BFFCCD">
                  <w:pPr>
                    <w:pStyle w:val="24"/>
                  </w:pPr>
                  <w:r>
                    <w:rPr>
                      <w:rFonts w:hint="eastAsia"/>
                    </w:rPr>
                    <w:t>项目厂界</w:t>
                  </w:r>
                </w:p>
              </w:tc>
              <w:tc>
                <w:tcPr>
                  <w:tcW w:w="340" w:type="dxa"/>
                  <w:shd w:val="clear" w:color="auto" w:fill="auto"/>
                  <w:vAlign w:val="center"/>
                </w:tcPr>
                <w:p w14:paraId="54520A9B">
                  <w:pPr>
                    <w:pStyle w:val="24"/>
                  </w:pPr>
                  <w:r>
                    <w:rPr>
                      <w:rFonts w:hint="eastAsia"/>
                    </w:rPr>
                    <w:t>颗粒物</w:t>
                  </w:r>
                </w:p>
              </w:tc>
              <w:tc>
                <w:tcPr>
                  <w:tcW w:w="340" w:type="dxa"/>
                  <w:shd w:val="clear" w:color="auto" w:fill="auto"/>
                  <w:vAlign w:val="center"/>
                </w:tcPr>
                <w:p w14:paraId="6A6DB6BF">
                  <w:pPr>
                    <w:pStyle w:val="24"/>
                  </w:pPr>
                  <w:r>
                    <w:t>1次/年</w:t>
                  </w:r>
                </w:p>
              </w:tc>
              <w:tc>
                <w:tcPr>
                  <w:tcW w:w="340" w:type="dxa"/>
                  <w:shd w:val="clear" w:color="auto" w:fill="auto"/>
                  <w:vAlign w:val="center"/>
                </w:tcPr>
                <w:p w14:paraId="0E08A072">
                  <w:pPr>
                    <w:pStyle w:val="24"/>
                  </w:pPr>
                  <w:r>
                    <w:rPr>
                      <w:rFonts w:hint="eastAsia"/>
                    </w:rPr>
                    <w:t>《大气污染物综合排放标准》（GB16297-1996）中无组织排放监控浓度限值</w:t>
                  </w:r>
                </w:p>
              </w:tc>
            </w:tr>
            <w:tr w14:paraId="71A3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Align w:val="center"/>
                </w:tcPr>
                <w:p w14:paraId="2453FBF7">
                  <w:pPr>
                    <w:pStyle w:val="24"/>
                  </w:pPr>
                  <w:r>
                    <w:rPr>
                      <w:rFonts w:hint="eastAsia"/>
                    </w:rPr>
                    <w:t>加油站边界</w:t>
                  </w:r>
                </w:p>
              </w:tc>
              <w:tc>
                <w:tcPr>
                  <w:tcW w:w="340" w:type="dxa"/>
                  <w:vAlign w:val="center"/>
                </w:tcPr>
                <w:p w14:paraId="44F608AC">
                  <w:pPr>
                    <w:pStyle w:val="24"/>
                  </w:pPr>
                  <w:r>
                    <w:t>非甲烷总烃</w:t>
                  </w:r>
                </w:p>
              </w:tc>
              <w:tc>
                <w:tcPr>
                  <w:tcW w:w="340" w:type="dxa"/>
                  <w:vAlign w:val="center"/>
                </w:tcPr>
                <w:p w14:paraId="2DB79570">
                  <w:pPr>
                    <w:pStyle w:val="24"/>
                  </w:pPr>
                  <w:r>
                    <w:t>1次/年</w:t>
                  </w:r>
                </w:p>
              </w:tc>
              <w:tc>
                <w:tcPr>
                  <w:tcW w:w="340" w:type="dxa"/>
                  <w:vMerge w:val="restart"/>
                  <w:vAlign w:val="center"/>
                </w:tcPr>
                <w:p w14:paraId="76ECB330">
                  <w:pPr>
                    <w:pStyle w:val="24"/>
                    <w:rPr>
                      <w:lang w:val="zh-CN"/>
                    </w:rPr>
                  </w:pPr>
                  <w:r>
                    <w:t>《加油站大气污染物排放标准》（GB20952-2020）</w:t>
                  </w:r>
                  <w:r>
                    <w:rPr>
                      <w:rFonts w:hint="eastAsia"/>
                    </w:rPr>
                    <w:t>无组织排放限值</w:t>
                  </w:r>
                </w:p>
              </w:tc>
            </w:tr>
            <w:tr w14:paraId="0493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Align w:val="center"/>
                </w:tcPr>
                <w:p w14:paraId="1ED790B5">
                  <w:pPr>
                    <w:pStyle w:val="24"/>
                  </w:pPr>
                  <w:r>
                    <w:rPr>
                      <w:rFonts w:hint="eastAsia"/>
                    </w:rPr>
                    <w:t>综合能源站油气回收系统密闭点</w:t>
                  </w:r>
                </w:p>
              </w:tc>
              <w:tc>
                <w:tcPr>
                  <w:tcW w:w="340" w:type="dxa"/>
                  <w:vAlign w:val="center"/>
                </w:tcPr>
                <w:p w14:paraId="4ED7391C">
                  <w:pPr>
                    <w:pStyle w:val="24"/>
                  </w:pPr>
                  <w:r>
                    <w:rPr>
                      <w:rFonts w:hint="eastAsia"/>
                    </w:rPr>
                    <w:t>泄漏检测值</w:t>
                  </w:r>
                </w:p>
              </w:tc>
              <w:tc>
                <w:tcPr>
                  <w:tcW w:w="340" w:type="dxa"/>
                  <w:vAlign w:val="center"/>
                </w:tcPr>
                <w:p w14:paraId="31B6BA58">
                  <w:pPr>
                    <w:pStyle w:val="24"/>
                  </w:pPr>
                  <w:r>
                    <w:rPr>
                      <w:rFonts w:hint="eastAsia"/>
                    </w:rPr>
                    <w:t>1次/年</w:t>
                  </w:r>
                </w:p>
              </w:tc>
              <w:tc>
                <w:tcPr>
                  <w:tcW w:w="340" w:type="dxa"/>
                  <w:vMerge w:val="continue"/>
                  <w:vAlign w:val="center"/>
                </w:tcPr>
                <w:p w14:paraId="4A178D45">
                  <w:pPr>
                    <w:pStyle w:val="24"/>
                  </w:pPr>
                </w:p>
              </w:tc>
            </w:tr>
            <w:tr w14:paraId="378A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Align w:val="center"/>
                </w:tcPr>
                <w:p w14:paraId="297A769D">
                  <w:pPr>
                    <w:pStyle w:val="24"/>
                  </w:pPr>
                  <w:r>
                    <w:rPr>
                      <w:rFonts w:hint="eastAsia"/>
                    </w:rPr>
                    <w:t>油气回收系统</w:t>
                  </w:r>
                </w:p>
              </w:tc>
              <w:tc>
                <w:tcPr>
                  <w:tcW w:w="340" w:type="dxa"/>
                  <w:vAlign w:val="center"/>
                </w:tcPr>
                <w:p w14:paraId="5A25374E">
                  <w:pPr>
                    <w:pStyle w:val="24"/>
                  </w:pPr>
                  <w:r>
                    <w:rPr>
                      <w:rFonts w:hint="eastAsia"/>
                    </w:rPr>
                    <w:t>气液比、密闭性、液阻</w:t>
                  </w:r>
                </w:p>
              </w:tc>
              <w:tc>
                <w:tcPr>
                  <w:tcW w:w="340" w:type="dxa"/>
                  <w:vAlign w:val="center"/>
                </w:tcPr>
                <w:p w14:paraId="60C7961B">
                  <w:pPr>
                    <w:pStyle w:val="24"/>
                  </w:pPr>
                  <w:r>
                    <w:rPr>
                      <w:rFonts w:hint="eastAsia"/>
                    </w:rPr>
                    <w:t>1次/年</w:t>
                  </w:r>
                </w:p>
              </w:tc>
              <w:tc>
                <w:tcPr>
                  <w:tcW w:w="340" w:type="dxa"/>
                  <w:vMerge w:val="continue"/>
                  <w:vAlign w:val="center"/>
                </w:tcPr>
                <w:p w14:paraId="63D683CA">
                  <w:pPr>
                    <w:pStyle w:val="24"/>
                  </w:pPr>
                </w:p>
              </w:tc>
            </w:tr>
            <w:tr w14:paraId="6BBD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Align w:val="center"/>
                </w:tcPr>
                <w:p w14:paraId="6393CB4D">
                  <w:pPr>
                    <w:pStyle w:val="24"/>
                  </w:pPr>
                  <w:r>
                    <w:rPr>
                      <w:rFonts w:hint="eastAsia"/>
                    </w:rPr>
                    <w:t>综合能源站</w:t>
                  </w:r>
                  <w:r>
                    <w:t>区域内</w:t>
                  </w:r>
                </w:p>
              </w:tc>
              <w:tc>
                <w:tcPr>
                  <w:tcW w:w="340" w:type="dxa"/>
                  <w:vAlign w:val="center"/>
                </w:tcPr>
                <w:p w14:paraId="37EB44D4">
                  <w:pPr>
                    <w:pStyle w:val="24"/>
                  </w:pPr>
                  <w:r>
                    <w:t>非甲烷总烃</w:t>
                  </w:r>
                </w:p>
              </w:tc>
              <w:tc>
                <w:tcPr>
                  <w:tcW w:w="340" w:type="dxa"/>
                  <w:vAlign w:val="center"/>
                </w:tcPr>
                <w:p w14:paraId="57BC5C85">
                  <w:pPr>
                    <w:pStyle w:val="24"/>
                  </w:pPr>
                  <w:r>
                    <w:t>1次/年</w:t>
                  </w:r>
                </w:p>
              </w:tc>
              <w:tc>
                <w:tcPr>
                  <w:tcW w:w="340" w:type="dxa"/>
                  <w:vAlign w:val="center"/>
                </w:tcPr>
                <w:p w14:paraId="70363C8B">
                  <w:pPr>
                    <w:pStyle w:val="24"/>
                  </w:pPr>
                  <w:r>
                    <w:t>《挥发性有机物无组织排放控制标准》（GB37822-2019）表A.1中标准</w:t>
                  </w:r>
                </w:p>
              </w:tc>
            </w:tr>
            <w:tr w14:paraId="0DE8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Align w:val="center"/>
                </w:tcPr>
                <w:p w14:paraId="658B5C2F">
                  <w:pPr>
                    <w:pStyle w:val="24"/>
                  </w:pPr>
                  <w:r>
                    <w:rPr>
                      <w:rFonts w:hint="eastAsia"/>
                    </w:rPr>
                    <w:t>餐饮油烟废气排放口</w:t>
                  </w:r>
                </w:p>
              </w:tc>
              <w:tc>
                <w:tcPr>
                  <w:tcW w:w="340" w:type="dxa"/>
                  <w:vAlign w:val="center"/>
                </w:tcPr>
                <w:p w14:paraId="2E5C56E9">
                  <w:pPr>
                    <w:pStyle w:val="24"/>
                  </w:pPr>
                  <w:r>
                    <w:rPr>
                      <w:rFonts w:hint="eastAsia"/>
                    </w:rPr>
                    <w:t>油烟</w:t>
                  </w:r>
                </w:p>
              </w:tc>
              <w:tc>
                <w:tcPr>
                  <w:tcW w:w="340" w:type="dxa"/>
                  <w:vAlign w:val="center"/>
                </w:tcPr>
                <w:p w14:paraId="277EE856">
                  <w:pPr>
                    <w:pStyle w:val="24"/>
                  </w:pPr>
                  <w:r>
                    <w:t>1次/年</w:t>
                  </w:r>
                </w:p>
              </w:tc>
              <w:tc>
                <w:tcPr>
                  <w:tcW w:w="340" w:type="dxa"/>
                  <w:vAlign w:val="center"/>
                </w:tcPr>
                <w:p w14:paraId="4AA3EDDA">
                  <w:pPr>
                    <w:pStyle w:val="24"/>
                  </w:pPr>
                  <w:r>
                    <w:rPr>
                      <w:rFonts w:hint="eastAsia"/>
                      <w:szCs w:val="24"/>
                    </w:rPr>
                    <w:t>《饮食业油烟排放标准（试行）》（GB18483-2001）标准中“大型规模”</w:t>
                  </w:r>
                </w:p>
              </w:tc>
            </w:tr>
          </w:tbl>
          <w:p w14:paraId="32C3D142">
            <w:r>
              <w:rPr>
                <w:rFonts w:hint="eastAsia"/>
              </w:rPr>
              <w:t>二、</w:t>
            </w:r>
            <w:r>
              <w:t>废水污染源强及环境影响和保护措施</w:t>
            </w:r>
          </w:p>
          <w:p w14:paraId="1D3F9E28">
            <w:r>
              <w:rPr>
                <w:rFonts w:hint="eastAsia"/>
              </w:rPr>
              <w:t>1、废水源强核算</w:t>
            </w:r>
          </w:p>
          <w:p w14:paraId="2CA31B75">
            <w:pPr>
              <w:ind w:firstLine="480" w:firstLineChars="200"/>
            </w:pPr>
            <w:r>
              <w:rPr>
                <w:rFonts w:hint="eastAsia"/>
              </w:rPr>
              <w:t>（1）生活污水W1</w:t>
            </w:r>
          </w:p>
          <w:p w14:paraId="08611074">
            <w:pPr>
              <w:ind w:firstLine="480" w:firstLineChars="200"/>
              <w:rPr>
                <w:rFonts w:cs="宋体"/>
              </w:rPr>
            </w:pPr>
            <w:r>
              <w:rPr>
                <w:rFonts w:hint="eastAsia" w:cs="宋体"/>
              </w:rPr>
              <w:t>本项目运营期生活污水主要来自员工生活及往来人员产生废水。</w:t>
            </w:r>
          </w:p>
          <w:p w14:paraId="0EC0E76B">
            <w:pPr>
              <w:ind w:firstLine="480" w:firstLineChars="200"/>
            </w:pPr>
            <w:r>
              <w:rPr>
                <w:rFonts w:hint="eastAsia"/>
              </w:rPr>
              <w:t>1）工作人员生活污水</w:t>
            </w:r>
          </w:p>
          <w:p w14:paraId="197AACF8">
            <w:pPr>
              <w:ind w:firstLine="480" w:firstLineChars="200"/>
              <w:rPr>
                <w:rFonts w:hint="eastAsia" w:ascii="宋体" w:hAnsi="宋体"/>
              </w:rPr>
            </w:pPr>
            <w:r>
              <w:rPr>
                <w:rFonts w:hint="eastAsia" w:cs="宋体"/>
              </w:rPr>
              <w:t>项目设置劳动定员共30人，年工作365天，人均用水量按50L/人·d计，用水量约为1.5m</w:t>
            </w:r>
            <w:r>
              <w:rPr>
                <w:rFonts w:hint="eastAsia" w:cs="宋体"/>
                <w:vertAlign w:val="superscript"/>
              </w:rPr>
              <w:t>3</w:t>
            </w:r>
            <w:r>
              <w:rPr>
                <w:rFonts w:hint="eastAsia" w:cs="宋体"/>
              </w:rPr>
              <w:t>/d（548m</w:t>
            </w:r>
            <w:r>
              <w:rPr>
                <w:rFonts w:hint="eastAsia" w:cs="宋体"/>
                <w:vertAlign w:val="superscript"/>
              </w:rPr>
              <w:t>3</w:t>
            </w:r>
            <w:r>
              <w:rPr>
                <w:rFonts w:hint="eastAsia" w:cs="宋体"/>
              </w:rPr>
              <w:t>/a），排水系数取0.8，产生生活污水1.2m</w:t>
            </w:r>
            <w:r>
              <w:rPr>
                <w:rFonts w:hint="eastAsia" w:cs="宋体"/>
                <w:vertAlign w:val="superscript"/>
              </w:rPr>
              <w:t>3</w:t>
            </w:r>
            <w:r>
              <w:rPr>
                <w:rFonts w:hint="eastAsia" w:cs="宋体"/>
              </w:rPr>
              <w:t>/d（438m</w:t>
            </w:r>
            <w:r>
              <w:rPr>
                <w:rFonts w:hint="eastAsia" w:cs="宋体"/>
                <w:vertAlign w:val="superscript"/>
              </w:rPr>
              <w:t>3</w:t>
            </w:r>
            <w:r>
              <w:rPr>
                <w:rFonts w:hint="eastAsia" w:cs="宋体"/>
              </w:rPr>
              <w:t>/a）</w:t>
            </w:r>
            <w:r>
              <w:rPr>
                <w:rFonts w:hint="eastAsia" w:ascii="宋体" w:hAnsi="宋体"/>
              </w:rPr>
              <w:t>。</w:t>
            </w:r>
          </w:p>
          <w:p w14:paraId="124A694F">
            <w:pPr>
              <w:ind w:firstLine="480" w:firstLineChars="200"/>
            </w:pPr>
            <w:r>
              <w:rPr>
                <w:rFonts w:hint="eastAsia"/>
              </w:rPr>
              <w:t>2）往来人员生活污水</w:t>
            </w:r>
          </w:p>
          <w:p w14:paraId="4BB6AC8D">
            <w:pPr>
              <w:widowControl/>
              <w:kinsoku w:val="0"/>
              <w:autoSpaceDE w:val="0"/>
              <w:autoSpaceDN w:val="0"/>
              <w:adjustRightInd w:val="0"/>
              <w:snapToGrid w:val="0"/>
              <w:ind w:firstLine="480" w:firstLineChars="200"/>
              <w:jc w:val="left"/>
              <w:textAlignment w:val="baseline"/>
              <w:rPr>
                <w:rFonts w:hint="eastAsia" w:ascii="宋体" w:hAnsi="宋体"/>
                <w:color w:val="0000FF"/>
              </w:rPr>
            </w:pPr>
            <w:r>
              <w:rPr>
                <w:rFonts w:hint="eastAsia"/>
              </w:rPr>
              <w:t>根据建设单位提供资料，本项目建成后往来人员约500人/天，</w:t>
            </w:r>
            <w:bookmarkStart w:id="29" w:name="OLE_LINK25"/>
            <w:r>
              <w:rPr>
                <w:rFonts w:hint="eastAsia"/>
              </w:rPr>
              <w:t>如厕按旅客数量的30%计，用水量以20L/人·天计，</w:t>
            </w:r>
            <w:bookmarkStart w:id="30" w:name="OLE_LINK26"/>
            <w:r>
              <w:rPr>
                <w:rFonts w:hint="eastAsia"/>
              </w:rPr>
              <w:t>则往来人员生活用水为3</w:t>
            </w:r>
            <w:r>
              <w:rPr>
                <w:rFonts w:hint="eastAsia" w:cs="宋体"/>
              </w:rPr>
              <w:t>m</w:t>
            </w:r>
            <w:r>
              <w:rPr>
                <w:rFonts w:hint="eastAsia" w:cs="宋体"/>
                <w:vertAlign w:val="superscript"/>
              </w:rPr>
              <w:t>3</w:t>
            </w:r>
            <w:r>
              <w:rPr>
                <w:rFonts w:hint="eastAsia" w:cs="宋体"/>
              </w:rPr>
              <w:t>/d</w:t>
            </w:r>
            <w:r>
              <w:rPr>
                <w:rFonts w:hint="eastAsia" w:ascii="宋体" w:hAnsi="宋体"/>
              </w:rPr>
              <w:t>（</w:t>
            </w:r>
            <w:r>
              <w:rPr>
                <w:rFonts w:hint="eastAsia" w:ascii="TimesNewRomanPSMT" w:hAnsi="TimesNewRomanPSMT"/>
              </w:rPr>
              <w:t>1095</w:t>
            </w:r>
            <w:r>
              <w:rPr>
                <w:rFonts w:hint="eastAsia" w:cs="宋体"/>
              </w:rPr>
              <w:t>m</w:t>
            </w:r>
            <w:r>
              <w:rPr>
                <w:rFonts w:hint="eastAsia" w:cs="宋体"/>
                <w:vertAlign w:val="superscript"/>
              </w:rPr>
              <w:t>3</w:t>
            </w:r>
            <w:r>
              <w:rPr>
                <w:rFonts w:hint="eastAsia" w:cs="宋体"/>
              </w:rPr>
              <w:t>/a</w:t>
            </w:r>
            <w:r>
              <w:rPr>
                <w:rFonts w:hint="eastAsia" w:ascii="宋体" w:hAnsi="宋体"/>
              </w:rPr>
              <w:t>）</w:t>
            </w:r>
            <w:bookmarkEnd w:id="29"/>
            <w:bookmarkEnd w:id="30"/>
            <w:r>
              <w:rPr>
                <w:rFonts w:hint="eastAsia" w:ascii="宋体" w:hAnsi="宋体"/>
              </w:rPr>
              <w:t>，排水系数取</w:t>
            </w:r>
            <w:r>
              <w:rPr>
                <w:rFonts w:hint="eastAsia" w:ascii="TimesNewRomanPSMT" w:hAnsi="TimesNewRomanPSMT" w:eastAsia="TimesNewRomanPSMT"/>
              </w:rPr>
              <w:t>0.8</w:t>
            </w:r>
            <w:r>
              <w:rPr>
                <w:rFonts w:hint="eastAsia" w:ascii="宋体" w:hAnsi="宋体"/>
              </w:rPr>
              <w:t>，产生生活污水</w:t>
            </w:r>
            <w:r>
              <w:rPr>
                <w:rFonts w:hint="eastAsia" w:ascii="TimesNewRomanPSMT" w:hAnsi="TimesNewRomanPSMT"/>
              </w:rPr>
              <w:t>2.4</w:t>
            </w:r>
            <w:r>
              <w:rPr>
                <w:rFonts w:hint="eastAsia" w:cs="宋体"/>
              </w:rPr>
              <w:t>m</w:t>
            </w:r>
            <w:r>
              <w:rPr>
                <w:rFonts w:hint="eastAsia" w:cs="宋体"/>
                <w:vertAlign w:val="superscript"/>
              </w:rPr>
              <w:t>3</w:t>
            </w:r>
            <w:r>
              <w:rPr>
                <w:rFonts w:hint="eastAsia" w:cs="宋体"/>
              </w:rPr>
              <w:t>/d</w:t>
            </w:r>
            <w:r>
              <w:rPr>
                <w:rFonts w:hint="eastAsia" w:ascii="宋体" w:hAnsi="宋体"/>
              </w:rPr>
              <w:t>（</w:t>
            </w:r>
            <w:r>
              <w:rPr>
                <w:rFonts w:hint="eastAsia" w:ascii="TimesNewRomanPSMT" w:hAnsi="TimesNewRomanPSMT"/>
              </w:rPr>
              <w:t>876</w:t>
            </w:r>
            <w:r>
              <w:rPr>
                <w:rFonts w:hint="eastAsia" w:cs="宋体"/>
              </w:rPr>
              <w:t>m</w:t>
            </w:r>
            <w:r>
              <w:rPr>
                <w:rFonts w:hint="eastAsia" w:cs="宋体"/>
                <w:vertAlign w:val="superscript"/>
              </w:rPr>
              <w:t>3</w:t>
            </w:r>
            <w:r>
              <w:rPr>
                <w:rFonts w:hint="eastAsia" w:cs="宋体"/>
              </w:rPr>
              <w:t>/a</w:t>
            </w:r>
            <w:r>
              <w:rPr>
                <w:rFonts w:hint="eastAsia" w:ascii="宋体" w:hAnsi="宋体"/>
              </w:rPr>
              <w:t>）。</w:t>
            </w:r>
          </w:p>
          <w:p w14:paraId="3A06878C">
            <w:pPr>
              <w:widowControl/>
              <w:kinsoku w:val="0"/>
              <w:autoSpaceDE w:val="0"/>
              <w:autoSpaceDN w:val="0"/>
              <w:adjustRightInd w:val="0"/>
              <w:snapToGrid w:val="0"/>
              <w:ind w:firstLine="480" w:firstLineChars="200"/>
              <w:jc w:val="left"/>
              <w:textAlignment w:val="baseline"/>
              <w:rPr>
                <w:rFonts w:hint="eastAsia" w:ascii="宋体" w:hAnsi="宋体"/>
                <w:color w:val="0000FF"/>
              </w:rPr>
            </w:pPr>
            <w:r>
              <w:rPr>
                <w:rFonts w:hint="eastAsia" w:ascii="宋体" w:hAnsi="宋体"/>
              </w:rPr>
              <w:t>综上，本项目生活用水量为</w:t>
            </w:r>
            <w:r>
              <w:rPr>
                <w:rFonts w:hint="eastAsia" w:ascii="TimesNewRomanPSMT" w:hAnsi="TimesNewRomanPSMT"/>
              </w:rPr>
              <w:t>4.5</w:t>
            </w:r>
            <w:r>
              <w:rPr>
                <w:rFonts w:hint="eastAsia" w:cs="宋体"/>
              </w:rPr>
              <w:t>m</w:t>
            </w:r>
            <w:r>
              <w:rPr>
                <w:rFonts w:hint="eastAsia" w:cs="宋体"/>
                <w:vertAlign w:val="superscript"/>
              </w:rPr>
              <w:t>3</w:t>
            </w:r>
            <w:r>
              <w:rPr>
                <w:rFonts w:hint="eastAsia" w:cs="宋体"/>
              </w:rPr>
              <w:t>/d</w:t>
            </w:r>
            <w:r>
              <w:rPr>
                <w:rFonts w:hint="eastAsia" w:ascii="宋体" w:hAnsi="宋体"/>
              </w:rPr>
              <w:t>（</w:t>
            </w:r>
            <w:r>
              <w:rPr>
                <w:rFonts w:hint="eastAsia" w:ascii="TimesNewRomanPSMT" w:hAnsi="TimesNewRomanPSMT"/>
              </w:rPr>
              <w:t>1642.5</w:t>
            </w:r>
            <w:r>
              <w:rPr>
                <w:rFonts w:hint="eastAsia" w:cs="宋体"/>
              </w:rPr>
              <w:t>m</w:t>
            </w:r>
            <w:r>
              <w:rPr>
                <w:rFonts w:hint="eastAsia" w:cs="宋体"/>
                <w:vertAlign w:val="superscript"/>
              </w:rPr>
              <w:t>3</w:t>
            </w:r>
            <w:r>
              <w:rPr>
                <w:rFonts w:hint="eastAsia" w:cs="宋体"/>
              </w:rPr>
              <w:t>/a</w:t>
            </w:r>
            <w:r>
              <w:rPr>
                <w:rFonts w:hint="eastAsia" w:ascii="宋体" w:hAnsi="宋体"/>
              </w:rPr>
              <w:t>），生活污水</w:t>
            </w:r>
            <w:r>
              <w:rPr>
                <w:rFonts w:hint="eastAsia" w:ascii="TimesNewRomanPSMT" w:hAnsi="TimesNewRomanPSMT" w:eastAsia="TimesNewRomanPSMT"/>
              </w:rPr>
              <w:t>量为</w:t>
            </w:r>
            <w:r>
              <w:rPr>
                <w:rFonts w:hint="eastAsia" w:ascii="TimesNewRomanPSMT" w:hAnsi="TimesNewRomanPSMT"/>
              </w:rPr>
              <w:t>3.6</w:t>
            </w:r>
            <w:r>
              <w:rPr>
                <w:rFonts w:hint="eastAsia" w:cs="宋体"/>
              </w:rPr>
              <w:t>m</w:t>
            </w:r>
            <w:r>
              <w:rPr>
                <w:rFonts w:hint="eastAsia" w:cs="宋体"/>
                <w:vertAlign w:val="superscript"/>
              </w:rPr>
              <w:t>3</w:t>
            </w:r>
            <w:r>
              <w:rPr>
                <w:rFonts w:hint="eastAsia" w:cs="宋体"/>
              </w:rPr>
              <w:t>/d</w:t>
            </w:r>
            <w:r>
              <w:rPr>
                <w:rFonts w:hint="eastAsia" w:ascii="宋体" w:hAnsi="宋体"/>
              </w:rPr>
              <w:t>（</w:t>
            </w:r>
            <w:r>
              <w:rPr>
                <w:rFonts w:hint="eastAsia" w:ascii="TimesNewRomanPSMT" w:hAnsi="TimesNewRomanPSMT"/>
              </w:rPr>
              <w:t>1314</w:t>
            </w:r>
            <w:r>
              <w:rPr>
                <w:rFonts w:hint="eastAsia" w:cs="宋体"/>
              </w:rPr>
              <w:t>m</w:t>
            </w:r>
            <w:r>
              <w:rPr>
                <w:rFonts w:hint="eastAsia" w:cs="宋体"/>
                <w:vertAlign w:val="superscript"/>
              </w:rPr>
              <w:t>3</w:t>
            </w:r>
            <w:r>
              <w:rPr>
                <w:rFonts w:hint="eastAsia" w:cs="宋体"/>
              </w:rPr>
              <w:t>/a</w:t>
            </w:r>
            <w:r>
              <w:rPr>
                <w:rFonts w:hint="eastAsia" w:ascii="宋体" w:hAnsi="宋体"/>
              </w:rPr>
              <w:t>），生活污水</w:t>
            </w:r>
            <w:r>
              <w:rPr>
                <w:rFonts w:hint="eastAsia" w:ascii="TimesNewRomanPSMT" w:hAnsi="TimesNewRomanPSMT" w:eastAsia="TimesNewRomanPSMT"/>
              </w:rPr>
              <w:t>中主要污染</w:t>
            </w:r>
            <w:r>
              <w:rPr>
                <w:rFonts w:hint="eastAsia" w:ascii="宋体" w:hAnsi="宋体"/>
              </w:rPr>
              <w:t>因子为</w:t>
            </w:r>
            <w:r>
              <w:rPr>
                <w:rFonts w:hint="eastAsia" w:ascii="TimesNewRomanPSMT" w:hAnsi="TimesNewRomanPSMT" w:eastAsia="TimesNewRomanPSMT"/>
              </w:rPr>
              <w:t>COD</w:t>
            </w:r>
            <w:r>
              <w:rPr>
                <w:rFonts w:hint="eastAsia" w:ascii="TimesNewRomanPSMT" w:hAnsi="TimesNewRomanPSMT"/>
              </w:rPr>
              <w:t>cr</w:t>
            </w:r>
            <w:r>
              <w:rPr>
                <w:rFonts w:hint="eastAsia" w:ascii="宋体" w:hAnsi="宋体"/>
              </w:rPr>
              <w:t>、</w:t>
            </w:r>
            <w:r>
              <w:rPr>
                <w:rFonts w:hint="eastAsia" w:ascii="TimesNewRomanPSMT" w:hAnsi="TimesNewRomanPSMT" w:eastAsia="TimesNewRomanPSMT"/>
              </w:rPr>
              <w:t>BOD</w:t>
            </w:r>
            <w:r>
              <w:rPr>
                <w:rFonts w:hint="eastAsia" w:ascii="TimesNewRomanPSMT" w:hAnsi="TimesNewRomanPSMT" w:eastAsia="TimesNewRomanPSMT"/>
                <w:vertAlign w:val="subscript"/>
              </w:rPr>
              <w:t>5</w:t>
            </w:r>
            <w:r>
              <w:rPr>
                <w:rFonts w:hint="eastAsia" w:ascii="宋体" w:hAnsi="宋体"/>
              </w:rPr>
              <w:t>、</w:t>
            </w:r>
            <w:r>
              <w:rPr>
                <w:rFonts w:hint="eastAsia" w:ascii="TimesNewRomanPSMT" w:hAnsi="TimesNewRomanPSMT" w:eastAsia="TimesNewRomanPSMT"/>
              </w:rPr>
              <w:t>SS</w:t>
            </w:r>
            <w:r>
              <w:rPr>
                <w:rFonts w:hint="eastAsia" w:ascii="宋体" w:hAnsi="宋体"/>
              </w:rPr>
              <w:t>、氨氮，</w:t>
            </w:r>
            <w:r>
              <w:t>废水中各污染因子产生浓度为CODcr：3</w:t>
            </w:r>
            <w:r>
              <w:rPr>
                <w:rFonts w:hint="eastAsia"/>
              </w:rPr>
              <w:t>0</w:t>
            </w:r>
            <w:r>
              <w:t>0mg/L、BOD</w:t>
            </w:r>
            <w:r>
              <w:rPr>
                <w:vertAlign w:val="subscript"/>
              </w:rPr>
              <w:t>5</w:t>
            </w:r>
            <w:r>
              <w:t>：</w:t>
            </w:r>
            <w:r>
              <w:rPr>
                <w:rFonts w:hint="eastAsia"/>
              </w:rPr>
              <w:t>150</w:t>
            </w:r>
            <w:r>
              <w:t>mg/L、SS：</w:t>
            </w:r>
            <w:r>
              <w:rPr>
                <w:rFonts w:hint="eastAsia"/>
              </w:rPr>
              <w:t>200</w:t>
            </w:r>
            <w:r>
              <w:t>mg/L、NH</w:t>
            </w:r>
            <w:r>
              <w:rPr>
                <w:vertAlign w:val="subscript"/>
              </w:rPr>
              <w:t>3</w:t>
            </w:r>
            <w:r>
              <w:t>-N：</w:t>
            </w:r>
            <w:r>
              <w:rPr>
                <w:rFonts w:hint="eastAsia"/>
              </w:rPr>
              <w:t>20</w:t>
            </w:r>
            <w:r>
              <w:t>mg/L</w:t>
            </w:r>
            <w:r>
              <w:rPr>
                <w:rFonts w:hint="eastAsia" w:ascii="宋体" w:hAnsi="宋体"/>
              </w:rPr>
              <w:t>，则生活污水中污染物产生量为：</w:t>
            </w:r>
            <w:r>
              <w:t>CODcr：</w:t>
            </w:r>
            <w:r>
              <w:rPr>
                <w:rFonts w:hint="eastAsia"/>
              </w:rPr>
              <w:t>0.394t/a</w:t>
            </w:r>
            <w:r>
              <w:t>、BOD</w:t>
            </w:r>
            <w:r>
              <w:rPr>
                <w:vertAlign w:val="subscript"/>
              </w:rPr>
              <w:t>5</w:t>
            </w:r>
            <w:r>
              <w:t>：</w:t>
            </w:r>
            <w:r>
              <w:rPr>
                <w:rFonts w:hint="eastAsia"/>
              </w:rPr>
              <w:t>0.197t/a</w:t>
            </w:r>
            <w:r>
              <w:t>、SS：</w:t>
            </w:r>
            <w:r>
              <w:rPr>
                <w:rFonts w:hint="eastAsia"/>
              </w:rPr>
              <w:t>0.263t/a</w:t>
            </w:r>
            <w:r>
              <w:t>、NH</w:t>
            </w:r>
            <w:r>
              <w:rPr>
                <w:vertAlign w:val="subscript"/>
              </w:rPr>
              <w:t>3</w:t>
            </w:r>
            <w:r>
              <w:t>-N：</w:t>
            </w:r>
            <w:r>
              <w:rPr>
                <w:rFonts w:hint="eastAsia"/>
              </w:rPr>
              <w:t>0.026t/a。</w:t>
            </w:r>
            <w:r>
              <w:rPr>
                <w:rFonts w:hint="eastAsia" w:ascii="宋体" w:hAnsi="宋体"/>
              </w:rPr>
              <w:t>生活污水经化粪池处理后，</w:t>
            </w:r>
            <w:r>
              <w:t>排入市政污水管网</w:t>
            </w:r>
            <w:r>
              <w:rPr>
                <w:rFonts w:hint="eastAsia"/>
              </w:rPr>
              <w:t>，进入经济技术开发区工业污水处理厂</w:t>
            </w:r>
            <w:r>
              <w:rPr>
                <w:rFonts w:hint="eastAsia" w:ascii="宋体" w:hAnsi="宋体"/>
              </w:rPr>
              <w:t>进行处理。</w:t>
            </w:r>
          </w:p>
          <w:p w14:paraId="278AD609">
            <w:pPr>
              <w:ind w:firstLine="480" w:firstLineChars="200"/>
            </w:pPr>
            <w:r>
              <w:rPr>
                <w:rFonts w:hint="eastAsia"/>
              </w:rPr>
              <w:t>（2）餐饮废水W2</w:t>
            </w:r>
          </w:p>
          <w:p w14:paraId="1441D863">
            <w:pPr>
              <w:ind w:firstLine="480" w:firstLineChars="200"/>
            </w:pPr>
            <w:r>
              <w:t>项目</w:t>
            </w:r>
            <w:r>
              <w:rPr>
                <w:rFonts w:hint="eastAsia"/>
              </w:rPr>
              <w:t>餐饮服务就餐人数共350人，</w:t>
            </w:r>
            <w:r>
              <w:t>用水取20L/人·d计，则用水量为</w:t>
            </w:r>
            <w:r>
              <w:rPr>
                <w:rFonts w:hint="eastAsia"/>
              </w:rPr>
              <w:t>7</w:t>
            </w:r>
            <w:r>
              <w:rPr>
                <w:rFonts w:hint="eastAsia" w:cs="宋体"/>
              </w:rPr>
              <w:t>m</w:t>
            </w:r>
            <w:r>
              <w:rPr>
                <w:rFonts w:hint="eastAsia" w:cs="宋体"/>
                <w:vertAlign w:val="superscript"/>
              </w:rPr>
              <w:t>3</w:t>
            </w:r>
            <w:r>
              <w:rPr>
                <w:rFonts w:hint="eastAsia" w:cs="宋体"/>
              </w:rPr>
              <w:t>/d（</w:t>
            </w:r>
            <w:r>
              <w:rPr>
                <w:rFonts w:hint="eastAsia"/>
              </w:rPr>
              <w:t>2555</w:t>
            </w:r>
            <w:r>
              <w:rPr>
                <w:rFonts w:hint="eastAsia" w:cs="宋体"/>
              </w:rPr>
              <w:t>m</w:t>
            </w:r>
            <w:r>
              <w:rPr>
                <w:rFonts w:hint="eastAsia" w:cs="宋体"/>
                <w:vertAlign w:val="superscript"/>
              </w:rPr>
              <w:t>3</w:t>
            </w:r>
            <w:r>
              <w:rPr>
                <w:rFonts w:hint="eastAsia" w:cs="宋体"/>
              </w:rPr>
              <w:t>/a）</w:t>
            </w:r>
            <w:r>
              <w:t>，排水系数以0.8计，则</w:t>
            </w:r>
            <w:r>
              <w:rPr>
                <w:rFonts w:hint="eastAsia"/>
              </w:rPr>
              <w:t>餐饮废水</w:t>
            </w:r>
            <w:r>
              <w:t>产生量为</w:t>
            </w:r>
            <w:r>
              <w:rPr>
                <w:rFonts w:hint="eastAsia"/>
              </w:rPr>
              <w:t>5.6</w:t>
            </w:r>
            <w:r>
              <w:rPr>
                <w:rFonts w:hint="eastAsia" w:cs="宋体"/>
              </w:rPr>
              <w:t>m</w:t>
            </w:r>
            <w:r>
              <w:rPr>
                <w:rFonts w:hint="eastAsia" w:cs="宋体"/>
                <w:vertAlign w:val="superscript"/>
              </w:rPr>
              <w:t>3</w:t>
            </w:r>
            <w:r>
              <w:rPr>
                <w:rFonts w:hint="eastAsia" w:cs="宋体"/>
              </w:rPr>
              <w:t>/d（</w:t>
            </w:r>
            <w:r>
              <w:rPr>
                <w:rFonts w:hint="eastAsia"/>
              </w:rPr>
              <w:t>2044</w:t>
            </w:r>
            <w:r>
              <w:rPr>
                <w:rFonts w:hint="eastAsia" w:cs="宋体"/>
              </w:rPr>
              <w:t>m</w:t>
            </w:r>
            <w:r>
              <w:rPr>
                <w:rFonts w:hint="eastAsia" w:cs="宋体"/>
                <w:vertAlign w:val="superscript"/>
              </w:rPr>
              <w:t>3</w:t>
            </w:r>
            <w:r>
              <w:rPr>
                <w:rFonts w:hint="eastAsia" w:cs="宋体"/>
              </w:rPr>
              <w:t>/a）</w:t>
            </w:r>
            <w:r>
              <w:t>，</w:t>
            </w:r>
            <w:r>
              <w:rPr>
                <w:kern w:val="24"/>
                <w:szCs w:val="21"/>
              </w:rPr>
              <w:t>废水污染物</w:t>
            </w:r>
            <w:r>
              <w:rPr>
                <w:rFonts w:hint="eastAsia"/>
                <w:kern w:val="24"/>
                <w:szCs w:val="21"/>
              </w:rPr>
              <w:t>浓度为：</w:t>
            </w:r>
            <w:r>
              <w:t>CODcr：3</w:t>
            </w:r>
            <w:r>
              <w:rPr>
                <w:rFonts w:hint="eastAsia"/>
              </w:rPr>
              <w:t>0</w:t>
            </w:r>
            <w:r>
              <w:t>0mg/L、BOD</w:t>
            </w:r>
            <w:r>
              <w:rPr>
                <w:vertAlign w:val="subscript"/>
              </w:rPr>
              <w:t>5</w:t>
            </w:r>
            <w:r>
              <w:t>：</w:t>
            </w:r>
            <w:r>
              <w:rPr>
                <w:rFonts w:hint="eastAsia"/>
              </w:rPr>
              <w:t>150</w:t>
            </w:r>
            <w:r>
              <w:t>mg/L、SS：</w:t>
            </w:r>
            <w:r>
              <w:rPr>
                <w:rFonts w:hint="eastAsia"/>
              </w:rPr>
              <w:t>200</w:t>
            </w:r>
            <w:r>
              <w:t>mg/L、NH</w:t>
            </w:r>
            <w:r>
              <w:rPr>
                <w:vertAlign w:val="subscript"/>
              </w:rPr>
              <w:t>3</w:t>
            </w:r>
            <w:r>
              <w:t>-N：</w:t>
            </w:r>
            <w:r>
              <w:rPr>
                <w:rFonts w:hint="eastAsia"/>
              </w:rPr>
              <w:t>20</w:t>
            </w:r>
            <w:r>
              <w:t>mg/L</w:t>
            </w:r>
            <w:r>
              <w:rPr>
                <w:rFonts w:hint="eastAsia" w:ascii="宋体" w:hAnsi="宋体"/>
              </w:rPr>
              <w:t>、动植物油</w:t>
            </w:r>
            <w:r>
              <w:rPr>
                <w:rFonts w:hint="eastAsia"/>
              </w:rPr>
              <w:t>：120</w:t>
            </w:r>
            <w:r>
              <w:t>mg/L</w:t>
            </w:r>
            <w:r>
              <w:rPr>
                <w:kern w:val="24"/>
                <w:szCs w:val="21"/>
              </w:rPr>
              <w:t>，则污染物产生量为：</w:t>
            </w:r>
            <w:r>
              <w:rPr>
                <w:rFonts w:hint="eastAsia"/>
                <w:kern w:val="24"/>
                <w:szCs w:val="21"/>
              </w:rPr>
              <w:t>：</w:t>
            </w:r>
            <w:r>
              <w:t>CODcr：</w:t>
            </w:r>
            <w:r>
              <w:rPr>
                <w:rFonts w:hint="eastAsia"/>
              </w:rPr>
              <w:t>0.613t/a</w:t>
            </w:r>
            <w:r>
              <w:t>、BOD</w:t>
            </w:r>
            <w:r>
              <w:rPr>
                <w:vertAlign w:val="subscript"/>
              </w:rPr>
              <w:t>5</w:t>
            </w:r>
            <w:r>
              <w:t>：</w:t>
            </w:r>
            <w:r>
              <w:rPr>
                <w:rFonts w:hint="eastAsia"/>
              </w:rPr>
              <w:t>0.307t/a</w:t>
            </w:r>
            <w:r>
              <w:t>、SS：</w:t>
            </w:r>
            <w:r>
              <w:rPr>
                <w:rFonts w:hint="eastAsia"/>
              </w:rPr>
              <w:t>0.409t/a</w:t>
            </w:r>
            <w:r>
              <w:t>、NH</w:t>
            </w:r>
            <w:r>
              <w:rPr>
                <w:vertAlign w:val="subscript"/>
              </w:rPr>
              <w:t>3</w:t>
            </w:r>
            <w:r>
              <w:t>-N：</w:t>
            </w:r>
            <w:r>
              <w:rPr>
                <w:rFonts w:hint="eastAsia"/>
              </w:rPr>
              <w:t>0.041/a</w:t>
            </w:r>
            <w:r>
              <w:rPr>
                <w:rFonts w:hint="eastAsia" w:ascii="宋体" w:hAnsi="宋体"/>
              </w:rPr>
              <w:t>、动植物油</w:t>
            </w:r>
            <w:r>
              <w:rPr>
                <w:rFonts w:hint="eastAsia"/>
              </w:rPr>
              <w:t>：0.245t/a</w:t>
            </w:r>
            <w:r>
              <w:rPr>
                <w:kern w:val="24"/>
                <w:szCs w:val="21"/>
              </w:rPr>
              <w:t>。</w:t>
            </w:r>
            <w:r>
              <w:rPr>
                <w:rFonts w:hint="eastAsia"/>
              </w:rPr>
              <w:t>餐饮废水</w:t>
            </w:r>
            <w:r>
              <w:t>经隔油池处理后</w:t>
            </w:r>
            <w:r>
              <w:rPr>
                <w:rFonts w:hint="eastAsia"/>
              </w:rPr>
              <w:t>进入化粪池处理</w:t>
            </w:r>
            <w:r>
              <w:rPr>
                <w:rFonts w:hint="eastAsia" w:ascii="宋体" w:hAnsi="宋体"/>
              </w:rPr>
              <w:t>，</w:t>
            </w:r>
            <w:r>
              <w:t>排入市政污水管网，接管</w:t>
            </w:r>
            <w:r>
              <w:rPr>
                <w:rFonts w:hint="eastAsia"/>
              </w:rPr>
              <w:t>经济技术开发区工业污水处理厂</w:t>
            </w:r>
            <w:r>
              <w:rPr>
                <w:rFonts w:hint="eastAsia" w:ascii="宋体" w:hAnsi="宋体"/>
              </w:rPr>
              <w:t>进行处理</w:t>
            </w:r>
            <w:r>
              <w:rPr>
                <w:rFonts w:hint="eastAsia"/>
              </w:rPr>
              <w:t>。</w:t>
            </w:r>
          </w:p>
          <w:p w14:paraId="3D16FB86">
            <w:pPr>
              <w:ind w:firstLine="480" w:firstLineChars="200"/>
            </w:pPr>
            <w:r>
              <w:rPr>
                <w:rFonts w:hint="eastAsia"/>
              </w:rPr>
              <w:t>（4）地面冲洗废水W3</w:t>
            </w:r>
          </w:p>
          <w:p w14:paraId="35BC07F1">
            <w:pPr>
              <w:ind w:firstLine="480" w:firstLineChars="200"/>
            </w:pPr>
            <w:r>
              <w:rPr>
                <w:rFonts w:hint="eastAsia"/>
              </w:rPr>
              <w:t>1）加油区地面冲洗废水</w:t>
            </w:r>
          </w:p>
          <w:p w14:paraId="09896E3D">
            <w:pPr>
              <w:ind w:firstLine="480" w:firstLineChars="200"/>
            </w:pPr>
            <w:bookmarkStart w:id="31" w:name="OLE_LINK28"/>
            <w:r>
              <w:rPr>
                <w:rFonts w:hint="eastAsia"/>
              </w:rPr>
              <w:t>综合能源站加油区面积约为795m</w:t>
            </w:r>
            <w:r>
              <w:rPr>
                <w:rFonts w:hint="eastAsia"/>
                <w:vertAlign w:val="superscript"/>
              </w:rPr>
              <w:t>2</w:t>
            </w:r>
            <w:r>
              <w:rPr>
                <w:rFonts w:hint="eastAsia"/>
              </w:rPr>
              <w:t>，地面冲洗用水</w:t>
            </w:r>
            <w:bookmarkEnd w:id="31"/>
            <w:r>
              <w:rPr>
                <w:rFonts w:hint="eastAsia"/>
              </w:rPr>
              <w:t>按</w:t>
            </w:r>
            <w:r>
              <w:t>2L</w:t>
            </w:r>
            <w:r>
              <w:rPr>
                <w:rFonts w:hint="eastAsia"/>
              </w:rPr>
              <w:t>m</w:t>
            </w:r>
            <w:r>
              <w:rPr>
                <w:rFonts w:hint="eastAsia"/>
                <w:vertAlign w:val="superscript"/>
              </w:rPr>
              <w:t>2</w:t>
            </w:r>
            <w:r>
              <w:rPr>
                <w:rFonts w:hint="eastAsia"/>
              </w:rPr>
              <w:t>/次（每周冲洗一次），项目年冲洗水使用量为83m</w:t>
            </w:r>
            <w:r>
              <w:rPr>
                <w:rFonts w:hint="eastAsia"/>
                <w:vertAlign w:val="superscript"/>
              </w:rPr>
              <w:t>3</w:t>
            </w:r>
            <w:r>
              <w:t>/a</w:t>
            </w:r>
            <w:r>
              <w:rPr>
                <w:rFonts w:hint="eastAsia"/>
              </w:rPr>
              <w:t>，废水排放量按用水量的</w:t>
            </w:r>
            <w:r>
              <w:t>90%</w:t>
            </w:r>
            <w:r>
              <w:rPr>
                <w:rFonts w:hint="eastAsia"/>
              </w:rPr>
              <w:t>计，则地面冲洗废水的年排放量为74m</w:t>
            </w:r>
            <w:r>
              <w:rPr>
                <w:rFonts w:hint="eastAsia"/>
                <w:vertAlign w:val="superscript"/>
              </w:rPr>
              <w:t>3</w:t>
            </w:r>
            <w:r>
              <w:rPr>
                <w:rFonts w:hint="eastAsia"/>
              </w:rPr>
              <w:t>/a。加油区地面用自来水进行冲洗，冲洗废水主要污染因子为CODcr、SS、石油类，污染物浓度为</w:t>
            </w:r>
            <w:r>
              <w:t>CODcr：</w:t>
            </w:r>
            <w:r>
              <w:rPr>
                <w:rFonts w:hint="eastAsia"/>
              </w:rPr>
              <w:t>20</w:t>
            </w:r>
            <w:r>
              <w:t>0mg/L、SS：</w:t>
            </w:r>
            <w:r>
              <w:rPr>
                <w:rFonts w:hint="eastAsia"/>
              </w:rPr>
              <w:t>300</w:t>
            </w:r>
            <w:r>
              <w:t>mg/L、</w:t>
            </w:r>
            <w:r>
              <w:rPr>
                <w:rFonts w:hint="eastAsia"/>
              </w:rPr>
              <w:t>石油类</w:t>
            </w:r>
            <w:r>
              <w:t>：</w:t>
            </w:r>
            <w:r>
              <w:rPr>
                <w:rFonts w:hint="eastAsia"/>
              </w:rPr>
              <w:t>20</w:t>
            </w:r>
            <w:r>
              <w:t>mg/L</w:t>
            </w:r>
            <w:r>
              <w:rPr>
                <w:rFonts w:hint="eastAsia"/>
              </w:rPr>
              <w:t>，产生量为</w:t>
            </w:r>
            <w:r>
              <w:t>CODcr：</w:t>
            </w:r>
            <w:r>
              <w:rPr>
                <w:rFonts w:hint="eastAsia"/>
              </w:rPr>
              <w:t>0.015t/a</w:t>
            </w:r>
            <w:r>
              <w:t>、SS</w:t>
            </w:r>
            <w:r>
              <w:rPr>
                <w:rFonts w:hint="eastAsia"/>
              </w:rPr>
              <w:t>：0.022t/a、石油类</w:t>
            </w:r>
            <w:r>
              <w:t>：</w:t>
            </w:r>
            <w:r>
              <w:rPr>
                <w:rFonts w:hint="eastAsia"/>
              </w:rPr>
              <w:t>0.001t/a。地面冲洗水废水经三级油水分离池处理后，</w:t>
            </w:r>
            <w:r>
              <w:t>排入市政污水管网，接管</w:t>
            </w:r>
            <w:r>
              <w:rPr>
                <w:rFonts w:hint="eastAsia"/>
              </w:rPr>
              <w:t>经济技术开发区工业污水处理厂进行处理。</w:t>
            </w:r>
          </w:p>
          <w:p w14:paraId="7856CAC9">
            <w:pPr>
              <w:numPr>
                <w:ilvl w:val="0"/>
                <w:numId w:val="7"/>
              </w:numPr>
              <w:ind w:firstLine="480" w:firstLineChars="200"/>
            </w:pPr>
            <w:r>
              <w:rPr>
                <w:rFonts w:hint="eastAsia"/>
              </w:rPr>
              <w:t>货车应急维修中心地面冲洗废水</w:t>
            </w:r>
          </w:p>
          <w:p w14:paraId="34AE7CCD">
            <w:pPr>
              <w:ind w:firstLine="480" w:firstLineChars="200"/>
            </w:pPr>
            <w:r>
              <w:rPr>
                <w:rFonts w:hint="eastAsia"/>
              </w:rPr>
              <w:t>货车应急维修中心占地面积约为5600m</w:t>
            </w:r>
            <w:r>
              <w:rPr>
                <w:rFonts w:hint="eastAsia"/>
                <w:vertAlign w:val="superscript"/>
              </w:rPr>
              <w:t>2</w:t>
            </w:r>
            <w:r>
              <w:rPr>
                <w:rFonts w:hint="eastAsia"/>
              </w:rPr>
              <w:t>，地面冲洗用水按</w:t>
            </w:r>
            <w:r>
              <w:t>2L</w:t>
            </w:r>
            <w:r>
              <w:rPr>
                <w:rFonts w:hint="eastAsia"/>
              </w:rPr>
              <w:t>m</w:t>
            </w:r>
            <w:r>
              <w:rPr>
                <w:rFonts w:hint="eastAsia"/>
                <w:vertAlign w:val="superscript"/>
              </w:rPr>
              <w:t>2</w:t>
            </w:r>
            <w:r>
              <w:rPr>
                <w:rFonts w:hint="eastAsia"/>
              </w:rPr>
              <w:t>/次（每周冲洗一次），项目年冲洗水使用量为582m</w:t>
            </w:r>
            <w:r>
              <w:rPr>
                <w:rFonts w:hint="eastAsia"/>
                <w:vertAlign w:val="superscript"/>
              </w:rPr>
              <w:t>3</w:t>
            </w:r>
            <w:r>
              <w:t>/a</w:t>
            </w:r>
            <w:r>
              <w:rPr>
                <w:rFonts w:hint="eastAsia"/>
              </w:rPr>
              <w:t>，废水排放量按用水量的</w:t>
            </w:r>
            <w:r>
              <w:t>90%</w:t>
            </w:r>
            <w:r>
              <w:rPr>
                <w:rFonts w:hint="eastAsia"/>
              </w:rPr>
              <w:t>计，则地面冲洗废水的年排放量为524m</w:t>
            </w:r>
            <w:r>
              <w:rPr>
                <w:rFonts w:hint="eastAsia"/>
                <w:vertAlign w:val="superscript"/>
              </w:rPr>
              <w:t>3</w:t>
            </w:r>
            <w:r>
              <w:rPr>
                <w:rFonts w:hint="eastAsia"/>
              </w:rPr>
              <w:t>/a。加油区地面用自来水进行冲洗，地面冲洗废水主要污染物浓度为</w:t>
            </w:r>
            <w:r>
              <w:t>CODcr：</w:t>
            </w:r>
            <w:r>
              <w:rPr>
                <w:rFonts w:hint="eastAsia"/>
              </w:rPr>
              <w:t>20</w:t>
            </w:r>
            <w:r>
              <w:t>0mg/L、SS：</w:t>
            </w:r>
            <w:r>
              <w:rPr>
                <w:rFonts w:hint="eastAsia"/>
              </w:rPr>
              <w:t>300</w:t>
            </w:r>
            <w:r>
              <w:t>mg/L、</w:t>
            </w:r>
            <w:r>
              <w:rPr>
                <w:rFonts w:hint="eastAsia"/>
              </w:rPr>
              <w:t>石油类</w:t>
            </w:r>
            <w:r>
              <w:t>：</w:t>
            </w:r>
            <w:r>
              <w:rPr>
                <w:rFonts w:hint="eastAsia"/>
              </w:rPr>
              <w:t>20</w:t>
            </w:r>
            <w:r>
              <w:t>mg/L</w:t>
            </w:r>
            <w:r>
              <w:rPr>
                <w:rFonts w:hint="eastAsia"/>
              </w:rPr>
              <w:t>，产生量为</w:t>
            </w:r>
            <w:r>
              <w:t>CODcr：</w:t>
            </w:r>
            <w:r>
              <w:rPr>
                <w:rFonts w:hint="eastAsia"/>
              </w:rPr>
              <w:t>0.105t/a</w:t>
            </w:r>
            <w:r>
              <w:t>、SS</w:t>
            </w:r>
            <w:r>
              <w:rPr>
                <w:rFonts w:hint="eastAsia"/>
              </w:rPr>
              <w:t>：0.157t/a、石油类</w:t>
            </w:r>
            <w:r>
              <w:t>：</w:t>
            </w:r>
            <w:r>
              <w:rPr>
                <w:rFonts w:hint="eastAsia"/>
              </w:rPr>
              <w:t>0.010t/a。货车应急维修中心地面冲洗水废水经隔油沉淀池处理后，</w:t>
            </w:r>
            <w:r>
              <w:t>排入市政污水管网，接管</w:t>
            </w:r>
            <w:r>
              <w:rPr>
                <w:rFonts w:hint="eastAsia"/>
              </w:rPr>
              <w:t>经济技术开发区工业污水处理厂进行处理。</w:t>
            </w:r>
          </w:p>
          <w:p w14:paraId="24F6A103">
            <w:pPr>
              <w:ind w:firstLine="480" w:firstLineChars="200"/>
            </w:pPr>
            <w:r>
              <w:rPr>
                <w:rFonts w:hint="eastAsia"/>
              </w:rPr>
              <w:t>（4）加油区初期雨水</w:t>
            </w:r>
          </w:p>
          <w:p w14:paraId="248BB015">
            <w:pPr>
              <w:widowControl/>
              <w:ind w:firstLine="480" w:firstLineChars="200"/>
              <w:jc w:val="left"/>
            </w:pPr>
            <w:r>
              <w:rPr>
                <w:rFonts w:ascii="FZShuSong-Z01" w:hAnsi="FZShuSong-Z01" w:eastAsia="FZShuSong-Z01" w:cs="FZShuSong-Z01"/>
                <w:kern w:val="0"/>
                <w:lang w:bidi="ar"/>
              </w:rPr>
              <w:t>雨天加油区外围及卸油区跑、冒、滴、漏的石油类物质会因为雨水对地面的冲刷，随着雨水流向四周环境，这类含油废水如果不加以收集和处理，会对周围的水环境造成一定的影响</w:t>
            </w:r>
          </w:p>
          <w:p w14:paraId="1DEECDC1">
            <w:pPr>
              <w:ind w:firstLine="480" w:firstLineChars="200"/>
              <w:jc w:val="center"/>
              <w:rPr>
                <w:vertAlign w:val="superscript"/>
              </w:rPr>
            </w:pPr>
            <w:r>
              <w:t>根据</w:t>
            </w:r>
            <w:r>
              <w:rPr>
                <w:rFonts w:hint="eastAsia"/>
              </w:rPr>
              <w:t>《关于发布淮南市暴雨强度修订公式的通知》中</w:t>
            </w:r>
            <w:r>
              <w:t>暴雨强度公式：</w:t>
            </w:r>
            <m:oMath>
              <m:r>
                <m:rPr>
                  <m:sty m:val="p"/>
                </m:rPr>
                <w:rPr>
                  <w:rFonts w:ascii="Cambria Math" w:hAnsi="Cambria Math"/>
                  <w:sz w:val="30"/>
                  <w:szCs w:val="30"/>
                  <w:vertAlign w:val="superscript"/>
                </w:rPr>
                <m:t>q=</m:t>
              </m:r>
              <m:f>
                <m:fPr>
                  <m:ctrlPr>
                    <w:rPr>
                      <w:rFonts w:ascii="Cambria Math" w:hAnsi="Cambria Math"/>
                      <w:sz w:val="30"/>
                      <w:szCs w:val="30"/>
                      <w:vertAlign w:val="superscript"/>
                    </w:rPr>
                  </m:ctrlPr>
                </m:fPr>
                <m:num>
                  <m:r>
                    <m:rPr>
                      <m:sty m:val="p"/>
                    </m:rPr>
                    <w:rPr>
                      <w:rFonts w:ascii="Cambria Math" w:hAnsi="Cambria Math"/>
                      <w:sz w:val="30"/>
                      <w:szCs w:val="30"/>
                      <w:vertAlign w:val="superscript"/>
                    </w:rPr>
                    <m:t>12.18(1+0.71lgP)</m:t>
                  </m:r>
                  <m:ctrlPr>
                    <w:rPr>
                      <w:rFonts w:ascii="Cambria Math" w:hAnsi="Cambria Math"/>
                      <w:sz w:val="30"/>
                      <w:szCs w:val="30"/>
                      <w:vertAlign w:val="superscript"/>
                    </w:rPr>
                  </m:ctrlPr>
                </m:num>
                <m:den>
                  <m:sSup>
                    <m:sSupPr>
                      <m:ctrlPr>
                        <w:rPr>
                          <w:rFonts w:ascii="Cambria Math" w:hAnsi="Cambria Math"/>
                          <w:sz w:val="30"/>
                          <w:szCs w:val="30"/>
                          <w:vertAlign w:val="superscript"/>
                        </w:rPr>
                      </m:ctrlPr>
                    </m:sSupPr>
                    <m:e>
                      <m:r>
                        <m:rPr>
                          <m:sty m:val="p"/>
                        </m:rPr>
                        <w:rPr>
                          <w:rFonts w:ascii="Cambria Math" w:hAnsi="Cambria Math"/>
                          <w:sz w:val="30"/>
                          <w:szCs w:val="30"/>
                          <w:vertAlign w:val="superscript"/>
                        </w:rPr>
                        <m:t>(t+6.29)</m:t>
                      </m:r>
                      <m:ctrlPr>
                        <w:rPr>
                          <w:rFonts w:ascii="Cambria Math" w:hAnsi="Cambria Math"/>
                          <w:sz w:val="30"/>
                          <w:szCs w:val="30"/>
                          <w:vertAlign w:val="superscript"/>
                        </w:rPr>
                      </m:ctrlPr>
                    </m:e>
                    <m:sup>
                      <m:r>
                        <m:rPr>
                          <m:sty m:val="p"/>
                        </m:rPr>
                        <w:rPr>
                          <w:rFonts w:ascii="Cambria Math" w:hAnsi="Cambria Math"/>
                          <w:sz w:val="30"/>
                          <w:szCs w:val="30"/>
                          <w:vertAlign w:val="superscript"/>
                        </w:rPr>
                        <m:t>0.71</m:t>
                      </m:r>
                      <m:ctrlPr>
                        <w:rPr>
                          <w:rFonts w:ascii="Cambria Math" w:hAnsi="Cambria Math"/>
                          <w:sz w:val="30"/>
                          <w:szCs w:val="30"/>
                          <w:vertAlign w:val="superscript"/>
                        </w:rPr>
                      </m:ctrlPr>
                    </m:sup>
                  </m:sSup>
                  <m:ctrlPr>
                    <w:rPr>
                      <w:rFonts w:ascii="Cambria Math" w:hAnsi="Cambria Math"/>
                      <w:sz w:val="30"/>
                      <w:szCs w:val="30"/>
                      <w:vertAlign w:val="superscript"/>
                    </w:rPr>
                  </m:ctrlPr>
                </m:den>
              </m:f>
            </m:oMath>
          </w:p>
          <w:p w14:paraId="6D581A76">
            <w:pPr>
              <w:ind w:firstLine="480" w:firstLineChars="200"/>
            </w:pPr>
            <w:r>
              <w:t>式中：q—设计暴雨强度，L/s.hm</w:t>
            </w:r>
            <w:r>
              <w:rPr>
                <w:vertAlign w:val="superscript"/>
              </w:rPr>
              <w:t>2</w:t>
            </w:r>
            <w:r>
              <w:t>；</w:t>
            </w:r>
          </w:p>
          <w:p w14:paraId="67FC074B">
            <w:pPr>
              <w:ind w:firstLine="480" w:firstLineChars="200"/>
            </w:pPr>
            <w:r>
              <w:rPr>
                <w:rFonts w:hint="eastAsia"/>
              </w:rPr>
              <w:t xml:space="preserve">      </w:t>
            </w:r>
            <w:r>
              <w:t>P—设计重现期，a；</w:t>
            </w:r>
          </w:p>
          <w:p w14:paraId="4AB0ADC6">
            <w:pPr>
              <w:ind w:firstLine="1200" w:firstLineChars="500"/>
            </w:pPr>
            <w:r>
              <w:t>t—降雨历时，min。</w:t>
            </w:r>
          </w:p>
          <w:p w14:paraId="7707637C">
            <w:pPr>
              <w:ind w:firstLine="480" w:firstLineChars="200"/>
            </w:pPr>
            <w:r>
              <w:t>按P=</w:t>
            </w:r>
            <w:r>
              <w:rPr>
                <w:rFonts w:hint="eastAsia"/>
              </w:rPr>
              <w:t>3</w:t>
            </w:r>
            <w:r>
              <w:t>a，t=</w:t>
            </w:r>
            <w:r>
              <w:rPr>
                <w:rFonts w:hint="eastAsia"/>
              </w:rPr>
              <w:t>15</w:t>
            </w:r>
            <w:r>
              <w:t>min计算</w:t>
            </w:r>
            <w:r>
              <w:rPr>
                <w:rFonts w:hint="eastAsia"/>
              </w:rPr>
              <w:t>；</w:t>
            </w:r>
          </w:p>
          <w:p w14:paraId="71809517">
            <w:pPr>
              <w:ind w:firstLine="480" w:firstLineChars="200"/>
            </w:pPr>
            <w:r>
              <w:t>根据区域气象资料统计</w:t>
            </w:r>
            <w:r>
              <w:rPr>
                <w:rFonts w:hint="eastAsia"/>
              </w:rPr>
              <w:t>，淮南市</w:t>
            </w:r>
            <w:r>
              <w:t>多年平均降雨量900mm，年平均降雨量107d，得暴雨强度q=</w:t>
            </w:r>
            <w:r>
              <w:rPr>
                <w:rFonts w:hint="eastAsia"/>
              </w:rPr>
              <w:t>95.46</w:t>
            </w:r>
            <w:r>
              <w:t>L/s.hm</w:t>
            </w:r>
            <w:r>
              <w:rPr>
                <w:vertAlign w:val="superscript"/>
              </w:rPr>
              <w:t>2</w:t>
            </w:r>
            <w:r>
              <w:t>。</w:t>
            </w:r>
          </w:p>
          <w:p w14:paraId="6CE475BC">
            <w:pPr>
              <w:ind w:firstLine="480" w:firstLineChars="200"/>
            </w:pPr>
            <w:r>
              <w:t>再计算雨水设计流量：Q</w:t>
            </w:r>
            <w:r>
              <w:rPr>
                <w:vertAlign w:val="subscript"/>
              </w:rPr>
              <w:t>s</w:t>
            </w:r>
            <w:r>
              <w:t>=q*</w:t>
            </w:r>
            <w:r>
              <w:rPr/>
              <w:sym w:font="Symbol" w:char="F079"/>
            </w:r>
            <w:r>
              <w:t>*F</w:t>
            </w:r>
          </w:p>
          <w:p w14:paraId="13859A2C">
            <w:pPr>
              <w:ind w:firstLine="480" w:firstLineChars="200"/>
            </w:pPr>
            <w:r>
              <w:t>式中：Q</w:t>
            </w:r>
            <w:r>
              <w:rPr>
                <w:vertAlign w:val="subscript"/>
              </w:rPr>
              <w:t>s</w:t>
            </w:r>
            <w:r>
              <w:t>—雨水设计流量，L/s；</w:t>
            </w:r>
          </w:p>
          <w:p w14:paraId="07783A9E">
            <w:pPr>
              <w:ind w:firstLine="1200" w:firstLineChars="500"/>
            </w:pPr>
            <w:r>
              <w:t>q—设计暴雨强度，L/s.hm</w:t>
            </w:r>
            <w:r>
              <w:rPr>
                <w:vertAlign w:val="superscript"/>
              </w:rPr>
              <w:t>2</w:t>
            </w:r>
            <w:r>
              <w:t>；</w:t>
            </w:r>
          </w:p>
          <w:p w14:paraId="2A6D6E74">
            <w:pPr>
              <w:ind w:firstLine="1200" w:firstLineChars="500"/>
            </w:pPr>
            <w:r>
              <w:rPr/>
              <w:sym w:font="Symbol" w:char="F079"/>
            </w:r>
            <w:r>
              <w:t>—径流系数；</w:t>
            </w:r>
          </w:p>
          <w:p w14:paraId="433334AD">
            <w:pPr>
              <w:ind w:firstLine="1200" w:firstLineChars="500"/>
            </w:pPr>
            <w:r>
              <w:t>F—汇水面积，hm</w:t>
            </w:r>
            <w:r>
              <w:rPr>
                <w:vertAlign w:val="superscript"/>
              </w:rPr>
              <w:t>2</w:t>
            </w:r>
            <w:r>
              <w:t>。</w:t>
            </w:r>
          </w:p>
          <w:p w14:paraId="1E78B734">
            <w:pPr>
              <w:adjustRightInd w:val="0"/>
              <w:snapToGrid w:val="0"/>
              <w:ind w:firstLine="480" w:firstLineChars="200"/>
              <w:jc w:val="left"/>
            </w:pPr>
            <w:r>
              <w:t>项目汇水面积</w:t>
            </w:r>
            <w:r>
              <w:rPr>
                <w:bCs/>
              </w:rPr>
              <w:t>F=0.</w:t>
            </w:r>
            <w:r>
              <w:rPr>
                <w:rFonts w:hint="eastAsia"/>
                <w:bCs/>
              </w:rPr>
              <w:t>54</w:t>
            </w:r>
            <w:r>
              <w:rPr>
                <w:bCs/>
              </w:rPr>
              <w:t>hm</w:t>
            </w:r>
            <w:r>
              <w:rPr>
                <w:bCs/>
                <w:vertAlign w:val="superscript"/>
              </w:rPr>
              <w:t>2</w:t>
            </w:r>
            <w:r>
              <w:rPr>
                <w:bCs/>
              </w:rPr>
              <w:t>，径流系数取</w:t>
            </w:r>
            <w:r>
              <w:rPr>
                <w:bCs/>
              </w:rPr>
              <w:sym w:font="Symbol" w:char="F079"/>
            </w:r>
            <w:r>
              <w:rPr>
                <w:bCs/>
              </w:rPr>
              <w:t>=0.</w:t>
            </w:r>
            <w:r>
              <w:rPr>
                <w:rFonts w:hint="eastAsia"/>
                <w:bCs/>
              </w:rPr>
              <w:t>9</w:t>
            </w:r>
            <w:r>
              <w:rPr>
                <w:bCs/>
              </w:rPr>
              <w:t>（混凝土路面），计算得雨水设计流量为：Q=</w:t>
            </w:r>
            <w:r>
              <w:rPr>
                <w:rFonts w:hint="eastAsia"/>
                <w:bCs/>
              </w:rPr>
              <w:t>46.39</w:t>
            </w:r>
            <w:r>
              <w:rPr>
                <w:bCs/>
              </w:rPr>
              <w:t>L/s。若按收集前15min雨水，则初期雨水量为</w:t>
            </w:r>
            <w:r>
              <w:rPr>
                <w:rFonts w:hint="eastAsia"/>
              </w:rPr>
              <w:t>41.75</w:t>
            </w:r>
            <w:r>
              <w:rPr>
                <w:bCs/>
              </w:rPr>
              <w:t>m</w:t>
            </w:r>
            <w:r>
              <w:rPr>
                <w:bCs/>
                <w:vertAlign w:val="superscript"/>
              </w:rPr>
              <w:t>3</w:t>
            </w:r>
            <w:r>
              <w:rPr>
                <w:rFonts w:hint="eastAsia"/>
                <w:bCs/>
              </w:rPr>
              <w:t>/次，</w:t>
            </w:r>
            <w:r>
              <w:rPr>
                <w:bCs/>
                <w:lang w:bidi="ar"/>
              </w:rPr>
              <w:t>年降雨次数取10次，则本项目</w:t>
            </w:r>
            <w:r>
              <w:rPr>
                <w:rFonts w:hint="eastAsia"/>
                <w:bCs/>
                <w:lang w:bidi="ar"/>
              </w:rPr>
              <w:t>加油站</w:t>
            </w:r>
            <w:r>
              <w:rPr>
                <w:bCs/>
                <w:lang w:bidi="ar"/>
              </w:rPr>
              <w:t>初期雨水量为</w:t>
            </w:r>
            <w:r>
              <w:rPr>
                <w:rFonts w:hint="eastAsia"/>
                <w:bCs/>
                <w:lang w:bidi="ar"/>
              </w:rPr>
              <w:t>418m</w:t>
            </w:r>
            <w:r>
              <w:rPr>
                <w:rFonts w:hint="eastAsia"/>
                <w:bCs/>
                <w:vertAlign w:val="superscript"/>
                <w:lang w:bidi="ar"/>
              </w:rPr>
              <w:t>3</w:t>
            </w:r>
            <w:r>
              <w:rPr>
                <w:rFonts w:hint="eastAsia"/>
                <w:bCs/>
                <w:lang w:bidi="ar"/>
              </w:rPr>
              <w:t>/a</w:t>
            </w:r>
            <w:r>
              <w:rPr>
                <w:bCs/>
                <w:lang w:bidi="ar"/>
              </w:rPr>
              <w:t>。</w:t>
            </w:r>
            <w:r>
              <w:rPr>
                <w:rFonts w:hint="eastAsia"/>
                <w:bCs/>
                <w:lang w:bidi="ar"/>
              </w:rPr>
              <w:t>加油站</w:t>
            </w:r>
            <w:r>
              <w:rPr>
                <w:bCs/>
              </w:rPr>
              <w:t>初期雨水收集后经</w:t>
            </w:r>
            <w:r>
              <w:rPr>
                <w:rFonts w:hint="eastAsia" w:ascii="宋体" w:hAnsi="宋体"/>
              </w:rPr>
              <w:t>三级油水分离池</w:t>
            </w:r>
            <w:r>
              <w:t>处理后</w:t>
            </w:r>
            <w:r>
              <w:rPr>
                <w:rFonts w:hint="eastAsia" w:ascii="宋体" w:hAnsi="宋体"/>
              </w:rPr>
              <w:t>，</w:t>
            </w:r>
            <w:r>
              <w:t>排入市政污水管网，接管</w:t>
            </w:r>
            <w:r>
              <w:rPr>
                <w:rFonts w:hint="eastAsia"/>
              </w:rPr>
              <w:t>经济技术开发区工业污水处理厂</w:t>
            </w:r>
            <w:r>
              <w:rPr>
                <w:rFonts w:hint="eastAsia" w:ascii="宋体" w:hAnsi="宋体"/>
              </w:rPr>
              <w:t>进行处理</w:t>
            </w:r>
            <w:r>
              <w:rPr>
                <w:rFonts w:hint="eastAsia"/>
              </w:rPr>
              <w:t>。</w:t>
            </w:r>
          </w:p>
          <w:p w14:paraId="1818FE04">
            <w:pPr>
              <w:adjustRightInd w:val="0"/>
              <w:snapToGrid w:val="0"/>
              <w:ind w:firstLine="480" w:firstLineChars="200"/>
              <w:jc w:val="left"/>
            </w:pPr>
            <w:r>
              <w:rPr>
                <w:rFonts w:hint="eastAsia"/>
              </w:rPr>
              <w:t>（5）洗车废水</w:t>
            </w:r>
          </w:p>
          <w:p w14:paraId="11D594CE">
            <w:pPr>
              <w:ind w:firstLine="480" w:firstLineChars="200"/>
            </w:pPr>
            <w:r>
              <w:rPr>
                <w:rFonts w:hint="eastAsia"/>
              </w:rPr>
              <w:t>车辆维修或保养后清洗工序产生洗车废水，根据建设单位提供资料，平均每天清洗大型车约3辆，中型车7辆，小型车5辆，即年洗车大型车1095辆、中型车2555辆、小型车1825辆。参考《安徽省行业用水定额》（DB34/T679-2020）表8中内容，车辆清洗用水量详见下表。</w:t>
            </w:r>
          </w:p>
          <w:p w14:paraId="49BA62E6">
            <w:pPr>
              <w:pStyle w:val="6"/>
            </w:pPr>
            <w:r>
              <w:t xml:space="preserve">表 </w:t>
            </w:r>
            <w:r>
              <w:rPr>
                <w:rFonts w:hint="eastAsia"/>
              </w:rPr>
              <w:t>4-</w:t>
            </w:r>
            <w:r>
              <w:fldChar w:fldCharType="begin"/>
            </w:r>
            <w:r>
              <w:instrText xml:space="preserve"> SEQ 表 \* ARABIC \s 1 </w:instrText>
            </w:r>
            <w:r>
              <w:fldChar w:fldCharType="separate"/>
            </w:r>
            <w:r>
              <w:t>5</w:t>
            </w:r>
            <w:r>
              <w:fldChar w:fldCharType="end"/>
            </w:r>
            <w:r>
              <w:rPr>
                <w:rFonts w:hint="eastAsia"/>
              </w:rPr>
              <w:t xml:space="preserve"> 《安徽省行业用水定额》（DB34/T679-2020）表8（节选）</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070"/>
              <w:gridCol w:w="1070"/>
              <w:gridCol w:w="1070"/>
              <w:gridCol w:w="736"/>
              <w:gridCol w:w="864"/>
              <w:gridCol w:w="1154"/>
              <w:gridCol w:w="737"/>
            </w:tblGrid>
            <w:tr w14:paraId="73BC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4"/>
                  <w:vAlign w:val="center"/>
                </w:tcPr>
                <w:p w14:paraId="0E70F703">
                  <w:pPr>
                    <w:pStyle w:val="24"/>
                  </w:pPr>
                  <w:r>
                    <w:rPr>
                      <w:rFonts w:hint="eastAsia"/>
                    </w:rPr>
                    <w:t>行业分类</w:t>
                  </w:r>
                </w:p>
              </w:tc>
              <w:tc>
                <w:tcPr>
                  <w:tcW w:w="340" w:type="dxa"/>
                  <w:vMerge w:val="restart"/>
                  <w:vAlign w:val="center"/>
                </w:tcPr>
                <w:p w14:paraId="1EC0DF52">
                  <w:pPr>
                    <w:pStyle w:val="24"/>
                  </w:pPr>
                  <w:r>
                    <w:rPr>
                      <w:rFonts w:hint="eastAsia"/>
                    </w:rPr>
                    <w:t>产品名称</w:t>
                  </w:r>
                </w:p>
              </w:tc>
              <w:tc>
                <w:tcPr>
                  <w:tcW w:w="340" w:type="dxa"/>
                  <w:gridSpan w:val="2"/>
                  <w:vAlign w:val="center"/>
                </w:tcPr>
                <w:p w14:paraId="68440D3A">
                  <w:pPr>
                    <w:pStyle w:val="24"/>
                  </w:pPr>
                  <w:r>
                    <w:rPr>
                      <w:rFonts w:hint="eastAsia"/>
                    </w:rPr>
                    <w:t>定额</w:t>
                  </w:r>
                </w:p>
              </w:tc>
              <w:tc>
                <w:tcPr>
                  <w:tcW w:w="340" w:type="dxa"/>
                  <w:vMerge w:val="restart"/>
                  <w:vAlign w:val="center"/>
                </w:tcPr>
                <w:p w14:paraId="15BC4C01">
                  <w:pPr>
                    <w:pStyle w:val="24"/>
                  </w:pPr>
                  <w:r>
                    <w:rPr>
                      <w:rFonts w:hint="eastAsia"/>
                    </w:rPr>
                    <w:t>备注</w:t>
                  </w:r>
                </w:p>
              </w:tc>
            </w:tr>
            <w:tr w14:paraId="5556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2"/>
                  <w:vAlign w:val="center"/>
                </w:tcPr>
                <w:p w14:paraId="22549002">
                  <w:pPr>
                    <w:pStyle w:val="24"/>
                  </w:pPr>
                  <w:r>
                    <w:rPr>
                      <w:rFonts w:hint="eastAsia"/>
                    </w:rPr>
                    <w:t>大类</w:t>
                  </w:r>
                </w:p>
              </w:tc>
              <w:tc>
                <w:tcPr>
                  <w:tcW w:w="340" w:type="dxa"/>
                  <w:gridSpan w:val="2"/>
                  <w:vAlign w:val="center"/>
                </w:tcPr>
                <w:p w14:paraId="21256D20">
                  <w:pPr>
                    <w:pStyle w:val="24"/>
                  </w:pPr>
                  <w:r>
                    <w:rPr>
                      <w:rFonts w:hint="eastAsia"/>
                    </w:rPr>
                    <w:t>中类</w:t>
                  </w:r>
                </w:p>
              </w:tc>
              <w:tc>
                <w:tcPr>
                  <w:tcW w:w="340" w:type="dxa"/>
                  <w:vMerge w:val="continue"/>
                  <w:vAlign w:val="center"/>
                </w:tcPr>
                <w:p w14:paraId="33D83AA5">
                  <w:pPr>
                    <w:pStyle w:val="24"/>
                  </w:pPr>
                </w:p>
              </w:tc>
              <w:tc>
                <w:tcPr>
                  <w:tcW w:w="340" w:type="dxa"/>
                  <w:vMerge w:val="restart"/>
                  <w:vAlign w:val="center"/>
                </w:tcPr>
                <w:p w14:paraId="094E9380">
                  <w:pPr>
                    <w:pStyle w:val="24"/>
                  </w:pPr>
                  <w:r>
                    <w:rPr>
                      <w:rFonts w:hint="eastAsia"/>
                    </w:rPr>
                    <w:t>单位</w:t>
                  </w:r>
                </w:p>
              </w:tc>
              <w:tc>
                <w:tcPr>
                  <w:tcW w:w="340" w:type="dxa"/>
                  <w:vMerge w:val="restart"/>
                  <w:vAlign w:val="center"/>
                </w:tcPr>
                <w:p w14:paraId="267D5AE3">
                  <w:pPr>
                    <w:pStyle w:val="24"/>
                  </w:pPr>
                  <w:r>
                    <w:rPr>
                      <w:rFonts w:hint="eastAsia"/>
                    </w:rPr>
                    <w:t>定额值</w:t>
                  </w:r>
                </w:p>
              </w:tc>
              <w:tc>
                <w:tcPr>
                  <w:tcW w:w="340" w:type="dxa"/>
                  <w:vMerge w:val="continue"/>
                  <w:vAlign w:val="center"/>
                </w:tcPr>
                <w:p w14:paraId="32147196">
                  <w:pPr>
                    <w:pStyle w:val="24"/>
                  </w:pPr>
                </w:p>
              </w:tc>
            </w:tr>
            <w:tr w14:paraId="141F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69EFD8F1">
                  <w:pPr>
                    <w:pStyle w:val="24"/>
                  </w:pPr>
                  <w:r>
                    <w:rPr>
                      <w:rFonts w:hint="eastAsia"/>
                    </w:rPr>
                    <w:t>代码</w:t>
                  </w:r>
                </w:p>
              </w:tc>
              <w:tc>
                <w:tcPr>
                  <w:tcW w:w="340" w:type="dxa"/>
                  <w:vAlign w:val="center"/>
                </w:tcPr>
                <w:p w14:paraId="316289FE">
                  <w:pPr>
                    <w:pStyle w:val="24"/>
                  </w:pPr>
                  <w:r>
                    <w:rPr>
                      <w:rFonts w:hint="eastAsia"/>
                    </w:rPr>
                    <w:t>类别名称</w:t>
                  </w:r>
                </w:p>
              </w:tc>
              <w:tc>
                <w:tcPr>
                  <w:tcW w:w="340" w:type="dxa"/>
                  <w:vAlign w:val="center"/>
                </w:tcPr>
                <w:p w14:paraId="2C549317">
                  <w:pPr>
                    <w:pStyle w:val="24"/>
                  </w:pPr>
                  <w:r>
                    <w:rPr>
                      <w:rFonts w:hint="eastAsia"/>
                    </w:rPr>
                    <w:t>代码</w:t>
                  </w:r>
                </w:p>
              </w:tc>
              <w:tc>
                <w:tcPr>
                  <w:tcW w:w="340" w:type="dxa"/>
                  <w:vAlign w:val="center"/>
                </w:tcPr>
                <w:p w14:paraId="439BAD93">
                  <w:pPr>
                    <w:pStyle w:val="24"/>
                  </w:pPr>
                  <w:r>
                    <w:rPr>
                      <w:rFonts w:hint="eastAsia"/>
                    </w:rPr>
                    <w:t>类别名称</w:t>
                  </w:r>
                </w:p>
              </w:tc>
              <w:tc>
                <w:tcPr>
                  <w:tcW w:w="340" w:type="dxa"/>
                  <w:vMerge w:val="continue"/>
                  <w:vAlign w:val="center"/>
                </w:tcPr>
                <w:p w14:paraId="465EC089">
                  <w:pPr>
                    <w:pStyle w:val="24"/>
                  </w:pPr>
                </w:p>
              </w:tc>
              <w:tc>
                <w:tcPr>
                  <w:tcW w:w="340" w:type="dxa"/>
                  <w:vMerge w:val="continue"/>
                  <w:vAlign w:val="center"/>
                </w:tcPr>
                <w:p w14:paraId="3C0D2355">
                  <w:pPr>
                    <w:pStyle w:val="24"/>
                  </w:pPr>
                </w:p>
              </w:tc>
              <w:tc>
                <w:tcPr>
                  <w:tcW w:w="340" w:type="dxa"/>
                  <w:vMerge w:val="continue"/>
                  <w:vAlign w:val="center"/>
                </w:tcPr>
                <w:p w14:paraId="5F114C5E">
                  <w:pPr>
                    <w:pStyle w:val="24"/>
                  </w:pPr>
                </w:p>
              </w:tc>
              <w:tc>
                <w:tcPr>
                  <w:tcW w:w="340" w:type="dxa"/>
                  <w:vMerge w:val="continue"/>
                  <w:vAlign w:val="center"/>
                </w:tcPr>
                <w:p w14:paraId="35AB9FD8">
                  <w:pPr>
                    <w:pStyle w:val="24"/>
                  </w:pPr>
                </w:p>
              </w:tc>
            </w:tr>
            <w:tr w14:paraId="433F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restart"/>
                  <w:vAlign w:val="center"/>
                </w:tcPr>
                <w:p w14:paraId="2985DC8C">
                  <w:pPr>
                    <w:pStyle w:val="24"/>
                  </w:pPr>
                  <w:r>
                    <w:rPr>
                      <w:rFonts w:hint="eastAsia"/>
                    </w:rPr>
                    <w:t>081</w:t>
                  </w:r>
                </w:p>
              </w:tc>
              <w:tc>
                <w:tcPr>
                  <w:tcW w:w="340" w:type="dxa"/>
                  <w:vMerge w:val="restart"/>
                  <w:vAlign w:val="center"/>
                </w:tcPr>
                <w:p w14:paraId="0F6AA547">
                  <w:pPr>
                    <w:pStyle w:val="24"/>
                  </w:pPr>
                  <w:r>
                    <w:rPr>
                      <w:rFonts w:hint="eastAsia"/>
                    </w:rPr>
                    <w:t>机动车、电子产品和日用产品修理业</w:t>
                  </w:r>
                </w:p>
              </w:tc>
              <w:tc>
                <w:tcPr>
                  <w:tcW w:w="340" w:type="dxa"/>
                  <w:vMerge w:val="restart"/>
                  <w:vAlign w:val="center"/>
                </w:tcPr>
                <w:p w14:paraId="09535409">
                  <w:pPr>
                    <w:pStyle w:val="24"/>
                  </w:pPr>
                  <w:r>
                    <w:rPr>
                      <w:rFonts w:hint="eastAsia"/>
                    </w:rPr>
                    <w:t>0811</w:t>
                  </w:r>
                </w:p>
              </w:tc>
              <w:tc>
                <w:tcPr>
                  <w:tcW w:w="340" w:type="dxa"/>
                  <w:vMerge w:val="restart"/>
                  <w:vAlign w:val="center"/>
                </w:tcPr>
                <w:p w14:paraId="5CCB9C6F">
                  <w:pPr>
                    <w:pStyle w:val="24"/>
                  </w:pPr>
                  <w:r>
                    <w:rPr>
                      <w:rFonts w:hint="eastAsia"/>
                    </w:rPr>
                    <w:t>汽车、摩托车修理与维护</w:t>
                  </w:r>
                </w:p>
              </w:tc>
              <w:tc>
                <w:tcPr>
                  <w:tcW w:w="340" w:type="dxa"/>
                  <w:vMerge w:val="restart"/>
                  <w:vAlign w:val="center"/>
                </w:tcPr>
                <w:p w14:paraId="0A3D2CE3">
                  <w:pPr>
                    <w:pStyle w:val="24"/>
                  </w:pPr>
                  <w:r>
                    <w:rPr>
                      <w:rFonts w:hint="eastAsia"/>
                    </w:rPr>
                    <w:t>洗车</w:t>
                  </w:r>
                </w:p>
              </w:tc>
              <w:tc>
                <w:tcPr>
                  <w:tcW w:w="340" w:type="dxa"/>
                  <w:vAlign w:val="center"/>
                </w:tcPr>
                <w:p w14:paraId="67EFBCC8">
                  <w:pPr>
                    <w:pStyle w:val="24"/>
                  </w:pPr>
                  <w:r>
                    <w:rPr>
                      <w:rFonts w:hint="eastAsia"/>
                    </w:rPr>
                    <w:t>m</w:t>
                  </w:r>
                  <w:r>
                    <w:rPr>
                      <w:rFonts w:hint="eastAsia"/>
                      <w:vertAlign w:val="superscript"/>
                    </w:rPr>
                    <w:t>3</w:t>
                  </w:r>
                  <w:r>
                    <w:rPr>
                      <w:rFonts w:hint="eastAsia"/>
                    </w:rPr>
                    <w:t>/车次</w:t>
                  </w:r>
                </w:p>
              </w:tc>
              <w:tc>
                <w:tcPr>
                  <w:tcW w:w="340" w:type="dxa"/>
                  <w:vAlign w:val="center"/>
                </w:tcPr>
                <w:p w14:paraId="732A26F6">
                  <w:pPr>
                    <w:pStyle w:val="24"/>
                  </w:pPr>
                  <w:r>
                    <w:rPr>
                      <w:rFonts w:hint="eastAsia"/>
                    </w:rPr>
                    <w:t>0.04</w:t>
                  </w:r>
                </w:p>
              </w:tc>
              <w:tc>
                <w:tcPr>
                  <w:tcW w:w="340" w:type="dxa"/>
                  <w:vAlign w:val="center"/>
                </w:tcPr>
                <w:p w14:paraId="33259132">
                  <w:pPr>
                    <w:pStyle w:val="24"/>
                  </w:pPr>
                  <w:r>
                    <w:rPr>
                      <w:rFonts w:hint="eastAsia"/>
                    </w:rPr>
                    <w:t>小型车</w:t>
                  </w:r>
                </w:p>
              </w:tc>
            </w:tr>
            <w:tr w14:paraId="12E3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vAlign w:val="center"/>
                </w:tcPr>
                <w:p w14:paraId="093252DE">
                  <w:pPr>
                    <w:pStyle w:val="24"/>
                  </w:pPr>
                </w:p>
              </w:tc>
              <w:tc>
                <w:tcPr>
                  <w:tcW w:w="340" w:type="dxa"/>
                  <w:vMerge w:val="continue"/>
                  <w:vAlign w:val="center"/>
                </w:tcPr>
                <w:p w14:paraId="6AA1C7F7">
                  <w:pPr>
                    <w:pStyle w:val="24"/>
                  </w:pPr>
                </w:p>
              </w:tc>
              <w:tc>
                <w:tcPr>
                  <w:tcW w:w="340" w:type="dxa"/>
                  <w:vMerge w:val="continue"/>
                  <w:vAlign w:val="center"/>
                </w:tcPr>
                <w:p w14:paraId="5B814D35">
                  <w:pPr>
                    <w:pStyle w:val="24"/>
                  </w:pPr>
                </w:p>
              </w:tc>
              <w:tc>
                <w:tcPr>
                  <w:tcW w:w="340" w:type="dxa"/>
                  <w:vMerge w:val="continue"/>
                  <w:vAlign w:val="center"/>
                </w:tcPr>
                <w:p w14:paraId="0A7BDB79">
                  <w:pPr>
                    <w:pStyle w:val="24"/>
                  </w:pPr>
                </w:p>
              </w:tc>
              <w:tc>
                <w:tcPr>
                  <w:tcW w:w="340" w:type="dxa"/>
                  <w:vMerge w:val="continue"/>
                  <w:vAlign w:val="center"/>
                </w:tcPr>
                <w:p w14:paraId="4C9F760A">
                  <w:pPr>
                    <w:pStyle w:val="24"/>
                  </w:pPr>
                </w:p>
              </w:tc>
              <w:tc>
                <w:tcPr>
                  <w:tcW w:w="340" w:type="dxa"/>
                  <w:vAlign w:val="center"/>
                </w:tcPr>
                <w:p w14:paraId="1C80499B">
                  <w:pPr>
                    <w:pStyle w:val="24"/>
                  </w:pPr>
                  <w:r>
                    <w:rPr>
                      <w:rFonts w:hint="eastAsia"/>
                    </w:rPr>
                    <w:t>m</w:t>
                  </w:r>
                  <w:r>
                    <w:rPr>
                      <w:rFonts w:hint="eastAsia"/>
                      <w:vertAlign w:val="superscript"/>
                    </w:rPr>
                    <w:t>3</w:t>
                  </w:r>
                  <w:r>
                    <w:rPr>
                      <w:rFonts w:hint="eastAsia"/>
                    </w:rPr>
                    <w:t>/车次</w:t>
                  </w:r>
                </w:p>
              </w:tc>
              <w:tc>
                <w:tcPr>
                  <w:tcW w:w="340" w:type="dxa"/>
                  <w:vAlign w:val="center"/>
                </w:tcPr>
                <w:p w14:paraId="00948F56">
                  <w:pPr>
                    <w:pStyle w:val="24"/>
                  </w:pPr>
                  <w:r>
                    <w:rPr>
                      <w:rFonts w:hint="eastAsia"/>
                    </w:rPr>
                    <w:t>0.055</w:t>
                  </w:r>
                </w:p>
              </w:tc>
              <w:tc>
                <w:tcPr>
                  <w:tcW w:w="340" w:type="dxa"/>
                  <w:vAlign w:val="center"/>
                </w:tcPr>
                <w:p w14:paraId="5E4B896B">
                  <w:pPr>
                    <w:pStyle w:val="24"/>
                  </w:pPr>
                  <w:r>
                    <w:rPr>
                      <w:rFonts w:hint="eastAsia"/>
                    </w:rPr>
                    <w:t>中型车</w:t>
                  </w:r>
                </w:p>
              </w:tc>
            </w:tr>
            <w:tr w14:paraId="6B96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vAlign w:val="center"/>
                </w:tcPr>
                <w:p w14:paraId="42FEEA3E">
                  <w:pPr>
                    <w:pStyle w:val="24"/>
                  </w:pPr>
                </w:p>
              </w:tc>
              <w:tc>
                <w:tcPr>
                  <w:tcW w:w="340" w:type="dxa"/>
                  <w:vMerge w:val="continue"/>
                  <w:vAlign w:val="center"/>
                </w:tcPr>
                <w:p w14:paraId="486D3799">
                  <w:pPr>
                    <w:pStyle w:val="24"/>
                  </w:pPr>
                </w:p>
              </w:tc>
              <w:tc>
                <w:tcPr>
                  <w:tcW w:w="340" w:type="dxa"/>
                  <w:vMerge w:val="continue"/>
                  <w:vAlign w:val="center"/>
                </w:tcPr>
                <w:p w14:paraId="20FAB1B7">
                  <w:pPr>
                    <w:pStyle w:val="24"/>
                  </w:pPr>
                </w:p>
              </w:tc>
              <w:tc>
                <w:tcPr>
                  <w:tcW w:w="340" w:type="dxa"/>
                  <w:vMerge w:val="continue"/>
                  <w:vAlign w:val="center"/>
                </w:tcPr>
                <w:p w14:paraId="4C8077BF">
                  <w:pPr>
                    <w:pStyle w:val="24"/>
                  </w:pPr>
                </w:p>
              </w:tc>
              <w:tc>
                <w:tcPr>
                  <w:tcW w:w="340" w:type="dxa"/>
                  <w:vMerge w:val="continue"/>
                  <w:vAlign w:val="center"/>
                </w:tcPr>
                <w:p w14:paraId="777EB20D">
                  <w:pPr>
                    <w:pStyle w:val="24"/>
                  </w:pPr>
                </w:p>
              </w:tc>
              <w:tc>
                <w:tcPr>
                  <w:tcW w:w="340" w:type="dxa"/>
                  <w:vAlign w:val="center"/>
                </w:tcPr>
                <w:p w14:paraId="52818A7E">
                  <w:pPr>
                    <w:pStyle w:val="24"/>
                  </w:pPr>
                  <w:r>
                    <w:rPr>
                      <w:rFonts w:hint="eastAsia"/>
                    </w:rPr>
                    <w:t>m</w:t>
                  </w:r>
                  <w:r>
                    <w:rPr>
                      <w:rFonts w:hint="eastAsia"/>
                      <w:vertAlign w:val="superscript"/>
                    </w:rPr>
                    <w:t>3</w:t>
                  </w:r>
                  <w:r>
                    <w:rPr>
                      <w:rFonts w:hint="eastAsia"/>
                    </w:rPr>
                    <w:t>/车次</w:t>
                  </w:r>
                </w:p>
              </w:tc>
              <w:tc>
                <w:tcPr>
                  <w:tcW w:w="340" w:type="dxa"/>
                  <w:vAlign w:val="center"/>
                </w:tcPr>
                <w:p w14:paraId="4EAAE1A8">
                  <w:pPr>
                    <w:pStyle w:val="24"/>
                  </w:pPr>
                  <w:r>
                    <w:rPr>
                      <w:rFonts w:hint="eastAsia"/>
                    </w:rPr>
                    <w:t>0.09</w:t>
                  </w:r>
                </w:p>
              </w:tc>
              <w:tc>
                <w:tcPr>
                  <w:tcW w:w="340" w:type="dxa"/>
                  <w:vAlign w:val="center"/>
                </w:tcPr>
                <w:p w14:paraId="0C9FDABA">
                  <w:pPr>
                    <w:pStyle w:val="24"/>
                  </w:pPr>
                  <w:r>
                    <w:rPr>
                      <w:rFonts w:hint="eastAsia"/>
                    </w:rPr>
                    <w:t>大型车</w:t>
                  </w:r>
                </w:p>
              </w:tc>
            </w:tr>
          </w:tbl>
          <w:p w14:paraId="1326229E">
            <w:pPr>
              <w:ind w:firstLine="480" w:firstLineChars="200"/>
            </w:pPr>
            <w:r>
              <w:t>则洗车用水量为</w:t>
            </w:r>
            <w:r>
              <w:rPr>
                <w:rFonts w:hint="eastAsia"/>
              </w:rPr>
              <w:t>0.86</w:t>
            </w:r>
            <w:r>
              <w:t>m</w:t>
            </w:r>
            <w:r>
              <w:rPr>
                <w:vertAlign w:val="superscript"/>
              </w:rPr>
              <w:t>3</w:t>
            </w:r>
            <w:r>
              <w:t>/d（</w:t>
            </w:r>
            <w:r>
              <w:rPr>
                <w:rFonts w:hint="eastAsia"/>
              </w:rPr>
              <w:t>312</w:t>
            </w:r>
            <w:r>
              <w:t>m</w:t>
            </w:r>
            <w:r>
              <w:rPr>
                <w:vertAlign w:val="superscript"/>
              </w:rPr>
              <w:t>3</w:t>
            </w:r>
            <w:r>
              <w:t>/a），产污系数取0.8，则洗车废水年排放</w:t>
            </w:r>
            <w:bookmarkStart w:id="32" w:name="OLE_LINK29"/>
            <w:r>
              <w:t>量为</w:t>
            </w:r>
            <w:r>
              <w:rPr>
                <w:rFonts w:hint="eastAsia"/>
              </w:rPr>
              <w:t>0.68</w:t>
            </w:r>
            <w:r>
              <w:t>m</w:t>
            </w:r>
            <w:r>
              <w:rPr>
                <w:vertAlign w:val="superscript"/>
              </w:rPr>
              <w:t>3</w:t>
            </w:r>
            <w:r>
              <w:t>/d（</w:t>
            </w:r>
            <w:r>
              <w:rPr>
                <w:rFonts w:hint="eastAsia"/>
              </w:rPr>
              <w:t>250</w:t>
            </w:r>
            <w:r>
              <w:t>m</w:t>
            </w:r>
            <w:r>
              <w:rPr>
                <w:vertAlign w:val="superscript"/>
              </w:rPr>
              <w:t>3</w:t>
            </w:r>
            <w:r>
              <w:t>/a）</w:t>
            </w:r>
            <w:bookmarkEnd w:id="32"/>
            <w:r>
              <w:t>。</w:t>
            </w:r>
            <w:bookmarkStart w:id="33" w:name="OLE_LINK37"/>
            <w:r>
              <w:t>洗车废水主要污染因子为CODcr、BOD</w:t>
            </w:r>
            <w:r>
              <w:rPr>
                <w:vertAlign w:val="subscript"/>
              </w:rPr>
              <w:t>5</w:t>
            </w:r>
            <w:r>
              <w:t>、SS、石油类、阴离子表面活性剂（LAS）等。</w:t>
            </w:r>
            <w:bookmarkEnd w:id="33"/>
            <w:bookmarkStart w:id="34" w:name="OLE_LINK42"/>
            <w:r>
              <w:rPr>
                <w:rFonts w:hint="eastAsia"/>
              </w:rPr>
              <w:t>参照同行业经验数据，废水中各污染因子浓度一般为CODcr：350</w:t>
            </w:r>
            <w:r>
              <w:t>mg/L</w:t>
            </w:r>
            <w:r>
              <w:rPr>
                <w:rFonts w:hint="eastAsia"/>
              </w:rPr>
              <w:t>、SS：200</w:t>
            </w:r>
            <w:r>
              <w:t>mg/L</w:t>
            </w:r>
            <w:r>
              <w:rPr>
                <w:rFonts w:hint="eastAsia"/>
              </w:rPr>
              <w:t>、石油类：20</w:t>
            </w:r>
            <w:r>
              <w:t>mg/L</w:t>
            </w:r>
            <w:r>
              <w:rPr>
                <w:rFonts w:hint="eastAsia"/>
              </w:rPr>
              <w:t>、LAS：15</w:t>
            </w:r>
            <w:r>
              <w:t>mg/L</w:t>
            </w:r>
            <w:r>
              <w:rPr>
                <w:rFonts w:hint="eastAsia"/>
              </w:rPr>
              <w:t>，产生量为：CODcr：0.087t/a、SS：0.050t/a、石油类：0.005t/a、LAS：0.004t/a。</w:t>
            </w:r>
            <w:r>
              <w:t>洗车废水经</w:t>
            </w:r>
            <w:r>
              <w:rPr>
                <w:rFonts w:hint="eastAsia"/>
              </w:rPr>
              <w:t>一座隔油沉淀池（15m</w:t>
            </w:r>
            <w:r>
              <w:rPr>
                <w:rFonts w:hint="eastAsia"/>
                <w:vertAlign w:val="superscript"/>
              </w:rPr>
              <w:t>3</w:t>
            </w:r>
            <w:r>
              <w:rPr>
                <w:rFonts w:hint="eastAsia"/>
              </w:rPr>
              <w:t>）</w:t>
            </w:r>
            <w:r>
              <w:t>处理后，排入市政污水管网</w:t>
            </w:r>
            <w:bookmarkEnd w:id="34"/>
            <w:r>
              <w:t>，接入</w:t>
            </w:r>
            <w:r>
              <w:rPr>
                <w:rFonts w:hint="eastAsia"/>
              </w:rPr>
              <w:t>经济技术开发区工业污水处理厂</w:t>
            </w:r>
            <w:r>
              <w:t>进行处理。</w:t>
            </w:r>
          </w:p>
          <w:p w14:paraId="390AD4F3">
            <w:pPr>
              <w:ind w:firstLine="480" w:firstLineChars="200"/>
            </w:pPr>
            <w:r>
              <w:rPr>
                <w:rFonts w:ascii="FZShuSong-Z01" w:hAnsi="FZShuSong-Z01" w:eastAsia="FZShuSong-Z01" w:cs="FZShuSong-Z01"/>
                <w:kern w:val="0"/>
                <w:lang w:bidi="ar"/>
              </w:rPr>
              <w:t>根据查阅的技术参数及实际处理经验，食堂隔油池对动植物油类的去除率为</w:t>
            </w:r>
            <w:r>
              <w:rPr>
                <w:rFonts w:eastAsia="FZShuSong-Z01"/>
                <w:kern w:val="0"/>
                <w:lang w:bidi="ar"/>
              </w:rPr>
              <w:t>80</w:t>
            </w:r>
            <w:r>
              <w:t>%，对SS的去除率为</w:t>
            </w:r>
            <w:r>
              <w:rPr>
                <w:rFonts w:hint="eastAsia"/>
              </w:rPr>
              <w:t>5</w:t>
            </w:r>
            <w:r>
              <w:t>0%，对其他水污染物基本无去除效果；化粪池</w:t>
            </w:r>
            <w:r>
              <w:rPr>
                <w:rFonts w:hint="eastAsia"/>
              </w:rPr>
              <w:t>无处理效率</w:t>
            </w:r>
            <w:r>
              <w:t>；</w:t>
            </w:r>
            <w:r>
              <w:rPr>
                <w:rFonts w:hint="eastAsia"/>
              </w:rPr>
              <w:t>三级油水分离池</w:t>
            </w:r>
            <w:r>
              <w:t>对SS去除率按</w:t>
            </w:r>
            <w:r>
              <w:rPr>
                <w:rFonts w:hint="eastAsia"/>
              </w:rPr>
              <w:t>60</w:t>
            </w:r>
            <w:r>
              <w:t>%计，对石油类的去除率按</w:t>
            </w:r>
            <w:r>
              <w:rPr>
                <w:rFonts w:hint="eastAsia"/>
              </w:rPr>
              <w:t>75</w:t>
            </w:r>
            <w:r>
              <w:t>%计</w:t>
            </w:r>
            <w:r>
              <w:rPr>
                <w:rFonts w:hint="eastAsia"/>
              </w:rPr>
              <w:t>；隔油沉淀池对CODcr处理效率为20%，对SS去除率为60%，对石油类去除率70%，对LAS去除率50%。</w:t>
            </w:r>
          </w:p>
          <w:p w14:paraId="6F98480A">
            <w:pPr>
              <w:ind w:firstLine="480" w:firstLineChars="200"/>
            </w:pPr>
            <w:r>
              <w:rPr>
                <w:rFonts w:hint="eastAsia"/>
              </w:rPr>
              <w:t>综上，本项目废水产排情况见下表：</w:t>
            </w:r>
          </w:p>
          <w:p w14:paraId="401098B3">
            <w:pPr>
              <w:pStyle w:val="6"/>
            </w:pPr>
            <w:r>
              <w:t xml:space="preserve">表 </w:t>
            </w:r>
            <w:r>
              <w:rPr>
                <w:rFonts w:hint="eastAsia"/>
              </w:rPr>
              <w:t>4-</w:t>
            </w:r>
            <w:r>
              <w:fldChar w:fldCharType="begin"/>
            </w:r>
            <w:r>
              <w:instrText xml:space="preserve"> SEQ 表 \* ARABIC \s 1 </w:instrText>
            </w:r>
            <w:r>
              <w:fldChar w:fldCharType="separate"/>
            </w:r>
            <w:r>
              <w:t>6</w:t>
            </w:r>
            <w:r>
              <w:fldChar w:fldCharType="end"/>
            </w:r>
            <w:r>
              <w:rPr>
                <w:rFonts w:hint="eastAsia"/>
              </w:rPr>
              <w:t xml:space="preserve"> </w:t>
            </w:r>
            <w:r>
              <w:t>项目废水</w:t>
            </w:r>
            <w:r>
              <w:rPr>
                <w:rFonts w:hint="eastAsia"/>
              </w:rPr>
              <w:t>产</w:t>
            </w:r>
            <w:r>
              <w:t>排情况</w:t>
            </w:r>
            <w:r>
              <w:rPr>
                <w:rFonts w:hint="eastAsia"/>
              </w:rPr>
              <w:t>一览</w:t>
            </w:r>
            <w:r>
              <w:t>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772"/>
              <w:gridCol w:w="959"/>
              <w:gridCol w:w="895"/>
              <w:gridCol w:w="781"/>
              <w:gridCol w:w="712"/>
              <w:gridCol w:w="666"/>
              <w:gridCol w:w="895"/>
              <w:gridCol w:w="921"/>
            </w:tblGrid>
            <w:tr w14:paraId="30CF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restart"/>
                  <w:vAlign w:val="center"/>
                </w:tcPr>
                <w:p w14:paraId="57BEE89D">
                  <w:pPr>
                    <w:pStyle w:val="24"/>
                  </w:pPr>
                  <w:r>
                    <w:t>类别</w:t>
                  </w:r>
                </w:p>
              </w:tc>
              <w:tc>
                <w:tcPr>
                  <w:tcW w:w="340" w:type="dxa"/>
                  <w:vMerge w:val="restart"/>
                  <w:vAlign w:val="center"/>
                </w:tcPr>
                <w:p w14:paraId="51EEA3DA">
                  <w:pPr>
                    <w:pStyle w:val="24"/>
                  </w:pPr>
                  <w:r>
                    <w:t>污染物</w:t>
                  </w:r>
                </w:p>
                <w:p w14:paraId="4B10D3B6">
                  <w:pPr>
                    <w:pStyle w:val="24"/>
                  </w:pPr>
                  <w:r>
                    <w:t>名称</w:t>
                  </w:r>
                </w:p>
              </w:tc>
              <w:tc>
                <w:tcPr>
                  <w:tcW w:w="340" w:type="dxa"/>
                  <w:gridSpan w:val="2"/>
                  <w:vAlign w:val="center"/>
                </w:tcPr>
                <w:p w14:paraId="5F96CE13">
                  <w:pPr>
                    <w:pStyle w:val="24"/>
                  </w:pPr>
                  <w:r>
                    <w:t>产生情况</w:t>
                  </w:r>
                </w:p>
              </w:tc>
              <w:tc>
                <w:tcPr>
                  <w:tcW w:w="340" w:type="dxa"/>
                  <w:gridSpan w:val="2"/>
                  <w:vAlign w:val="center"/>
                </w:tcPr>
                <w:p w14:paraId="376C8A64">
                  <w:pPr>
                    <w:pStyle w:val="24"/>
                  </w:pPr>
                  <w:r>
                    <w:t>处理设施</w:t>
                  </w:r>
                </w:p>
              </w:tc>
              <w:tc>
                <w:tcPr>
                  <w:tcW w:w="340" w:type="dxa"/>
                  <w:gridSpan w:val="2"/>
                  <w:vAlign w:val="center"/>
                </w:tcPr>
                <w:p w14:paraId="5A05EFD9">
                  <w:pPr>
                    <w:pStyle w:val="24"/>
                  </w:pPr>
                  <w:r>
                    <w:t>排放情况</w:t>
                  </w:r>
                </w:p>
              </w:tc>
            </w:tr>
            <w:tr w14:paraId="01CD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1B493BC6">
                  <w:pPr>
                    <w:pStyle w:val="24"/>
                  </w:pPr>
                </w:p>
              </w:tc>
              <w:tc>
                <w:tcPr>
                  <w:tcW w:w="340" w:type="dxa"/>
                  <w:vMerge w:val="continue"/>
                  <w:vAlign w:val="center"/>
                </w:tcPr>
                <w:p w14:paraId="6386E5EE">
                  <w:pPr>
                    <w:pStyle w:val="24"/>
                  </w:pPr>
                </w:p>
              </w:tc>
              <w:tc>
                <w:tcPr>
                  <w:tcW w:w="340" w:type="dxa"/>
                  <w:vAlign w:val="center"/>
                </w:tcPr>
                <w:p w14:paraId="492FD4D8">
                  <w:pPr>
                    <w:pStyle w:val="24"/>
                  </w:pPr>
                  <w:r>
                    <w:t>产生浓度mg/m</w:t>
                  </w:r>
                  <w:r>
                    <w:rPr>
                      <w:vertAlign w:val="superscript"/>
                    </w:rPr>
                    <w:t>3</w:t>
                  </w:r>
                </w:p>
              </w:tc>
              <w:tc>
                <w:tcPr>
                  <w:tcW w:w="340" w:type="dxa"/>
                  <w:vAlign w:val="center"/>
                </w:tcPr>
                <w:p w14:paraId="4B054633">
                  <w:pPr>
                    <w:pStyle w:val="24"/>
                  </w:pPr>
                  <w:r>
                    <w:t>产生量</w:t>
                  </w:r>
                </w:p>
                <w:p w14:paraId="2462E34D">
                  <w:pPr>
                    <w:pStyle w:val="24"/>
                  </w:pPr>
                  <w:r>
                    <w:t>t/a</w:t>
                  </w:r>
                </w:p>
              </w:tc>
              <w:tc>
                <w:tcPr>
                  <w:tcW w:w="340" w:type="dxa"/>
                  <w:vAlign w:val="center"/>
                </w:tcPr>
                <w:p w14:paraId="00B6D379">
                  <w:pPr>
                    <w:pStyle w:val="24"/>
                  </w:pPr>
                  <w:r>
                    <w:rPr>
                      <w:rFonts w:hint="eastAsia"/>
                    </w:rPr>
                    <w:t>处理工艺</w:t>
                  </w:r>
                </w:p>
              </w:tc>
              <w:tc>
                <w:tcPr>
                  <w:tcW w:w="340" w:type="dxa"/>
                  <w:vAlign w:val="center"/>
                </w:tcPr>
                <w:p w14:paraId="00DB7BEA">
                  <w:pPr>
                    <w:pStyle w:val="24"/>
                  </w:pPr>
                  <w:r>
                    <w:rPr>
                      <w:rFonts w:hint="eastAsia"/>
                    </w:rPr>
                    <w:t>处理效率%</w:t>
                  </w:r>
                </w:p>
              </w:tc>
              <w:tc>
                <w:tcPr>
                  <w:tcW w:w="340" w:type="dxa"/>
                  <w:vAlign w:val="center"/>
                </w:tcPr>
                <w:p w14:paraId="7F2D60E6">
                  <w:pPr>
                    <w:pStyle w:val="24"/>
                  </w:pPr>
                  <w:r>
                    <w:t>排放浓度mg/m</w:t>
                  </w:r>
                  <w:r>
                    <w:rPr>
                      <w:vertAlign w:val="superscript"/>
                    </w:rPr>
                    <w:t>3</w:t>
                  </w:r>
                </w:p>
              </w:tc>
              <w:tc>
                <w:tcPr>
                  <w:tcW w:w="340" w:type="dxa"/>
                  <w:vAlign w:val="center"/>
                </w:tcPr>
                <w:p w14:paraId="0AEB594B">
                  <w:pPr>
                    <w:pStyle w:val="24"/>
                  </w:pPr>
                  <w:r>
                    <w:t>排放量t/a</w:t>
                  </w:r>
                </w:p>
              </w:tc>
            </w:tr>
            <w:tr w14:paraId="1233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restart"/>
                  <w:vAlign w:val="center"/>
                </w:tcPr>
                <w:p w14:paraId="3D5A0076">
                  <w:pPr>
                    <w:pStyle w:val="24"/>
                  </w:pPr>
                  <w:r>
                    <w:rPr>
                      <w:rFonts w:hint="eastAsia"/>
                    </w:rPr>
                    <w:t>生活污水</w:t>
                  </w:r>
                </w:p>
                <w:p w14:paraId="40D090F3">
                  <w:pPr>
                    <w:pStyle w:val="24"/>
                  </w:pPr>
                  <w:r>
                    <w:rPr>
                      <w:rFonts w:hint="eastAsia"/>
                    </w:rPr>
                    <w:t>（1314m</w:t>
                  </w:r>
                  <w:r>
                    <w:rPr>
                      <w:rFonts w:hint="eastAsia"/>
                      <w:vertAlign w:val="superscript"/>
                    </w:rPr>
                    <w:t>3</w:t>
                  </w:r>
                  <w:r>
                    <w:rPr>
                      <w:rFonts w:hint="eastAsia"/>
                    </w:rPr>
                    <w:t>/a）</w:t>
                  </w:r>
                </w:p>
              </w:tc>
              <w:tc>
                <w:tcPr>
                  <w:tcW w:w="340" w:type="dxa"/>
                  <w:vAlign w:val="center"/>
                </w:tcPr>
                <w:p w14:paraId="1C55A235">
                  <w:pPr>
                    <w:pStyle w:val="24"/>
                  </w:pPr>
                  <w:r>
                    <w:t>COD</w:t>
                  </w:r>
                  <w:r>
                    <w:rPr>
                      <w:rFonts w:hint="eastAsia"/>
                    </w:rPr>
                    <w:t>cr</w:t>
                  </w:r>
                </w:p>
              </w:tc>
              <w:tc>
                <w:tcPr>
                  <w:tcW w:w="340" w:type="dxa"/>
                  <w:vAlign w:val="center"/>
                </w:tcPr>
                <w:p w14:paraId="1C3C7C42">
                  <w:pPr>
                    <w:pStyle w:val="24"/>
                  </w:pPr>
                  <w:r>
                    <w:rPr>
                      <w:rFonts w:hint="eastAsia"/>
                    </w:rPr>
                    <w:t>300</w:t>
                  </w:r>
                </w:p>
              </w:tc>
              <w:tc>
                <w:tcPr>
                  <w:tcW w:w="340" w:type="dxa"/>
                  <w:vAlign w:val="center"/>
                </w:tcPr>
                <w:p w14:paraId="5777C1DF">
                  <w:pPr>
                    <w:pStyle w:val="24"/>
                  </w:pPr>
                  <w:r>
                    <w:t xml:space="preserve">0.394 </w:t>
                  </w:r>
                </w:p>
              </w:tc>
              <w:tc>
                <w:tcPr>
                  <w:tcW w:w="340" w:type="dxa"/>
                  <w:vMerge w:val="restart"/>
                  <w:vAlign w:val="center"/>
                </w:tcPr>
                <w:p w14:paraId="2855764F">
                  <w:pPr>
                    <w:pStyle w:val="24"/>
                  </w:pPr>
                  <w:r>
                    <w:rPr>
                      <w:rFonts w:hint="eastAsia"/>
                    </w:rPr>
                    <w:t>隔油池+化粪池</w:t>
                  </w:r>
                </w:p>
              </w:tc>
              <w:tc>
                <w:tcPr>
                  <w:tcW w:w="340" w:type="dxa"/>
                  <w:vAlign w:val="center"/>
                </w:tcPr>
                <w:p w14:paraId="71A8768F">
                  <w:pPr>
                    <w:pStyle w:val="24"/>
                  </w:pPr>
                  <w:r>
                    <w:rPr>
                      <w:rFonts w:hint="eastAsia"/>
                    </w:rPr>
                    <w:t>0</w:t>
                  </w:r>
                </w:p>
              </w:tc>
              <w:tc>
                <w:tcPr>
                  <w:tcW w:w="340" w:type="dxa"/>
                  <w:vAlign w:val="center"/>
                </w:tcPr>
                <w:p w14:paraId="66D93F30">
                  <w:pPr>
                    <w:pStyle w:val="24"/>
                  </w:pPr>
                  <w:r>
                    <w:t>300</w:t>
                  </w:r>
                </w:p>
              </w:tc>
              <w:tc>
                <w:tcPr>
                  <w:tcW w:w="340" w:type="dxa"/>
                  <w:vAlign w:val="center"/>
                </w:tcPr>
                <w:p w14:paraId="3759FC5D">
                  <w:pPr>
                    <w:pStyle w:val="24"/>
                  </w:pPr>
                  <w:r>
                    <w:t xml:space="preserve">0.394 </w:t>
                  </w:r>
                </w:p>
              </w:tc>
            </w:tr>
            <w:tr w14:paraId="7FD2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5609D110">
                  <w:pPr>
                    <w:pStyle w:val="24"/>
                  </w:pPr>
                </w:p>
              </w:tc>
              <w:tc>
                <w:tcPr>
                  <w:tcW w:w="340" w:type="dxa"/>
                  <w:vAlign w:val="center"/>
                </w:tcPr>
                <w:p w14:paraId="51A6411B">
                  <w:pPr>
                    <w:pStyle w:val="24"/>
                  </w:pPr>
                  <w:r>
                    <w:t>BOD</w:t>
                  </w:r>
                  <w:r>
                    <w:rPr>
                      <w:vertAlign w:val="subscript"/>
                    </w:rPr>
                    <w:t>5</w:t>
                  </w:r>
                </w:p>
              </w:tc>
              <w:tc>
                <w:tcPr>
                  <w:tcW w:w="340" w:type="dxa"/>
                  <w:vAlign w:val="center"/>
                </w:tcPr>
                <w:p w14:paraId="721C9108">
                  <w:pPr>
                    <w:pStyle w:val="24"/>
                  </w:pPr>
                  <w:r>
                    <w:rPr>
                      <w:rFonts w:hint="eastAsia"/>
                    </w:rPr>
                    <w:t>100</w:t>
                  </w:r>
                </w:p>
              </w:tc>
              <w:tc>
                <w:tcPr>
                  <w:tcW w:w="340" w:type="dxa"/>
                  <w:vAlign w:val="center"/>
                </w:tcPr>
                <w:p w14:paraId="4CF4D325">
                  <w:pPr>
                    <w:pStyle w:val="24"/>
                  </w:pPr>
                  <w:r>
                    <w:rPr>
                      <w:rFonts w:hint="eastAsia"/>
                    </w:rPr>
                    <w:t>0.131</w:t>
                  </w:r>
                </w:p>
              </w:tc>
              <w:tc>
                <w:tcPr>
                  <w:tcW w:w="340" w:type="dxa"/>
                  <w:vMerge w:val="continue"/>
                  <w:vAlign w:val="center"/>
                </w:tcPr>
                <w:p w14:paraId="67551A5D">
                  <w:pPr>
                    <w:pStyle w:val="24"/>
                  </w:pPr>
                </w:p>
              </w:tc>
              <w:tc>
                <w:tcPr>
                  <w:tcW w:w="340" w:type="dxa"/>
                  <w:vAlign w:val="center"/>
                </w:tcPr>
                <w:p w14:paraId="46E15F84">
                  <w:pPr>
                    <w:pStyle w:val="24"/>
                  </w:pPr>
                  <w:r>
                    <w:rPr>
                      <w:rFonts w:hint="eastAsia"/>
                    </w:rPr>
                    <w:t>0</w:t>
                  </w:r>
                </w:p>
              </w:tc>
              <w:tc>
                <w:tcPr>
                  <w:tcW w:w="340" w:type="dxa"/>
                  <w:vAlign w:val="center"/>
                </w:tcPr>
                <w:p w14:paraId="4F1A1CD9">
                  <w:pPr>
                    <w:pStyle w:val="24"/>
                  </w:pPr>
                  <w:r>
                    <w:rPr>
                      <w:rFonts w:hint="eastAsia"/>
                    </w:rPr>
                    <w:t>100</w:t>
                  </w:r>
                </w:p>
              </w:tc>
              <w:tc>
                <w:tcPr>
                  <w:tcW w:w="340" w:type="dxa"/>
                  <w:vAlign w:val="center"/>
                </w:tcPr>
                <w:p w14:paraId="37D19F21">
                  <w:pPr>
                    <w:pStyle w:val="24"/>
                  </w:pPr>
                  <w:r>
                    <w:rPr>
                      <w:rFonts w:hint="eastAsia"/>
                    </w:rPr>
                    <w:t>0.131</w:t>
                  </w:r>
                </w:p>
              </w:tc>
            </w:tr>
            <w:tr w14:paraId="4919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48265612">
                  <w:pPr>
                    <w:pStyle w:val="24"/>
                  </w:pPr>
                </w:p>
              </w:tc>
              <w:tc>
                <w:tcPr>
                  <w:tcW w:w="340" w:type="dxa"/>
                  <w:vAlign w:val="center"/>
                </w:tcPr>
                <w:p w14:paraId="01C0D878">
                  <w:pPr>
                    <w:pStyle w:val="24"/>
                  </w:pPr>
                  <w:r>
                    <w:t>NH</w:t>
                  </w:r>
                  <w:r>
                    <w:rPr>
                      <w:vertAlign w:val="subscript"/>
                    </w:rPr>
                    <w:t>3</w:t>
                  </w:r>
                  <w:r>
                    <w:t>-N</w:t>
                  </w:r>
                </w:p>
              </w:tc>
              <w:tc>
                <w:tcPr>
                  <w:tcW w:w="340" w:type="dxa"/>
                  <w:vAlign w:val="center"/>
                </w:tcPr>
                <w:p w14:paraId="5E3D2498">
                  <w:pPr>
                    <w:pStyle w:val="24"/>
                  </w:pPr>
                  <w:r>
                    <w:t>20</w:t>
                  </w:r>
                </w:p>
              </w:tc>
              <w:tc>
                <w:tcPr>
                  <w:tcW w:w="340" w:type="dxa"/>
                  <w:vAlign w:val="center"/>
                </w:tcPr>
                <w:p w14:paraId="6AB1D37B">
                  <w:pPr>
                    <w:pStyle w:val="24"/>
                  </w:pPr>
                  <w:r>
                    <w:t xml:space="preserve">0.026 </w:t>
                  </w:r>
                </w:p>
              </w:tc>
              <w:tc>
                <w:tcPr>
                  <w:tcW w:w="340" w:type="dxa"/>
                  <w:vMerge w:val="continue"/>
                  <w:vAlign w:val="center"/>
                </w:tcPr>
                <w:p w14:paraId="430AF49E">
                  <w:pPr>
                    <w:pStyle w:val="24"/>
                  </w:pPr>
                </w:p>
              </w:tc>
              <w:tc>
                <w:tcPr>
                  <w:tcW w:w="340" w:type="dxa"/>
                  <w:vAlign w:val="center"/>
                </w:tcPr>
                <w:p w14:paraId="1657308F">
                  <w:pPr>
                    <w:pStyle w:val="24"/>
                  </w:pPr>
                  <w:r>
                    <w:rPr>
                      <w:rFonts w:hint="eastAsia"/>
                    </w:rPr>
                    <w:t>0</w:t>
                  </w:r>
                </w:p>
              </w:tc>
              <w:tc>
                <w:tcPr>
                  <w:tcW w:w="340" w:type="dxa"/>
                  <w:vAlign w:val="center"/>
                </w:tcPr>
                <w:p w14:paraId="29EEABA7">
                  <w:pPr>
                    <w:pStyle w:val="24"/>
                  </w:pPr>
                  <w:r>
                    <w:t>20</w:t>
                  </w:r>
                </w:p>
              </w:tc>
              <w:tc>
                <w:tcPr>
                  <w:tcW w:w="340" w:type="dxa"/>
                  <w:vAlign w:val="center"/>
                </w:tcPr>
                <w:p w14:paraId="443BE701">
                  <w:pPr>
                    <w:pStyle w:val="24"/>
                  </w:pPr>
                  <w:r>
                    <w:t xml:space="preserve">0.026 </w:t>
                  </w:r>
                </w:p>
              </w:tc>
            </w:tr>
            <w:tr w14:paraId="5D60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049FE1B4">
                  <w:pPr>
                    <w:pStyle w:val="24"/>
                  </w:pPr>
                </w:p>
              </w:tc>
              <w:tc>
                <w:tcPr>
                  <w:tcW w:w="340" w:type="dxa"/>
                  <w:vAlign w:val="center"/>
                </w:tcPr>
                <w:p w14:paraId="04A256D7">
                  <w:pPr>
                    <w:pStyle w:val="24"/>
                  </w:pPr>
                  <w:r>
                    <w:t>SS</w:t>
                  </w:r>
                </w:p>
              </w:tc>
              <w:tc>
                <w:tcPr>
                  <w:tcW w:w="340" w:type="dxa"/>
                  <w:vAlign w:val="center"/>
                </w:tcPr>
                <w:p w14:paraId="62EA1C2B">
                  <w:pPr>
                    <w:pStyle w:val="24"/>
                  </w:pPr>
                  <w:r>
                    <w:t>20</w:t>
                  </w:r>
                  <w:r>
                    <w:rPr>
                      <w:rFonts w:hint="eastAsia"/>
                    </w:rPr>
                    <w:t>0</w:t>
                  </w:r>
                </w:p>
              </w:tc>
              <w:tc>
                <w:tcPr>
                  <w:tcW w:w="340" w:type="dxa"/>
                  <w:vAlign w:val="center"/>
                </w:tcPr>
                <w:p w14:paraId="4A4781F3">
                  <w:pPr>
                    <w:pStyle w:val="24"/>
                  </w:pPr>
                  <w:r>
                    <w:rPr>
                      <w:rFonts w:hint="eastAsia"/>
                    </w:rPr>
                    <w:t>0.263</w:t>
                  </w:r>
                </w:p>
              </w:tc>
              <w:tc>
                <w:tcPr>
                  <w:tcW w:w="340" w:type="dxa"/>
                  <w:vMerge w:val="continue"/>
                  <w:vAlign w:val="center"/>
                </w:tcPr>
                <w:p w14:paraId="3451296F">
                  <w:pPr>
                    <w:pStyle w:val="24"/>
                  </w:pPr>
                </w:p>
              </w:tc>
              <w:tc>
                <w:tcPr>
                  <w:tcW w:w="340" w:type="dxa"/>
                  <w:vAlign w:val="center"/>
                </w:tcPr>
                <w:p w14:paraId="28AF5F38">
                  <w:pPr>
                    <w:pStyle w:val="24"/>
                  </w:pPr>
                  <w:r>
                    <w:rPr>
                      <w:rFonts w:hint="eastAsia"/>
                    </w:rPr>
                    <w:t>50%</w:t>
                  </w:r>
                </w:p>
              </w:tc>
              <w:tc>
                <w:tcPr>
                  <w:tcW w:w="340" w:type="dxa"/>
                  <w:vAlign w:val="center"/>
                </w:tcPr>
                <w:p w14:paraId="6AE49D4A">
                  <w:pPr>
                    <w:pStyle w:val="24"/>
                  </w:pPr>
                  <w:r>
                    <w:t>100</w:t>
                  </w:r>
                </w:p>
              </w:tc>
              <w:tc>
                <w:tcPr>
                  <w:tcW w:w="340" w:type="dxa"/>
                  <w:vAlign w:val="center"/>
                </w:tcPr>
                <w:p w14:paraId="5F7317B1">
                  <w:pPr>
                    <w:pStyle w:val="24"/>
                  </w:pPr>
                  <w:r>
                    <w:rPr>
                      <w:rFonts w:hint="eastAsia"/>
                    </w:rPr>
                    <w:t>0.131</w:t>
                  </w:r>
                </w:p>
              </w:tc>
            </w:tr>
            <w:tr w14:paraId="3E0E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restart"/>
                  <w:vAlign w:val="center"/>
                </w:tcPr>
                <w:p w14:paraId="65878843">
                  <w:pPr>
                    <w:pStyle w:val="24"/>
                  </w:pPr>
                  <w:r>
                    <w:rPr>
                      <w:rFonts w:hint="eastAsia"/>
                    </w:rPr>
                    <w:t>餐饮废水</w:t>
                  </w:r>
                </w:p>
                <w:p w14:paraId="1B835F37">
                  <w:pPr>
                    <w:pStyle w:val="24"/>
                  </w:pPr>
                  <w:r>
                    <w:rPr>
                      <w:rFonts w:hint="eastAsia"/>
                    </w:rPr>
                    <w:t>（2044m</w:t>
                  </w:r>
                  <w:r>
                    <w:rPr>
                      <w:rFonts w:hint="eastAsia"/>
                      <w:vertAlign w:val="superscript"/>
                    </w:rPr>
                    <w:t>3</w:t>
                  </w:r>
                  <w:r>
                    <w:rPr>
                      <w:rFonts w:hint="eastAsia"/>
                    </w:rPr>
                    <w:t>/a）</w:t>
                  </w:r>
                </w:p>
              </w:tc>
              <w:tc>
                <w:tcPr>
                  <w:tcW w:w="340" w:type="dxa"/>
                  <w:vAlign w:val="center"/>
                </w:tcPr>
                <w:p w14:paraId="19E87189">
                  <w:pPr>
                    <w:pStyle w:val="24"/>
                  </w:pPr>
                  <w:r>
                    <w:t>COD</w:t>
                  </w:r>
                  <w:r>
                    <w:rPr>
                      <w:rFonts w:hint="eastAsia"/>
                    </w:rPr>
                    <w:t>cr</w:t>
                  </w:r>
                </w:p>
              </w:tc>
              <w:tc>
                <w:tcPr>
                  <w:tcW w:w="340" w:type="dxa"/>
                  <w:vAlign w:val="center"/>
                </w:tcPr>
                <w:p w14:paraId="05586339">
                  <w:pPr>
                    <w:pStyle w:val="24"/>
                  </w:pPr>
                  <w:r>
                    <w:rPr>
                      <w:rFonts w:hint="eastAsia"/>
                    </w:rPr>
                    <w:t>300</w:t>
                  </w:r>
                </w:p>
              </w:tc>
              <w:tc>
                <w:tcPr>
                  <w:tcW w:w="340" w:type="dxa"/>
                  <w:vAlign w:val="center"/>
                </w:tcPr>
                <w:p w14:paraId="2AE33C01">
                  <w:pPr>
                    <w:pStyle w:val="24"/>
                  </w:pPr>
                  <w:r>
                    <w:t xml:space="preserve">0.613 </w:t>
                  </w:r>
                </w:p>
              </w:tc>
              <w:tc>
                <w:tcPr>
                  <w:tcW w:w="340" w:type="dxa"/>
                  <w:vMerge w:val="continue"/>
                  <w:vAlign w:val="center"/>
                </w:tcPr>
                <w:p w14:paraId="6A81B1FA">
                  <w:pPr>
                    <w:pStyle w:val="24"/>
                  </w:pPr>
                </w:p>
              </w:tc>
              <w:tc>
                <w:tcPr>
                  <w:tcW w:w="340" w:type="dxa"/>
                  <w:vAlign w:val="center"/>
                </w:tcPr>
                <w:p w14:paraId="0C95A5D4">
                  <w:pPr>
                    <w:pStyle w:val="24"/>
                  </w:pPr>
                  <w:r>
                    <w:rPr>
                      <w:rFonts w:hint="eastAsia"/>
                    </w:rPr>
                    <w:t>0</w:t>
                  </w:r>
                </w:p>
              </w:tc>
              <w:tc>
                <w:tcPr>
                  <w:tcW w:w="340" w:type="dxa"/>
                  <w:vAlign w:val="center"/>
                </w:tcPr>
                <w:p w14:paraId="64077FF8">
                  <w:pPr>
                    <w:pStyle w:val="24"/>
                  </w:pPr>
                  <w:r>
                    <w:t>300</w:t>
                  </w:r>
                </w:p>
              </w:tc>
              <w:tc>
                <w:tcPr>
                  <w:tcW w:w="340" w:type="dxa"/>
                  <w:vAlign w:val="center"/>
                </w:tcPr>
                <w:p w14:paraId="0EC531A7">
                  <w:pPr>
                    <w:pStyle w:val="24"/>
                  </w:pPr>
                  <w:r>
                    <w:t xml:space="preserve">0.613 </w:t>
                  </w:r>
                </w:p>
              </w:tc>
            </w:tr>
            <w:tr w14:paraId="72AC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4D04B7E4">
                  <w:pPr>
                    <w:pStyle w:val="24"/>
                  </w:pPr>
                </w:p>
              </w:tc>
              <w:tc>
                <w:tcPr>
                  <w:tcW w:w="340" w:type="dxa"/>
                  <w:vAlign w:val="center"/>
                </w:tcPr>
                <w:p w14:paraId="490F8343">
                  <w:pPr>
                    <w:pStyle w:val="24"/>
                  </w:pPr>
                  <w:r>
                    <w:t>BOD</w:t>
                  </w:r>
                  <w:r>
                    <w:rPr>
                      <w:vertAlign w:val="subscript"/>
                    </w:rPr>
                    <w:t>5</w:t>
                  </w:r>
                </w:p>
              </w:tc>
              <w:tc>
                <w:tcPr>
                  <w:tcW w:w="340" w:type="dxa"/>
                  <w:vAlign w:val="center"/>
                </w:tcPr>
                <w:p w14:paraId="732B8E95">
                  <w:pPr>
                    <w:pStyle w:val="24"/>
                  </w:pPr>
                  <w:r>
                    <w:rPr>
                      <w:rFonts w:hint="eastAsia"/>
                    </w:rPr>
                    <w:t>100</w:t>
                  </w:r>
                </w:p>
              </w:tc>
              <w:tc>
                <w:tcPr>
                  <w:tcW w:w="340" w:type="dxa"/>
                  <w:vAlign w:val="center"/>
                </w:tcPr>
                <w:p w14:paraId="6909E3E3">
                  <w:pPr>
                    <w:pStyle w:val="24"/>
                  </w:pPr>
                  <w:r>
                    <w:rPr>
                      <w:rFonts w:hint="eastAsia"/>
                    </w:rPr>
                    <w:t>0.204</w:t>
                  </w:r>
                </w:p>
              </w:tc>
              <w:tc>
                <w:tcPr>
                  <w:tcW w:w="340" w:type="dxa"/>
                  <w:vMerge w:val="continue"/>
                  <w:vAlign w:val="center"/>
                </w:tcPr>
                <w:p w14:paraId="3B785BC0">
                  <w:pPr>
                    <w:pStyle w:val="24"/>
                  </w:pPr>
                </w:p>
              </w:tc>
              <w:tc>
                <w:tcPr>
                  <w:tcW w:w="340" w:type="dxa"/>
                  <w:vAlign w:val="center"/>
                </w:tcPr>
                <w:p w14:paraId="136497E4">
                  <w:pPr>
                    <w:pStyle w:val="24"/>
                  </w:pPr>
                  <w:r>
                    <w:rPr>
                      <w:rFonts w:hint="eastAsia"/>
                    </w:rPr>
                    <w:t>0</w:t>
                  </w:r>
                </w:p>
              </w:tc>
              <w:tc>
                <w:tcPr>
                  <w:tcW w:w="340" w:type="dxa"/>
                  <w:vAlign w:val="center"/>
                </w:tcPr>
                <w:p w14:paraId="1523AFB7">
                  <w:pPr>
                    <w:pStyle w:val="24"/>
                  </w:pPr>
                  <w:r>
                    <w:rPr>
                      <w:rFonts w:hint="eastAsia"/>
                    </w:rPr>
                    <w:t>100</w:t>
                  </w:r>
                </w:p>
              </w:tc>
              <w:tc>
                <w:tcPr>
                  <w:tcW w:w="340" w:type="dxa"/>
                  <w:vAlign w:val="center"/>
                </w:tcPr>
                <w:p w14:paraId="1518C790">
                  <w:pPr>
                    <w:pStyle w:val="24"/>
                  </w:pPr>
                  <w:r>
                    <w:rPr>
                      <w:rFonts w:hint="eastAsia"/>
                    </w:rPr>
                    <w:t>0.204</w:t>
                  </w:r>
                  <w:r>
                    <w:t xml:space="preserve"> </w:t>
                  </w:r>
                </w:p>
              </w:tc>
            </w:tr>
            <w:tr w14:paraId="7643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65C6B02B">
                  <w:pPr>
                    <w:pStyle w:val="24"/>
                  </w:pPr>
                </w:p>
              </w:tc>
              <w:tc>
                <w:tcPr>
                  <w:tcW w:w="340" w:type="dxa"/>
                  <w:vAlign w:val="center"/>
                </w:tcPr>
                <w:p w14:paraId="12614A26">
                  <w:pPr>
                    <w:pStyle w:val="24"/>
                  </w:pPr>
                  <w:r>
                    <w:t>NH</w:t>
                  </w:r>
                  <w:r>
                    <w:rPr>
                      <w:vertAlign w:val="subscript"/>
                    </w:rPr>
                    <w:t>3</w:t>
                  </w:r>
                  <w:r>
                    <w:t>-N</w:t>
                  </w:r>
                </w:p>
              </w:tc>
              <w:tc>
                <w:tcPr>
                  <w:tcW w:w="340" w:type="dxa"/>
                  <w:vAlign w:val="center"/>
                </w:tcPr>
                <w:p w14:paraId="39665631">
                  <w:pPr>
                    <w:pStyle w:val="24"/>
                  </w:pPr>
                  <w:r>
                    <w:t>20</w:t>
                  </w:r>
                </w:p>
              </w:tc>
              <w:tc>
                <w:tcPr>
                  <w:tcW w:w="340" w:type="dxa"/>
                  <w:vAlign w:val="center"/>
                </w:tcPr>
                <w:p w14:paraId="26056D18">
                  <w:pPr>
                    <w:pStyle w:val="24"/>
                  </w:pPr>
                  <w:r>
                    <w:t xml:space="preserve">0.041 </w:t>
                  </w:r>
                </w:p>
              </w:tc>
              <w:tc>
                <w:tcPr>
                  <w:tcW w:w="340" w:type="dxa"/>
                  <w:vMerge w:val="continue"/>
                  <w:vAlign w:val="center"/>
                </w:tcPr>
                <w:p w14:paraId="3936FCA6">
                  <w:pPr>
                    <w:pStyle w:val="24"/>
                  </w:pPr>
                </w:p>
              </w:tc>
              <w:tc>
                <w:tcPr>
                  <w:tcW w:w="340" w:type="dxa"/>
                  <w:vAlign w:val="center"/>
                </w:tcPr>
                <w:p w14:paraId="0D87385C">
                  <w:pPr>
                    <w:pStyle w:val="24"/>
                  </w:pPr>
                  <w:r>
                    <w:rPr>
                      <w:rFonts w:hint="eastAsia"/>
                    </w:rPr>
                    <w:t>0</w:t>
                  </w:r>
                </w:p>
              </w:tc>
              <w:tc>
                <w:tcPr>
                  <w:tcW w:w="340" w:type="dxa"/>
                  <w:vAlign w:val="center"/>
                </w:tcPr>
                <w:p w14:paraId="1789E2E9">
                  <w:pPr>
                    <w:pStyle w:val="24"/>
                  </w:pPr>
                  <w:r>
                    <w:t>20</w:t>
                  </w:r>
                </w:p>
              </w:tc>
              <w:tc>
                <w:tcPr>
                  <w:tcW w:w="340" w:type="dxa"/>
                  <w:vAlign w:val="center"/>
                </w:tcPr>
                <w:p w14:paraId="1FD2D50B">
                  <w:pPr>
                    <w:pStyle w:val="24"/>
                  </w:pPr>
                  <w:r>
                    <w:t xml:space="preserve">0.041 </w:t>
                  </w:r>
                </w:p>
              </w:tc>
            </w:tr>
            <w:tr w14:paraId="3F00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2482AA03">
                  <w:pPr>
                    <w:pStyle w:val="24"/>
                  </w:pPr>
                </w:p>
              </w:tc>
              <w:tc>
                <w:tcPr>
                  <w:tcW w:w="340" w:type="dxa"/>
                  <w:vAlign w:val="center"/>
                </w:tcPr>
                <w:p w14:paraId="43C0FA8C">
                  <w:pPr>
                    <w:pStyle w:val="24"/>
                  </w:pPr>
                  <w:r>
                    <w:t>SS</w:t>
                  </w:r>
                </w:p>
              </w:tc>
              <w:tc>
                <w:tcPr>
                  <w:tcW w:w="340" w:type="dxa"/>
                  <w:vAlign w:val="center"/>
                </w:tcPr>
                <w:p w14:paraId="5D58B54F">
                  <w:pPr>
                    <w:pStyle w:val="24"/>
                  </w:pPr>
                  <w:r>
                    <w:t>20</w:t>
                  </w:r>
                  <w:r>
                    <w:rPr>
                      <w:rFonts w:hint="eastAsia"/>
                    </w:rPr>
                    <w:t>0</w:t>
                  </w:r>
                </w:p>
              </w:tc>
              <w:tc>
                <w:tcPr>
                  <w:tcW w:w="340" w:type="dxa"/>
                  <w:vAlign w:val="center"/>
                </w:tcPr>
                <w:p w14:paraId="2F30797B">
                  <w:pPr>
                    <w:pStyle w:val="24"/>
                  </w:pPr>
                  <w:r>
                    <w:t xml:space="preserve">0.409 </w:t>
                  </w:r>
                </w:p>
              </w:tc>
              <w:tc>
                <w:tcPr>
                  <w:tcW w:w="340" w:type="dxa"/>
                  <w:vMerge w:val="continue"/>
                  <w:vAlign w:val="center"/>
                </w:tcPr>
                <w:p w14:paraId="71B13F18">
                  <w:pPr>
                    <w:pStyle w:val="24"/>
                  </w:pPr>
                </w:p>
              </w:tc>
              <w:tc>
                <w:tcPr>
                  <w:tcW w:w="340" w:type="dxa"/>
                  <w:vAlign w:val="center"/>
                </w:tcPr>
                <w:p w14:paraId="37CE6CA3">
                  <w:pPr>
                    <w:pStyle w:val="24"/>
                  </w:pPr>
                  <w:r>
                    <w:rPr>
                      <w:rFonts w:hint="eastAsia"/>
                    </w:rPr>
                    <w:t>50%</w:t>
                  </w:r>
                </w:p>
              </w:tc>
              <w:tc>
                <w:tcPr>
                  <w:tcW w:w="340" w:type="dxa"/>
                  <w:vAlign w:val="center"/>
                </w:tcPr>
                <w:p w14:paraId="052A78DE">
                  <w:pPr>
                    <w:pStyle w:val="24"/>
                  </w:pPr>
                  <w:r>
                    <w:t>100</w:t>
                  </w:r>
                </w:p>
              </w:tc>
              <w:tc>
                <w:tcPr>
                  <w:tcW w:w="340" w:type="dxa"/>
                  <w:vAlign w:val="center"/>
                </w:tcPr>
                <w:p w14:paraId="496B9359">
                  <w:pPr>
                    <w:pStyle w:val="24"/>
                  </w:pPr>
                  <w:r>
                    <w:t xml:space="preserve">0.204 </w:t>
                  </w:r>
                </w:p>
              </w:tc>
            </w:tr>
            <w:tr w14:paraId="1C2F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12641F4D">
                  <w:pPr>
                    <w:pStyle w:val="24"/>
                  </w:pPr>
                </w:p>
              </w:tc>
              <w:tc>
                <w:tcPr>
                  <w:tcW w:w="340" w:type="dxa"/>
                  <w:vAlign w:val="center"/>
                </w:tcPr>
                <w:p w14:paraId="261184F2">
                  <w:pPr>
                    <w:pStyle w:val="24"/>
                  </w:pPr>
                  <w:r>
                    <w:rPr>
                      <w:rFonts w:hint="eastAsia"/>
                    </w:rPr>
                    <w:t>动植物油</w:t>
                  </w:r>
                </w:p>
              </w:tc>
              <w:tc>
                <w:tcPr>
                  <w:tcW w:w="340" w:type="dxa"/>
                  <w:vAlign w:val="center"/>
                </w:tcPr>
                <w:p w14:paraId="092605B1">
                  <w:pPr>
                    <w:pStyle w:val="24"/>
                  </w:pPr>
                  <w:r>
                    <w:rPr>
                      <w:rFonts w:hint="eastAsia"/>
                    </w:rPr>
                    <w:t>120</w:t>
                  </w:r>
                </w:p>
              </w:tc>
              <w:tc>
                <w:tcPr>
                  <w:tcW w:w="340" w:type="dxa"/>
                  <w:vAlign w:val="center"/>
                </w:tcPr>
                <w:p w14:paraId="12B51F9C">
                  <w:pPr>
                    <w:pStyle w:val="24"/>
                  </w:pPr>
                  <w:r>
                    <w:t xml:space="preserve">0.245 </w:t>
                  </w:r>
                </w:p>
              </w:tc>
              <w:tc>
                <w:tcPr>
                  <w:tcW w:w="340" w:type="dxa"/>
                  <w:vMerge w:val="continue"/>
                  <w:vAlign w:val="center"/>
                </w:tcPr>
                <w:p w14:paraId="498A6203">
                  <w:pPr>
                    <w:pStyle w:val="24"/>
                  </w:pPr>
                </w:p>
              </w:tc>
              <w:tc>
                <w:tcPr>
                  <w:tcW w:w="340" w:type="dxa"/>
                  <w:vAlign w:val="center"/>
                </w:tcPr>
                <w:p w14:paraId="5CDEEBB9">
                  <w:pPr>
                    <w:pStyle w:val="24"/>
                  </w:pPr>
                  <w:r>
                    <w:rPr>
                      <w:rFonts w:hint="eastAsia"/>
                    </w:rPr>
                    <w:t>80%</w:t>
                  </w:r>
                </w:p>
              </w:tc>
              <w:tc>
                <w:tcPr>
                  <w:tcW w:w="340" w:type="dxa"/>
                  <w:vAlign w:val="center"/>
                </w:tcPr>
                <w:p w14:paraId="6F0601DA">
                  <w:pPr>
                    <w:pStyle w:val="24"/>
                  </w:pPr>
                  <w:r>
                    <w:t>24</w:t>
                  </w:r>
                </w:p>
              </w:tc>
              <w:tc>
                <w:tcPr>
                  <w:tcW w:w="340" w:type="dxa"/>
                  <w:vAlign w:val="center"/>
                </w:tcPr>
                <w:p w14:paraId="54820CBE">
                  <w:pPr>
                    <w:pStyle w:val="24"/>
                  </w:pPr>
                  <w:r>
                    <w:t xml:space="preserve">0.049 </w:t>
                  </w:r>
                </w:p>
              </w:tc>
            </w:tr>
            <w:tr w14:paraId="237A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restart"/>
                  <w:vAlign w:val="center"/>
                </w:tcPr>
                <w:p w14:paraId="6E31507D">
                  <w:pPr>
                    <w:pStyle w:val="24"/>
                  </w:pPr>
                  <w:r>
                    <w:rPr>
                      <w:rFonts w:hint="eastAsia"/>
                    </w:rPr>
                    <w:t>加油站地面冲洗废水（74m</w:t>
                  </w:r>
                  <w:r>
                    <w:rPr>
                      <w:rFonts w:hint="eastAsia"/>
                      <w:vertAlign w:val="superscript"/>
                    </w:rPr>
                    <w:t>3</w:t>
                  </w:r>
                  <w:r>
                    <w:rPr>
                      <w:rFonts w:hint="eastAsia"/>
                    </w:rPr>
                    <w:t>/a）</w:t>
                  </w:r>
                </w:p>
              </w:tc>
              <w:tc>
                <w:tcPr>
                  <w:tcW w:w="340" w:type="dxa"/>
                  <w:vAlign w:val="center"/>
                </w:tcPr>
                <w:p w14:paraId="74E9AB3E">
                  <w:pPr>
                    <w:pStyle w:val="24"/>
                  </w:pPr>
                  <w:r>
                    <w:t>COD</w:t>
                  </w:r>
                  <w:r>
                    <w:rPr>
                      <w:rFonts w:hint="eastAsia"/>
                    </w:rPr>
                    <w:t>cr</w:t>
                  </w:r>
                </w:p>
              </w:tc>
              <w:tc>
                <w:tcPr>
                  <w:tcW w:w="340" w:type="dxa"/>
                  <w:vAlign w:val="center"/>
                </w:tcPr>
                <w:p w14:paraId="435B4FA7">
                  <w:pPr>
                    <w:pStyle w:val="24"/>
                  </w:pPr>
                  <w:r>
                    <w:rPr>
                      <w:rFonts w:hint="eastAsia"/>
                    </w:rPr>
                    <w:t>200</w:t>
                  </w:r>
                </w:p>
              </w:tc>
              <w:tc>
                <w:tcPr>
                  <w:tcW w:w="340" w:type="dxa"/>
                  <w:vAlign w:val="center"/>
                </w:tcPr>
                <w:p w14:paraId="210B8353">
                  <w:pPr>
                    <w:pStyle w:val="24"/>
                  </w:pPr>
                  <w:r>
                    <w:rPr>
                      <w:rFonts w:hint="eastAsia"/>
                    </w:rPr>
                    <w:t>0.015</w:t>
                  </w:r>
                </w:p>
              </w:tc>
              <w:tc>
                <w:tcPr>
                  <w:tcW w:w="340" w:type="dxa"/>
                  <w:vMerge w:val="restart"/>
                  <w:vAlign w:val="center"/>
                </w:tcPr>
                <w:p w14:paraId="51B9CFD5">
                  <w:pPr>
                    <w:pStyle w:val="24"/>
                  </w:pPr>
                  <w:r>
                    <w:rPr>
                      <w:rFonts w:hint="eastAsia"/>
                    </w:rPr>
                    <w:t>三级油水分离池</w:t>
                  </w:r>
                </w:p>
              </w:tc>
              <w:tc>
                <w:tcPr>
                  <w:tcW w:w="340" w:type="dxa"/>
                  <w:vAlign w:val="center"/>
                </w:tcPr>
                <w:p w14:paraId="6066FF8F">
                  <w:pPr>
                    <w:pStyle w:val="24"/>
                  </w:pPr>
                  <w:r>
                    <w:rPr>
                      <w:rFonts w:hint="eastAsia"/>
                    </w:rPr>
                    <w:t>0</w:t>
                  </w:r>
                </w:p>
              </w:tc>
              <w:tc>
                <w:tcPr>
                  <w:tcW w:w="340" w:type="dxa"/>
                  <w:vAlign w:val="center"/>
                </w:tcPr>
                <w:p w14:paraId="6A670157">
                  <w:pPr>
                    <w:pStyle w:val="24"/>
                  </w:pPr>
                  <w:r>
                    <w:t>200</w:t>
                  </w:r>
                </w:p>
              </w:tc>
              <w:tc>
                <w:tcPr>
                  <w:tcW w:w="340" w:type="dxa"/>
                  <w:vAlign w:val="center"/>
                </w:tcPr>
                <w:p w14:paraId="0CAB5222">
                  <w:pPr>
                    <w:pStyle w:val="24"/>
                  </w:pPr>
                  <w:r>
                    <w:rPr>
                      <w:rFonts w:hint="eastAsia"/>
                    </w:rPr>
                    <w:t>0.015</w:t>
                  </w:r>
                </w:p>
              </w:tc>
            </w:tr>
            <w:tr w14:paraId="0F54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2ED5EE94">
                  <w:pPr>
                    <w:pStyle w:val="24"/>
                  </w:pPr>
                </w:p>
              </w:tc>
              <w:tc>
                <w:tcPr>
                  <w:tcW w:w="340" w:type="dxa"/>
                  <w:vAlign w:val="center"/>
                </w:tcPr>
                <w:p w14:paraId="602E7DAE">
                  <w:pPr>
                    <w:pStyle w:val="24"/>
                  </w:pPr>
                  <w:r>
                    <w:t>SS</w:t>
                  </w:r>
                </w:p>
              </w:tc>
              <w:tc>
                <w:tcPr>
                  <w:tcW w:w="340" w:type="dxa"/>
                  <w:vAlign w:val="center"/>
                </w:tcPr>
                <w:p w14:paraId="729854D9">
                  <w:pPr>
                    <w:pStyle w:val="24"/>
                  </w:pPr>
                  <w:r>
                    <w:rPr>
                      <w:rFonts w:hint="eastAsia"/>
                    </w:rPr>
                    <w:t>300</w:t>
                  </w:r>
                </w:p>
              </w:tc>
              <w:tc>
                <w:tcPr>
                  <w:tcW w:w="340" w:type="dxa"/>
                  <w:vAlign w:val="center"/>
                </w:tcPr>
                <w:p w14:paraId="58FC0476">
                  <w:pPr>
                    <w:pStyle w:val="24"/>
                  </w:pPr>
                  <w:r>
                    <w:rPr>
                      <w:rFonts w:hint="eastAsia"/>
                    </w:rPr>
                    <w:t>0.022</w:t>
                  </w:r>
                </w:p>
              </w:tc>
              <w:tc>
                <w:tcPr>
                  <w:tcW w:w="340" w:type="dxa"/>
                  <w:vMerge w:val="continue"/>
                  <w:vAlign w:val="center"/>
                </w:tcPr>
                <w:p w14:paraId="574417FB">
                  <w:pPr>
                    <w:pStyle w:val="24"/>
                  </w:pPr>
                </w:p>
              </w:tc>
              <w:tc>
                <w:tcPr>
                  <w:tcW w:w="340" w:type="dxa"/>
                  <w:vAlign w:val="center"/>
                </w:tcPr>
                <w:p w14:paraId="6A58CE59">
                  <w:pPr>
                    <w:pStyle w:val="24"/>
                  </w:pPr>
                  <w:r>
                    <w:rPr>
                      <w:rFonts w:hint="eastAsia"/>
                    </w:rPr>
                    <w:t>80%</w:t>
                  </w:r>
                </w:p>
              </w:tc>
              <w:tc>
                <w:tcPr>
                  <w:tcW w:w="340" w:type="dxa"/>
                  <w:vAlign w:val="center"/>
                </w:tcPr>
                <w:p w14:paraId="6BF12830">
                  <w:pPr>
                    <w:pStyle w:val="24"/>
                  </w:pPr>
                  <w:r>
                    <w:t>60</w:t>
                  </w:r>
                </w:p>
              </w:tc>
              <w:tc>
                <w:tcPr>
                  <w:tcW w:w="340" w:type="dxa"/>
                  <w:vAlign w:val="center"/>
                </w:tcPr>
                <w:p w14:paraId="1D9F9CF2">
                  <w:pPr>
                    <w:pStyle w:val="24"/>
                  </w:pPr>
                  <w:r>
                    <w:rPr>
                      <w:rFonts w:hint="eastAsia"/>
                    </w:rPr>
                    <w:t>0.004</w:t>
                  </w:r>
                </w:p>
              </w:tc>
            </w:tr>
            <w:tr w14:paraId="6FEA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3E4EF684">
                  <w:pPr>
                    <w:pStyle w:val="24"/>
                  </w:pPr>
                </w:p>
              </w:tc>
              <w:tc>
                <w:tcPr>
                  <w:tcW w:w="340" w:type="dxa"/>
                  <w:vAlign w:val="center"/>
                </w:tcPr>
                <w:p w14:paraId="7653FE24">
                  <w:pPr>
                    <w:pStyle w:val="24"/>
                  </w:pPr>
                  <w:r>
                    <w:rPr>
                      <w:rFonts w:hint="eastAsia"/>
                    </w:rPr>
                    <w:t>石油类</w:t>
                  </w:r>
                </w:p>
              </w:tc>
              <w:tc>
                <w:tcPr>
                  <w:tcW w:w="340" w:type="dxa"/>
                  <w:vAlign w:val="center"/>
                </w:tcPr>
                <w:p w14:paraId="0F49A344">
                  <w:pPr>
                    <w:pStyle w:val="24"/>
                  </w:pPr>
                  <w:r>
                    <w:t>20</w:t>
                  </w:r>
                </w:p>
              </w:tc>
              <w:tc>
                <w:tcPr>
                  <w:tcW w:w="340" w:type="dxa"/>
                  <w:vAlign w:val="center"/>
                </w:tcPr>
                <w:p w14:paraId="170928AB">
                  <w:pPr>
                    <w:pStyle w:val="24"/>
                  </w:pPr>
                  <w:r>
                    <w:rPr>
                      <w:rFonts w:hint="eastAsia"/>
                    </w:rPr>
                    <w:t>0.001</w:t>
                  </w:r>
                </w:p>
              </w:tc>
              <w:tc>
                <w:tcPr>
                  <w:tcW w:w="340" w:type="dxa"/>
                  <w:vMerge w:val="continue"/>
                  <w:vAlign w:val="center"/>
                </w:tcPr>
                <w:p w14:paraId="5569EE1A">
                  <w:pPr>
                    <w:pStyle w:val="24"/>
                  </w:pPr>
                </w:p>
              </w:tc>
              <w:tc>
                <w:tcPr>
                  <w:tcW w:w="340" w:type="dxa"/>
                  <w:vAlign w:val="center"/>
                </w:tcPr>
                <w:p w14:paraId="5BE04E4F">
                  <w:pPr>
                    <w:pStyle w:val="24"/>
                  </w:pPr>
                  <w:r>
                    <w:rPr>
                      <w:rFonts w:hint="eastAsia"/>
                    </w:rPr>
                    <w:t>75%</w:t>
                  </w:r>
                </w:p>
              </w:tc>
              <w:tc>
                <w:tcPr>
                  <w:tcW w:w="340" w:type="dxa"/>
                  <w:vAlign w:val="center"/>
                </w:tcPr>
                <w:p w14:paraId="472917FF">
                  <w:pPr>
                    <w:pStyle w:val="24"/>
                  </w:pPr>
                  <w:r>
                    <w:t>5</w:t>
                  </w:r>
                </w:p>
              </w:tc>
              <w:tc>
                <w:tcPr>
                  <w:tcW w:w="340" w:type="dxa"/>
                  <w:vAlign w:val="center"/>
                </w:tcPr>
                <w:p w14:paraId="0E8A6FAD">
                  <w:pPr>
                    <w:pStyle w:val="24"/>
                  </w:pPr>
                  <w:r>
                    <w:rPr>
                      <w:rFonts w:hint="eastAsia"/>
                    </w:rPr>
                    <w:t>0.0004</w:t>
                  </w:r>
                </w:p>
              </w:tc>
            </w:tr>
            <w:tr w14:paraId="7867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restart"/>
                  <w:vAlign w:val="center"/>
                </w:tcPr>
                <w:p w14:paraId="23492B8B">
                  <w:pPr>
                    <w:pStyle w:val="24"/>
                  </w:pPr>
                  <w:r>
                    <w:rPr>
                      <w:rFonts w:hint="eastAsia"/>
                    </w:rPr>
                    <w:t>加油站初期雨水</w:t>
                  </w:r>
                </w:p>
                <w:p w14:paraId="4918306A">
                  <w:pPr>
                    <w:pStyle w:val="24"/>
                  </w:pPr>
                  <w:r>
                    <w:rPr>
                      <w:rFonts w:hint="eastAsia"/>
                    </w:rPr>
                    <w:t>（418</w:t>
                  </w:r>
                  <w:r>
                    <w:t>m</w:t>
                  </w:r>
                  <w:r>
                    <w:rPr>
                      <w:vertAlign w:val="superscript"/>
                    </w:rPr>
                    <w:t>3</w:t>
                  </w:r>
                  <w:r>
                    <w:rPr>
                      <w:rFonts w:hint="eastAsia"/>
                    </w:rPr>
                    <w:t>/a）</w:t>
                  </w:r>
                </w:p>
              </w:tc>
              <w:tc>
                <w:tcPr>
                  <w:tcW w:w="340" w:type="dxa"/>
                  <w:vAlign w:val="center"/>
                </w:tcPr>
                <w:p w14:paraId="40061FD6">
                  <w:pPr>
                    <w:pStyle w:val="24"/>
                  </w:pPr>
                  <w:r>
                    <w:t>COD</w:t>
                  </w:r>
                  <w:r>
                    <w:rPr>
                      <w:rFonts w:hint="eastAsia"/>
                    </w:rPr>
                    <w:t>cr</w:t>
                  </w:r>
                </w:p>
              </w:tc>
              <w:tc>
                <w:tcPr>
                  <w:tcW w:w="340" w:type="dxa"/>
                  <w:vAlign w:val="center"/>
                </w:tcPr>
                <w:p w14:paraId="4600199A">
                  <w:pPr>
                    <w:pStyle w:val="24"/>
                  </w:pPr>
                  <w:r>
                    <w:rPr>
                      <w:rFonts w:hint="eastAsia"/>
                    </w:rPr>
                    <w:t>100</w:t>
                  </w:r>
                </w:p>
              </w:tc>
              <w:tc>
                <w:tcPr>
                  <w:tcW w:w="340" w:type="dxa"/>
                  <w:vAlign w:val="center"/>
                </w:tcPr>
                <w:p w14:paraId="0CE30004">
                  <w:pPr>
                    <w:pStyle w:val="24"/>
                  </w:pPr>
                  <w:r>
                    <w:t xml:space="preserve">0.042 </w:t>
                  </w:r>
                </w:p>
              </w:tc>
              <w:tc>
                <w:tcPr>
                  <w:tcW w:w="340" w:type="dxa"/>
                  <w:vMerge w:val="continue"/>
                  <w:vAlign w:val="center"/>
                </w:tcPr>
                <w:p w14:paraId="7B844F79">
                  <w:pPr>
                    <w:pStyle w:val="24"/>
                  </w:pPr>
                </w:p>
              </w:tc>
              <w:tc>
                <w:tcPr>
                  <w:tcW w:w="340" w:type="dxa"/>
                  <w:vAlign w:val="center"/>
                </w:tcPr>
                <w:p w14:paraId="1DE9D3BD">
                  <w:pPr>
                    <w:pStyle w:val="24"/>
                  </w:pPr>
                  <w:r>
                    <w:rPr>
                      <w:rFonts w:hint="eastAsia"/>
                    </w:rPr>
                    <w:t>0</w:t>
                  </w:r>
                </w:p>
              </w:tc>
              <w:tc>
                <w:tcPr>
                  <w:tcW w:w="340" w:type="dxa"/>
                  <w:vAlign w:val="center"/>
                </w:tcPr>
                <w:p w14:paraId="2E6CBA06">
                  <w:pPr>
                    <w:pStyle w:val="24"/>
                  </w:pPr>
                  <w:r>
                    <w:t>100</w:t>
                  </w:r>
                </w:p>
              </w:tc>
              <w:tc>
                <w:tcPr>
                  <w:tcW w:w="340" w:type="dxa"/>
                  <w:vAlign w:val="center"/>
                </w:tcPr>
                <w:p w14:paraId="1C295325">
                  <w:pPr>
                    <w:pStyle w:val="24"/>
                  </w:pPr>
                  <w:r>
                    <w:t xml:space="preserve">0.042 </w:t>
                  </w:r>
                </w:p>
              </w:tc>
            </w:tr>
            <w:tr w14:paraId="346A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34AED829">
                  <w:pPr>
                    <w:pStyle w:val="24"/>
                  </w:pPr>
                </w:p>
              </w:tc>
              <w:tc>
                <w:tcPr>
                  <w:tcW w:w="340" w:type="dxa"/>
                  <w:vAlign w:val="center"/>
                </w:tcPr>
                <w:p w14:paraId="32A770BE">
                  <w:pPr>
                    <w:pStyle w:val="24"/>
                  </w:pPr>
                  <w:r>
                    <w:t>SS</w:t>
                  </w:r>
                </w:p>
              </w:tc>
              <w:tc>
                <w:tcPr>
                  <w:tcW w:w="340" w:type="dxa"/>
                  <w:vAlign w:val="center"/>
                </w:tcPr>
                <w:p w14:paraId="5C9CE650">
                  <w:pPr>
                    <w:pStyle w:val="24"/>
                  </w:pPr>
                  <w:r>
                    <w:rPr>
                      <w:rFonts w:hint="eastAsia"/>
                    </w:rPr>
                    <w:t>200</w:t>
                  </w:r>
                </w:p>
              </w:tc>
              <w:tc>
                <w:tcPr>
                  <w:tcW w:w="340" w:type="dxa"/>
                  <w:vAlign w:val="center"/>
                </w:tcPr>
                <w:p w14:paraId="0A3C7B3C">
                  <w:pPr>
                    <w:pStyle w:val="24"/>
                  </w:pPr>
                  <w:r>
                    <w:t xml:space="preserve">0.084 </w:t>
                  </w:r>
                </w:p>
              </w:tc>
              <w:tc>
                <w:tcPr>
                  <w:tcW w:w="340" w:type="dxa"/>
                  <w:vMerge w:val="continue"/>
                  <w:vAlign w:val="center"/>
                </w:tcPr>
                <w:p w14:paraId="4D505D0D">
                  <w:pPr>
                    <w:pStyle w:val="24"/>
                  </w:pPr>
                </w:p>
              </w:tc>
              <w:tc>
                <w:tcPr>
                  <w:tcW w:w="340" w:type="dxa"/>
                  <w:vAlign w:val="center"/>
                </w:tcPr>
                <w:p w14:paraId="1F0E94AA">
                  <w:pPr>
                    <w:pStyle w:val="24"/>
                  </w:pPr>
                  <w:r>
                    <w:rPr>
                      <w:rFonts w:hint="eastAsia"/>
                    </w:rPr>
                    <w:t>80%</w:t>
                  </w:r>
                </w:p>
              </w:tc>
              <w:tc>
                <w:tcPr>
                  <w:tcW w:w="340" w:type="dxa"/>
                  <w:vAlign w:val="center"/>
                </w:tcPr>
                <w:p w14:paraId="0D6A088A">
                  <w:pPr>
                    <w:pStyle w:val="24"/>
                  </w:pPr>
                  <w:r>
                    <w:t>40</w:t>
                  </w:r>
                </w:p>
              </w:tc>
              <w:tc>
                <w:tcPr>
                  <w:tcW w:w="340" w:type="dxa"/>
                  <w:vAlign w:val="center"/>
                </w:tcPr>
                <w:p w14:paraId="37D65440">
                  <w:pPr>
                    <w:pStyle w:val="24"/>
                  </w:pPr>
                  <w:r>
                    <w:t xml:space="preserve">0.017 </w:t>
                  </w:r>
                </w:p>
              </w:tc>
            </w:tr>
            <w:tr w14:paraId="2284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03DF40D6">
                  <w:pPr>
                    <w:pStyle w:val="24"/>
                  </w:pPr>
                </w:p>
              </w:tc>
              <w:tc>
                <w:tcPr>
                  <w:tcW w:w="340" w:type="dxa"/>
                  <w:vAlign w:val="center"/>
                </w:tcPr>
                <w:p w14:paraId="26C70871">
                  <w:pPr>
                    <w:pStyle w:val="24"/>
                  </w:pPr>
                  <w:r>
                    <w:rPr>
                      <w:rFonts w:hint="eastAsia"/>
                    </w:rPr>
                    <w:t>石油类</w:t>
                  </w:r>
                </w:p>
              </w:tc>
              <w:tc>
                <w:tcPr>
                  <w:tcW w:w="340" w:type="dxa"/>
                  <w:vAlign w:val="center"/>
                </w:tcPr>
                <w:p w14:paraId="3C9BA175">
                  <w:pPr>
                    <w:pStyle w:val="24"/>
                  </w:pPr>
                  <w:r>
                    <w:rPr>
                      <w:rFonts w:hint="eastAsia"/>
                    </w:rPr>
                    <w:t>20</w:t>
                  </w:r>
                </w:p>
              </w:tc>
              <w:tc>
                <w:tcPr>
                  <w:tcW w:w="340" w:type="dxa"/>
                  <w:vAlign w:val="center"/>
                </w:tcPr>
                <w:p w14:paraId="398DC724">
                  <w:pPr>
                    <w:pStyle w:val="24"/>
                  </w:pPr>
                  <w:r>
                    <w:t xml:space="preserve">0.008 </w:t>
                  </w:r>
                </w:p>
              </w:tc>
              <w:tc>
                <w:tcPr>
                  <w:tcW w:w="340" w:type="dxa"/>
                  <w:vMerge w:val="continue"/>
                  <w:vAlign w:val="center"/>
                </w:tcPr>
                <w:p w14:paraId="0F1D8E6B">
                  <w:pPr>
                    <w:pStyle w:val="24"/>
                  </w:pPr>
                </w:p>
              </w:tc>
              <w:tc>
                <w:tcPr>
                  <w:tcW w:w="340" w:type="dxa"/>
                  <w:vAlign w:val="center"/>
                </w:tcPr>
                <w:p w14:paraId="7BED4648">
                  <w:pPr>
                    <w:pStyle w:val="24"/>
                  </w:pPr>
                  <w:r>
                    <w:rPr>
                      <w:rFonts w:hint="eastAsia"/>
                    </w:rPr>
                    <w:t>75%</w:t>
                  </w:r>
                </w:p>
              </w:tc>
              <w:tc>
                <w:tcPr>
                  <w:tcW w:w="340" w:type="dxa"/>
                  <w:vAlign w:val="center"/>
                </w:tcPr>
                <w:p w14:paraId="58AE26D3">
                  <w:pPr>
                    <w:pStyle w:val="24"/>
                  </w:pPr>
                  <w:r>
                    <w:t>5</w:t>
                  </w:r>
                </w:p>
              </w:tc>
              <w:tc>
                <w:tcPr>
                  <w:tcW w:w="340" w:type="dxa"/>
                  <w:vAlign w:val="center"/>
                </w:tcPr>
                <w:p w14:paraId="2C14516F">
                  <w:pPr>
                    <w:pStyle w:val="24"/>
                  </w:pPr>
                  <w:r>
                    <w:t xml:space="preserve">0.0021 </w:t>
                  </w:r>
                </w:p>
              </w:tc>
            </w:tr>
            <w:tr w14:paraId="46FD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restart"/>
                  <w:vAlign w:val="center"/>
                </w:tcPr>
                <w:p w14:paraId="5BF54FD7">
                  <w:pPr>
                    <w:pStyle w:val="24"/>
                  </w:pPr>
                  <w:r>
                    <w:rPr>
                      <w:rFonts w:hint="eastAsia"/>
                    </w:rPr>
                    <w:t>维修中心地面冲洗废水（524m</w:t>
                  </w:r>
                  <w:r>
                    <w:rPr>
                      <w:rFonts w:hint="eastAsia"/>
                      <w:vertAlign w:val="superscript"/>
                    </w:rPr>
                    <w:t>3</w:t>
                  </w:r>
                  <w:r>
                    <w:rPr>
                      <w:rFonts w:hint="eastAsia"/>
                    </w:rPr>
                    <w:t>/a）</w:t>
                  </w:r>
                </w:p>
              </w:tc>
              <w:tc>
                <w:tcPr>
                  <w:tcW w:w="340" w:type="dxa"/>
                  <w:shd w:val="clear" w:color="auto" w:fill="auto"/>
                  <w:vAlign w:val="center"/>
                </w:tcPr>
                <w:p w14:paraId="6D04C9AA">
                  <w:pPr>
                    <w:pStyle w:val="24"/>
                  </w:pPr>
                  <w:r>
                    <w:t>COD</w:t>
                  </w:r>
                  <w:r>
                    <w:rPr>
                      <w:rFonts w:hint="eastAsia"/>
                    </w:rPr>
                    <w:t>cr</w:t>
                  </w:r>
                </w:p>
              </w:tc>
              <w:tc>
                <w:tcPr>
                  <w:tcW w:w="340" w:type="dxa"/>
                  <w:vAlign w:val="center"/>
                </w:tcPr>
                <w:p w14:paraId="6BB96170">
                  <w:pPr>
                    <w:pStyle w:val="24"/>
                  </w:pPr>
                  <w:r>
                    <w:rPr>
                      <w:rFonts w:hint="eastAsia"/>
                    </w:rPr>
                    <w:t>350</w:t>
                  </w:r>
                </w:p>
              </w:tc>
              <w:tc>
                <w:tcPr>
                  <w:tcW w:w="340" w:type="dxa"/>
                  <w:shd w:val="clear" w:color="auto" w:fill="auto"/>
                  <w:vAlign w:val="center"/>
                </w:tcPr>
                <w:p w14:paraId="41DBE812">
                  <w:pPr>
                    <w:pStyle w:val="24"/>
                  </w:pPr>
                  <w:r>
                    <w:t xml:space="preserve">0.183 </w:t>
                  </w:r>
                </w:p>
              </w:tc>
              <w:tc>
                <w:tcPr>
                  <w:tcW w:w="340" w:type="dxa"/>
                  <w:vMerge w:val="restart"/>
                  <w:vAlign w:val="center"/>
                </w:tcPr>
                <w:p w14:paraId="2C62C10C">
                  <w:pPr>
                    <w:pStyle w:val="24"/>
                  </w:pPr>
                  <w:r>
                    <w:rPr>
                      <w:rFonts w:hint="eastAsia"/>
                    </w:rPr>
                    <w:t>隔油沉淀池（加混凝剂）</w:t>
                  </w:r>
                </w:p>
              </w:tc>
              <w:tc>
                <w:tcPr>
                  <w:tcW w:w="340" w:type="dxa"/>
                  <w:vAlign w:val="center"/>
                </w:tcPr>
                <w:p w14:paraId="6394C046">
                  <w:pPr>
                    <w:pStyle w:val="24"/>
                  </w:pPr>
                  <w:r>
                    <w:rPr>
                      <w:rFonts w:hint="eastAsia"/>
                    </w:rPr>
                    <w:t>20%</w:t>
                  </w:r>
                </w:p>
              </w:tc>
              <w:tc>
                <w:tcPr>
                  <w:tcW w:w="340" w:type="dxa"/>
                  <w:vAlign w:val="center"/>
                </w:tcPr>
                <w:p w14:paraId="5CA1323E">
                  <w:pPr>
                    <w:pStyle w:val="24"/>
                  </w:pPr>
                  <w:r>
                    <w:rPr>
                      <w:rFonts w:hint="eastAsia"/>
                    </w:rPr>
                    <w:t>280</w:t>
                  </w:r>
                </w:p>
              </w:tc>
              <w:tc>
                <w:tcPr>
                  <w:tcW w:w="340" w:type="dxa"/>
                  <w:vAlign w:val="center"/>
                </w:tcPr>
                <w:p w14:paraId="2F11552F">
                  <w:pPr>
                    <w:pStyle w:val="24"/>
                  </w:pPr>
                  <w:r>
                    <w:t xml:space="preserve">0.147 </w:t>
                  </w:r>
                </w:p>
              </w:tc>
            </w:tr>
            <w:tr w14:paraId="0997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0CB060F2">
                  <w:pPr>
                    <w:pStyle w:val="24"/>
                  </w:pPr>
                </w:p>
              </w:tc>
              <w:tc>
                <w:tcPr>
                  <w:tcW w:w="340" w:type="dxa"/>
                  <w:shd w:val="clear" w:color="auto" w:fill="auto"/>
                  <w:vAlign w:val="center"/>
                </w:tcPr>
                <w:p w14:paraId="6583EDDE">
                  <w:pPr>
                    <w:pStyle w:val="24"/>
                  </w:pPr>
                  <w:r>
                    <w:t>SS</w:t>
                  </w:r>
                </w:p>
              </w:tc>
              <w:tc>
                <w:tcPr>
                  <w:tcW w:w="340" w:type="dxa"/>
                  <w:vAlign w:val="center"/>
                </w:tcPr>
                <w:p w14:paraId="11494235">
                  <w:pPr>
                    <w:pStyle w:val="24"/>
                  </w:pPr>
                  <w:r>
                    <w:rPr>
                      <w:rFonts w:hint="eastAsia"/>
                    </w:rPr>
                    <w:t>200</w:t>
                  </w:r>
                </w:p>
              </w:tc>
              <w:tc>
                <w:tcPr>
                  <w:tcW w:w="340" w:type="dxa"/>
                  <w:shd w:val="clear" w:color="auto" w:fill="auto"/>
                  <w:vAlign w:val="center"/>
                </w:tcPr>
                <w:p w14:paraId="427D9597">
                  <w:pPr>
                    <w:pStyle w:val="24"/>
                  </w:pPr>
                  <w:r>
                    <w:t xml:space="preserve">0.105 </w:t>
                  </w:r>
                </w:p>
              </w:tc>
              <w:tc>
                <w:tcPr>
                  <w:tcW w:w="340" w:type="dxa"/>
                  <w:vMerge w:val="continue"/>
                  <w:vAlign w:val="center"/>
                </w:tcPr>
                <w:p w14:paraId="66E08D62">
                  <w:pPr>
                    <w:pStyle w:val="24"/>
                  </w:pPr>
                </w:p>
              </w:tc>
              <w:tc>
                <w:tcPr>
                  <w:tcW w:w="340" w:type="dxa"/>
                  <w:vAlign w:val="center"/>
                </w:tcPr>
                <w:p w14:paraId="4F9CC609">
                  <w:pPr>
                    <w:pStyle w:val="24"/>
                  </w:pPr>
                  <w:r>
                    <w:rPr>
                      <w:rFonts w:hint="eastAsia"/>
                    </w:rPr>
                    <w:t>70%</w:t>
                  </w:r>
                </w:p>
              </w:tc>
              <w:tc>
                <w:tcPr>
                  <w:tcW w:w="340" w:type="dxa"/>
                  <w:vAlign w:val="center"/>
                </w:tcPr>
                <w:p w14:paraId="4C663484">
                  <w:pPr>
                    <w:pStyle w:val="24"/>
                  </w:pPr>
                  <w:r>
                    <w:rPr>
                      <w:rFonts w:hint="eastAsia"/>
                    </w:rPr>
                    <w:t>60</w:t>
                  </w:r>
                </w:p>
              </w:tc>
              <w:tc>
                <w:tcPr>
                  <w:tcW w:w="340" w:type="dxa"/>
                  <w:vAlign w:val="center"/>
                </w:tcPr>
                <w:p w14:paraId="07F97F5A">
                  <w:pPr>
                    <w:pStyle w:val="24"/>
                  </w:pPr>
                  <w:r>
                    <w:t xml:space="preserve">0.031 </w:t>
                  </w:r>
                </w:p>
              </w:tc>
            </w:tr>
            <w:tr w14:paraId="5E42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0E52E5AB">
                  <w:pPr>
                    <w:pStyle w:val="24"/>
                  </w:pPr>
                </w:p>
              </w:tc>
              <w:tc>
                <w:tcPr>
                  <w:tcW w:w="340" w:type="dxa"/>
                  <w:shd w:val="clear" w:color="auto" w:fill="auto"/>
                  <w:vAlign w:val="center"/>
                </w:tcPr>
                <w:p w14:paraId="1D417F21">
                  <w:pPr>
                    <w:pStyle w:val="24"/>
                  </w:pPr>
                  <w:r>
                    <w:rPr>
                      <w:rFonts w:hint="eastAsia"/>
                    </w:rPr>
                    <w:t>石油类</w:t>
                  </w:r>
                </w:p>
              </w:tc>
              <w:tc>
                <w:tcPr>
                  <w:tcW w:w="340" w:type="dxa"/>
                  <w:vAlign w:val="center"/>
                </w:tcPr>
                <w:p w14:paraId="74B6DCB1">
                  <w:pPr>
                    <w:pStyle w:val="24"/>
                  </w:pPr>
                  <w:r>
                    <w:rPr>
                      <w:rFonts w:hint="eastAsia"/>
                    </w:rPr>
                    <w:t>20</w:t>
                  </w:r>
                </w:p>
              </w:tc>
              <w:tc>
                <w:tcPr>
                  <w:tcW w:w="340" w:type="dxa"/>
                  <w:shd w:val="clear" w:color="auto" w:fill="auto"/>
                  <w:vAlign w:val="center"/>
                </w:tcPr>
                <w:p w14:paraId="263D6BFC">
                  <w:pPr>
                    <w:pStyle w:val="24"/>
                  </w:pPr>
                  <w:r>
                    <w:t xml:space="preserve">0.010 </w:t>
                  </w:r>
                </w:p>
              </w:tc>
              <w:tc>
                <w:tcPr>
                  <w:tcW w:w="340" w:type="dxa"/>
                  <w:vMerge w:val="continue"/>
                  <w:vAlign w:val="center"/>
                </w:tcPr>
                <w:p w14:paraId="1D647BCA">
                  <w:pPr>
                    <w:pStyle w:val="24"/>
                  </w:pPr>
                </w:p>
              </w:tc>
              <w:tc>
                <w:tcPr>
                  <w:tcW w:w="340" w:type="dxa"/>
                  <w:vAlign w:val="center"/>
                </w:tcPr>
                <w:p w14:paraId="32EDB4AC">
                  <w:pPr>
                    <w:pStyle w:val="24"/>
                  </w:pPr>
                  <w:r>
                    <w:rPr>
                      <w:rFonts w:hint="eastAsia"/>
                    </w:rPr>
                    <w:t>70%</w:t>
                  </w:r>
                </w:p>
              </w:tc>
              <w:tc>
                <w:tcPr>
                  <w:tcW w:w="340" w:type="dxa"/>
                  <w:vAlign w:val="center"/>
                </w:tcPr>
                <w:p w14:paraId="6438FE7A">
                  <w:pPr>
                    <w:pStyle w:val="24"/>
                  </w:pPr>
                  <w:r>
                    <w:rPr>
                      <w:rFonts w:hint="eastAsia"/>
                    </w:rPr>
                    <w:t>6</w:t>
                  </w:r>
                </w:p>
              </w:tc>
              <w:tc>
                <w:tcPr>
                  <w:tcW w:w="340" w:type="dxa"/>
                  <w:vAlign w:val="center"/>
                </w:tcPr>
                <w:p w14:paraId="79877FE9">
                  <w:pPr>
                    <w:pStyle w:val="24"/>
                  </w:pPr>
                  <w:r>
                    <w:t xml:space="preserve">0.0031 </w:t>
                  </w:r>
                </w:p>
              </w:tc>
            </w:tr>
            <w:tr w14:paraId="7949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restart"/>
                  <w:vAlign w:val="center"/>
                </w:tcPr>
                <w:p w14:paraId="49D3B97B">
                  <w:pPr>
                    <w:pStyle w:val="24"/>
                  </w:pPr>
                  <w:r>
                    <w:rPr>
                      <w:rFonts w:hint="eastAsia"/>
                    </w:rPr>
                    <w:t>洗车废水</w:t>
                  </w:r>
                </w:p>
                <w:p w14:paraId="5A7F7C8C">
                  <w:pPr>
                    <w:pStyle w:val="24"/>
                  </w:pPr>
                  <w:r>
                    <w:rPr>
                      <w:rFonts w:hint="eastAsia"/>
                    </w:rPr>
                    <w:t>（250</w:t>
                  </w:r>
                  <w:r>
                    <w:t>m</w:t>
                  </w:r>
                  <w:r>
                    <w:rPr>
                      <w:vertAlign w:val="superscript"/>
                    </w:rPr>
                    <w:t>3</w:t>
                  </w:r>
                  <w:r>
                    <w:rPr>
                      <w:rFonts w:hint="eastAsia"/>
                    </w:rPr>
                    <w:t>/a）</w:t>
                  </w:r>
                </w:p>
              </w:tc>
              <w:tc>
                <w:tcPr>
                  <w:tcW w:w="340" w:type="dxa"/>
                  <w:vAlign w:val="center"/>
                </w:tcPr>
                <w:p w14:paraId="67D9F108">
                  <w:pPr>
                    <w:pStyle w:val="24"/>
                  </w:pPr>
                  <w:r>
                    <w:t>COD</w:t>
                  </w:r>
                  <w:r>
                    <w:rPr>
                      <w:rFonts w:hint="eastAsia"/>
                    </w:rPr>
                    <w:t>cr</w:t>
                  </w:r>
                </w:p>
              </w:tc>
              <w:tc>
                <w:tcPr>
                  <w:tcW w:w="340" w:type="dxa"/>
                  <w:vAlign w:val="center"/>
                </w:tcPr>
                <w:p w14:paraId="2F00A882">
                  <w:pPr>
                    <w:pStyle w:val="24"/>
                  </w:pPr>
                  <w:r>
                    <w:rPr>
                      <w:rFonts w:hint="eastAsia"/>
                    </w:rPr>
                    <w:t>350</w:t>
                  </w:r>
                </w:p>
              </w:tc>
              <w:tc>
                <w:tcPr>
                  <w:tcW w:w="340" w:type="dxa"/>
                  <w:vAlign w:val="center"/>
                </w:tcPr>
                <w:p w14:paraId="474D4C95">
                  <w:pPr>
                    <w:pStyle w:val="24"/>
                  </w:pPr>
                  <w:r>
                    <w:t xml:space="preserve">0.087 </w:t>
                  </w:r>
                </w:p>
              </w:tc>
              <w:tc>
                <w:tcPr>
                  <w:tcW w:w="340" w:type="dxa"/>
                  <w:vMerge w:val="continue"/>
                  <w:vAlign w:val="center"/>
                </w:tcPr>
                <w:p w14:paraId="7B7FC34C">
                  <w:pPr>
                    <w:pStyle w:val="24"/>
                  </w:pPr>
                </w:p>
              </w:tc>
              <w:tc>
                <w:tcPr>
                  <w:tcW w:w="340" w:type="dxa"/>
                  <w:vAlign w:val="center"/>
                </w:tcPr>
                <w:p w14:paraId="6F742C46">
                  <w:pPr>
                    <w:pStyle w:val="24"/>
                  </w:pPr>
                  <w:r>
                    <w:rPr>
                      <w:rFonts w:hint="eastAsia"/>
                    </w:rPr>
                    <w:t>20%</w:t>
                  </w:r>
                </w:p>
              </w:tc>
              <w:tc>
                <w:tcPr>
                  <w:tcW w:w="340" w:type="dxa"/>
                  <w:vAlign w:val="center"/>
                </w:tcPr>
                <w:p w14:paraId="56D36866">
                  <w:pPr>
                    <w:pStyle w:val="24"/>
                  </w:pPr>
                  <w:r>
                    <w:rPr>
                      <w:rFonts w:hint="eastAsia"/>
                    </w:rPr>
                    <w:t>280</w:t>
                  </w:r>
                </w:p>
              </w:tc>
              <w:tc>
                <w:tcPr>
                  <w:tcW w:w="340" w:type="dxa"/>
                  <w:vAlign w:val="center"/>
                </w:tcPr>
                <w:p w14:paraId="0758EB59">
                  <w:pPr>
                    <w:pStyle w:val="24"/>
                  </w:pPr>
                  <w:r>
                    <w:t xml:space="preserve">0.070 </w:t>
                  </w:r>
                </w:p>
              </w:tc>
            </w:tr>
            <w:tr w14:paraId="284E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0F918706">
                  <w:pPr>
                    <w:pStyle w:val="24"/>
                  </w:pPr>
                </w:p>
              </w:tc>
              <w:tc>
                <w:tcPr>
                  <w:tcW w:w="340" w:type="dxa"/>
                  <w:vAlign w:val="center"/>
                </w:tcPr>
                <w:p w14:paraId="5CF59B5D">
                  <w:pPr>
                    <w:pStyle w:val="24"/>
                  </w:pPr>
                  <w:r>
                    <w:t>SS</w:t>
                  </w:r>
                </w:p>
              </w:tc>
              <w:tc>
                <w:tcPr>
                  <w:tcW w:w="340" w:type="dxa"/>
                  <w:vAlign w:val="center"/>
                </w:tcPr>
                <w:p w14:paraId="555622BD">
                  <w:pPr>
                    <w:pStyle w:val="24"/>
                  </w:pPr>
                  <w:r>
                    <w:rPr>
                      <w:rFonts w:hint="eastAsia"/>
                    </w:rPr>
                    <w:t>200</w:t>
                  </w:r>
                </w:p>
              </w:tc>
              <w:tc>
                <w:tcPr>
                  <w:tcW w:w="340" w:type="dxa"/>
                  <w:vAlign w:val="center"/>
                </w:tcPr>
                <w:p w14:paraId="647F9256">
                  <w:pPr>
                    <w:pStyle w:val="24"/>
                  </w:pPr>
                  <w:r>
                    <w:t xml:space="preserve">0.050 </w:t>
                  </w:r>
                </w:p>
              </w:tc>
              <w:tc>
                <w:tcPr>
                  <w:tcW w:w="340" w:type="dxa"/>
                  <w:vMerge w:val="continue"/>
                  <w:vAlign w:val="center"/>
                </w:tcPr>
                <w:p w14:paraId="0D1DD9BE">
                  <w:pPr>
                    <w:pStyle w:val="24"/>
                  </w:pPr>
                </w:p>
              </w:tc>
              <w:tc>
                <w:tcPr>
                  <w:tcW w:w="340" w:type="dxa"/>
                  <w:vAlign w:val="center"/>
                </w:tcPr>
                <w:p w14:paraId="4D370219">
                  <w:pPr>
                    <w:pStyle w:val="24"/>
                  </w:pPr>
                  <w:r>
                    <w:rPr>
                      <w:rFonts w:hint="eastAsia"/>
                    </w:rPr>
                    <w:t>70%</w:t>
                  </w:r>
                </w:p>
              </w:tc>
              <w:tc>
                <w:tcPr>
                  <w:tcW w:w="340" w:type="dxa"/>
                  <w:vAlign w:val="center"/>
                </w:tcPr>
                <w:p w14:paraId="52585C23">
                  <w:pPr>
                    <w:pStyle w:val="24"/>
                  </w:pPr>
                  <w:r>
                    <w:rPr>
                      <w:rFonts w:hint="eastAsia"/>
                    </w:rPr>
                    <w:t>60</w:t>
                  </w:r>
                </w:p>
              </w:tc>
              <w:tc>
                <w:tcPr>
                  <w:tcW w:w="340" w:type="dxa"/>
                  <w:vAlign w:val="center"/>
                </w:tcPr>
                <w:p w14:paraId="22D38980">
                  <w:pPr>
                    <w:pStyle w:val="24"/>
                  </w:pPr>
                  <w:r>
                    <w:t xml:space="preserve">0.015 </w:t>
                  </w:r>
                </w:p>
              </w:tc>
            </w:tr>
            <w:tr w14:paraId="33ED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70DDC326">
                  <w:pPr>
                    <w:pStyle w:val="24"/>
                  </w:pPr>
                </w:p>
              </w:tc>
              <w:tc>
                <w:tcPr>
                  <w:tcW w:w="340" w:type="dxa"/>
                  <w:vAlign w:val="center"/>
                </w:tcPr>
                <w:p w14:paraId="06946FC3">
                  <w:pPr>
                    <w:pStyle w:val="24"/>
                  </w:pPr>
                  <w:r>
                    <w:rPr>
                      <w:rFonts w:hint="eastAsia"/>
                    </w:rPr>
                    <w:t>石油类</w:t>
                  </w:r>
                </w:p>
              </w:tc>
              <w:tc>
                <w:tcPr>
                  <w:tcW w:w="340" w:type="dxa"/>
                  <w:vAlign w:val="center"/>
                </w:tcPr>
                <w:p w14:paraId="07902F23">
                  <w:pPr>
                    <w:pStyle w:val="24"/>
                  </w:pPr>
                  <w:r>
                    <w:t>20</w:t>
                  </w:r>
                </w:p>
              </w:tc>
              <w:tc>
                <w:tcPr>
                  <w:tcW w:w="340" w:type="dxa"/>
                  <w:vAlign w:val="center"/>
                </w:tcPr>
                <w:p w14:paraId="416CF408">
                  <w:pPr>
                    <w:pStyle w:val="24"/>
                  </w:pPr>
                  <w:r>
                    <w:t xml:space="preserve">0.005 </w:t>
                  </w:r>
                </w:p>
              </w:tc>
              <w:tc>
                <w:tcPr>
                  <w:tcW w:w="340" w:type="dxa"/>
                  <w:vMerge w:val="continue"/>
                  <w:vAlign w:val="center"/>
                </w:tcPr>
                <w:p w14:paraId="0BDAB817">
                  <w:pPr>
                    <w:pStyle w:val="24"/>
                  </w:pPr>
                </w:p>
              </w:tc>
              <w:tc>
                <w:tcPr>
                  <w:tcW w:w="340" w:type="dxa"/>
                  <w:vAlign w:val="center"/>
                </w:tcPr>
                <w:p w14:paraId="60D51462">
                  <w:pPr>
                    <w:pStyle w:val="24"/>
                  </w:pPr>
                  <w:r>
                    <w:rPr>
                      <w:rFonts w:hint="eastAsia"/>
                    </w:rPr>
                    <w:t>70%</w:t>
                  </w:r>
                </w:p>
              </w:tc>
              <w:tc>
                <w:tcPr>
                  <w:tcW w:w="340" w:type="dxa"/>
                  <w:vAlign w:val="center"/>
                </w:tcPr>
                <w:p w14:paraId="697BDF1F">
                  <w:pPr>
                    <w:pStyle w:val="24"/>
                  </w:pPr>
                  <w:r>
                    <w:rPr>
                      <w:rFonts w:hint="eastAsia"/>
                    </w:rPr>
                    <w:t>6</w:t>
                  </w:r>
                </w:p>
              </w:tc>
              <w:tc>
                <w:tcPr>
                  <w:tcW w:w="340" w:type="dxa"/>
                  <w:vAlign w:val="center"/>
                </w:tcPr>
                <w:p w14:paraId="502B9B33">
                  <w:pPr>
                    <w:pStyle w:val="24"/>
                  </w:pPr>
                  <w:r>
                    <w:t xml:space="preserve">0.001 </w:t>
                  </w:r>
                </w:p>
              </w:tc>
            </w:tr>
            <w:tr w14:paraId="211F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489576A9">
                  <w:pPr>
                    <w:pStyle w:val="24"/>
                  </w:pPr>
                </w:p>
              </w:tc>
              <w:tc>
                <w:tcPr>
                  <w:tcW w:w="340" w:type="dxa"/>
                  <w:vAlign w:val="center"/>
                </w:tcPr>
                <w:p w14:paraId="28F60A09">
                  <w:pPr>
                    <w:pStyle w:val="24"/>
                  </w:pPr>
                  <w:r>
                    <w:rPr>
                      <w:rFonts w:hint="eastAsia"/>
                    </w:rPr>
                    <w:t>LAS</w:t>
                  </w:r>
                </w:p>
              </w:tc>
              <w:tc>
                <w:tcPr>
                  <w:tcW w:w="340" w:type="dxa"/>
                  <w:vAlign w:val="center"/>
                </w:tcPr>
                <w:p w14:paraId="01EBD08B">
                  <w:pPr>
                    <w:pStyle w:val="24"/>
                  </w:pPr>
                  <w:r>
                    <w:rPr>
                      <w:rFonts w:hint="eastAsia"/>
                    </w:rPr>
                    <w:t>15</w:t>
                  </w:r>
                </w:p>
              </w:tc>
              <w:tc>
                <w:tcPr>
                  <w:tcW w:w="340" w:type="dxa"/>
                  <w:vAlign w:val="center"/>
                </w:tcPr>
                <w:p w14:paraId="4EAC0CBB">
                  <w:pPr>
                    <w:pStyle w:val="24"/>
                  </w:pPr>
                  <w:r>
                    <w:t xml:space="preserve">0.004 </w:t>
                  </w:r>
                </w:p>
              </w:tc>
              <w:tc>
                <w:tcPr>
                  <w:tcW w:w="340" w:type="dxa"/>
                  <w:vMerge w:val="continue"/>
                  <w:vAlign w:val="center"/>
                </w:tcPr>
                <w:p w14:paraId="39715088">
                  <w:pPr>
                    <w:pStyle w:val="24"/>
                  </w:pPr>
                </w:p>
              </w:tc>
              <w:tc>
                <w:tcPr>
                  <w:tcW w:w="340" w:type="dxa"/>
                  <w:vAlign w:val="center"/>
                </w:tcPr>
                <w:p w14:paraId="4B2B3FC8">
                  <w:pPr>
                    <w:pStyle w:val="24"/>
                  </w:pPr>
                  <w:r>
                    <w:rPr>
                      <w:rFonts w:hint="eastAsia"/>
                    </w:rPr>
                    <w:t>50%</w:t>
                  </w:r>
                </w:p>
              </w:tc>
              <w:tc>
                <w:tcPr>
                  <w:tcW w:w="340" w:type="dxa"/>
                  <w:vAlign w:val="center"/>
                </w:tcPr>
                <w:p w14:paraId="553AB558">
                  <w:pPr>
                    <w:pStyle w:val="24"/>
                  </w:pPr>
                  <w:r>
                    <w:rPr>
                      <w:rFonts w:hint="eastAsia"/>
                    </w:rPr>
                    <w:t>7.5</w:t>
                  </w:r>
                </w:p>
              </w:tc>
              <w:tc>
                <w:tcPr>
                  <w:tcW w:w="340" w:type="dxa"/>
                  <w:vAlign w:val="center"/>
                </w:tcPr>
                <w:p w14:paraId="484BDB11">
                  <w:pPr>
                    <w:pStyle w:val="24"/>
                  </w:pPr>
                  <w:r>
                    <w:t xml:space="preserve">0.002 </w:t>
                  </w:r>
                </w:p>
              </w:tc>
            </w:tr>
          </w:tbl>
          <w:p w14:paraId="63325EAC">
            <w:pPr>
              <w:pStyle w:val="6"/>
            </w:pPr>
            <w:r>
              <w:t xml:space="preserve">表 </w:t>
            </w:r>
            <w:r>
              <w:rPr>
                <w:rFonts w:hint="eastAsia"/>
              </w:rPr>
              <w:t>4-</w:t>
            </w:r>
            <w:r>
              <w:fldChar w:fldCharType="begin"/>
            </w:r>
            <w:r>
              <w:instrText xml:space="preserve"> SEQ 表 \* ARABIC \s 1 </w:instrText>
            </w:r>
            <w:r>
              <w:fldChar w:fldCharType="separate"/>
            </w:r>
            <w:r>
              <w:t>7</w:t>
            </w:r>
            <w:r>
              <w:fldChar w:fldCharType="end"/>
            </w:r>
            <w:r>
              <w:rPr>
                <w:rFonts w:hint="eastAsia"/>
              </w:rPr>
              <w:t>项目综合废水排放情况表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213"/>
              <w:gridCol w:w="955"/>
              <w:gridCol w:w="1055"/>
              <w:gridCol w:w="779"/>
              <w:gridCol w:w="2291"/>
              <w:gridCol w:w="1308"/>
            </w:tblGrid>
            <w:tr w14:paraId="4D52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restart"/>
                  <w:vAlign w:val="center"/>
                </w:tcPr>
                <w:p w14:paraId="1E66E5A5">
                  <w:pPr>
                    <w:pStyle w:val="24"/>
                  </w:pPr>
                  <w:r>
                    <w:t>类别</w:t>
                  </w:r>
                </w:p>
              </w:tc>
              <w:tc>
                <w:tcPr>
                  <w:tcW w:w="340" w:type="dxa"/>
                  <w:vMerge w:val="restart"/>
                  <w:vAlign w:val="center"/>
                </w:tcPr>
                <w:p w14:paraId="6C84B9C3">
                  <w:pPr>
                    <w:pStyle w:val="24"/>
                  </w:pPr>
                  <w:r>
                    <w:t>污染物</w:t>
                  </w:r>
                </w:p>
                <w:p w14:paraId="3AD77157">
                  <w:pPr>
                    <w:pStyle w:val="24"/>
                  </w:pPr>
                  <w:r>
                    <w:t>名称</w:t>
                  </w:r>
                </w:p>
              </w:tc>
              <w:tc>
                <w:tcPr>
                  <w:tcW w:w="340" w:type="dxa"/>
                  <w:gridSpan w:val="2"/>
                  <w:vAlign w:val="center"/>
                </w:tcPr>
                <w:p w14:paraId="7623E80D">
                  <w:pPr>
                    <w:pStyle w:val="24"/>
                  </w:pPr>
                  <w:r>
                    <w:t>排放情况</w:t>
                  </w:r>
                </w:p>
              </w:tc>
              <w:tc>
                <w:tcPr>
                  <w:tcW w:w="340" w:type="dxa"/>
                  <w:vMerge w:val="restart"/>
                  <w:vAlign w:val="center"/>
                </w:tcPr>
                <w:p w14:paraId="5A8A2592">
                  <w:pPr>
                    <w:pStyle w:val="24"/>
                  </w:pPr>
                  <w:r>
                    <w:rPr>
                      <w:rFonts w:hint="eastAsia"/>
                    </w:rPr>
                    <w:t>排放标准</w:t>
                  </w:r>
                </w:p>
              </w:tc>
              <w:tc>
                <w:tcPr>
                  <w:tcW w:w="340" w:type="dxa"/>
                  <w:vMerge w:val="restart"/>
                  <w:vAlign w:val="center"/>
                </w:tcPr>
                <w:p w14:paraId="00D02CC8">
                  <w:pPr>
                    <w:pStyle w:val="24"/>
                  </w:pPr>
                  <w:r>
                    <w:rPr>
                      <w:rFonts w:hint="eastAsia"/>
                    </w:rPr>
                    <w:t>标准限值（mg/L）</w:t>
                  </w:r>
                </w:p>
              </w:tc>
            </w:tr>
            <w:tr w14:paraId="064E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vAlign w:val="center"/>
                </w:tcPr>
                <w:p w14:paraId="76D81438">
                  <w:pPr>
                    <w:pStyle w:val="24"/>
                  </w:pPr>
                </w:p>
              </w:tc>
              <w:tc>
                <w:tcPr>
                  <w:tcW w:w="340" w:type="dxa"/>
                  <w:vMerge w:val="continue"/>
                  <w:vAlign w:val="center"/>
                </w:tcPr>
                <w:p w14:paraId="5A8CACE4">
                  <w:pPr>
                    <w:pStyle w:val="24"/>
                  </w:pPr>
                </w:p>
              </w:tc>
              <w:tc>
                <w:tcPr>
                  <w:tcW w:w="340" w:type="dxa"/>
                  <w:vAlign w:val="center"/>
                </w:tcPr>
                <w:p w14:paraId="61D18D1A">
                  <w:pPr>
                    <w:pStyle w:val="24"/>
                  </w:pPr>
                  <w:r>
                    <w:t>排放浓度mg/m</w:t>
                  </w:r>
                  <w:r>
                    <w:rPr>
                      <w:vertAlign w:val="superscript"/>
                    </w:rPr>
                    <w:t>3</w:t>
                  </w:r>
                </w:p>
              </w:tc>
              <w:tc>
                <w:tcPr>
                  <w:tcW w:w="340" w:type="dxa"/>
                  <w:vAlign w:val="center"/>
                </w:tcPr>
                <w:p w14:paraId="3F1F1C53">
                  <w:pPr>
                    <w:pStyle w:val="24"/>
                  </w:pPr>
                  <w:r>
                    <w:t>排放量t/a</w:t>
                  </w:r>
                </w:p>
              </w:tc>
              <w:tc>
                <w:tcPr>
                  <w:tcW w:w="340" w:type="dxa"/>
                  <w:vMerge w:val="continue"/>
                  <w:vAlign w:val="center"/>
                </w:tcPr>
                <w:p w14:paraId="278E7BFD">
                  <w:pPr>
                    <w:pStyle w:val="24"/>
                  </w:pPr>
                </w:p>
              </w:tc>
              <w:tc>
                <w:tcPr>
                  <w:tcW w:w="340" w:type="dxa"/>
                  <w:vMerge w:val="continue"/>
                  <w:vAlign w:val="center"/>
                </w:tcPr>
                <w:p w14:paraId="2037589A">
                  <w:pPr>
                    <w:pStyle w:val="24"/>
                  </w:pPr>
                </w:p>
              </w:tc>
            </w:tr>
            <w:tr w14:paraId="2280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restart"/>
                  <w:shd w:val="clear" w:color="auto" w:fill="auto"/>
                  <w:vAlign w:val="center"/>
                </w:tcPr>
                <w:p w14:paraId="185709C9">
                  <w:pPr>
                    <w:pStyle w:val="24"/>
                  </w:pPr>
                  <w:r>
                    <w:rPr>
                      <w:rFonts w:hint="eastAsia"/>
                    </w:rPr>
                    <w:t>货车应急维修中心综合废水</w:t>
                  </w:r>
                </w:p>
                <w:p w14:paraId="5E1F2295">
                  <w:pPr>
                    <w:pStyle w:val="24"/>
                  </w:pPr>
                  <w:r>
                    <w:rPr>
                      <w:rFonts w:hint="eastAsia"/>
                    </w:rPr>
                    <w:t>774</w:t>
                  </w:r>
                  <w:r>
                    <w:t>m</w:t>
                  </w:r>
                  <w:r>
                    <w:rPr>
                      <w:vertAlign w:val="superscript"/>
                    </w:rPr>
                    <w:t>3</w:t>
                  </w:r>
                  <w:r>
                    <w:rPr>
                      <w:rFonts w:hint="eastAsia"/>
                    </w:rPr>
                    <w:t>/a</w:t>
                  </w:r>
                </w:p>
              </w:tc>
              <w:tc>
                <w:tcPr>
                  <w:tcW w:w="340" w:type="dxa"/>
                  <w:shd w:val="clear" w:color="auto" w:fill="auto"/>
                  <w:vAlign w:val="center"/>
                </w:tcPr>
                <w:p w14:paraId="6B7EA1AA">
                  <w:pPr>
                    <w:pStyle w:val="24"/>
                  </w:pPr>
                  <w:r>
                    <w:t>COD</w:t>
                  </w:r>
                  <w:r>
                    <w:rPr>
                      <w:rFonts w:hint="eastAsia"/>
                    </w:rPr>
                    <w:t>cr</w:t>
                  </w:r>
                </w:p>
              </w:tc>
              <w:tc>
                <w:tcPr>
                  <w:tcW w:w="340" w:type="dxa"/>
                  <w:shd w:val="clear" w:color="auto" w:fill="auto"/>
                  <w:vAlign w:val="center"/>
                </w:tcPr>
                <w:p w14:paraId="740CFA67">
                  <w:pPr>
                    <w:pStyle w:val="24"/>
                  </w:pPr>
                  <w:r>
                    <w:rPr>
                      <w:rFonts w:hint="eastAsia"/>
                    </w:rPr>
                    <w:t>280</w:t>
                  </w:r>
                </w:p>
              </w:tc>
              <w:tc>
                <w:tcPr>
                  <w:tcW w:w="340" w:type="dxa"/>
                  <w:shd w:val="clear" w:color="auto" w:fill="auto"/>
                  <w:vAlign w:val="center"/>
                </w:tcPr>
                <w:p w14:paraId="30EF472B">
                  <w:pPr>
                    <w:pStyle w:val="24"/>
                  </w:pPr>
                  <w:r>
                    <w:rPr>
                      <w:rFonts w:hint="eastAsia"/>
                    </w:rPr>
                    <w:t xml:space="preserve">0.217 </w:t>
                  </w:r>
                </w:p>
              </w:tc>
              <w:tc>
                <w:tcPr>
                  <w:tcW w:w="340" w:type="dxa"/>
                  <w:vMerge w:val="restart"/>
                  <w:shd w:val="clear" w:color="auto" w:fill="auto"/>
                  <w:vAlign w:val="center"/>
                </w:tcPr>
                <w:p w14:paraId="6689F8F0">
                  <w:pPr>
                    <w:pStyle w:val="24"/>
                  </w:pPr>
                  <w:r>
                    <w:t>《汽车维修业水污染物排放标准》（GB26877－2011）表2间接排放标准</w:t>
                  </w:r>
                </w:p>
              </w:tc>
              <w:tc>
                <w:tcPr>
                  <w:tcW w:w="340" w:type="dxa"/>
                  <w:shd w:val="clear" w:color="auto" w:fill="auto"/>
                  <w:vAlign w:val="center"/>
                </w:tcPr>
                <w:p w14:paraId="561FF17E">
                  <w:pPr>
                    <w:pStyle w:val="24"/>
                  </w:pPr>
                  <w:r>
                    <w:rPr>
                      <w:rFonts w:hint="eastAsia"/>
                    </w:rPr>
                    <w:t>300</w:t>
                  </w:r>
                </w:p>
              </w:tc>
            </w:tr>
            <w:tr w14:paraId="23E3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shd w:val="clear" w:color="auto" w:fill="auto"/>
                  <w:vAlign w:val="center"/>
                </w:tcPr>
                <w:p w14:paraId="303A6C04">
                  <w:pPr>
                    <w:pStyle w:val="24"/>
                  </w:pPr>
                </w:p>
              </w:tc>
              <w:tc>
                <w:tcPr>
                  <w:tcW w:w="340" w:type="dxa"/>
                  <w:shd w:val="clear" w:color="auto" w:fill="auto"/>
                  <w:vAlign w:val="center"/>
                </w:tcPr>
                <w:p w14:paraId="4C4EA7A6">
                  <w:pPr>
                    <w:pStyle w:val="24"/>
                  </w:pPr>
                  <w:r>
                    <w:t>SS</w:t>
                  </w:r>
                </w:p>
              </w:tc>
              <w:tc>
                <w:tcPr>
                  <w:tcW w:w="340" w:type="dxa"/>
                  <w:shd w:val="clear" w:color="auto" w:fill="auto"/>
                  <w:vAlign w:val="center"/>
                </w:tcPr>
                <w:p w14:paraId="00826F1D">
                  <w:pPr>
                    <w:pStyle w:val="24"/>
                  </w:pPr>
                  <w:r>
                    <w:rPr>
                      <w:rFonts w:hint="eastAsia"/>
                    </w:rPr>
                    <w:t>60</w:t>
                  </w:r>
                </w:p>
              </w:tc>
              <w:tc>
                <w:tcPr>
                  <w:tcW w:w="340" w:type="dxa"/>
                  <w:shd w:val="clear" w:color="auto" w:fill="auto"/>
                  <w:vAlign w:val="center"/>
                </w:tcPr>
                <w:p w14:paraId="26ED5CEA">
                  <w:pPr>
                    <w:pStyle w:val="24"/>
                  </w:pPr>
                  <w:r>
                    <w:rPr>
                      <w:rFonts w:hint="eastAsia"/>
                    </w:rPr>
                    <w:t xml:space="preserve">0.046 </w:t>
                  </w:r>
                </w:p>
              </w:tc>
              <w:tc>
                <w:tcPr>
                  <w:tcW w:w="340" w:type="dxa"/>
                  <w:vMerge w:val="continue"/>
                  <w:shd w:val="clear" w:color="auto" w:fill="auto"/>
                  <w:vAlign w:val="center"/>
                </w:tcPr>
                <w:p w14:paraId="7B124B61">
                  <w:pPr>
                    <w:pStyle w:val="24"/>
                  </w:pPr>
                </w:p>
              </w:tc>
              <w:tc>
                <w:tcPr>
                  <w:tcW w:w="340" w:type="dxa"/>
                  <w:shd w:val="clear" w:color="auto" w:fill="auto"/>
                  <w:vAlign w:val="center"/>
                </w:tcPr>
                <w:p w14:paraId="07E2D3CC">
                  <w:pPr>
                    <w:pStyle w:val="24"/>
                  </w:pPr>
                  <w:r>
                    <w:rPr>
                      <w:rFonts w:hint="eastAsia"/>
                    </w:rPr>
                    <w:t>100</w:t>
                  </w:r>
                </w:p>
              </w:tc>
            </w:tr>
            <w:tr w14:paraId="3D45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shd w:val="clear" w:color="auto" w:fill="auto"/>
                  <w:vAlign w:val="center"/>
                </w:tcPr>
                <w:p w14:paraId="78DE54D6">
                  <w:pPr>
                    <w:pStyle w:val="24"/>
                  </w:pPr>
                </w:p>
              </w:tc>
              <w:tc>
                <w:tcPr>
                  <w:tcW w:w="340" w:type="dxa"/>
                  <w:shd w:val="clear" w:color="auto" w:fill="auto"/>
                  <w:vAlign w:val="center"/>
                </w:tcPr>
                <w:p w14:paraId="0469835E">
                  <w:pPr>
                    <w:pStyle w:val="24"/>
                  </w:pPr>
                  <w:r>
                    <w:rPr>
                      <w:rFonts w:hint="eastAsia"/>
                    </w:rPr>
                    <w:t>石油类</w:t>
                  </w:r>
                </w:p>
              </w:tc>
              <w:tc>
                <w:tcPr>
                  <w:tcW w:w="340" w:type="dxa"/>
                  <w:shd w:val="clear" w:color="auto" w:fill="auto"/>
                  <w:vAlign w:val="center"/>
                </w:tcPr>
                <w:p w14:paraId="5EE156BB">
                  <w:pPr>
                    <w:pStyle w:val="24"/>
                  </w:pPr>
                  <w:r>
                    <w:rPr>
                      <w:rFonts w:hint="eastAsia"/>
                    </w:rPr>
                    <w:t>6</w:t>
                  </w:r>
                </w:p>
              </w:tc>
              <w:tc>
                <w:tcPr>
                  <w:tcW w:w="340" w:type="dxa"/>
                  <w:shd w:val="clear" w:color="auto" w:fill="auto"/>
                  <w:vAlign w:val="center"/>
                </w:tcPr>
                <w:p w14:paraId="05C93CDF">
                  <w:pPr>
                    <w:pStyle w:val="24"/>
                  </w:pPr>
                  <w:r>
                    <w:rPr>
                      <w:rFonts w:hint="eastAsia"/>
                    </w:rPr>
                    <w:t xml:space="preserve">0.005 </w:t>
                  </w:r>
                </w:p>
              </w:tc>
              <w:tc>
                <w:tcPr>
                  <w:tcW w:w="340" w:type="dxa"/>
                  <w:vMerge w:val="continue"/>
                  <w:shd w:val="clear" w:color="auto" w:fill="auto"/>
                  <w:vAlign w:val="center"/>
                </w:tcPr>
                <w:p w14:paraId="1430F0EF">
                  <w:pPr>
                    <w:pStyle w:val="24"/>
                  </w:pPr>
                </w:p>
              </w:tc>
              <w:tc>
                <w:tcPr>
                  <w:tcW w:w="340" w:type="dxa"/>
                  <w:shd w:val="clear" w:color="auto" w:fill="auto"/>
                  <w:vAlign w:val="center"/>
                </w:tcPr>
                <w:p w14:paraId="3497C3F6">
                  <w:pPr>
                    <w:pStyle w:val="24"/>
                  </w:pPr>
                  <w:r>
                    <w:rPr>
                      <w:rFonts w:hint="eastAsia"/>
                    </w:rPr>
                    <w:t>10</w:t>
                  </w:r>
                </w:p>
              </w:tc>
            </w:tr>
            <w:tr w14:paraId="5577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shd w:val="clear" w:color="auto" w:fill="auto"/>
                  <w:vAlign w:val="center"/>
                </w:tcPr>
                <w:p w14:paraId="2EFD697B">
                  <w:pPr>
                    <w:pStyle w:val="24"/>
                  </w:pPr>
                </w:p>
              </w:tc>
              <w:tc>
                <w:tcPr>
                  <w:tcW w:w="340" w:type="dxa"/>
                  <w:shd w:val="clear" w:color="auto" w:fill="auto"/>
                  <w:vAlign w:val="center"/>
                </w:tcPr>
                <w:p w14:paraId="4AC4637B">
                  <w:pPr>
                    <w:pStyle w:val="24"/>
                  </w:pPr>
                  <w:r>
                    <w:rPr>
                      <w:rFonts w:hint="eastAsia"/>
                    </w:rPr>
                    <w:t>LAS</w:t>
                  </w:r>
                </w:p>
              </w:tc>
              <w:tc>
                <w:tcPr>
                  <w:tcW w:w="340" w:type="dxa"/>
                  <w:shd w:val="clear" w:color="auto" w:fill="auto"/>
                  <w:vAlign w:val="center"/>
                </w:tcPr>
                <w:p w14:paraId="6B2950AE">
                  <w:pPr>
                    <w:pStyle w:val="24"/>
                  </w:pPr>
                  <w:r>
                    <w:rPr>
                      <w:rFonts w:hint="eastAsia"/>
                    </w:rPr>
                    <w:t>2.42</w:t>
                  </w:r>
                </w:p>
              </w:tc>
              <w:tc>
                <w:tcPr>
                  <w:tcW w:w="340" w:type="dxa"/>
                  <w:shd w:val="clear" w:color="auto" w:fill="auto"/>
                  <w:vAlign w:val="center"/>
                </w:tcPr>
                <w:p w14:paraId="2B090BBD">
                  <w:pPr>
                    <w:pStyle w:val="24"/>
                  </w:pPr>
                  <w:r>
                    <w:rPr>
                      <w:rFonts w:hint="eastAsia"/>
                    </w:rPr>
                    <w:t xml:space="preserve">0.002 </w:t>
                  </w:r>
                </w:p>
              </w:tc>
              <w:tc>
                <w:tcPr>
                  <w:tcW w:w="340" w:type="dxa"/>
                  <w:vMerge w:val="continue"/>
                  <w:shd w:val="clear" w:color="auto" w:fill="auto"/>
                  <w:vAlign w:val="center"/>
                </w:tcPr>
                <w:p w14:paraId="15141420">
                  <w:pPr>
                    <w:pStyle w:val="24"/>
                  </w:pPr>
                </w:p>
              </w:tc>
              <w:tc>
                <w:tcPr>
                  <w:tcW w:w="340" w:type="dxa"/>
                  <w:shd w:val="clear" w:color="auto" w:fill="auto"/>
                  <w:vAlign w:val="center"/>
                </w:tcPr>
                <w:p w14:paraId="3E54C786">
                  <w:pPr>
                    <w:pStyle w:val="24"/>
                  </w:pPr>
                  <w:r>
                    <w:rPr>
                      <w:rFonts w:hint="eastAsia"/>
                    </w:rPr>
                    <w:t>10</w:t>
                  </w:r>
                </w:p>
              </w:tc>
            </w:tr>
            <w:tr w14:paraId="349F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restart"/>
                  <w:shd w:val="clear" w:color="auto" w:fill="auto"/>
                  <w:vAlign w:val="center"/>
                </w:tcPr>
                <w:p w14:paraId="570C55D6">
                  <w:pPr>
                    <w:pStyle w:val="24"/>
                  </w:pPr>
                  <w:r>
                    <w:rPr>
                      <w:rFonts w:hint="eastAsia"/>
                    </w:rPr>
                    <w:t>综合废水</w:t>
                  </w:r>
                </w:p>
                <w:p w14:paraId="0F45D713">
                  <w:pPr>
                    <w:pStyle w:val="24"/>
                  </w:pPr>
                  <w:r>
                    <w:rPr>
                      <w:rFonts w:hint="eastAsia"/>
                    </w:rPr>
                    <w:t>4624</w:t>
                  </w:r>
                  <w:r>
                    <w:t>m</w:t>
                  </w:r>
                  <w:r>
                    <w:rPr>
                      <w:vertAlign w:val="superscript"/>
                    </w:rPr>
                    <w:t>3</w:t>
                  </w:r>
                  <w:r>
                    <w:rPr>
                      <w:rFonts w:hint="eastAsia"/>
                    </w:rPr>
                    <w:t>/a</w:t>
                  </w:r>
                </w:p>
              </w:tc>
              <w:tc>
                <w:tcPr>
                  <w:tcW w:w="340" w:type="dxa"/>
                  <w:shd w:val="clear" w:color="auto" w:fill="auto"/>
                  <w:vAlign w:val="center"/>
                </w:tcPr>
                <w:p w14:paraId="0558AFB3">
                  <w:pPr>
                    <w:pStyle w:val="24"/>
                  </w:pPr>
                  <w:r>
                    <w:rPr>
                      <w:rFonts w:hint="eastAsia"/>
                    </w:rPr>
                    <w:t>CODcr</w:t>
                  </w:r>
                </w:p>
              </w:tc>
              <w:tc>
                <w:tcPr>
                  <w:tcW w:w="340" w:type="dxa"/>
                  <w:shd w:val="clear" w:color="auto" w:fill="auto"/>
                  <w:vAlign w:val="center"/>
                </w:tcPr>
                <w:p w14:paraId="3659178E">
                  <w:pPr>
                    <w:pStyle w:val="24"/>
                  </w:pPr>
                  <w:r>
                    <w:rPr>
                      <w:rFonts w:hint="eastAsia"/>
                    </w:rPr>
                    <w:t xml:space="preserve">276.983 </w:t>
                  </w:r>
                </w:p>
              </w:tc>
              <w:tc>
                <w:tcPr>
                  <w:tcW w:w="340" w:type="dxa"/>
                  <w:shd w:val="clear" w:color="auto" w:fill="auto"/>
                  <w:vAlign w:val="center"/>
                </w:tcPr>
                <w:p w14:paraId="12E97EE7">
                  <w:pPr>
                    <w:pStyle w:val="24"/>
                  </w:pPr>
                  <w:r>
                    <w:rPr>
                      <w:rFonts w:hint="eastAsia"/>
                    </w:rPr>
                    <w:t xml:space="preserve">1.281 </w:t>
                  </w:r>
                </w:p>
              </w:tc>
              <w:tc>
                <w:tcPr>
                  <w:tcW w:w="340" w:type="dxa"/>
                  <w:vMerge w:val="restart"/>
                  <w:shd w:val="clear" w:color="auto" w:fill="auto"/>
                  <w:vAlign w:val="center"/>
                </w:tcPr>
                <w:p w14:paraId="22B60F01">
                  <w:pPr>
                    <w:pStyle w:val="24"/>
                  </w:pPr>
                  <w:r>
                    <w:rPr>
                      <w:rFonts w:hint="eastAsia"/>
                    </w:rPr>
                    <w:t>从严执行淮南经开区工业污水处理厂接管浓度限值、《污水综合排放标准》（GB8978-1996）表4中三级标准</w:t>
                  </w:r>
                </w:p>
              </w:tc>
              <w:tc>
                <w:tcPr>
                  <w:tcW w:w="340" w:type="dxa"/>
                  <w:shd w:val="clear" w:color="auto" w:fill="auto"/>
                  <w:vAlign w:val="center"/>
                </w:tcPr>
                <w:p w14:paraId="3D6A5DD9">
                  <w:pPr>
                    <w:pStyle w:val="24"/>
                  </w:pPr>
                  <w:r>
                    <w:rPr>
                      <w:rFonts w:hint="eastAsia"/>
                    </w:rPr>
                    <w:t>360</w:t>
                  </w:r>
                </w:p>
              </w:tc>
            </w:tr>
            <w:tr w14:paraId="1F71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tcPr>
                <w:p w14:paraId="58DE81DD">
                  <w:pPr>
                    <w:pStyle w:val="24"/>
                  </w:pPr>
                </w:p>
              </w:tc>
              <w:tc>
                <w:tcPr>
                  <w:tcW w:w="340" w:type="dxa"/>
                  <w:shd w:val="clear" w:color="auto" w:fill="auto"/>
                  <w:vAlign w:val="center"/>
                </w:tcPr>
                <w:p w14:paraId="6B28D1D3">
                  <w:pPr>
                    <w:pStyle w:val="24"/>
                  </w:pPr>
                  <w:r>
                    <w:rPr>
                      <w:rFonts w:hint="eastAsia"/>
                    </w:rPr>
                    <w:t>BOD</w:t>
                  </w:r>
                  <w:r>
                    <w:rPr>
                      <w:rFonts w:hint="eastAsia"/>
                      <w:vertAlign w:val="subscript"/>
                    </w:rPr>
                    <w:t>5</w:t>
                  </w:r>
                </w:p>
              </w:tc>
              <w:tc>
                <w:tcPr>
                  <w:tcW w:w="340" w:type="dxa"/>
                  <w:shd w:val="clear" w:color="auto" w:fill="auto"/>
                  <w:vAlign w:val="center"/>
                </w:tcPr>
                <w:p w14:paraId="180683FD">
                  <w:pPr>
                    <w:pStyle w:val="24"/>
                  </w:pPr>
                  <w:r>
                    <w:rPr>
                      <w:rFonts w:hint="eastAsia"/>
                    </w:rPr>
                    <w:t xml:space="preserve">72.625 </w:t>
                  </w:r>
                </w:p>
              </w:tc>
              <w:tc>
                <w:tcPr>
                  <w:tcW w:w="340" w:type="dxa"/>
                  <w:shd w:val="clear" w:color="auto" w:fill="auto"/>
                  <w:vAlign w:val="center"/>
                </w:tcPr>
                <w:p w14:paraId="4D024FF6">
                  <w:pPr>
                    <w:pStyle w:val="24"/>
                  </w:pPr>
                  <w:r>
                    <w:rPr>
                      <w:rFonts w:hint="eastAsia"/>
                    </w:rPr>
                    <w:t xml:space="preserve">0.336 </w:t>
                  </w:r>
                </w:p>
              </w:tc>
              <w:tc>
                <w:tcPr>
                  <w:tcW w:w="340" w:type="dxa"/>
                  <w:vMerge w:val="continue"/>
                </w:tcPr>
                <w:p w14:paraId="6CC25C0B">
                  <w:pPr>
                    <w:pStyle w:val="24"/>
                  </w:pPr>
                </w:p>
              </w:tc>
              <w:tc>
                <w:tcPr>
                  <w:tcW w:w="340" w:type="dxa"/>
                  <w:shd w:val="clear" w:color="auto" w:fill="auto"/>
                  <w:vAlign w:val="center"/>
                </w:tcPr>
                <w:p w14:paraId="7751FD5E">
                  <w:pPr>
                    <w:pStyle w:val="24"/>
                  </w:pPr>
                  <w:r>
                    <w:rPr>
                      <w:rFonts w:hint="eastAsia"/>
                    </w:rPr>
                    <w:t>80</w:t>
                  </w:r>
                </w:p>
              </w:tc>
            </w:tr>
            <w:tr w14:paraId="668D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tcPr>
                <w:p w14:paraId="6F4D6041">
                  <w:pPr>
                    <w:pStyle w:val="24"/>
                  </w:pPr>
                </w:p>
              </w:tc>
              <w:tc>
                <w:tcPr>
                  <w:tcW w:w="340" w:type="dxa"/>
                  <w:shd w:val="clear" w:color="auto" w:fill="auto"/>
                  <w:vAlign w:val="center"/>
                </w:tcPr>
                <w:p w14:paraId="06729FFE">
                  <w:pPr>
                    <w:pStyle w:val="24"/>
                  </w:pPr>
                  <w:r>
                    <w:rPr>
                      <w:rFonts w:hint="eastAsia"/>
                    </w:rPr>
                    <w:t>SS</w:t>
                  </w:r>
                </w:p>
              </w:tc>
              <w:tc>
                <w:tcPr>
                  <w:tcW w:w="340" w:type="dxa"/>
                  <w:shd w:val="clear" w:color="auto" w:fill="auto"/>
                  <w:vAlign w:val="center"/>
                </w:tcPr>
                <w:p w14:paraId="767088D8">
                  <w:pPr>
                    <w:pStyle w:val="24"/>
                  </w:pPr>
                  <w:r>
                    <w:rPr>
                      <w:rFonts w:hint="eastAsia"/>
                    </w:rPr>
                    <w:t xml:space="preserve">87.244 </w:t>
                  </w:r>
                </w:p>
              </w:tc>
              <w:tc>
                <w:tcPr>
                  <w:tcW w:w="340" w:type="dxa"/>
                  <w:shd w:val="clear" w:color="auto" w:fill="auto"/>
                  <w:vAlign w:val="center"/>
                </w:tcPr>
                <w:p w14:paraId="563EC1CD">
                  <w:pPr>
                    <w:pStyle w:val="24"/>
                  </w:pPr>
                  <w:r>
                    <w:rPr>
                      <w:rFonts w:hint="eastAsia"/>
                    </w:rPr>
                    <w:t xml:space="preserve">0.403 </w:t>
                  </w:r>
                </w:p>
              </w:tc>
              <w:tc>
                <w:tcPr>
                  <w:tcW w:w="340" w:type="dxa"/>
                  <w:vMerge w:val="continue"/>
                </w:tcPr>
                <w:p w14:paraId="409DAEB6">
                  <w:pPr>
                    <w:pStyle w:val="24"/>
                  </w:pPr>
                </w:p>
              </w:tc>
              <w:tc>
                <w:tcPr>
                  <w:tcW w:w="340" w:type="dxa"/>
                  <w:shd w:val="clear" w:color="auto" w:fill="auto"/>
                  <w:vAlign w:val="center"/>
                </w:tcPr>
                <w:p w14:paraId="7C4462C4">
                  <w:pPr>
                    <w:pStyle w:val="24"/>
                  </w:pPr>
                  <w:r>
                    <w:rPr>
                      <w:rFonts w:hint="eastAsia"/>
                    </w:rPr>
                    <w:t>200</w:t>
                  </w:r>
                </w:p>
              </w:tc>
            </w:tr>
            <w:tr w14:paraId="0BDA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tcPr>
                <w:p w14:paraId="6EC5A69D">
                  <w:pPr>
                    <w:pStyle w:val="24"/>
                  </w:pPr>
                </w:p>
              </w:tc>
              <w:tc>
                <w:tcPr>
                  <w:tcW w:w="340" w:type="dxa"/>
                  <w:shd w:val="clear" w:color="auto" w:fill="auto"/>
                  <w:vAlign w:val="center"/>
                </w:tcPr>
                <w:p w14:paraId="2F95C3EE">
                  <w:pPr>
                    <w:pStyle w:val="24"/>
                  </w:pPr>
                  <w:r>
                    <w:rPr>
                      <w:rFonts w:hint="eastAsia"/>
                    </w:rPr>
                    <w:t>氨氮</w:t>
                  </w:r>
                </w:p>
              </w:tc>
              <w:tc>
                <w:tcPr>
                  <w:tcW w:w="340" w:type="dxa"/>
                  <w:shd w:val="clear" w:color="auto" w:fill="auto"/>
                  <w:vAlign w:val="center"/>
                </w:tcPr>
                <w:p w14:paraId="1F8A54B5">
                  <w:pPr>
                    <w:pStyle w:val="24"/>
                  </w:pPr>
                  <w:r>
                    <w:rPr>
                      <w:rFonts w:hint="eastAsia"/>
                    </w:rPr>
                    <w:t xml:space="preserve">14.525 </w:t>
                  </w:r>
                </w:p>
              </w:tc>
              <w:tc>
                <w:tcPr>
                  <w:tcW w:w="340" w:type="dxa"/>
                  <w:shd w:val="clear" w:color="auto" w:fill="auto"/>
                  <w:vAlign w:val="center"/>
                </w:tcPr>
                <w:p w14:paraId="18E07607">
                  <w:pPr>
                    <w:pStyle w:val="24"/>
                  </w:pPr>
                  <w:r>
                    <w:rPr>
                      <w:rFonts w:hint="eastAsia"/>
                    </w:rPr>
                    <w:t xml:space="preserve">0.067 </w:t>
                  </w:r>
                </w:p>
              </w:tc>
              <w:tc>
                <w:tcPr>
                  <w:tcW w:w="340" w:type="dxa"/>
                  <w:vMerge w:val="continue"/>
                </w:tcPr>
                <w:p w14:paraId="761CAEF3">
                  <w:pPr>
                    <w:pStyle w:val="24"/>
                  </w:pPr>
                </w:p>
              </w:tc>
              <w:tc>
                <w:tcPr>
                  <w:tcW w:w="340" w:type="dxa"/>
                  <w:shd w:val="clear" w:color="auto" w:fill="auto"/>
                  <w:vAlign w:val="center"/>
                </w:tcPr>
                <w:p w14:paraId="45709A43">
                  <w:pPr>
                    <w:pStyle w:val="24"/>
                  </w:pPr>
                  <w:r>
                    <w:rPr>
                      <w:rFonts w:hint="eastAsia"/>
                    </w:rPr>
                    <w:t>35</w:t>
                  </w:r>
                </w:p>
              </w:tc>
            </w:tr>
            <w:tr w14:paraId="6AEB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tcPr>
                <w:p w14:paraId="63AE0785">
                  <w:pPr>
                    <w:pStyle w:val="24"/>
                  </w:pPr>
                </w:p>
              </w:tc>
              <w:tc>
                <w:tcPr>
                  <w:tcW w:w="340" w:type="dxa"/>
                  <w:shd w:val="clear" w:color="auto" w:fill="auto"/>
                  <w:vAlign w:val="center"/>
                </w:tcPr>
                <w:p w14:paraId="2663752D">
                  <w:pPr>
                    <w:pStyle w:val="24"/>
                  </w:pPr>
                  <w:r>
                    <w:rPr>
                      <w:rFonts w:hint="eastAsia"/>
                    </w:rPr>
                    <w:t>动植物油</w:t>
                  </w:r>
                </w:p>
              </w:tc>
              <w:tc>
                <w:tcPr>
                  <w:tcW w:w="340" w:type="dxa"/>
                  <w:shd w:val="clear" w:color="auto" w:fill="auto"/>
                  <w:vAlign w:val="center"/>
                </w:tcPr>
                <w:p w14:paraId="5092FC7D">
                  <w:pPr>
                    <w:pStyle w:val="24"/>
                  </w:pPr>
                  <w:r>
                    <w:rPr>
                      <w:rFonts w:hint="eastAsia"/>
                    </w:rPr>
                    <w:t xml:space="preserve">10.610 </w:t>
                  </w:r>
                </w:p>
              </w:tc>
              <w:tc>
                <w:tcPr>
                  <w:tcW w:w="340" w:type="dxa"/>
                  <w:shd w:val="clear" w:color="auto" w:fill="auto"/>
                  <w:vAlign w:val="center"/>
                </w:tcPr>
                <w:p w14:paraId="31ED29A4">
                  <w:pPr>
                    <w:pStyle w:val="24"/>
                  </w:pPr>
                  <w:r>
                    <w:rPr>
                      <w:rFonts w:hint="eastAsia"/>
                    </w:rPr>
                    <w:t xml:space="preserve">0.049 </w:t>
                  </w:r>
                </w:p>
              </w:tc>
              <w:tc>
                <w:tcPr>
                  <w:tcW w:w="340" w:type="dxa"/>
                  <w:vMerge w:val="continue"/>
                </w:tcPr>
                <w:p w14:paraId="7263576F">
                  <w:pPr>
                    <w:pStyle w:val="24"/>
                  </w:pPr>
                </w:p>
              </w:tc>
              <w:tc>
                <w:tcPr>
                  <w:tcW w:w="340" w:type="dxa"/>
                  <w:shd w:val="clear" w:color="auto" w:fill="auto"/>
                  <w:vAlign w:val="center"/>
                </w:tcPr>
                <w:p w14:paraId="681E3BE0">
                  <w:pPr>
                    <w:pStyle w:val="24"/>
                  </w:pPr>
                  <w:r>
                    <w:rPr>
                      <w:rFonts w:hint="eastAsia"/>
                    </w:rPr>
                    <w:t>100</w:t>
                  </w:r>
                </w:p>
              </w:tc>
            </w:tr>
            <w:tr w14:paraId="639D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tcPr>
                <w:p w14:paraId="79AE4D25">
                  <w:pPr>
                    <w:pStyle w:val="24"/>
                  </w:pPr>
                </w:p>
              </w:tc>
              <w:tc>
                <w:tcPr>
                  <w:tcW w:w="340" w:type="dxa"/>
                  <w:shd w:val="clear" w:color="auto" w:fill="auto"/>
                  <w:vAlign w:val="center"/>
                </w:tcPr>
                <w:p w14:paraId="2ED26CAB">
                  <w:pPr>
                    <w:pStyle w:val="24"/>
                  </w:pPr>
                  <w:r>
                    <w:rPr>
                      <w:rFonts w:hint="eastAsia"/>
                    </w:rPr>
                    <w:t>石油类</w:t>
                  </w:r>
                </w:p>
              </w:tc>
              <w:tc>
                <w:tcPr>
                  <w:tcW w:w="340" w:type="dxa"/>
                  <w:shd w:val="clear" w:color="auto" w:fill="auto"/>
                  <w:vAlign w:val="center"/>
                </w:tcPr>
                <w:p w14:paraId="599FA912">
                  <w:pPr>
                    <w:pStyle w:val="24"/>
                  </w:pPr>
                  <w:r>
                    <w:rPr>
                      <w:rFonts w:hint="eastAsia"/>
                    </w:rPr>
                    <w:t xml:space="preserve">1.536 </w:t>
                  </w:r>
                </w:p>
              </w:tc>
              <w:tc>
                <w:tcPr>
                  <w:tcW w:w="340" w:type="dxa"/>
                  <w:shd w:val="clear" w:color="auto" w:fill="auto"/>
                  <w:vAlign w:val="center"/>
                </w:tcPr>
                <w:p w14:paraId="5D260648">
                  <w:pPr>
                    <w:pStyle w:val="24"/>
                  </w:pPr>
                  <w:r>
                    <w:rPr>
                      <w:rFonts w:hint="eastAsia"/>
                    </w:rPr>
                    <w:t xml:space="preserve">0.007 </w:t>
                  </w:r>
                </w:p>
              </w:tc>
              <w:tc>
                <w:tcPr>
                  <w:tcW w:w="340" w:type="dxa"/>
                  <w:vMerge w:val="continue"/>
                </w:tcPr>
                <w:p w14:paraId="16CBE3D5">
                  <w:pPr>
                    <w:pStyle w:val="24"/>
                  </w:pPr>
                </w:p>
              </w:tc>
              <w:tc>
                <w:tcPr>
                  <w:tcW w:w="340" w:type="dxa"/>
                  <w:shd w:val="clear" w:color="auto" w:fill="auto"/>
                  <w:vAlign w:val="center"/>
                </w:tcPr>
                <w:p w14:paraId="26F01688">
                  <w:pPr>
                    <w:pStyle w:val="24"/>
                  </w:pPr>
                  <w:r>
                    <w:rPr>
                      <w:rFonts w:hint="eastAsia"/>
                    </w:rPr>
                    <w:t>20</w:t>
                  </w:r>
                </w:p>
              </w:tc>
            </w:tr>
            <w:tr w14:paraId="6526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40" w:type="dxa"/>
                  <w:vMerge w:val="continue"/>
                </w:tcPr>
                <w:p w14:paraId="1E571DD7">
                  <w:pPr>
                    <w:pStyle w:val="24"/>
                  </w:pPr>
                </w:p>
              </w:tc>
              <w:tc>
                <w:tcPr>
                  <w:tcW w:w="340" w:type="dxa"/>
                  <w:shd w:val="clear" w:color="auto" w:fill="auto"/>
                  <w:vAlign w:val="center"/>
                </w:tcPr>
                <w:p w14:paraId="0F2092B5">
                  <w:pPr>
                    <w:pStyle w:val="24"/>
                  </w:pPr>
                  <w:r>
                    <w:rPr>
                      <w:rFonts w:hint="eastAsia"/>
                    </w:rPr>
                    <w:t>LAS</w:t>
                  </w:r>
                </w:p>
              </w:tc>
              <w:tc>
                <w:tcPr>
                  <w:tcW w:w="340" w:type="dxa"/>
                  <w:shd w:val="clear" w:color="auto" w:fill="auto"/>
                  <w:vAlign w:val="center"/>
                </w:tcPr>
                <w:p w14:paraId="6FA8D5CF">
                  <w:pPr>
                    <w:pStyle w:val="24"/>
                  </w:pPr>
                  <w:r>
                    <w:rPr>
                      <w:rFonts w:hint="eastAsia"/>
                    </w:rPr>
                    <w:t xml:space="preserve">0.405 </w:t>
                  </w:r>
                </w:p>
              </w:tc>
              <w:tc>
                <w:tcPr>
                  <w:tcW w:w="340" w:type="dxa"/>
                  <w:shd w:val="clear" w:color="auto" w:fill="auto"/>
                  <w:vAlign w:val="center"/>
                </w:tcPr>
                <w:p w14:paraId="3B1F5EE9">
                  <w:pPr>
                    <w:pStyle w:val="24"/>
                  </w:pPr>
                  <w:r>
                    <w:rPr>
                      <w:rFonts w:hint="eastAsia"/>
                    </w:rPr>
                    <w:t xml:space="preserve">0.002 </w:t>
                  </w:r>
                </w:p>
              </w:tc>
              <w:tc>
                <w:tcPr>
                  <w:tcW w:w="340" w:type="dxa"/>
                  <w:vMerge w:val="continue"/>
                </w:tcPr>
                <w:p w14:paraId="3D88DC19">
                  <w:pPr>
                    <w:pStyle w:val="24"/>
                  </w:pPr>
                </w:p>
              </w:tc>
              <w:tc>
                <w:tcPr>
                  <w:tcW w:w="340" w:type="dxa"/>
                  <w:shd w:val="clear" w:color="auto" w:fill="auto"/>
                  <w:vAlign w:val="center"/>
                </w:tcPr>
                <w:p w14:paraId="4670818D">
                  <w:pPr>
                    <w:pStyle w:val="24"/>
                  </w:pPr>
                  <w:r>
                    <w:rPr>
                      <w:rFonts w:hint="eastAsia"/>
                    </w:rPr>
                    <w:t>20</w:t>
                  </w:r>
                </w:p>
              </w:tc>
            </w:tr>
          </w:tbl>
          <w:p w14:paraId="1C028918">
            <w:r>
              <w:rPr>
                <w:rFonts w:hint="eastAsia"/>
              </w:rPr>
              <w:t>2、废水排放去向</w:t>
            </w:r>
          </w:p>
          <w:p w14:paraId="28521B16">
            <w:pPr>
              <w:ind w:firstLine="480" w:firstLineChars="200"/>
              <w:rPr>
                <w:color w:val="0000FF"/>
              </w:rPr>
            </w:pPr>
            <w:r>
              <w:rPr>
                <w:rFonts w:hint="eastAsia"/>
              </w:rPr>
              <w:t>项目设置1座隔油池（10m</w:t>
            </w:r>
            <w:r>
              <w:rPr>
                <w:rFonts w:hint="eastAsia"/>
                <w:vertAlign w:val="superscript"/>
              </w:rPr>
              <w:t>3</w:t>
            </w:r>
            <w:r>
              <w:rPr>
                <w:rFonts w:hint="eastAsia"/>
              </w:rPr>
              <w:t>）、1座化粪池（20m</w:t>
            </w:r>
            <w:r>
              <w:rPr>
                <w:rFonts w:hint="eastAsia"/>
                <w:vertAlign w:val="superscript"/>
              </w:rPr>
              <w:t>3</w:t>
            </w:r>
            <w:r>
              <w:rPr>
                <w:rFonts w:hint="eastAsia"/>
              </w:rPr>
              <w:t>）、1座三级油水分离池（15m</w:t>
            </w:r>
            <w:r>
              <w:rPr>
                <w:rFonts w:hint="eastAsia"/>
                <w:vertAlign w:val="superscript"/>
              </w:rPr>
              <w:t>3</w:t>
            </w:r>
            <w:r>
              <w:rPr>
                <w:rFonts w:hint="eastAsia"/>
              </w:rPr>
              <w:t>）、1座隔油沉淀池（15m</w:t>
            </w:r>
            <w:r>
              <w:rPr>
                <w:rFonts w:hint="eastAsia"/>
                <w:vertAlign w:val="superscript"/>
              </w:rPr>
              <w:t>3</w:t>
            </w:r>
            <w:r>
              <w:rPr>
                <w:rFonts w:hint="eastAsia"/>
              </w:rPr>
              <w:t>）。餐饮废水</w:t>
            </w:r>
            <w:r>
              <w:t>经</w:t>
            </w:r>
            <w:r>
              <w:rPr>
                <w:rFonts w:hint="eastAsia"/>
              </w:rPr>
              <w:t>隔油池处理后汇同生活污水通过化粪池</w:t>
            </w:r>
            <w:r>
              <w:t>预处理</w:t>
            </w:r>
            <w:r>
              <w:rPr>
                <w:rFonts w:hint="eastAsia"/>
              </w:rPr>
              <w:t>，加油站</w:t>
            </w:r>
            <w:r>
              <w:t>地面冲洗废水</w:t>
            </w:r>
            <w:r>
              <w:rPr>
                <w:rFonts w:hint="eastAsia"/>
              </w:rPr>
              <w:t>、加油站初期雨水</w:t>
            </w:r>
            <w:r>
              <w:t>经</w:t>
            </w:r>
            <w:r>
              <w:rPr>
                <w:rFonts w:hint="eastAsia"/>
              </w:rPr>
              <w:t>三级油水分离池</w:t>
            </w:r>
            <w:r>
              <w:t>处理</w:t>
            </w:r>
            <w:r>
              <w:rPr>
                <w:rFonts w:hint="eastAsia"/>
              </w:rPr>
              <w:t>；货车应急维修中心地面冲洗废水、洗车废水经加入混凝剂的隔油沉淀池处理达到</w:t>
            </w:r>
            <w:r>
              <w:t>《汽车维修业水污染物排放标准》（GB26877－2011）表2间接排放标准</w:t>
            </w:r>
            <w:r>
              <w:rPr>
                <w:rFonts w:hint="eastAsia"/>
              </w:rPr>
              <w:t>后汇同其他废水从严执行淮南经开区工业污水处理厂接管浓度限值、《污水综合排放标准》（GB8978-1996）表4中三级标准后一同接入</w:t>
            </w:r>
            <w:r>
              <w:t>市政污水管网排入</w:t>
            </w:r>
            <w:r>
              <w:rPr>
                <w:bCs/>
                <w:kern w:val="0"/>
                <w:lang w:bidi="en-US"/>
              </w:rPr>
              <w:t>淮南经济技术开发区工业污水处理厂</w:t>
            </w:r>
            <w:r>
              <w:t>进一步处理后汇入</w:t>
            </w:r>
            <w:r>
              <w:rPr>
                <w:rFonts w:hint="eastAsia"/>
              </w:rPr>
              <w:t>淮河</w:t>
            </w:r>
            <w:r>
              <w:t>。</w:t>
            </w:r>
          </w:p>
          <w:p w14:paraId="70E5EBC3">
            <w:pPr>
              <w:rPr>
                <w:highlight w:val="yellow"/>
              </w:rPr>
            </w:pPr>
            <w:r>
              <w:t>3、废水治理设施技术可行性分析</w:t>
            </w:r>
          </w:p>
          <w:p w14:paraId="3F9290B3">
            <w:pPr>
              <w:ind w:firstLine="480" w:firstLineChars="200"/>
              <w:jc w:val="left"/>
            </w:pPr>
            <w:r>
              <w:t>项目拟设置隔油池处理厨房</w:t>
            </w:r>
            <w:r>
              <w:rPr>
                <w:rFonts w:hint="eastAsia"/>
              </w:rPr>
              <w:t>餐饮废水</w:t>
            </w:r>
            <w:r>
              <w:t>，设置</w:t>
            </w:r>
            <w:r>
              <w:rPr>
                <w:rFonts w:hint="eastAsia"/>
              </w:rPr>
              <w:t>三级油水分离池</w:t>
            </w:r>
            <w:r>
              <w:t>处理</w:t>
            </w:r>
            <w:r>
              <w:rPr>
                <w:rFonts w:hint="eastAsia"/>
              </w:rPr>
              <w:t>加油站</w:t>
            </w:r>
            <w:r>
              <w:t>地面清洁废水</w:t>
            </w:r>
            <w:r>
              <w:rPr>
                <w:rFonts w:hint="eastAsia"/>
              </w:rPr>
              <w:t>以及</w:t>
            </w:r>
            <w:r>
              <w:t>雨天产生的初期雨水，</w:t>
            </w:r>
            <w:r>
              <w:rPr>
                <w:rFonts w:hint="eastAsia"/>
              </w:rPr>
              <w:t>设置隔油沉淀池处理货车应急维修中心地面冲洗废水、洗车废水，</w:t>
            </w:r>
            <w:r>
              <w:t>设置地埋式化粪池处理生活污水，本项目的污水处理设施的可行性分析如下：</w:t>
            </w:r>
          </w:p>
          <w:p w14:paraId="74C5FC6A">
            <w:pPr>
              <w:ind w:firstLine="480" w:firstLineChars="200"/>
              <w:jc w:val="left"/>
            </w:pPr>
            <w:r>
              <w:rPr>
                <w:rFonts w:hint="eastAsia"/>
              </w:rPr>
              <w:t>（1）</w:t>
            </w:r>
            <w:r>
              <w:t>污水处理厂概况</w:t>
            </w:r>
          </w:p>
          <w:p w14:paraId="6A716318">
            <w:pPr>
              <w:widowControl/>
              <w:ind w:firstLine="480" w:firstLineChars="200"/>
              <w:rPr>
                <w:kern w:val="0"/>
                <w:lang w:bidi="en-US"/>
              </w:rPr>
            </w:pPr>
            <w:r>
              <w:rPr>
                <w:kern w:val="0"/>
                <w:lang w:bidi="en-US"/>
              </w:rPr>
              <w:t>目前，淮南经开区内废水由企业自行处理达到《淮南经开区企业生产废水排放限值》（2021年1月19日）标准后</w:t>
            </w:r>
            <w:r>
              <w:rPr>
                <w:rFonts w:hint="eastAsia"/>
                <w:kern w:val="0"/>
                <w:lang w:bidi="en-US"/>
              </w:rPr>
              <w:t>汇同生活污水</w:t>
            </w:r>
            <w:r>
              <w:rPr>
                <w:kern w:val="0"/>
                <w:lang w:bidi="en-US"/>
              </w:rPr>
              <w:t>排入园区的污水管网，进入</w:t>
            </w:r>
            <w:r>
              <w:rPr>
                <w:bCs/>
                <w:kern w:val="0"/>
                <w:lang w:bidi="en-US"/>
              </w:rPr>
              <w:t>淮南经济技术开发区工业污水处理厂</w:t>
            </w:r>
            <w:r>
              <w:rPr>
                <w:kern w:val="0"/>
                <w:lang w:bidi="en-US"/>
              </w:rPr>
              <w:t>集中处理。淮南经济技术开发区工业污水处理厂收水范围主要包括淮南经济技术开发区的工业废水和生活污水及大通区的工业废水和生活污水，设计处理能力3万t/d。采用</w:t>
            </w:r>
            <w:r>
              <w:rPr>
                <w:rFonts w:hint="eastAsia"/>
                <w:kern w:val="0"/>
                <w:lang w:bidi="en-US"/>
              </w:rPr>
              <w:t>“</w:t>
            </w:r>
            <w:r>
              <w:rPr>
                <w:kern w:val="0"/>
                <w:lang w:bidi="en-US"/>
              </w:rPr>
              <w:t>水解酸化+Bardenpho工艺+芬顿氧化+混凝沉淀+复合滤料滤池+次氯酸钠消毒处理工艺</w:t>
            </w:r>
            <w:r>
              <w:rPr>
                <w:rFonts w:hint="eastAsia"/>
                <w:kern w:val="0"/>
                <w:lang w:bidi="en-US"/>
              </w:rPr>
              <w:t>”</w:t>
            </w:r>
            <w:r>
              <w:rPr>
                <w:kern w:val="0"/>
                <w:lang w:bidi="en-US"/>
              </w:rPr>
              <w:t>。</w:t>
            </w:r>
          </w:p>
          <w:p w14:paraId="1AF381D6">
            <w:pPr>
              <w:widowControl/>
              <w:ind w:firstLine="480" w:firstLineChars="200"/>
              <w:rPr>
                <w:kern w:val="0"/>
                <w:lang w:bidi="en-US"/>
              </w:rPr>
            </w:pPr>
            <w:r>
              <w:rPr>
                <w:kern w:val="0"/>
                <w:lang w:bidi="en-US"/>
              </w:rPr>
              <w:t>污水处理厂工程工艺流程见下图。</w:t>
            </w:r>
          </w:p>
          <w:p w14:paraId="0AC8BAB9">
            <w:r>
              <w:rPr>
                <w:rFonts w:hint="eastAsia"/>
              </w:rPr>
              <w:drawing>
                <wp:inline distT="0" distB="0" distL="114300" distR="114300">
                  <wp:extent cx="4758055" cy="2313305"/>
                  <wp:effectExtent l="0" t="0" r="4445" b="10795"/>
                  <wp:docPr id="8" name="图片 5" descr="166126290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661262907228"/>
                          <pic:cNvPicPr>
                            <a:picLocks noChangeAspect="1"/>
                          </pic:cNvPicPr>
                        </pic:nvPicPr>
                        <pic:blipFill>
                          <a:blip r:embed="rId30"/>
                          <a:srcRect l="3162" r="2164" b="719"/>
                          <a:stretch>
                            <a:fillRect/>
                          </a:stretch>
                        </pic:blipFill>
                        <pic:spPr>
                          <a:xfrm>
                            <a:off x="0" y="0"/>
                            <a:ext cx="4758055" cy="2313305"/>
                          </a:xfrm>
                          <a:prstGeom prst="rect">
                            <a:avLst/>
                          </a:prstGeom>
                          <a:noFill/>
                          <a:ln>
                            <a:noFill/>
                          </a:ln>
                        </pic:spPr>
                      </pic:pic>
                    </a:graphicData>
                  </a:graphic>
                </wp:inline>
              </w:drawing>
            </w:r>
          </w:p>
          <w:p w14:paraId="51B005BA">
            <w:pPr>
              <w:widowControl/>
              <w:jc w:val="center"/>
              <w:rPr>
                <w:b/>
                <w:bCs/>
                <w:kern w:val="0"/>
                <w:lang w:bidi="en-US"/>
              </w:rPr>
            </w:pPr>
            <w:r>
              <w:rPr>
                <w:rFonts w:hint="eastAsia"/>
                <w:b/>
                <w:bCs/>
                <w:kern w:val="0"/>
                <w:lang w:bidi="en-US"/>
              </w:rPr>
              <w:t>图4.2-1 淮南经济开发区污水处理厂（三万吨污水处理厂）工艺流程图</w:t>
            </w:r>
          </w:p>
          <w:p w14:paraId="68D88516">
            <w:pPr>
              <w:ind w:firstLine="480" w:firstLineChars="200"/>
            </w:pPr>
            <w:r>
              <w:rPr>
                <w:kern w:val="0"/>
                <w:lang w:bidi="en-US"/>
              </w:rPr>
              <w:t>设计出水水质执行《城镇污水处理厂污染物排放标准》中一级A标准，出水水质达标后排入淮河（淮南段）。</w:t>
            </w:r>
          </w:p>
          <w:p w14:paraId="557698FF">
            <w:pPr>
              <w:ind w:firstLine="480" w:firstLineChars="200"/>
            </w:pPr>
            <w:r>
              <w:rPr>
                <w:rFonts w:hint="eastAsia"/>
              </w:rPr>
              <w:t>（2）</w:t>
            </w:r>
            <w:r>
              <w:t>接管可行性分析</w:t>
            </w:r>
          </w:p>
          <w:p w14:paraId="41D86014">
            <w:pPr>
              <w:ind w:firstLine="480" w:firstLineChars="200"/>
              <w:rPr>
                <w:szCs w:val="20"/>
              </w:rPr>
            </w:pPr>
            <w:r>
              <w:rPr>
                <w:szCs w:val="20"/>
              </w:rPr>
              <w:fldChar w:fldCharType="begin"/>
            </w:r>
            <w:r>
              <w:rPr>
                <w:szCs w:val="20"/>
              </w:rPr>
              <w:instrText xml:space="preserve"> </w:instrText>
            </w:r>
            <w:r>
              <w:rPr>
                <w:rFonts w:hint="eastAsia"/>
                <w:szCs w:val="20"/>
              </w:rPr>
              <w:instrText xml:space="preserve">= 1 \* GB3</w:instrText>
            </w:r>
            <w:r>
              <w:rPr>
                <w:szCs w:val="20"/>
              </w:rPr>
              <w:instrText xml:space="preserve"> </w:instrText>
            </w:r>
            <w:r>
              <w:rPr>
                <w:szCs w:val="20"/>
              </w:rPr>
              <w:fldChar w:fldCharType="separate"/>
            </w:r>
            <w:r>
              <w:rPr>
                <w:rFonts w:hint="eastAsia"/>
                <w:szCs w:val="20"/>
              </w:rPr>
              <w:t>①</w:t>
            </w:r>
            <w:r>
              <w:rPr>
                <w:szCs w:val="20"/>
              </w:rPr>
              <w:fldChar w:fldCharType="end"/>
            </w:r>
            <w:r>
              <w:rPr>
                <w:szCs w:val="20"/>
              </w:rPr>
              <w:t>污水水量纳管可行</w:t>
            </w:r>
            <w:r>
              <w:rPr>
                <w:rFonts w:hint="eastAsia"/>
                <w:szCs w:val="20"/>
              </w:rPr>
              <w:t>性分析</w:t>
            </w:r>
          </w:p>
          <w:p w14:paraId="24EAB942">
            <w:pPr>
              <w:widowControl/>
              <w:ind w:firstLine="480" w:firstLineChars="200"/>
              <w:rPr>
                <w:kern w:val="0"/>
                <w:lang w:bidi="en-US"/>
              </w:rPr>
            </w:pPr>
            <w:r>
              <w:rPr>
                <w:kern w:val="0"/>
                <w:lang w:bidi="en-US"/>
              </w:rPr>
              <w:t>项目所在区域在淮南经济技术开发区工业污水处理厂服务范围内，项目废水运营期新增污水量为</w:t>
            </w:r>
            <w:r>
              <w:rPr>
                <w:rFonts w:hint="eastAsia"/>
                <w:kern w:val="0"/>
                <w:lang w:bidi="en-US"/>
              </w:rPr>
              <w:t>12.67t</w:t>
            </w:r>
            <w:r>
              <w:rPr>
                <w:kern w:val="0"/>
                <w:lang w:bidi="en-US"/>
              </w:rPr>
              <w:t>/d，占淮南经济技术开发区工业污水处理厂设计处理能力3万t/d的</w:t>
            </w:r>
            <w:r>
              <w:rPr>
                <w:rFonts w:hint="eastAsia"/>
                <w:kern w:val="0"/>
                <w:lang w:bidi="en-US"/>
              </w:rPr>
              <w:t>0.04</w:t>
            </w:r>
            <w:r>
              <w:rPr>
                <w:kern w:val="0"/>
                <w:lang w:bidi="en-US"/>
              </w:rPr>
              <w:t>%，淮南经济技术开发区工业污水处理厂目前接收污水量为1.8万t/d，</w:t>
            </w:r>
            <w:r>
              <w:rPr>
                <w:kern w:val="0"/>
                <w:szCs w:val="20"/>
                <w:lang w:bidi="en-US"/>
              </w:rPr>
              <w:t>从水量纳管量上讲</w:t>
            </w:r>
            <w:r>
              <w:rPr>
                <w:kern w:val="0"/>
                <w:lang w:bidi="en-US"/>
              </w:rPr>
              <w:t>，项目废水接管进入淮南经济技术开发区工业污水处理厂可行。污水处理厂的处理能力远远大于污水产生量，因此本项目产生的污水不会对污水处理厂造成较大冲击影响。</w:t>
            </w:r>
          </w:p>
          <w:p w14:paraId="5BD1D238">
            <w:pPr>
              <w:ind w:firstLine="480" w:firstLineChars="200"/>
              <w:rPr>
                <w:szCs w:val="20"/>
              </w:rPr>
            </w:pPr>
            <w:r>
              <w:rPr>
                <w:szCs w:val="20"/>
              </w:rPr>
              <w:fldChar w:fldCharType="begin"/>
            </w:r>
            <w:r>
              <w:rPr>
                <w:szCs w:val="20"/>
              </w:rPr>
              <w:instrText xml:space="preserve"> </w:instrText>
            </w:r>
            <w:r>
              <w:rPr>
                <w:rFonts w:hint="eastAsia"/>
                <w:szCs w:val="20"/>
              </w:rPr>
              <w:instrText xml:space="preserve">= 2 \* GB3</w:instrText>
            </w:r>
            <w:r>
              <w:rPr>
                <w:szCs w:val="20"/>
              </w:rPr>
              <w:instrText xml:space="preserve"> </w:instrText>
            </w:r>
            <w:r>
              <w:rPr>
                <w:szCs w:val="20"/>
              </w:rPr>
              <w:fldChar w:fldCharType="separate"/>
            </w:r>
            <w:r>
              <w:rPr>
                <w:rFonts w:hint="eastAsia"/>
                <w:szCs w:val="20"/>
              </w:rPr>
              <w:t>②</w:t>
            </w:r>
            <w:r>
              <w:rPr>
                <w:szCs w:val="20"/>
              </w:rPr>
              <w:fldChar w:fldCharType="end"/>
            </w:r>
            <w:r>
              <w:rPr>
                <w:szCs w:val="20"/>
              </w:rPr>
              <w:t>污水水质纳管可行性分析</w:t>
            </w:r>
          </w:p>
          <w:p w14:paraId="1B7AA5DB">
            <w:pPr>
              <w:widowControl/>
              <w:ind w:firstLine="480" w:firstLineChars="200"/>
              <w:rPr>
                <w:kern w:val="0"/>
                <w:lang w:bidi="en-US"/>
              </w:rPr>
            </w:pPr>
            <w:r>
              <w:t>项目</w:t>
            </w:r>
            <w:r>
              <w:rPr>
                <w:rFonts w:hint="eastAsia"/>
              </w:rPr>
              <w:t>排放废水经废水处理设施处理后满足</w:t>
            </w:r>
            <w:r>
              <w:rPr>
                <w:kern w:val="0"/>
                <w:lang w:bidi="en-US"/>
              </w:rPr>
              <w:t>淮南经济技术开发区工业污水处理厂</w:t>
            </w:r>
            <w:r>
              <w:rPr>
                <w:rFonts w:hint="eastAsia"/>
              </w:rPr>
              <w:t>接管标准、</w:t>
            </w:r>
            <w:r>
              <w:t>《汽车维修业水污染物排放标准》（GB26877－2011）表2间接排放标准</w:t>
            </w:r>
            <w:r>
              <w:rPr>
                <w:rFonts w:hint="eastAsia"/>
              </w:rPr>
              <w:t>和《污水综合排放标准》（GB8978-1996）表4中三级标准</w:t>
            </w:r>
            <w:r>
              <w:t>，纳管水质可行。</w:t>
            </w:r>
          </w:p>
          <w:p w14:paraId="4B399188">
            <w:pPr>
              <w:ind w:firstLine="480" w:firstLineChars="200"/>
              <w:rPr>
                <w:szCs w:val="20"/>
              </w:rPr>
            </w:pPr>
            <w:r>
              <w:rPr>
                <w:caps/>
                <w:szCs w:val="20"/>
              </w:rPr>
              <w:fldChar w:fldCharType="begin"/>
            </w:r>
            <w:r>
              <w:rPr>
                <w:caps/>
                <w:szCs w:val="20"/>
              </w:rPr>
              <w:instrText xml:space="preserve"> </w:instrText>
            </w:r>
            <w:r>
              <w:rPr>
                <w:rFonts w:hint="eastAsia"/>
                <w:caps/>
                <w:szCs w:val="20"/>
              </w:rPr>
              <w:instrText xml:space="preserve">= 3 \* GB3</w:instrText>
            </w:r>
            <w:r>
              <w:rPr>
                <w:caps/>
                <w:szCs w:val="20"/>
              </w:rPr>
              <w:instrText xml:space="preserve"> </w:instrText>
            </w:r>
            <w:r>
              <w:rPr>
                <w:caps/>
                <w:szCs w:val="20"/>
              </w:rPr>
              <w:fldChar w:fldCharType="separate"/>
            </w:r>
            <w:r>
              <w:rPr>
                <w:rFonts w:hint="eastAsia"/>
                <w:caps/>
                <w:szCs w:val="20"/>
              </w:rPr>
              <w:t>③</w:t>
            </w:r>
            <w:r>
              <w:rPr>
                <w:caps/>
                <w:szCs w:val="20"/>
              </w:rPr>
              <w:fldChar w:fldCharType="end"/>
            </w:r>
            <w:r>
              <w:rPr>
                <w:szCs w:val="20"/>
              </w:rPr>
              <w:t>处理后尾水达标排放</w:t>
            </w:r>
          </w:p>
          <w:p w14:paraId="7A90F97A">
            <w:pPr>
              <w:widowControl/>
              <w:ind w:firstLine="480" w:firstLineChars="200"/>
              <w:rPr>
                <w:kern w:val="0"/>
                <w:lang w:bidi="en-US"/>
              </w:rPr>
            </w:pPr>
            <w:r>
              <w:rPr>
                <w:kern w:val="0"/>
                <w:lang w:bidi="en-US"/>
              </w:rPr>
              <w:t>经深度处理后，尾水可达到《城镇污水处理厂污染物排放标准》（GB18918-2002）中的一级A标准的要求，经调查自运行以来淮南经济技术开发区工业污水处理厂出水水质均可实现稳定达标排放。</w:t>
            </w:r>
          </w:p>
          <w:p w14:paraId="26BFACD1">
            <w:pPr>
              <w:widowControl/>
              <w:ind w:firstLine="480" w:firstLineChars="200"/>
              <w:rPr>
                <w:color w:val="0000FF"/>
              </w:rPr>
            </w:pPr>
            <w:r>
              <w:rPr>
                <w:rFonts w:hint="eastAsia"/>
                <w:kern w:val="0"/>
                <w:lang w:bidi="en-US"/>
              </w:rPr>
              <w:t>综上，</w:t>
            </w:r>
            <w:r>
              <w:rPr>
                <w:kern w:val="0"/>
                <w:lang w:bidi="en-US"/>
              </w:rPr>
              <w:t>本项目所在区域在淮南经济技术开发区工业污水处理厂服务范围内，且</w:t>
            </w:r>
            <w:r>
              <w:rPr>
                <w:rFonts w:hint="eastAsia" w:ascii="宋体"/>
                <w:kern w:val="0"/>
                <w:lang w:bidi="en-US"/>
              </w:rPr>
              <w:t>淮南经济技术开发区工业污水处理厂有足够的剩余处理容量，本项目不会对其处理能力造</w:t>
            </w:r>
            <w:r>
              <w:rPr>
                <w:rFonts w:hint="eastAsia"/>
                <w:kern w:val="0"/>
                <w:lang w:bidi="en-US"/>
              </w:rPr>
              <w:t>成冲击，因在其设计考虑处理范围内，项目水质经预处理达标排放对纳污水体水质影响较小。本项目废水接管淮南经济技术开发区工业污水处理厂是可行的。</w:t>
            </w:r>
          </w:p>
          <w:p w14:paraId="22558C31">
            <w:r>
              <w:t>5、</w:t>
            </w:r>
            <w:r>
              <w:rPr>
                <w:rFonts w:hint="eastAsia"/>
              </w:rPr>
              <w:t>废水污染物监测要求</w:t>
            </w:r>
          </w:p>
          <w:p w14:paraId="46F00B77">
            <w:pPr>
              <w:ind w:firstLine="480" w:firstLineChars="200"/>
            </w:pPr>
            <w:r>
              <w:t>根据</w:t>
            </w:r>
            <w:r>
              <w:rPr>
                <w:rFonts w:hint="eastAsia"/>
              </w:rPr>
              <w:t>《排污单位自行监测技术指南 总则》（HJ819-2017）、</w:t>
            </w:r>
            <w:bookmarkStart w:id="35" w:name="OLE_LINK31"/>
            <w:r>
              <w:t>《排污单位自行监测技术指南</w:t>
            </w:r>
            <w:r>
              <w:rPr>
                <w:rFonts w:hint="eastAsia"/>
              </w:rPr>
              <w:t xml:space="preserve"> </w:t>
            </w:r>
            <w:r>
              <w:t>储油库、加油站》（HJ1249-2022）</w:t>
            </w:r>
            <w:bookmarkEnd w:id="35"/>
            <w:r>
              <w:t>，项目废</w:t>
            </w:r>
            <w:r>
              <w:rPr>
                <w:rFonts w:hint="eastAsia"/>
              </w:rPr>
              <w:t>水</w:t>
            </w:r>
            <w:r>
              <w:t>监测计划见</w:t>
            </w:r>
            <w:r>
              <w:rPr>
                <w:rFonts w:hint="eastAsia"/>
              </w:rPr>
              <w:t>下表</w:t>
            </w:r>
            <w:r>
              <w:t>。</w:t>
            </w:r>
          </w:p>
          <w:p w14:paraId="01F4C201">
            <w:pPr>
              <w:pStyle w:val="6"/>
            </w:pPr>
            <w:r>
              <w:t xml:space="preserve">表 </w:t>
            </w:r>
            <w:r>
              <w:rPr>
                <w:rFonts w:hint="eastAsia"/>
              </w:rPr>
              <w:t>4-</w:t>
            </w:r>
            <w:r>
              <w:fldChar w:fldCharType="begin"/>
            </w:r>
            <w:r>
              <w:instrText xml:space="preserve"> SEQ 表 \* ARABIC \s 1 </w:instrText>
            </w:r>
            <w:r>
              <w:fldChar w:fldCharType="separate"/>
            </w:r>
            <w:r>
              <w:t>8</w:t>
            </w:r>
            <w:r>
              <w:fldChar w:fldCharType="end"/>
            </w:r>
            <w:r>
              <w:rPr>
                <w:rFonts w:hint="eastAsia"/>
              </w:rPr>
              <w:t xml:space="preserve"> </w:t>
            </w:r>
            <w:r>
              <w:rPr>
                <w:kern w:val="0"/>
                <w:szCs w:val="18"/>
              </w:rPr>
              <w:t>废</w:t>
            </w:r>
            <w:r>
              <w:rPr>
                <w:rFonts w:hint="eastAsia"/>
                <w:kern w:val="0"/>
                <w:szCs w:val="18"/>
              </w:rPr>
              <w:t>水</w:t>
            </w:r>
            <w:r>
              <w:rPr>
                <w:kern w:val="0"/>
                <w:szCs w:val="18"/>
              </w:rPr>
              <w:t>监测计划一览表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946"/>
              <w:gridCol w:w="908"/>
              <w:gridCol w:w="3684"/>
            </w:tblGrid>
            <w:tr w14:paraId="37A4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Align w:val="center"/>
                </w:tcPr>
                <w:p w14:paraId="25C357D0">
                  <w:pPr>
                    <w:pStyle w:val="24"/>
                  </w:pPr>
                  <w:r>
                    <w:t>监测点位</w:t>
                  </w:r>
                </w:p>
              </w:tc>
              <w:tc>
                <w:tcPr>
                  <w:tcW w:w="1946" w:type="dxa"/>
                  <w:vAlign w:val="center"/>
                </w:tcPr>
                <w:p w14:paraId="520C89ED">
                  <w:pPr>
                    <w:pStyle w:val="24"/>
                  </w:pPr>
                  <w:r>
                    <w:t>监测指标</w:t>
                  </w:r>
                </w:p>
              </w:tc>
              <w:tc>
                <w:tcPr>
                  <w:tcW w:w="908" w:type="dxa"/>
                  <w:vAlign w:val="center"/>
                </w:tcPr>
                <w:p w14:paraId="46141EE4">
                  <w:pPr>
                    <w:pStyle w:val="24"/>
                  </w:pPr>
                  <w:r>
                    <w:t>监测频次</w:t>
                  </w:r>
                </w:p>
              </w:tc>
              <w:tc>
                <w:tcPr>
                  <w:tcW w:w="3684" w:type="dxa"/>
                  <w:vAlign w:val="center"/>
                </w:tcPr>
                <w:p w14:paraId="0CF1E9D9">
                  <w:pPr>
                    <w:pStyle w:val="24"/>
                  </w:pPr>
                  <w:r>
                    <w:t>执行排放标准</w:t>
                  </w:r>
                </w:p>
              </w:tc>
            </w:tr>
            <w:tr w14:paraId="6310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Align w:val="center"/>
                </w:tcPr>
                <w:p w14:paraId="49947F57">
                  <w:pPr>
                    <w:widowControl/>
                    <w:adjustRightInd w:val="0"/>
                    <w:snapToGrid w:val="0"/>
                    <w:spacing w:line="240" w:lineRule="auto"/>
                    <w:jc w:val="center"/>
                  </w:pPr>
                  <w:r>
                    <w:rPr>
                      <w:rFonts w:ascii="瀹嬩綋" w:hAnsi="瀹嬩綋" w:eastAsia="瀹嬩綋" w:cs="瀹嬩綋"/>
                      <w:kern w:val="0"/>
                      <w:sz w:val="18"/>
                      <w:szCs w:val="18"/>
                      <w:lang w:bidi="ar"/>
                    </w:rPr>
                    <w:t>废水总排放口</w:t>
                  </w:r>
                </w:p>
              </w:tc>
              <w:tc>
                <w:tcPr>
                  <w:tcW w:w="1946" w:type="dxa"/>
                  <w:vAlign w:val="center"/>
                </w:tcPr>
                <w:p w14:paraId="60E5F6B5">
                  <w:pPr>
                    <w:pStyle w:val="24"/>
                  </w:pPr>
                  <w:r>
                    <w:rPr>
                      <w:rFonts w:hint="eastAsia"/>
                    </w:rPr>
                    <w:t>PH值、CODcr、BOD</w:t>
                  </w:r>
                  <w:r>
                    <w:rPr>
                      <w:rFonts w:hint="eastAsia"/>
                      <w:vertAlign w:val="subscript"/>
                    </w:rPr>
                    <w:t>5</w:t>
                  </w:r>
                  <w:r>
                    <w:rPr>
                      <w:rFonts w:hint="eastAsia"/>
                    </w:rPr>
                    <w:t>、氨氮、SS、石油类、动植物油</w:t>
                  </w:r>
                </w:p>
              </w:tc>
              <w:tc>
                <w:tcPr>
                  <w:tcW w:w="908" w:type="dxa"/>
                  <w:vAlign w:val="center"/>
                </w:tcPr>
                <w:p w14:paraId="7136703E">
                  <w:pPr>
                    <w:pStyle w:val="24"/>
                  </w:pPr>
                  <w:r>
                    <w:t>1次/年</w:t>
                  </w:r>
                </w:p>
              </w:tc>
              <w:tc>
                <w:tcPr>
                  <w:tcW w:w="3684" w:type="dxa"/>
                  <w:vAlign w:val="center"/>
                </w:tcPr>
                <w:p w14:paraId="507CE957">
                  <w:pPr>
                    <w:pStyle w:val="24"/>
                  </w:pPr>
                  <w:r>
                    <w:rPr>
                      <w:rFonts w:hint="eastAsia" w:ascii="宋体" w:hAnsi="宋体" w:cs="宋体"/>
                      <w:lang w:bidi="ar"/>
                    </w:rPr>
                    <w:t>从严执行</w:t>
                  </w:r>
                  <w:r>
                    <w:rPr>
                      <w:rFonts w:hint="eastAsia"/>
                    </w:rPr>
                    <w:t>上窑工业集聚区污水处理厂接管标准、《污水综合排放标准》（GB8978-1996）表4中三级标准</w:t>
                  </w:r>
                </w:p>
              </w:tc>
            </w:tr>
            <w:tr w14:paraId="4BF8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3" w:type="dxa"/>
                  <w:vAlign w:val="center"/>
                </w:tcPr>
                <w:p w14:paraId="1009A427">
                  <w:pPr>
                    <w:widowControl/>
                    <w:adjustRightInd w:val="0"/>
                    <w:snapToGrid w:val="0"/>
                    <w:spacing w:line="240" w:lineRule="auto"/>
                    <w:jc w:val="center"/>
                    <w:rPr>
                      <w:rFonts w:ascii="瀹嬩綋" w:hAnsi="瀹嬩綋" w:eastAsia="瀹嬩綋" w:cs="瀹嬩綋"/>
                      <w:kern w:val="0"/>
                      <w:sz w:val="18"/>
                      <w:szCs w:val="18"/>
                      <w:lang w:bidi="ar"/>
                    </w:rPr>
                  </w:pPr>
                  <w:r>
                    <w:rPr>
                      <w:rFonts w:hint="eastAsia"/>
                      <w:kern w:val="0"/>
                      <w:sz w:val="18"/>
                      <w:szCs w:val="18"/>
                    </w:rPr>
                    <w:t>货车应急维修中心废水出口</w:t>
                  </w:r>
                </w:p>
              </w:tc>
              <w:tc>
                <w:tcPr>
                  <w:tcW w:w="1946" w:type="dxa"/>
                  <w:vAlign w:val="center"/>
                </w:tcPr>
                <w:p w14:paraId="5CEB2C15">
                  <w:pPr>
                    <w:pStyle w:val="24"/>
                  </w:pPr>
                  <w:r>
                    <w:rPr>
                      <w:rFonts w:hint="eastAsia"/>
                    </w:rPr>
                    <w:t>CODcr、SS、石油类、LAS、总磷</w:t>
                  </w:r>
                </w:p>
              </w:tc>
              <w:tc>
                <w:tcPr>
                  <w:tcW w:w="908" w:type="dxa"/>
                  <w:vAlign w:val="center"/>
                </w:tcPr>
                <w:p w14:paraId="4506F925">
                  <w:pPr>
                    <w:pStyle w:val="24"/>
                  </w:pPr>
                  <w:r>
                    <w:t>1次/年</w:t>
                  </w:r>
                </w:p>
              </w:tc>
              <w:tc>
                <w:tcPr>
                  <w:tcW w:w="3684" w:type="dxa"/>
                  <w:vAlign w:val="center"/>
                </w:tcPr>
                <w:p w14:paraId="3790E047">
                  <w:pPr>
                    <w:pStyle w:val="24"/>
                    <w:rPr>
                      <w:rFonts w:hint="eastAsia" w:ascii="宋体" w:hAnsi="宋体" w:cs="宋体"/>
                      <w:lang w:bidi="ar"/>
                    </w:rPr>
                  </w:pPr>
                  <w:r>
                    <w:t>《汽车维修业水污染物排放标准》（GB26877－2011）表2间接排放标准</w:t>
                  </w:r>
                </w:p>
              </w:tc>
            </w:tr>
          </w:tbl>
          <w:p w14:paraId="21702EA9">
            <w:r>
              <w:rPr>
                <w:rFonts w:hint="eastAsia"/>
              </w:rPr>
              <w:t>三、噪声环境影响分析</w:t>
            </w:r>
          </w:p>
          <w:p w14:paraId="67BACF3A">
            <w:r>
              <w:rPr>
                <w:rFonts w:hint="eastAsia"/>
              </w:rPr>
              <w:t>1、噪声源强</w:t>
            </w:r>
          </w:p>
          <w:p w14:paraId="04ACC901">
            <w:pPr>
              <w:adjustRightInd w:val="0"/>
              <w:snapToGrid w:val="0"/>
              <w:ind w:firstLine="480" w:firstLineChars="200"/>
            </w:pPr>
            <w:r>
              <w:t>本项目营运期噪声源主要为加油机</w:t>
            </w:r>
            <w:r>
              <w:rPr>
                <w:rFonts w:hint="eastAsia"/>
              </w:rPr>
              <w:t>（潜油泵）</w:t>
            </w:r>
            <w:r>
              <w:t>、</w:t>
            </w:r>
            <w:r>
              <w:rPr>
                <w:rFonts w:hint="eastAsia"/>
              </w:rPr>
              <w:t>进出车辆</w:t>
            </w:r>
            <w:r>
              <w:t>的噪声</w:t>
            </w:r>
            <w:r>
              <w:rPr>
                <w:rFonts w:hint="eastAsia"/>
              </w:rPr>
              <w:t>以及车辆维修过程中产生噪声</w:t>
            </w:r>
            <w:r>
              <w:t>，噪声源强约为6</w:t>
            </w:r>
            <w:r>
              <w:rPr>
                <w:rFonts w:hint="eastAsia"/>
              </w:rPr>
              <w:t>0~85</w:t>
            </w:r>
            <w:r>
              <w:rPr>
                <w:kern w:val="21"/>
              </w:rPr>
              <w:t>dB（A）</w:t>
            </w:r>
            <w:r>
              <w:t>。</w:t>
            </w:r>
            <w:r>
              <w:rPr>
                <w:rFonts w:hint="eastAsia"/>
              </w:rPr>
              <w:t>具体情况见下表。</w:t>
            </w:r>
          </w:p>
          <w:p w14:paraId="73A7D22C">
            <w:pPr>
              <w:pStyle w:val="6"/>
            </w:pPr>
            <w:bookmarkStart w:id="36" w:name="OLE_LINK34"/>
            <w:r>
              <w:t xml:space="preserve">表 </w:t>
            </w:r>
            <w:r>
              <w:rPr>
                <w:rFonts w:hint="eastAsia"/>
              </w:rPr>
              <w:t>4-</w:t>
            </w:r>
            <w:r>
              <w:fldChar w:fldCharType="begin"/>
            </w:r>
            <w:r>
              <w:instrText xml:space="preserve"> SEQ 表 \* ARABIC \s 1 </w:instrText>
            </w:r>
            <w:r>
              <w:fldChar w:fldCharType="separate"/>
            </w:r>
            <w:r>
              <w:t>9</w:t>
            </w:r>
            <w:r>
              <w:fldChar w:fldCharType="end"/>
            </w:r>
            <w:r>
              <w:rPr>
                <w:rFonts w:hint="eastAsia"/>
              </w:rPr>
              <w:t xml:space="preserve"> </w:t>
            </w:r>
            <w:r>
              <w:rPr>
                <w:bCs/>
                <w:szCs w:val="21"/>
              </w:rPr>
              <w:t>工业企业噪声源强调查清单</w:t>
            </w:r>
            <w:r>
              <w:rPr>
                <w:rFonts w:hint="eastAsia"/>
              </w:rPr>
              <w:t>（室外声源）</w:t>
            </w:r>
          </w:p>
          <w:bookmarkEnd w:id="36"/>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751"/>
              <w:gridCol w:w="751"/>
              <w:gridCol w:w="864"/>
              <w:gridCol w:w="656"/>
              <w:gridCol w:w="645"/>
              <w:gridCol w:w="1338"/>
              <w:gridCol w:w="1092"/>
              <w:gridCol w:w="751"/>
            </w:tblGrid>
            <w:tr w14:paraId="3A06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trPr>
              <w:tc>
                <w:tcPr>
                  <w:tcW w:w="750" w:type="dxa"/>
                  <w:vMerge w:val="restart"/>
                  <w:vAlign w:val="center"/>
                </w:tcPr>
                <w:p w14:paraId="0836E5A3">
                  <w:pPr>
                    <w:pStyle w:val="24"/>
                  </w:pPr>
                  <w:r>
                    <w:t>序号</w:t>
                  </w:r>
                </w:p>
              </w:tc>
              <w:tc>
                <w:tcPr>
                  <w:tcW w:w="1502" w:type="dxa"/>
                  <w:gridSpan w:val="2"/>
                  <w:vMerge w:val="restart"/>
                  <w:vAlign w:val="center"/>
                </w:tcPr>
                <w:p w14:paraId="3D14573C">
                  <w:pPr>
                    <w:pStyle w:val="24"/>
                  </w:pPr>
                  <w:r>
                    <w:t>声源名称</w:t>
                  </w:r>
                </w:p>
              </w:tc>
              <w:tc>
                <w:tcPr>
                  <w:tcW w:w="2165" w:type="dxa"/>
                  <w:gridSpan w:val="3"/>
                  <w:vAlign w:val="center"/>
                </w:tcPr>
                <w:p w14:paraId="50637B67">
                  <w:pPr>
                    <w:pStyle w:val="24"/>
                  </w:pPr>
                  <w:r>
                    <w:t>空间相对位置</w:t>
                  </w:r>
                </w:p>
              </w:tc>
              <w:tc>
                <w:tcPr>
                  <w:tcW w:w="1338" w:type="dxa"/>
                  <w:vMerge w:val="restart"/>
                  <w:vAlign w:val="center"/>
                </w:tcPr>
                <w:p w14:paraId="1381F9C2">
                  <w:pPr>
                    <w:pStyle w:val="24"/>
                  </w:pPr>
                  <w:r>
                    <w:t>声功率级/dB（A）</w:t>
                  </w:r>
                </w:p>
              </w:tc>
              <w:tc>
                <w:tcPr>
                  <w:tcW w:w="1092" w:type="dxa"/>
                  <w:vMerge w:val="restart"/>
                  <w:vAlign w:val="center"/>
                </w:tcPr>
                <w:p w14:paraId="7C574B0F">
                  <w:pPr>
                    <w:pStyle w:val="24"/>
                  </w:pPr>
                  <w:r>
                    <w:t>声源控制措施</w:t>
                  </w:r>
                </w:p>
              </w:tc>
              <w:tc>
                <w:tcPr>
                  <w:tcW w:w="751" w:type="dxa"/>
                  <w:vMerge w:val="restart"/>
                  <w:vAlign w:val="center"/>
                </w:tcPr>
                <w:p w14:paraId="3BE77882">
                  <w:pPr>
                    <w:pStyle w:val="24"/>
                  </w:pPr>
                  <w:r>
                    <w:t>运行时段</w:t>
                  </w:r>
                </w:p>
              </w:tc>
            </w:tr>
            <w:tr w14:paraId="662C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50" w:type="dxa"/>
                  <w:vMerge w:val="continue"/>
                  <w:vAlign w:val="center"/>
                </w:tcPr>
                <w:p w14:paraId="36263DD5">
                  <w:pPr>
                    <w:pStyle w:val="24"/>
                  </w:pPr>
                </w:p>
              </w:tc>
              <w:tc>
                <w:tcPr>
                  <w:tcW w:w="1502" w:type="dxa"/>
                  <w:gridSpan w:val="2"/>
                  <w:vMerge w:val="continue"/>
                  <w:vAlign w:val="center"/>
                </w:tcPr>
                <w:p w14:paraId="741EE61F">
                  <w:pPr>
                    <w:pStyle w:val="24"/>
                  </w:pPr>
                </w:p>
              </w:tc>
              <w:tc>
                <w:tcPr>
                  <w:tcW w:w="864" w:type="dxa"/>
                  <w:vAlign w:val="center"/>
                </w:tcPr>
                <w:p w14:paraId="606F39FB">
                  <w:pPr>
                    <w:pStyle w:val="24"/>
                  </w:pPr>
                  <w:r>
                    <w:t>X</w:t>
                  </w:r>
                </w:p>
              </w:tc>
              <w:tc>
                <w:tcPr>
                  <w:tcW w:w="656" w:type="dxa"/>
                  <w:vAlign w:val="center"/>
                </w:tcPr>
                <w:p w14:paraId="261042CD">
                  <w:pPr>
                    <w:pStyle w:val="24"/>
                  </w:pPr>
                  <w:r>
                    <w:t>Y</w:t>
                  </w:r>
                </w:p>
              </w:tc>
              <w:tc>
                <w:tcPr>
                  <w:tcW w:w="645" w:type="dxa"/>
                  <w:vAlign w:val="center"/>
                </w:tcPr>
                <w:p w14:paraId="58DF8C89">
                  <w:pPr>
                    <w:pStyle w:val="24"/>
                  </w:pPr>
                  <w:r>
                    <w:t>Z</w:t>
                  </w:r>
                </w:p>
              </w:tc>
              <w:tc>
                <w:tcPr>
                  <w:tcW w:w="1338" w:type="dxa"/>
                  <w:vMerge w:val="continue"/>
                  <w:vAlign w:val="center"/>
                </w:tcPr>
                <w:p w14:paraId="131F4A59">
                  <w:pPr>
                    <w:pStyle w:val="24"/>
                  </w:pPr>
                </w:p>
              </w:tc>
              <w:tc>
                <w:tcPr>
                  <w:tcW w:w="1092" w:type="dxa"/>
                  <w:vMerge w:val="continue"/>
                  <w:vAlign w:val="center"/>
                </w:tcPr>
                <w:p w14:paraId="3274055C">
                  <w:pPr>
                    <w:pStyle w:val="24"/>
                  </w:pPr>
                </w:p>
              </w:tc>
              <w:tc>
                <w:tcPr>
                  <w:tcW w:w="751" w:type="dxa"/>
                  <w:vMerge w:val="continue"/>
                  <w:vAlign w:val="center"/>
                </w:tcPr>
                <w:p w14:paraId="27FE69C6">
                  <w:pPr>
                    <w:pStyle w:val="24"/>
                  </w:pPr>
                </w:p>
              </w:tc>
            </w:tr>
            <w:tr w14:paraId="5934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shd w:val="clear" w:color="auto" w:fill="auto"/>
                  <w:vAlign w:val="center"/>
                </w:tcPr>
                <w:p w14:paraId="56EE63C9">
                  <w:pPr>
                    <w:pStyle w:val="24"/>
                  </w:pPr>
                  <w:r>
                    <w:t>1</w:t>
                  </w:r>
                </w:p>
              </w:tc>
              <w:tc>
                <w:tcPr>
                  <w:tcW w:w="1502" w:type="dxa"/>
                  <w:gridSpan w:val="2"/>
                  <w:vAlign w:val="center"/>
                </w:tcPr>
                <w:p w14:paraId="1276FC86">
                  <w:pPr>
                    <w:pStyle w:val="24"/>
                  </w:pPr>
                  <w:r>
                    <w:rPr>
                      <w:rFonts w:hint="eastAsia"/>
                    </w:rPr>
                    <w:t>进出车辆</w:t>
                  </w:r>
                </w:p>
              </w:tc>
              <w:tc>
                <w:tcPr>
                  <w:tcW w:w="2165" w:type="dxa"/>
                  <w:gridSpan w:val="3"/>
                  <w:vAlign w:val="center"/>
                </w:tcPr>
                <w:p w14:paraId="79C266BC">
                  <w:pPr>
                    <w:pStyle w:val="24"/>
                  </w:pPr>
                  <w:r>
                    <w:rPr>
                      <w:rFonts w:hint="eastAsia"/>
                    </w:rPr>
                    <w:t>/</w:t>
                  </w:r>
                </w:p>
              </w:tc>
              <w:tc>
                <w:tcPr>
                  <w:tcW w:w="1338" w:type="dxa"/>
                  <w:vAlign w:val="center"/>
                </w:tcPr>
                <w:p w14:paraId="31EC3422">
                  <w:pPr>
                    <w:pStyle w:val="24"/>
                    <w:rPr>
                      <w:rFonts w:hint="default"/>
                      <w:lang w:val="en-US"/>
                    </w:rPr>
                  </w:pPr>
                  <w:r>
                    <w:rPr>
                      <w:rFonts w:hint="eastAsia"/>
                      <w:lang w:val="en-US" w:eastAsia="zh-CN"/>
                    </w:rPr>
                    <w:t>80</w:t>
                  </w:r>
                </w:p>
              </w:tc>
              <w:tc>
                <w:tcPr>
                  <w:tcW w:w="1092" w:type="dxa"/>
                  <w:vMerge w:val="restart"/>
                  <w:vAlign w:val="center"/>
                </w:tcPr>
                <w:p w14:paraId="4D98BD50">
                  <w:pPr>
                    <w:pStyle w:val="24"/>
                  </w:pPr>
                  <w:r>
                    <w:t>基础减震，优化平面布局</w:t>
                  </w:r>
                </w:p>
              </w:tc>
              <w:tc>
                <w:tcPr>
                  <w:tcW w:w="751" w:type="dxa"/>
                  <w:vAlign w:val="center"/>
                </w:tcPr>
                <w:p w14:paraId="77A39268">
                  <w:pPr>
                    <w:pStyle w:val="24"/>
                  </w:pPr>
                  <w:r>
                    <w:rPr>
                      <w:rFonts w:hint="eastAsia"/>
                    </w:rPr>
                    <w:t>连续</w:t>
                  </w:r>
                </w:p>
              </w:tc>
            </w:tr>
            <w:tr w14:paraId="0386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50" w:type="dxa"/>
                  <w:shd w:val="clear" w:color="auto" w:fill="auto"/>
                  <w:vAlign w:val="center"/>
                </w:tcPr>
                <w:p w14:paraId="50EAAF50">
                  <w:pPr>
                    <w:pStyle w:val="24"/>
                  </w:pPr>
                  <w:r>
                    <w:t>2</w:t>
                  </w:r>
                </w:p>
              </w:tc>
              <w:tc>
                <w:tcPr>
                  <w:tcW w:w="751" w:type="dxa"/>
                  <w:vMerge w:val="restart"/>
                  <w:vAlign w:val="center"/>
                </w:tcPr>
                <w:p w14:paraId="56547511">
                  <w:pPr>
                    <w:pStyle w:val="24"/>
                  </w:pPr>
                  <w:r>
                    <w:rPr>
                      <w:rFonts w:hint="eastAsia"/>
                    </w:rPr>
                    <w:t>综合能源站</w:t>
                  </w:r>
                </w:p>
              </w:tc>
              <w:tc>
                <w:tcPr>
                  <w:tcW w:w="751" w:type="dxa"/>
                  <w:vAlign w:val="center"/>
                </w:tcPr>
                <w:p w14:paraId="011BE153">
                  <w:pPr>
                    <w:pStyle w:val="24"/>
                  </w:pPr>
                  <w:r>
                    <w:t>加油机1</w:t>
                  </w:r>
                </w:p>
              </w:tc>
              <w:tc>
                <w:tcPr>
                  <w:tcW w:w="864" w:type="dxa"/>
                  <w:vAlign w:val="center"/>
                </w:tcPr>
                <w:p w14:paraId="259FDFF5">
                  <w:pPr>
                    <w:pStyle w:val="24"/>
                  </w:pPr>
                  <w:r>
                    <w:rPr>
                      <w:rFonts w:hint="eastAsia"/>
                    </w:rPr>
                    <w:t>87</w:t>
                  </w:r>
                </w:p>
              </w:tc>
              <w:tc>
                <w:tcPr>
                  <w:tcW w:w="656" w:type="dxa"/>
                  <w:vAlign w:val="center"/>
                </w:tcPr>
                <w:p w14:paraId="015F7354">
                  <w:pPr>
                    <w:pStyle w:val="24"/>
                  </w:pPr>
                  <w:r>
                    <w:rPr>
                      <w:rFonts w:hint="eastAsia"/>
                    </w:rPr>
                    <w:t>-181</w:t>
                  </w:r>
                </w:p>
              </w:tc>
              <w:tc>
                <w:tcPr>
                  <w:tcW w:w="645" w:type="dxa"/>
                  <w:vAlign w:val="center"/>
                </w:tcPr>
                <w:p w14:paraId="45D81AC5">
                  <w:pPr>
                    <w:pStyle w:val="24"/>
                  </w:pPr>
                  <w:r>
                    <w:rPr>
                      <w:rFonts w:hint="eastAsia"/>
                    </w:rPr>
                    <w:t>2</w:t>
                  </w:r>
                </w:p>
              </w:tc>
              <w:tc>
                <w:tcPr>
                  <w:tcW w:w="1338" w:type="dxa"/>
                  <w:vAlign w:val="center"/>
                </w:tcPr>
                <w:p w14:paraId="0E87D113">
                  <w:pPr>
                    <w:pStyle w:val="24"/>
                  </w:pPr>
                  <w:r>
                    <w:rPr>
                      <w:rFonts w:hint="eastAsia"/>
                    </w:rPr>
                    <w:t>60</w:t>
                  </w:r>
                </w:p>
              </w:tc>
              <w:tc>
                <w:tcPr>
                  <w:tcW w:w="1092" w:type="dxa"/>
                  <w:vMerge w:val="continue"/>
                  <w:vAlign w:val="center"/>
                </w:tcPr>
                <w:p w14:paraId="0B6C708A">
                  <w:pPr>
                    <w:pStyle w:val="24"/>
                  </w:pPr>
                </w:p>
              </w:tc>
              <w:tc>
                <w:tcPr>
                  <w:tcW w:w="751" w:type="dxa"/>
                  <w:vAlign w:val="center"/>
                </w:tcPr>
                <w:p w14:paraId="5A261F2B">
                  <w:pPr>
                    <w:pStyle w:val="24"/>
                  </w:pPr>
                  <w:r>
                    <w:t>连续</w:t>
                  </w:r>
                </w:p>
              </w:tc>
            </w:tr>
            <w:tr w14:paraId="0852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shd w:val="clear" w:color="auto" w:fill="auto"/>
                  <w:vAlign w:val="center"/>
                </w:tcPr>
                <w:p w14:paraId="5FE56A91">
                  <w:pPr>
                    <w:pStyle w:val="24"/>
                  </w:pPr>
                  <w:r>
                    <w:t>3</w:t>
                  </w:r>
                </w:p>
              </w:tc>
              <w:tc>
                <w:tcPr>
                  <w:tcW w:w="751" w:type="dxa"/>
                  <w:vMerge w:val="continue"/>
                  <w:vAlign w:val="center"/>
                </w:tcPr>
                <w:p w14:paraId="7F362858">
                  <w:pPr>
                    <w:pStyle w:val="24"/>
                  </w:pPr>
                </w:p>
              </w:tc>
              <w:tc>
                <w:tcPr>
                  <w:tcW w:w="751" w:type="dxa"/>
                  <w:vAlign w:val="center"/>
                </w:tcPr>
                <w:p w14:paraId="5BB6B8D8">
                  <w:pPr>
                    <w:pStyle w:val="24"/>
                  </w:pPr>
                  <w:r>
                    <w:t>加油机2</w:t>
                  </w:r>
                </w:p>
              </w:tc>
              <w:tc>
                <w:tcPr>
                  <w:tcW w:w="864" w:type="dxa"/>
                  <w:vAlign w:val="center"/>
                </w:tcPr>
                <w:p w14:paraId="0BDE207F">
                  <w:pPr>
                    <w:pStyle w:val="24"/>
                  </w:pPr>
                  <w:r>
                    <w:rPr>
                      <w:rFonts w:hint="eastAsia"/>
                    </w:rPr>
                    <w:t>87</w:t>
                  </w:r>
                </w:p>
              </w:tc>
              <w:tc>
                <w:tcPr>
                  <w:tcW w:w="656" w:type="dxa"/>
                  <w:vAlign w:val="center"/>
                </w:tcPr>
                <w:p w14:paraId="63915C6F">
                  <w:pPr>
                    <w:pStyle w:val="24"/>
                  </w:pPr>
                  <w:r>
                    <w:rPr>
                      <w:rFonts w:hint="eastAsia"/>
                    </w:rPr>
                    <w:t>-195</w:t>
                  </w:r>
                </w:p>
              </w:tc>
              <w:tc>
                <w:tcPr>
                  <w:tcW w:w="645" w:type="dxa"/>
                  <w:vAlign w:val="center"/>
                </w:tcPr>
                <w:p w14:paraId="5A940648">
                  <w:pPr>
                    <w:pStyle w:val="24"/>
                  </w:pPr>
                  <w:r>
                    <w:rPr>
                      <w:rFonts w:hint="eastAsia"/>
                    </w:rPr>
                    <w:t>2</w:t>
                  </w:r>
                </w:p>
              </w:tc>
              <w:tc>
                <w:tcPr>
                  <w:tcW w:w="1338" w:type="dxa"/>
                  <w:vAlign w:val="center"/>
                </w:tcPr>
                <w:p w14:paraId="7BC1F0F0">
                  <w:pPr>
                    <w:pStyle w:val="24"/>
                  </w:pPr>
                  <w:r>
                    <w:rPr>
                      <w:rFonts w:hint="eastAsia"/>
                    </w:rPr>
                    <w:t>60</w:t>
                  </w:r>
                </w:p>
              </w:tc>
              <w:tc>
                <w:tcPr>
                  <w:tcW w:w="1092" w:type="dxa"/>
                  <w:vMerge w:val="continue"/>
                  <w:vAlign w:val="center"/>
                </w:tcPr>
                <w:p w14:paraId="5A451FE5">
                  <w:pPr>
                    <w:pStyle w:val="24"/>
                  </w:pPr>
                </w:p>
              </w:tc>
              <w:tc>
                <w:tcPr>
                  <w:tcW w:w="751" w:type="dxa"/>
                  <w:vAlign w:val="center"/>
                </w:tcPr>
                <w:p w14:paraId="28E58602">
                  <w:pPr>
                    <w:pStyle w:val="24"/>
                  </w:pPr>
                  <w:r>
                    <w:t>连续</w:t>
                  </w:r>
                </w:p>
              </w:tc>
            </w:tr>
            <w:tr w14:paraId="5F73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shd w:val="clear" w:color="auto" w:fill="auto"/>
                  <w:vAlign w:val="center"/>
                </w:tcPr>
                <w:p w14:paraId="6C30362A">
                  <w:pPr>
                    <w:pStyle w:val="24"/>
                  </w:pPr>
                  <w:r>
                    <w:rPr>
                      <w:rFonts w:hint="eastAsia"/>
                    </w:rPr>
                    <w:t>4</w:t>
                  </w:r>
                </w:p>
              </w:tc>
              <w:tc>
                <w:tcPr>
                  <w:tcW w:w="751" w:type="dxa"/>
                  <w:vMerge w:val="continue"/>
                  <w:vAlign w:val="center"/>
                </w:tcPr>
                <w:p w14:paraId="109AE2A5">
                  <w:pPr>
                    <w:pStyle w:val="24"/>
                  </w:pPr>
                </w:p>
              </w:tc>
              <w:tc>
                <w:tcPr>
                  <w:tcW w:w="751" w:type="dxa"/>
                  <w:vAlign w:val="center"/>
                </w:tcPr>
                <w:p w14:paraId="20F5914F">
                  <w:pPr>
                    <w:pStyle w:val="24"/>
                  </w:pPr>
                  <w:r>
                    <w:t>加油机3</w:t>
                  </w:r>
                </w:p>
              </w:tc>
              <w:tc>
                <w:tcPr>
                  <w:tcW w:w="864" w:type="dxa"/>
                  <w:vAlign w:val="center"/>
                </w:tcPr>
                <w:p w14:paraId="07D4547A">
                  <w:pPr>
                    <w:pStyle w:val="24"/>
                  </w:pPr>
                  <w:r>
                    <w:rPr>
                      <w:rFonts w:hint="eastAsia"/>
                    </w:rPr>
                    <w:t>97</w:t>
                  </w:r>
                </w:p>
              </w:tc>
              <w:tc>
                <w:tcPr>
                  <w:tcW w:w="656" w:type="dxa"/>
                  <w:vAlign w:val="center"/>
                </w:tcPr>
                <w:p w14:paraId="77B97873">
                  <w:pPr>
                    <w:pStyle w:val="24"/>
                  </w:pPr>
                  <w:r>
                    <w:rPr>
                      <w:rFonts w:hint="eastAsia"/>
                    </w:rPr>
                    <w:t>-181</w:t>
                  </w:r>
                </w:p>
              </w:tc>
              <w:tc>
                <w:tcPr>
                  <w:tcW w:w="645" w:type="dxa"/>
                  <w:vAlign w:val="center"/>
                </w:tcPr>
                <w:p w14:paraId="214ED375">
                  <w:pPr>
                    <w:pStyle w:val="24"/>
                  </w:pPr>
                  <w:r>
                    <w:rPr>
                      <w:rFonts w:hint="eastAsia"/>
                    </w:rPr>
                    <w:t>2</w:t>
                  </w:r>
                </w:p>
              </w:tc>
              <w:tc>
                <w:tcPr>
                  <w:tcW w:w="1338" w:type="dxa"/>
                  <w:vAlign w:val="center"/>
                </w:tcPr>
                <w:p w14:paraId="6812F6C2">
                  <w:pPr>
                    <w:pStyle w:val="24"/>
                  </w:pPr>
                  <w:r>
                    <w:rPr>
                      <w:rFonts w:hint="eastAsia"/>
                    </w:rPr>
                    <w:t>60</w:t>
                  </w:r>
                </w:p>
              </w:tc>
              <w:tc>
                <w:tcPr>
                  <w:tcW w:w="1092" w:type="dxa"/>
                  <w:vMerge w:val="continue"/>
                  <w:vAlign w:val="center"/>
                </w:tcPr>
                <w:p w14:paraId="3A9166B7">
                  <w:pPr>
                    <w:pStyle w:val="24"/>
                  </w:pPr>
                </w:p>
              </w:tc>
              <w:tc>
                <w:tcPr>
                  <w:tcW w:w="751" w:type="dxa"/>
                  <w:vAlign w:val="center"/>
                </w:tcPr>
                <w:p w14:paraId="771E4615">
                  <w:pPr>
                    <w:pStyle w:val="24"/>
                  </w:pPr>
                  <w:r>
                    <w:t>连续</w:t>
                  </w:r>
                </w:p>
              </w:tc>
            </w:tr>
            <w:tr w14:paraId="088B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0" w:type="dxa"/>
                  <w:shd w:val="clear" w:color="auto" w:fill="auto"/>
                  <w:vAlign w:val="center"/>
                </w:tcPr>
                <w:p w14:paraId="6BD0B407">
                  <w:pPr>
                    <w:pStyle w:val="24"/>
                  </w:pPr>
                  <w:r>
                    <w:rPr>
                      <w:rFonts w:hint="eastAsia"/>
                    </w:rPr>
                    <w:t>5</w:t>
                  </w:r>
                </w:p>
              </w:tc>
              <w:tc>
                <w:tcPr>
                  <w:tcW w:w="751" w:type="dxa"/>
                  <w:vMerge w:val="continue"/>
                  <w:vAlign w:val="center"/>
                </w:tcPr>
                <w:p w14:paraId="40976AAD">
                  <w:pPr>
                    <w:pStyle w:val="24"/>
                  </w:pPr>
                </w:p>
              </w:tc>
              <w:tc>
                <w:tcPr>
                  <w:tcW w:w="751" w:type="dxa"/>
                  <w:vAlign w:val="center"/>
                </w:tcPr>
                <w:p w14:paraId="0BE44BB0">
                  <w:pPr>
                    <w:pStyle w:val="24"/>
                  </w:pPr>
                  <w:r>
                    <w:t>加油机</w:t>
                  </w:r>
                  <w:r>
                    <w:rPr>
                      <w:rFonts w:hint="eastAsia"/>
                    </w:rPr>
                    <w:t>4</w:t>
                  </w:r>
                </w:p>
              </w:tc>
              <w:tc>
                <w:tcPr>
                  <w:tcW w:w="864" w:type="dxa"/>
                  <w:vAlign w:val="center"/>
                </w:tcPr>
                <w:p w14:paraId="50385470">
                  <w:pPr>
                    <w:pStyle w:val="24"/>
                  </w:pPr>
                  <w:r>
                    <w:rPr>
                      <w:rFonts w:hint="eastAsia"/>
                    </w:rPr>
                    <w:t>97</w:t>
                  </w:r>
                </w:p>
              </w:tc>
              <w:tc>
                <w:tcPr>
                  <w:tcW w:w="656" w:type="dxa"/>
                  <w:vAlign w:val="center"/>
                </w:tcPr>
                <w:p w14:paraId="1C0C1AB1">
                  <w:pPr>
                    <w:pStyle w:val="24"/>
                  </w:pPr>
                  <w:r>
                    <w:rPr>
                      <w:rFonts w:hint="eastAsia"/>
                    </w:rPr>
                    <w:t>-195</w:t>
                  </w:r>
                </w:p>
              </w:tc>
              <w:tc>
                <w:tcPr>
                  <w:tcW w:w="645" w:type="dxa"/>
                  <w:vAlign w:val="center"/>
                </w:tcPr>
                <w:p w14:paraId="1768AF27">
                  <w:pPr>
                    <w:pStyle w:val="24"/>
                  </w:pPr>
                  <w:r>
                    <w:rPr>
                      <w:rFonts w:hint="eastAsia"/>
                    </w:rPr>
                    <w:t>2</w:t>
                  </w:r>
                </w:p>
              </w:tc>
              <w:tc>
                <w:tcPr>
                  <w:tcW w:w="1338" w:type="dxa"/>
                  <w:vAlign w:val="center"/>
                </w:tcPr>
                <w:p w14:paraId="26141D26">
                  <w:pPr>
                    <w:pStyle w:val="24"/>
                  </w:pPr>
                  <w:r>
                    <w:rPr>
                      <w:rFonts w:hint="eastAsia"/>
                    </w:rPr>
                    <w:t>60</w:t>
                  </w:r>
                </w:p>
              </w:tc>
              <w:tc>
                <w:tcPr>
                  <w:tcW w:w="1092" w:type="dxa"/>
                  <w:vMerge w:val="continue"/>
                  <w:vAlign w:val="center"/>
                </w:tcPr>
                <w:p w14:paraId="6CAEF433">
                  <w:pPr>
                    <w:pStyle w:val="24"/>
                  </w:pPr>
                </w:p>
              </w:tc>
              <w:tc>
                <w:tcPr>
                  <w:tcW w:w="751" w:type="dxa"/>
                  <w:vAlign w:val="center"/>
                </w:tcPr>
                <w:p w14:paraId="0EDB279D">
                  <w:pPr>
                    <w:pStyle w:val="24"/>
                  </w:pPr>
                  <w:r>
                    <w:t>连续</w:t>
                  </w:r>
                </w:p>
              </w:tc>
            </w:tr>
            <w:tr w14:paraId="63EC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8" w:type="dxa"/>
                  <w:gridSpan w:val="9"/>
                  <w:vAlign w:val="center"/>
                </w:tcPr>
                <w:p w14:paraId="69A7C2E5">
                  <w:pPr>
                    <w:pStyle w:val="24"/>
                  </w:pPr>
                  <w:r>
                    <w:t>注：坐标原点为项目中心点，X轴方向为</w:t>
                  </w:r>
                  <w:r>
                    <w:rPr>
                      <w:rFonts w:hint="eastAsia"/>
                    </w:rPr>
                    <w:t>平行于朝阳路方向</w:t>
                  </w:r>
                  <w:r>
                    <w:t>，Y轴方向为</w:t>
                  </w:r>
                  <w:r>
                    <w:rPr>
                      <w:rFonts w:hint="eastAsia"/>
                    </w:rPr>
                    <w:t>垂直于道路方向。</w:t>
                  </w:r>
                </w:p>
              </w:tc>
            </w:tr>
          </w:tbl>
          <w:p w14:paraId="0A16637A">
            <w:pPr>
              <w:pStyle w:val="6"/>
            </w:pPr>
            <w:r>
              <w:t xml:space="preserve">表 </w:t>
            </w:r>
            <w:r>
              <w:rPr>
                <w:rFonts w:hint="eastAsia"/>
              </w:rPr>
              <w:t>4-</w:t>
            </w:r>
            <w:r>
              <w:fldChar w:fldCharType="begin"/>
            </w:r>
            <w:r>
              <w:instrText xml:space="preserve"> SEQ 表 \* ARABIC \s 1 </w:instrText>
            </w:r>
            <w:r>
              <w:fldChar w:fldCharType="separate"/>
            </w:r>
            <w:r>
              <w:t>10</w:t>
            </w:r>
            <w:r>
              <w:fldChar w:fldCharType="end"/>
            </w:r>
            <w:r>
              <w:rPr>
                <w:rFonts w:hint="eastAsia"/>
              </w:rPr>
              <w:t xml:space="preserve"> </w:t>
            </w:r>
            <w:r>
              <w:rPr>
                <w:bCs/>
                <w:szCs w:val="21"/>
              </w:rPr>
              <w:t>工业企业噪声源强调查清单</w:t>
            </w:r>
            <w:r>
              <w:rPr>
                <w:rFonts w:hint="eastAsia"/>
              </w:rPr>
              <w:t>（室内声源）</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10"/>
              <w:gridCol w:w="953"/>
              <w:gridCol w:w="825"/>
              <w:gridCol w:w="718"/>
              <w:gridCol w:w="674"/>
              <w:gridCol w:w="1266"/>
              <w:gridCol w:w="1033"/>
              <w:gridCol w:w="710"/>
            </w:tblGrid>
            <w:tr w14:paraId="7842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09" w:type="dxa"/>
                  <w:vMerge w:val="restart"/>
                  <w:vAlign w:val="center"/>
                </w:tcPr>
                <w:p w14:paraId="17F2F0DA">
                  <w:pPr>
                    <w:pStyle w:val="24"/>
                  </w:pPr>
                  <w:r>
                    <w:t>序号</w:t>
                  </w:r>
                </w:p>
              </w:tc>
              <w:tc>
                <w:tcPr>
                  <w:tcW w:w="1663" w:type="dxa"/>
                  <w:gridSpan w:val="2"/>
                  <w:vMerge w:val="restart"/>
                  <w:vAlign w:val="center"/>
                </w:tcPr>
                <w:p w14:paraId="5E0E9124">
                  <w:pPr>
                    <w:pStyle w:val="24"/>
                  </w:pPr>
                  <w:r>
                    <w:t>声源名称</w:t>
                  </w:r>
                </w:p>
              </w:tc>
              <w:tc>
                <w:tcPr>
                  <w:tcW w:w="2217" w:type="dxa"/>
                  <w:gridSpan w:val="3"/>
                  <w:vAlign w:val="center"/>
                </w:tcPr>
                <w:p w14:paraId="6FE309E3">
                  <w:pPr>
                    <w:pStyle w:val="24"/>
                  </w:pPr>
                  <w:r>
                    <w:t>空间相对位置</w:t>
                  </w:r>
                </w:p>
              </w:tc>
              <w:tc>
                <w:tcPr>
                  <w:tcW w:w="1266" w:type="dxa"/>
                  <w:vMerge w:val="restart"/>
                  <w:vAlign w:val="center"/>
                </w:tcPr>
                <w:p w14:paraId="73FF344F">
                  <w:pPr>
                    <w:pStyle w:val="24"/>
                  </w:pPr>
                  <w:r>
                    <w:t>声功率级/dB（A）</w:t>
                  </w:r>
                </w:p>
              </w:tc>
              <w:tc>
                <w:tcPr>
                  <w:tcW w:w="1033" w:type="dxa"/>
                  <w:vMerge w:val="restart"/>
                  <w:vAlign w:val="center"/>
                </w:tcPr>
                <w:p w14:paraId="2086BBCE">
                  <w:pPr>
                    <w:pStyle w:val="24"/>
                  </w:pPr>
                  <w:r>
                    <w:t>声源控制措施</w:t>
                  </w:r>
                </w:p>
              </w:tc>
              <w:tc>
                <w:tcPr>
                  <w:tcW w:w="710" w:type="dxa"/>
                  <w:vMerge w:val="restart"/>
                  <w:vAlign w:val="center"/>
                </w:tcPr>
                <w:p w14:paraId="6BDF801C">
                  <w:pPr>
                    <w:pStyle w:val="24"/>
                  </w:pPr>
                  <w:r>
                    <w:t>运行时段</w:t>
                  </w:r>
                </w:p>
              </w:tc>
            </w:tr>
            <w:tr w14:paraId="625A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09" w:type="dxa"/>
                  <w:vMerge w:val="continue"/>
                  <w:vAlign w:val="center"/>
                </w:tcPr>
                <w:p w14:paraId="31128696">
                  <w:pPr>
                    <w:pStyle w:val="24"/>
                  </w:pPr>
                </w:p>
              </w:tc>
              <w:tc>
                <w:tcPr>
                  <w:tcW w:w="1663" w:type="dxa"/>
                  <w:gridSpan w:val="2"/>
                  <w:vMerge w:val="continue"/>
                  <w:vAlign w:val="center"/>
                </w:tcPr>
                <w:p w14:paraId="2EC1FEBC">
                  <w:pPr>
                    <w:pStyle w:val="24"/>
                  </w:pPr>
                </w:p>
              </w:tc>
              <w:tc>
                <w:tcPr>
                  <w:tcW w:w="825" w:type="dxa"/>
                  <w:vAlign w:val="center"/>
                </w:tcPr>
                <w:p w14:paraId="63564EC2">
                  <w:pPr>
                    <w:pStyle w:val="24"/>
                  </w:pPr>
                  <w:r>
                    <w:t>X</w:t>
                  </w:r>
                </w:p>
              </w:tc>
              <w:tc>
                <w:tcPr>
                  <w:tcW w:w="718" w:type="dxa"/>
                  <w:vAlign w:val="center"/>
                </w:tcPr>
                <w:p w14:paraId="011847DD">
                  <w:pPr>
                    <w:pStyle w:val="24"/>
                  </w:pPr>
                  <w:r>
                    <w:t>Y</w:t>
                  </w:r>
                </w:p>
              </w:tc>
              <w:tc>
                <w:tcPr>
                  <w:tcW w:w="674" w:type="dxa"/>
                  <w:vAlign w:val="center"/>
                </w:tcPr>
                <w:p w14:paraId="1B89A588">
                  <w:pPr>
                    <w:pStyle w:val="24"/>
                  </w:pPr>
                  <w:r>
                    <w:t>Z</w:t>
                  </w:r>
                </w:p>
              </w:tc>
              <w:tc>
                <w:tcPr>
                  <w:tcW w:w="1266" w:type="dxa"/>
                  <w:vMerge w:val="continue"/>
                  <w:vAlign w:val="center"/>
                </w:tcPr>
                <w:p w14:paraId="0AA00763">
                  <w:pPr>
                    <w:pStyle w:val="24"/>
                  </w:pPr>
                </w:p>
              </w:tc>
              <w:tc>
                <w:tcPr>
                  <w:tcW w:w="1033" w:type="dxa"/>
                  <w:vMerge w:val="continue"/>
                  <w:vAlign w:val="center"/>
                </w:tcPr>
                <w:p w14:paraId="384809B0">
                  <w:pPr>
                    <w:pStyle w:val="24"/>
                  </w:pPr>
                </w:p>
              </w:tc>
              <w:tc>
                <w:tcPr>
                  <w:tcW w:w="710" w:type="dxa"/>
                  <w:vMerge w:val="continue"/>
                  <w:vAlign w:val="center"/>
                </w:tcPr>
                <w:p w14:paraId="3EA88748">
                  <w:pPr>
                    <w:pStyle w:val="24"/>
                  </w:pPr>
                </w:p>
              </w:tc>
            </w:tr>
            <w:tr w14:paraId="5C68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4B6B64A5">
                  <w:pPr>
                    <w:pStyle w:val="24"/>
                  </w:pPr>
                  <w:r>
                    <w:rPr>
                      <w:rFonts w:hint="eastAsia"/>
                    </w:rPr>
                    <w:t>1</w:t>
                  </w:r>
                </w:p>
              </w:tc>
              <w:tc>
                <w:tcPr>
                  <w:tcW w:w="710" w:type="dxa"/>
                  <w:vMerge w:val="restart"/>
                  <w:vAlign w:val="center"/>
                </w:tcPr>
                <w:p w14:paraId="7200F172">
                  <w:pPr>
                    <w:pStyle w:val="24"/>
                  </w:pPr>
                  <w:r>
                    <w:rPr>
                      <w:rFonts w:hint="eastAsia"/>
                    </w:rPr>
                    <w:t>货车应急维修中心</w:t>
                  </w:r>
                </w:p>
              </w:tc>
              <w:tc>
                <w:tcPr>
                  <w:tcW w:w="953" w:type="dxa"/>
                  <w:vAlign w:val="center"/>
                </w:tcPr>
                <w:p w14:paraId="293B84A6">
                  <w:pPr>
                    <w:pStyle w:val="24"/>
                  </w:pPr>
                  <w:r>
                    <w:rPr>
                      <w:rFonts w:hint="eastAsia"/>
                    </w:rPr>
                    <w:t>航吊1</w:t>
                  </w:r>
                </w:p>
              </w:tc>
              <w:tc>
                <w:tcPr>
                  <w:tcW w:w="825" w:type="dxa"/>
                  <w:vAlign w:val="center"/>
                </w:tcPr>
                <w:p w14:paraId="6B5C8CE0">
                  <w:pPr>
                    <w:pStyle w:val="24"/>
                  </w:pPr>
                  <w:r>
                    <w:rPr>
                      <w:rFonts w:hint="eastAsia"/>
                    </w:rPr>
                    <w:t>-30</w:t>
                  </w:r>
                </w:p>
              </w:tc>
              <w:tc>
                <w:tcPr>
                  <w:tcW w:w="718" w:type="dxa"/>
                  <w:vAlign w:val="center"/>
                </w:tcPr>
                <w:p w14:paraId="58954C88">
                  <w:pPr>
                    <w:pStyle w:val="24"/>
                  </w:pPr>
                  <w:r>
                    <w:rPr>
                      <w:rFonts w:hint="eastAsia"/>
                    </w:rPr>
                    <w:t>27</w:t>
                  </w:r>
                </w:p>
              </w:tc>
              <w:tc>
                <w:tcPr>
                  <w:tcW w:w="674" w:type="dxa"/>
                  <w:vAlign w:val="center"/>
                </w:tcPr>
                <w:p w14:paraId="72A5F19E">
                  <w:pPr>
                    <w:pStyle w:val="24"/>
                  </w:pPr>
                  <w:r>
                    <w:rPr>
                      <w:rFonts w:hint="eastAsia"/>
                    </w:rPr>
                    <w:t>5</w:t>
                  </w:r>
                </w:p>
              </w:tc>
              <w:tc>
                <w:tcPr>
                  <w:tcW w:w="1266" w:type="dxa"/>
                  <w:vAlign w:val="center"/>
                </w:tcPr>
                <w:p w14:paraId="63333009">
                  <w:pPr>
                    <w:pStyle w:val="24"/>
                  </w:pPr>
                  <w:r>
                    <w:rPr>
                      <w:rFonts w:hint="eastAsia"/>
                    </w:rPr>
                    <w:t>65</w:t>
                  </w:r>
                </w:p>
              </w:tc>
              <w:tc>
                <w:tcPr>
                  <w:tcW w:w="1033" w:type="dxa"/>
                  <w:vMerge w:val="restart"/>
                  <w:vAlign w:val="center"/>
                </w:tcPr>
                <w:p w14:paraId="3DC6AA01">
                  <w:pPr>
                    <w:pStyle w:val="24"/>
                  </w:pPr>
                  <w:r>
                    <w:t>基础减震，优化平面布局</w:t>
                  </w:r>
                </w:p>
              </w:tc>
              <w:tc>
                <w:tcPr>
                  <w:tcW w:w="710" w:type="dxa"/>
                  <w:vAlign w:val="center"/>
                </w:tcPr>
                <w:p w14:paraId="0974AEF3">
                  <w:pPr>
                    <w:pStyle w:val="24"/>
                  </w:pPr>
                  <w:r>
                    <w:rPr>
                      <w:rFonts w:hint="eastAsia"/>
                    </w:rPr>
                    <w:t>偶发持续</w:t>
                  </w:r>
                </w:p>
              </w:tc>
            </w:tr>
            <w:tr w14:paraId="7FEA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29FD1DCE">
                  <w:pPr>
                    <w:pStyle w:val="24"/>
                  </w:pPr>
                  <w:r>
                    <w:rPr>
                      <w:rFonts w:hint="eastAsia"/>
                    </w:rPr>
                    <w:t>2</w:t>
                  </w:r>
                </w:p>
              </w:tc>
              <w:tc>
                <w:tcPr>
                  <w:tcW w:w="710" w:type="dxa"/>
                  <w:vMerge w:val="continue"/>
                  <w:vAlign w:val="center"/>
                </w:tcPr>
                <w:p w14:paraId="6E6D2281">
                  <w:pPr>
                    <w:pStyle w:val="24"/>
                  </w:pPr>
                </w:p>
              </w:tc>
              <w:tc>
                <w:tcPr>
                  <w:tcW w:w="953" w:type="dxa"/>
                  <w:vAlign w:val="center"/>
                </w:tcPr>
                <w:p w14:paraId="6BD19151">
                  <w:pPr>
                    <w:pStyle w:val="24"/>
                  </w:pPr>
                  <w:r>
                    <w:rPr>
                      <w:rFonts w:hint="eastAsia"/>
                    </w:rPr>
                    <w:t>航吊2</w:t>
                  </w:r>
                </w:p>
              </w:tc>
              <w:tc>
                <w:tcPr>
                  <w:tcW w:w="825" w:type="dxa"/>
                  <w:vAlign w:val="center"/>
                </w:tcPr>
                <w:p w14:paraId="61C0C457">
                  <w:pPr>
                    <w:pStyle w:val="24"/>
                  </w:pPr>
                  <w:r>
                    <w:rPr>
                      <w:rFonts w:hint="eastAsia"/>
                    </w:rPr>
                    <w:t>40</w:t>
                  </w:r>
                </w:p>
              </w:tc>
              <w:tc>
                <w:tcPr>
                  <w:tcW w:w="718" w:type="dxa"/>
                  <w:vAlign w:val="center"/>
                </w:tcPr>
                <w:p w14:paraId="3B391772">
                  <w:pPr>
                    <w:pStyle w:val="24"/>
                  </w:pPr>
                  <w:r>
                    <w:rPr>
                      <w:rFonts w:hint="eastAsia"/>
                    </w:rPr>
                    <w:t>29</w:t>
                  </w:r>
                </w:p>
              </w:tc>
              <w:tc>
                <w:tcPr>
                  <w:tcW w:w="674" w:type="dxa"/>
                  <w:vAlign w:val="center"/>
                </w:tcPr>
                <w:p w14:paraId="18454217">
                  <w:pPr>
                    <w:pStyle w:val="24"/>
                  </w:pPr>
                  <w:r>
                    <w:rPr>
                      <w:rFonts w:hint="eastAsia"/>
                    </w:rPr>
                    <w:t>5</w:t>
                  </w:r>
                </w:p>
              </w:tc>
              <w:tc>
                <w:tcPr>
                  <w:tcW w:w="1266" w:type="dxa"/>
                  <w:vAlign w:val="center"/>
                </w:tcPr>
                <w:p w14:paraId="34051F62">
                  <w:pPr>
                    <w:pStyle w:val="24"/>
                  </w:pPr>
                  <w:r>
                    <w:rPr>
                      <w:rFonts w:hint="eastAsia"/>
                    </w:rPr>
                    <w:t>65</w:t>
                  </w:r>
                </w:p>
              </w:tc>
              <w:tc>
                <w:tcPr>
                  <w:tcW w:w="1033" w:type="dxa"/>
                  <w:vMerge w:val="continue"/>
                  <w:vAlign w:val="center"/>
                </w:tcPr>
                <w:p w14:paraId="4391C0D4">
                  <w:pPr>
                    <w:pStyle w:val="24"/>
                  </w:pPr>
                </w:p>
              </w:tc>
              <w:tc>
                <w:tcPr>
                  <w:tcW w:w="710" w:type="dxa"/>
                  <w:vAlign w:val="center"/>
                </w:tcPr>
                <w:p w14:paraId="499F50C5">
                  <w:pPr>
                    <w:pStyle w:val="24"/>
                  </w:pPr>
                  <w:r>
                    <w:rPr>
                      <w:rFonts w:hint="eastAsia"/>
                    </w:rPr>
                    <w:t>偶发持续</w:t>
                  </w:r>
                </w:p>
              </w:tc>
            </w:tr>
            <w:tr w14:paraId="1D8C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5DACF260">
                  <w:pPr>
                    <w:pStyle w:val="24"/>
                  </w:pPr>
                  <w:r>
                    <w:rPr>
                      <w:rFonts w:hint="eastAsia"/>
                    </w:rPr>
                    <w:t>3</w:t>
                  </w:r>
                </w:p>
              </w:tc>
              <w:tc>
                <w:tcPr>
                  <w:tcW w:w="710" w:type="dxa"/>
                  <w:vMerge w:val="continue"/>
                  <w:vAlign w:val="center"/>
                </w:tcPr>
                <w:p w14:paraId="4EDB47D5">
                  <w:pPr>
                    <w:pStyle w:val="24"/>
                  </w:pPr>
                </w:p>
              </w:tc>
              <w:tc>
                <w:tcPr>
                  <w:tcW w:w="953" w:type="dxa"/>
                  <w:vAlign w:val="center"/>
                </w:tcPr>
                <w:p w14:paraId="4D5F92FD">
                  <w:pPr>
                    <w:pStyle w:val="24"/>
                  </w:pPr>
                  <w:r>
                    <w:rPr>
                      <w:rFonts w:hint="eastAsia"/>
                    </w:rPr>
                    <w:t>空气压缩机</w:t>
                  </w:r>
                </w:p>
              </w:tc>
              <w:tc>
                <w:tcPr>
                  <w:tcW w:w="825" w:type="dxa"/>
                  <w:vAlign w:val="center"/>
                </w:tcPr>
                <w:p w14:paraId="6696E13A">
                  <w:pPr>
                    <w:pStyle w:val="24"/>
                  </w:pPr>
                  <w:r>
                    <w:rPr>
                      <w:rFonts w:hint="eastAsia"/>
                    </w:rPr>
                    <w:t>-52</w:t>
                  </w:r>
                </w:p>
              </w:tc>
              <w:tc>
                <w:tcPr>
                  <w:tcW w:w="718" w:type="dxa"/>
                  <w:vAlign w:val="center"/>
                </w:tcPr>
                <w:p w14:paraId="454B6ECC">
                  <w:pPr>
                    <w:pStyle w:val="24"/>
                  </w:pPr>
                  <w:r>
                    <w:rPr>
                      <w:rFonts w:hint="eastAsia"/>
                    </w:rPr>
                    <w:t>16</w:t>
                  </w:r>
                </w:p>
              </w:tc>
              <w:tc>
                <w:tcPr>
                  <w:tcW w:w="674" w:type="dxa"/>
                  <w:vAlign w:val="center"/>
                </w:tcPr>
                <w:p w14:paraId="79E66431">
                  <w:pPr>
                    <w:pStyle w:val="24"/>
                  </w:pPr>
                  <w:r>
                    <w:rPr>
                      <w:rFonts w:hint="eastAsia"/>
                    </w:rPr>
                    <w:t>1</w:t>
                  </w:r>
                </w:p>
              </w:tc>
              <w:tc>
                <w:tcPr>
                  <w:tcW w:w="1266" w:type="dxa"/>
                  <w:vAlign w:val="center"/>
                </w:tcPr>
                <w:p w14:paraId="169EB512">
                  <w:pPr>
                    <w:pStyle w:val="24"/>
                  </w:pPr>
                  <w:r>
                    <w:rPr>
                      <w:rFonts w:hint="eastAsia"/>
                    </w:rPr>
                    <w:t>65</w:t>
                  </w:r>
                </w:p>
              </w:tc>
              <w:tc>
                <w:tcPr>
                  <w:tcW w:w="1033" w:type="dxa"/>
                  <w:vMerge w:val="continue"/>
                  <w:vAlign w:val="center"/>
                </w:tcPr>
                <w:p w14:paraId="61954463">
                  <w:pPr>
                    <w:pStyle w:val="24"/>
                  </w:pPr>
                </w:p>
              </w:tc>
              <w:tc>
                <w:tcPr>
                  <w:tcW w:w="710" w:type="dxa"/>
                  <w:vAlign w:val="center"/>
                </w:tcPr>
                <w:p w14:paraId="366D636E">
                  <w:pPr>
                    <w:pStyle w:val="24"/>
                  </w:pPr>
                  <w:r>
                    <w:rPr>
                      <w:rFonts w:hint="eastAsia"/>
                    </w:rPr>
                    <w:t>偶发持续</w:t>
                  </w:r>
                </w:p>
              </w:tc>
            </w:tr>
            <w:tr w14:paraId="53D2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29B8EE2A">
                  <w:pPr>
                    <w:pStyle w:val="24"/>
                  </w:pPr>
                  <w:r>
                    <w:rPr>
                      <w:rFonts w:hint="eastAsia"/>
                    </w:rPr>
                    <w:t>4</w:t>
                  </w:r>
                </w:p>
              </w:tc>
              <w:tc>
                <w:tcPr>
                  <w:tcW w:w="710" w:type="dxa"/>
                  <w:vMerge w:val="continue"/>
                  <w:vAlign w:val="center"/>
                </w:tcPr>
                <w:p w14:paraId="36958D9C">
                  <w:pPr>
                    <w:pStyle w:val="24"/>
                  </w:pPr>
                </w:p>
              </w:tc>
              <w:tc>
                <w:tcPr>
                  <w:tcW w:w="953" w:type="dxa"/>
                  <w:vAlign w:val="center"/>
                </w:tcPr>
                <w:p w14:paraId="22667709">
                  <w:pPr>
                    <w:pStyle w:val="24"/>
                  </w:pPr>
                  <w:r>
                    <w:rPr>
                      <w:rFonts w:hint="eastAsia"/>
                    </w:rPr>
                    <w:t>车轮动平衡机1</w:t>
                  </w:r>
                </w:p>
              </w:tc>
              <w:tc>
                <w:tcPr>
                  <w:tcW w:w="825" w:type="dxa"/>
                  <w:vAlign w:val="center"/>
                </w:tcPr>
                <w:p w14:paraId="4FF1542F">
                  <w:pPr>
                    <w:pStyle w:val="24"/>
                  </w:pPr>
                  <w:r>
                    <w:rPr>
                      <w:rFonts w:hint="eastAsia"/>
                    </w:rPr>
                    <w:t>-83</w:t>
                  </w:r>
                </w:p>
              </w:tc>
              <w:tc>
                <w:tcPr>
                  <w:tcW w:w="718" w:type="dxa"/>
                  <w:vAlign w:val="center"/>
                </w:tcPr>
                <w:p w14:paraId="78376696">
                  <w:pPr>
                    <w:pStyle w:val="24"/>
                  </w:pPr>
                  <w:r>
                    <w:rPr>
                      <w:rFonts w:hint="eastAsia"/>
                    </w:rPr>
                    <w:t>25</w:t>
                  </w:r>
                </w:p>
              </w:tc>
              <w:tc>
                <w:tcPr>
                  <w:tcW w:w="674" w:type="dxa"/>
                  <w:vAlign w:val="center"/>
                </w:tcPr>
                <w:p w14:paraId="00678EB1">
                  <w:pPr>
                    <w:pStyle w:val="24"/>
                  </w:pPr>
                  <w:r>
                    <w:rPr>
                      <w:rFonts w:hint="eastAsia"/>
                    </w:rPr>
                    <w:t>1</w:t>
                  </w:r>
                </w:p>
              </w:tc>
              <w:tc>
                <w:tcPr>
                  <w:tcW w:w="1266" w:type="dxa"/>
                  <w:vAlign w:val="center"/>
                </w:tcPr>
                <w:p w14:paraId="1FD9DC11">
                  <w:pPr>
                    <w:pStyle w:val="24"/>
                  </w:pPr>
                  <w:r>
                    <w:rPr>
                      <w:rFonts w:hint="eastAsia"/>
                    </w:rPr>
                    <w:t>60</w:t>
                  </w:r>
                </w:p>
              </w:tc>
              <w:tc>
                <w:tcPr>
                  <w:tcW w:w="1033" w:type="dxa"/>
                  <w:vMerge w:val="continue"/>
                  <w:vAlign w:val="center"/>
                </w:tcPr>
                <w:p w14:paraId="03DC41C3">
                  <w:pPr>
                    <w:pStyle w:val="24"/>
                  </w:pPr>
                </w:p>
              </w:tc>
              <w:tc>
                <w:tcPr>
                  <w:tcW w:w="710" w:type="dxa"/>
                  <w:vAlign w:val="center"/>
                </w:tcPr>
                <w:p w14:paraId="33D37F93">
                  <w:pPr>
                    <w:pStyle w:val="24"/>
                  </w:pPr>
                  <w:r>
                    <w:rPr>
                      <w:rFonts w:hint="eastAsia"/>
                    </w:rPr>
                    <w:t>偶发持续</w:t>
                  </w:r>
                </w:p>
              </w:tc>
            </w:tr>
            <w:tr w14:paraId="1610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3BF964B0">
                  <w:pPr>
                    <w:pStyle w:val="24"/>
                  </w:pPr>
                  <w:r>
                    <w:rPr>
                      <w:rFonts w:hint="eastAsia"/>
                    </w:rPr>
                    <w:t>5</w:t>
                  </w:r>
                </w:p>
              </w:tc>
              <w:tc>
                <w:tcPr>
                  <w:tcW w:w="710" w:type="dxa"/>
                  <w:vMerge w:val="continue"/>
                  <w:vAlign w:val="center"/>
                </w:tcPr>
                <w:p w14:paraId="699877D2">
                  <w:pPr>
                    <w:pStyle w:val="24"/>
                  </w:pPr>
                </w:p>
              </w:tc>
              <w:tc>
                <w:tcPr>
                  <w:tcW w:w="953" w:type="dxa"/>
                  <w:vAlign w:val="center"/>
                </w:tcPr>
                <w:p w14:paraId="1939A2DC">
                  <w:pPr>
                    <w:pStyle w:val="24"/>
                  </w:pPr>
                  <w:r>
                    <w:rPr>
                      <w:rFonts w:hint="eastAsia"/>
                    </w:rPr>
                    <w:t>车轮动平衡机2</w:t>
                  </w:r>
                </w:p>
              </w:tc>
              <w:tc>
                <w:tcPr>
                  <w:tcW w:w="825" w:type="dxa"/>
                  <w:vAlign w:val="center"/>
                </w:tcPr>
                <w:p w14:paraId="53299728">
                  <w:pPr>
                    <w:pStyle w:val="24"/>
                  </w:pPr>
                  <w:r>
                    <w:rPr>
                      <w:rFonts w:hint="eastAsia"/>
                    </w:rPr>
                    <w:t>11</w:t>
                  </w:r>
                </w:p>
              </w:tc>
              <w:tc>
                <w:tcPr>
                  <w:tcW w:w="718" w:type="dxa"/>
                  <w:vAlign w:val="center"/>
                </w:tcPr>
                <w:p w14:paraId="7D98AD13">
                  <w:pPr>
                    <w:pStyle w:val="24"/>
                  </w:pPr>
                  <w:r>
                    <w:rPr>
                      <w:rFonts w:hint="eastAsia"/>
                    </w:rPr>
                    <w:t>23</w:t>
                  </w:r>
                </w:p>
              </w:tc>
              <w:tc>
                <w:tcPr>
                  <w:tcW w:w="674" w:type="dxa"/>
                  <w:vAlign w:val="center"/>
                </w:tcPr>
                <w:p w14:paraId="6534A00C">
                  <w:pPr>
                    <w:pStyle w:val="24"/>
                  </w:pPr>
                  <w:r>
                    <w:rPr>
                      <w:rFonts w:hint="eastAsia"/>
                    </w:rPr>
                    <w:t>1</w:t>
                  </w:r>
                </w:p>
              </w:tc>
              <w:tc>
                <w:tcPr>
                  <w:tcW w:w="1266" w:type="dxa"/>
                  <w:vAlign w:val="center"/>
                </w:tcPr>
                <w:p w14:paraId="2EECC6CD">
                  <w:pPr>
                    <w:pStyle w:val="24"/>
                  </w:pPr>
                  <w:r>
                    <w:rPr>
                      <w:rFonts w:hint="eastAsia"/>
                    </w:rPr>
                    <w:t>60</w:t>
                  </w:r>
                </w:p>
              </w:tc>
              <w:tc>
                <w:tcPr>
                  <w:tcW w:w="1033" w:type="dxa"/>
                  <w:vMerge w:val="continue"/>
                  <w:vAlign w:val="center"/>
                </w:tcPr>
                <w:p w14:paraId="4C93632A">
                  <w:pPr>
                    <w:pStyle w:val="24"/>
                  </w:pPr>
                </w:p>
              </w:tc>
              <w:tc>
                <w:tcPr>
                  <w:tcW w:w="710" w:type="dxa"/>
                  <w:vAlign w:val="center"/>
                </w:tcPr>
                <w:p w14:paraId="4D50210B">
                  <w:pPr>
                    <w:pStyle w:val="24"/>
                  </w:pPr>
                  <w:r>
                    <w:rPr>
                      <w:rFonts w:hint="eastAsia"/>
                    </w:rPr>
                    <w:t>偶发持续</w:t>
                  </w:r>
                </w:p>
              </w:tc>
            </w:tr>
            <w:tr w14:paraId="0CE4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10475E4A">
                  <w:pPr>
                    <w:pStyle w:val="24"/>
                  </w:pPr>
                  <w:r>
                    <w:rPr>
                      <w:rFonts w:hint="eastAsia"/>
                    </w:rPr>
                    <w:t>6</w:t>
                  </w:r>
                </w:p>
              </w:tc>
              <w:tc>
                <w:tcPr>
                  <w:tcW w:w="710" w:type="dxa"/>
                  <w:vMerge w:val="continue"/>
                  <w:vAlign w:val="center"/>
                </w:tcPr>
                <w:p w14:paraId="1CF8FD79">
                  <w:pPr>
                    <w:pStyle w:val="24"/>
                  </w:pPr>
                </w:p>
              </w:tc>
              <w:tc>
                <w:tcPr>
                  <w:tcW w:w="953" w:type="dxa"/>
                  <w:vAlign w:val="center"/>
                </w:tcPr>
                <w:p w14:paraId="1720D477">
                  <w:pPr>
                    <w:pStyle w:val="24"/>
                  </w:pPr>
                  <w:r>
                    <w:t>二氧化碳保护焊机</w:t>
                  </w:r>
                </w:p>
              </w:tc>
              <w:tc>
                <w:tcPr>
                  <w:tcW w:w="825" w:type="dxa"/>
                  <w:vAlign w:val="center"/>
                </w:tcPr>
                <w:p w14:paraId="618393F9">
                  <w:pPr>
                    <w:pStyle w:val="24"/>
                  </w:pPr>
                  <w:r>
                    <w:rPr>
                      <w:rFonts w:hint="eastAsia"/>
                    </w:rPr>
                    <w:t>-76</w:t>
                  </w:r>
                </w:p>
              </w:tc>
              <w:tc>
                <w:tcPr>
                  <w:tcW w:w="718" w:type="dxa"/>
                  <w:vAlign w:val="center"/>
                </w:tcPr>
                <w:p w14:paraId="0FD0A0E2">
                  <w:pPr>
                    <w:pStyle w:val="24"/>
                  </w:pPr>
                  <w:r>
                    <w:rPr>
                      <w:rFonts w:hint="eastAsia"/>
                    </w:rPr>
                    <w:t>42</w:t>
                  </w:r>
                </w:p>
              </w:tc>
              <w:tc>
                <w:tcPr>
                  <w:tcW w:w="674" w:type="dxa"/>
                  <w:vAlign w:val="center"/>
                </w:tcPr>
                <w:p w14:paraId="51B8C761">
                  <w:pPr>
                    <w:pStyle w:val="24"/>
                  </w:pPr>
                  <w:r>
                    <w:rPr>
                      <w:rFonts w:hint="eastAsia"/>
                    </w:rPr>
                    <w:t>1</w:t>
                  </w:r>
                </w:p>
              </w:tc>
              <w:tc>
                <w:tcPr>
                  <w:tcW w:w="1266" w:type="dxa"/>
                  <w:vAlign w:val="center"/>
                </w:tcPr>
                <w:p w14:paraId="38C5C6CE">
                  <w:pPr>
                    <w:pStyle w:val="24"/>
                  </w:pPr>
                  <w:r>
                    <w:rPr>
                      <w:rFonts w:hint="eastAsia"/>
                    </w:rPr>
                    <w:t>80</w:t>
                  </w:r>
                </w:p>
              </w:tc>
              <w:tc>
                <w:tcPr>
                  <w:tcW w:w="1033" w:type="dxa"/>
                  <w:vMerge w:val="continue"/>
                  <w:vAlign w:val="center"/>
                </w:tcPr>
                <w:p w14:paraId="16689C43">
                  <w:pPr>
                    <w:pStyle w:val="24"/>
                  </w:pPr>
                </w:p>
              </w:tc>
              <w:tc>
                <w:tcPr>
                  <w:tcW w:w="710" w:type="dxa"/>
                  <w:vAlign w:val="center"/>
                </w:tcPr>
                <w:p w14:paraId="463F7E7F">
                  <w:pPr>
                    <w:pStyle w:val="24"/>
                  </w:pPr>
                  <w:r>
                    <w:rPr>
                      <w:rFonts w:hint="eastAsia"/>
                    </w:rPr>
                    <w:t>偶发间断</w:t>
                  </w:r>
                </w:p>
              </w:tc>
            </w:tr>
            <w:tr w14:paraId="2E29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3A9718CC">
                  <w:pPr>
                    <w:pStyle w:val="24"/>
                  </w:pPr>
                  <w:r>
                    <w:rPr>
                      <w:rFonts w:hint="eastAsia"/>
                    </w:rPr>
                    <w:t>7</w:t>
                  </w:r>
                </w:p>
              </w:tc>
              <w:tc>
                <w:tcPr>
                  <w:tcW w:w="710" w:type="dxa"/>
                  <w:vMerge w:val="continue"/>
                  <w:vAlign w:val="center"/>
                </w:tcPr>
                <w:p w14:paraId="519F0CA5">
                  <w:pPr>
                    <w:pStyle w:val="24"/>
                  </w:pPr>
                </w:p>
              </w:tc>
              <w:tc>
                <w:tcPr>
                  <w:tcW w:w="953" w:type="dxa"/>
                  <w:vAlign w:val="center"/>
                </w:tcPr>
                <w:p w14:paraId="5DB4FB2B">
                  <w:pPr>
                    <w:pStyle w:val="24"/>
                  </w:pPr>
                  <w:r>
                    <w:t>二氧化碳保护焊机</w:t>
                  </w:r>
                </w:p>
              </w:tc>
              <w:tc>
                <w:tcPr>
                  <w:tcW w:w="825" w:type="dxa"/>
                  <w:vAlign w:val="center"/>
                </w:tcPr>
                <w:p w14:paraId="031489AD">
                  <w:pPr>
                    <w:pStyle w:val="24"/>
                  </w:pPr>
                  <w:r>
                    <w:rPr>
                      <w:rFonts w:hint="eastAsia"/>
                    </w:rPr>
                    <w:t>-74</w:t>
                  </w:r>
                </w:p>
              </w:tc>
              <w:tc>
                <w:tcPr>
                  <w:tcW w:w="718" w:type="dxa"/>
                  <w:vAlign w:val="center"/>
                </w:tcPr>
                <w:p w14:paraId="45F25849">
                  <w:pPr>
                    <w:pStyle w:val="24"/>
                  </w:pPr>
                  <w:r>
                    <w:rPr>
                      <w:rFonts w:hint="eastAsia"/>
                    </w:rPr>
                    <w:t>39</w:t>
                  </w:r>
                </w:p>
              </w:tc>
              <w:tc>
                <w:tcPr>
                  <w:tcW w:w="674" w:type="dxa"/>
                  <w:vAlign w:val="center"/>
                </w:tcPr>
                <w:p w14:paraId="7D31C953">
                  <w:pPr>
                    <w:pStyle w:val="24"/>
                  </w:pPr>
                  <w:r>
                    <w:rPr>
                      <w:rFonts w:hint="eastAsia"/>
                    </w:rPr>
                    <w:t>1</w:t>
                  </w:r>
                </w:p>
              </w:tc>
              <w:tc>
                <w:tcPr>
                  <w:tcW w:w="1266" w:type="dxa"/>
                  <w:vAlign w:val="center"/>
                </w:tcPr>
                <w:p w14:paraId="7A058011">
                  <w:pPr>
                    <w:pStyle w:val="24"/>
                  </w:pPr>
                  <w:r>
                    <w:rPr>
                      <w:rFonts w:hint="eastAsia"/>
                    </w:rPr>
                    <w:t>80</w:t>
                  </w:r>
                </w:p>
              </w:tc>
              <w:tc>
                <w:tcPr>
                  <w:tcW w:w="1033" w:type="dxa"/>
                  <w:vMerge w:val="continue"/>
                  <w:vAlign w:val="center"/>
                </w:tcPr>
                <w:p w14:paraId="400F0363">
                  <w:pPr>
                    <w:pStyle w:val="24"/>
                  </w:pPr>
                </w:p>
              </w:tc>
              <w:tc>
                <w:tcPr>
                  <w:tcW w:w="710" w:type="dxa"/>
                  <w:vAlign w:val="center"/>
                </w:tcPr>
                <w:p w14:paraId="1B01C682">
                  <w:pPr>
                    <w:pStyle w:val="24"/>
                  </w:pPr>
                  <w:r>
                    <w:rPr>
                      <w:rFonts w:hint="eastAsia"/>
                    </w:rPr>
                    <w:t>偶发间断</w:t>
                  </w:r>
                </w:p>
              </w:tc>
            </w:tr>
            <w:tr w14:paraId="4E77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7A98130D">
                  <w:pPr>
                    <w:pStyle w:val="24"/>
                  </w:pPr>
                  <w:r>
                    <w:rPr>
                      <w:rFonts w:hint="eastAsia"/>
                    </w:rPr>
                    <w:t>8</w:t>
                  </w:r>
                </w:p>
              </w:tc>
              <w:tc>
                <w:tcPr>
                  <w:tcW w:w="710" w:type="dxa"/>
                  <w:vMerge w:val="continue"/>
                  <w:vAlign w:val="center"/>
                </w:tcPr>
                <w:p w14:paraId="371FCCD0">
                  <w:pPr>
                    <w:pStyle w:val="24"/>
                  </w:pPr>
                </w:p>
              </w:tc>
              <w:tc>
                <w:tcPr>
                  <w:tcW w:w="953" w:type="dxa"/>
                  <w:vAlign w:val="center"/>
                </w:tcPr>
                <w:p w14:paraId="5A012166">
                  <w:pPr>
                    <w:pStyle w:val="24"/>
                  </w:pPr>
                  <w:r>
                    <w:rPr>
                      <w:rFonts w:hint="eastAsia"/>
                    </w:rPr>
                    <w:t>拆胎机</w:t>
                  </w:r>
                </w:p>
              </w:tc>
              <w:tc>
                <w:tcPr>
                  <w:tcW w:w="825" w:type="dxa"/>
                  <w:vAlign w:val="center"/>
                </w:tcPr>
                <w:p w14:paraId="786B3E16">
                  <w:pPr>
                    <w:pStyle w:val="24"/>
                  </w:pPr>
                  <w:r>
                    <w:rPr>
                      <w:rFonts w:hint="eastAsia"/>
                    </w:rPr>
                    <w:t>28</w:t>
                  </w:r>
                </w:p>
              </w:tc>
              <w:tc>
                <w:tcPr>
                  <w:tcW w:w="718" w:type="dxa"/>
                  <w:vAlign w:val="center"/>
                </w:tcPr>
                <w:p w14:paraId="4539D1BF">
                  <w:pPr>
                    <w:pStyle w:val="24"/>
                  </w:pPr>
                  <w:r>
                    <w:rPr>
                      <w:rFonts w:hint="eastAsia"/>
                    </w:rPr>
                    <w:t>34</w:t>
                  </w:r>
                </w:p>
              </w:tc>
              <w:tc>
                <w:tcPr>
                  <w:tcW w:w="674" w:type="dxa"/>
                  <w:vAlign w:val="center"/>
                </w:tcPr>
                <w:p w14:paraId="56305AB0">
                  <w:pPr>
                    <w:pStyle w:val="24"/>
                  </w:pPr>
                  <w:r>
                    <w:rPr>
                      <w:rFonts w:hint="eastAsia"/>
                    </w:rPr>
                    <w:t>1</w:t>
                  </w:r>
                </w:p>
              </w:tc>
              <w:tc>
                <w:tcPr>
                  <w:tcW w:w="1266" w:type="dxa"/>
                  <w:vAlign w:val="center"/>
                </w:tcPr>
                <w:p w14:paraId="1813E4A9">
                  <w:pPr>
                    <w:pStyle w:val="24"/>
                  </w:pPr>
                  <w:r>
                    <w:rPr>
                      <w:rFonts w:hint="eastAsia"/>
                    </w:rPr>
                    <w:t>75</w:t>
                  </w:r>
                </w:p>
              </w:tc>
              <w:tc>
                <w:tcPr>
                  <w:tcW w:w="1033" w:type="dxa"/>
                  <w:vMerge w:val="continue"/>
                  <w:vAlign w:val="center"/>
                </w:tcPr>
                <w:p w14:paraId="4E37EF40">
                  <w:pPr>
                    <w:pStyle w:val="24"/>
                  </w:pPr>
                </w:p>
              </w:tc>
              <w:tc>
                <w:tcPr>
                  <w:tcW w:w="710" w:type="dxa"/>
                  <w:vAlign w:val="center"/>
                </w:tcPr>
                <w:p w14:paraId="52E24B82">
                  <w:pPr>
                    <w:pStyle w:val="24"/>
                  </w:pPr>
                  <w:r>
                    <w:rPr>
                      <w:rFonts w:hint="eastAsia"/>
                    </w:rPr>
                    <w:t>偶发持续</w:t>
                  </w:r>
                </w:p>
              </w:tc>
            </w:tr>
            <w:tr w14:paraId="0CA8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5B24F11B">
                  <w:pPr>
                    <w:pStyle w:val="24"/>
                  </w:pPr>
                  <w:r>
                    <w:rPr>
                      <w:rFonts w:hint="eastAsia"/>
                    </w:rPr>
                    <w:t>9</w:t>
                  </w:r>
                </w:p>
              </w:tc>
              <w:tc>
                <w:tcPr>
                  <w:tcW w:w="710" w:type="dxa"/>
                  <w:vMerge w:val="continue"/>
                  <w:vAlign w:val="center"/>
                </w:tcPr>
                <w:p w14:paraId="33428C20">
                  <w:pPr>
                    <w:pStyle w:val="24"/>
                  </w:pPr>
                </w:p>
              </w:tc>
              <w:tc>
                <w:tcPr>
                  <w:tcW w:w="953" w:type="dxa"/>
                  <w:vAlign w:val="center"/>
                </w:tcPr>
                <w:p w14:paraId="1B067002">
                  <w:pPr>
                    <w:pStyle w:val="24"/>
                  </w:pPr>
                  <w:r>
                    <w:rPr>
                      <w:rFonts w:hint="eastAsia"/>
                    </w:rPr>
                    <w:t>举升机1</w:t>
                  </w:r>
                </w:p>
              </w:tc>
              <w:tc>
                <w:tcPr>
                  <w:tcW w:w="825" w:type="dxa"/>
                  <w:vAlign w:val="center"/>
                </w:tcPr>
                <w:p w14:paraId="6103C209">
                  <w:pPr>
                    <w:pStyle w:val="24"/>
                  </w:pPr>
                  <w:r>
                    <w:rPr>
                      <w:rFonts w:hint="eastAsia"/>
                    </w:rPr>
                    <w:t>-25</w:t>
                  </w:r>
                </w:p>
              </w:tc>
              <w:tc>
                <w:tcPr>
                  <w:tcW w:w="718" w:type="dxa"/>
                  <w:vAlign w:val="center"/>
                </w:tcPr>
                <w:p w14:paraId="6837ADC8">
                  <w:pPr>
                    <w:pStyle w:val="24"/>
                  </w:pPr>
                  <w:r>
                    <w:rPr>
                      <w:rFonts w:hint="eastAsia"/>
                    </w:rPr>
                    <w:t>26</w:t>
                  </w:r>
                </w:p>
              </w:tc>
              <w:tc>
                <w:tcPr>
                  <w:tcW w:w="674" w:type="dxa"/>
                  <w:vAlign w:val="center"/>
                </w:tcPr>
                <w:p w14:paraId="3B12BBAE">
                  <w:pPr>
                    <w:pStyle w:val="24"/>
                  </w:pPr>
                  <w:r>
                    <w:rPr>
                      <w:rFonts w:hint="eastAsia"/>
                    </w:rPr>
                    <w:t>1</w:t>
                  </w:r>
                </w:p>
              </w:tc>
              <w:tc>
                <w:tcPr>
                  <w:tcW w:w="1266" w:type="dxa"/>
                  <w:vAlign w:val="center"/>
                </w:tcPr>
                <w:p w14:paraId="58B6DCDF">
                  <w:pPr>
                    <w:pStyle w:val="24"/>
                  </w:pPr>
                  <w:r>
                    <w:rPr>
                      <w:rFonts w:hint="eastAsia"/>
                    </w:rPr>
                    <w:t>70</w:t>
                  </w:r>
                </w:p>
              </w:tc>
              <w:tc>
                <w:tcPr>
                  <w:tcW w:w="1033" w:type="dxa"/>
                  <w:vMerge w:val="continue"/>
                  <w:vAlign w:val="center"/>
                </w:tcPr>
                <w:p w14:paraId="7A444EF8">
                  <w:pPr>
                    <w:pStyle w:val="24"/>
                  </w:pPr>
                </w:p>
              </w:tc>
              <w:tc>
                <w:tcPr>
                  <w:tcW w:w="710" w:type="dxa"/>
                  <w:vAlign w:val="center"/>
                </w:tcPr>
                <w:p w14:paraId="299678E1">
                  <w:pPr>
                    <w:pStyle w:val="24"/>
                  </w:pPr>
                  <w:r>
                    <w:rPr>
                      <w:rFonts w:hint="eastAsia"/>
                    </w:rPr>
                    <w:t>偶发持续</w:t>
                  </w:r>
                </w:p>
              </w:tc>
            </w:tr>
            <w:tr w14:paraId="58E7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2930715F">
                  <w:pPr>
                    <w:pStyle w:val="24"/>
                  </w:pPr>
                  <w:r>
                    <w:rPr>
                      <w:rFonts w:hint="eastAsia"/>
                    </w:rPr>
                    <w:t>10</w:t>
                  </w:r>
                </w:p>
              </w:tc>
              <w:tc>
                <w:tcPr>
                  <w:tcW w:w="710" w:type="dxa"/>
                  <w:vMerge w:val="continue"/>
                  <w:vAlign w:val="center"/>
                </w:tcPr>
                <w:p w14:paraId="427A1903">
                  <w:pPr>
                    <w:pStyle w:val="24"/>
                  </w:pPr>
                </w:p>
              </w:tc>
              <w:tc>
                <w:tcPr>
                  <w:tcW w:w="953" w:type="dxa"/>
                  <w:vAlign w:val="center"/>
                </w:tcPr>
                <w:p w14:paraId="611E5736">
                  <w:pPr>
                    <w:pStyle w:val="24"/>
                  </w:pPr>
                  <w:r>
                    <w:rPr>
                      <w:rFonts w:hint="eastAsia"/>
                    </w:rPr>
                    <w:t>举升机2</w:t>
                  </w:r>
                </w:p>
              </w:tc>
              <w:tc>
                <w:tcPr>
                  <w:tcW w:w="825" w:type="dxa"/>
                  <w:vAlign w:val="center"/>
                </w:tcPr>
                <w:p w14:paraId="6404ABA0">
                  <w:pPr>
                    <w:pStyle w:val="24"/>
                  </w:pPr>
                  <w:r>
                    <w:rPr>
                      <w:rFonts w:hint="eastAsia"/>
                    </w:rPr>
                    <w:t>35</w:t>
                  </w:r>
                </w:p>
              </w:tc>
              <w:tc>
                <w:tcPr>
                  <w:tcW w:w="718" w:type="dxa"/>
                  <w:vAlign w:val="center"/>
                </w:tcPr>
                <w:p w14:paraId="22390061">
                  <w:pPr>
                    <w:pStyle w:val="24"/>
                  </w:pPr>
                  <w:r>
                    <w:rPr>
                      <w:rFonts w:hint="eastAsia"/>
                    </w:rPr>
                    <w:t>26</w:t>
                  </w:r>
                </w:p>
              </w:tc>
              <w:tc>
                <w:tcPr>
                  <w:tcW w:w="674" w:type="dxa"/>
                  <w:vAlign w:val="center"/>
                </w:tcPr>
                <w:p w14:paraId="7FD04840">
                  <w:pPr>
                    <w:pStyle w:val="24"/>
                  </w:pPr>
                  <w:r>
                    <w:rPr>
                      <w:rFonts w:hint="eastAsia"/>
                    </w:rPr>
                    <w:t>1</w:t>
                  </w:r>
                </w:p>
              </w:tc>
              <w:tc>
                <w:tcPr>
                  <w:tcW w:w="1266" w:type="dxa"/>
                  <w:vAlign w:val="center"/>
                </w:tcPr>
                <w:p w14:paraId="7470B63C">
                  <w:pPr>
                    <w:pStyle w:val="24"/>
                  </w:pPr>
                  <w:r>
                    <w:rPr>
                      <w:rFonts w:hint="eastAsia"/>
                    </w:rPr>
                    <w:t>70</w:t>
                  </w:r>
                </w:p>
              </w:tc>
              <w:tc>
                <w:tcPr>
                  <w:tcW w:w="1033" w:type="dxa"/>
                  <w:vMerge w:val="continue"/>
                  <w:vAlign w:val="center"/>
                </w:tcPr>
                <w:p w14:paraId="230C06B9">
                  <w:pPr>
                    <w:pStyle w:val="24"/>
                  </w:pPr>
                </w:p>
              </w:tc>
              <w:tc>
                <w:tcPr>
                  <w:tcW w:w="710" w:type="dxa"/>
                  <w:vAlign w:val="center"/>
                </w:tcPr>
                <w:p w14:paraId="1F6AA27A">
                  <w:pPr>
                    <w:pStyle w:val="24"/>
                  </w:pPr>
                  <w:r>
                    <w:rPr>
                      <w:rFonts w:hint="eastAsia"/>
                    </w:rPr>
                    <w:t>偶发持续</w:t>
                  </w:r>
                </w:p>
              </w:tc>
            </w:tr>
            <w:tr w14:paraId="5C30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54E737E7">
                  <w:pPr>
                    <w:pStyle w:val="24"/>
                  </w:pPr>
                  <w:r>
                    <w:rPr>
                      <w:rFonts w:hint="eastAsia"/>
                    </w:rPr>
                    <w:t>11</w:t>
                  </w:r>
                </w:p>
              </w:tc>
              <w:tc>
                <w:tcPr>
                  <w:tcW w:w="710" w:type="dxa"/>
                  <w:vMerge w:val="continue"/>
                  <w:vAlign w:val="center"/>
                </w:tcPr>
                <w:p w14:paraId="45588E1B">
                  <w:pPr>
                    <w:pStyle w:val="24"/>
                  </w:pPr>
                </w:p>
              </w:tc>
              <w:tc>
                <w:tcPr>
                  <w:tcW w:w="953" w:type="dxa"/>
                  <w:vAlign w:val="center"/>
                </w:tcPr>
                <w:p w14:paraId="71507EF1">
                  <w:pPr>
                    <w:pStyle w:val="24"/>
                  </w:pPr>
                  <w:r>
                    <w:rPr>
                      <w:rFonts w:hint="eastAsia"/>
                    </w:rPr>
                    <w:t>手电钻</w:t>
                  </w:r>
                </w:p>
              </w:tc>
              <w:tc>
                <w:tcPr>
                  <w:tcW w:w="825" w:type="dxa"/>
                  <w:vAlign w:val="center"/>
                </w:tcPr>
                <w:p w14:paraId="3822DB49">
                  <w:pPr>
                    <w:pStyle w:val="24"/>
                  </w:pPr>
                  <w:r>
                    <w:rPr>
                      <w:rFonts w:hint="eastAsia"/>
                    </w:rPr>
                    <w:t>-67</w:t>
                  </w:r>
                </w:p>
              </w:tc>
              <w:tc>
                <w:tcPr>
                  <w:tcW w:w="718" w:type="dxa"/>
                  <w:vAlign w:val="center"/>
                </w:tcPr>
                <w:p w14:paraId="2C43638D">
                  <w:pPr>
                    <w:pStyle w:val="24"/>
                  </w:pPr>
                  <w:r>
                    <w:rPr>
                      <w:rFonts w:hint="eastAsia"/>
                    </w:rPr>
                    <w:t>25</w:t>
                  </w:r>
                </w:p>
              </w:tc>
              <w:tc>
                <w:tcPr>
                  <w:tcW w:w="674" w:type="dxa"/>
                  <w:vAlign w:val="center"/>
                </w:tcPr>
                <w:p w14:paraId="304EDE82">
                  <w:pPr>
                    <w:pStyle w:val="24"/>
                  </w:pPr>
                  <w:r>
                    <w:rPr>
                      <w:rFonts w:hint="eastAsia"/>
                    </w:rPr>
                    <w:t>1</w:t>
                  </w:r>
                </w:p>
              </w:tc>
              <w:tc>
                <w:tcPr>
                  <w:tcW w:w="1266" w:type="dxa"/>
                  <w:vAlign w:val="center"/>
                </w:tcPr>
                <w:p w14:paraId="5CBAE33D">
                  <w:pPr>
                    <w:pStyle w:val="24"/>
                  </w:pPr>
                  <w:r>
                    <w:rPr>
                      <w:rFonts w:hint="eastAsia"/>
                    </w:rPr>
                    <w:t>85</w:t>
                  </w:r>
                </w:p>
              </w:tc>
              <w:tc>
                <w:tcPr>
                  <w:tcW w:w="1033" w:type="dxa"/>
                  <w:vMerge w:val="continue"/>
                  <w:vAlign w:val="center"/>
                </w:tcPr>
                <w:p w14:paraId="08AC75FA">
                  <w:pPr>
                    <w:pStyle w:val="24"/>
                  </w:pPr>
                </w:p>
              </w:tc>
              <w:tc>
                <w:tcPr>
                  <w:tcW w:w="710" w:type="dxa"/>
                  <w:vAlign w:val="center"/>
                </w:tcPr>
                <w:p w14:paraId="5B36B0FD">
                  <w:pPr>
                    <w:pStyle w:val="24"/>
                  </w:pPr>
                  <w:r>
                    <w:rPr>
                      <w:rFonts w:hint="eastAsia"/>
                    </w:rPr>
                    <w:t>偶发间断</w:t>
                  </w:r>
                </w:p>
              </w:tc>
            </w:tr>
            <w:tr w14:paraId="4702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56D3973C">
                  <w:pPr>
                    <w:pStyle w:val="24"/>
                  </w:pPr>
                  <w:r>
                    <w:rPr>
                      <w:rFonts w:hint="eastAsia"/>
                    </w:rPr>
                    <w:t>12</w:t>
                  </w:r>
                </w:p>
              </w:tc>
              <w:tc>
                <w:tcPr>
                  <w:tcW w:w="710" w:type="dxa"/>
                  <w:vMerge w:val="continue"/>
                  <w:vAlign w:val="center"/>
                </w:tcPr>
                <w:p w14:paraId="0E5DC380">
                  <w:pPr>
                    <w:pStyle w:val="24"/>
                  </w:pPr>
                </w:p>
              </w:tc>
              <w:tc>
                <w:tcPr>
                  <w:tcW w:w="953" w:type="dxa"/>
                  <w:vAlign w:val="center"/>
                </w:tcPr>
                <w:p w14:paraId="3E21ABCA">
                  <w:pPr>
                    <w:pStyle w:val="24"/>
                  </w:pPr>
                  <w:r>
                    <w:rPr>
                      <w:rFonts w:hint="eastAsia"/>
                    </w:rPr>
                    <w:t>冲击钻</w:t>
                  </w:r>
                </w:p>
              </w:tc>
              <w:tc>
                <w:tcPr>
                  <w:tcW w:w="825" w:type="dxa"/>
                  <w:vAlign w:val="center"/>
                </w:tcPr>
                <w:p w14:paraId="2CC83741">
                  <w:pPr>
                    <w:pStyle w:val="24"/>
                  </w:pPr>
                  <w:r>
                    <w:rPr>
                      <w:rFonts w:hint="eastAsia"/>
                    </w:rPr>
                    <w:t>18</w:t>
                  </w:r>
                </w:p>
              </w:tc>
              <w:tc>
                <w:tcPr>
                  <w:tcW w:w="718" w:type="dxa"/>
                  <w:vAlign w:val="center"/>
                </w:tcPr>
                <w:p w14:paraId="17FC8E69">
                  <w:pPr>
                    <w:pStyle w:val="24"/>
                  </w:pPr>
                  <w:r>
                    <w:rPr>
                      <w:rFonts w:hint="eastAsia"/>
                    </w:rPr>
                    <w:t>36</w:t>
                  </w:r>
                </w:p>
              </w:tc>
              <w:tc>
                <w:tcPr>
                  <w:tcW w:w="674" w:type="dxa"/>
                  <w:vAlign w:val="center"/>
                </w:tcPr>
                <w:p w14:paraId="4EF004CC">
                  <w:pPr>
                    <w:pStyle w:val="24"/>
                  </w:pPr>
                  <w:r>
                    <w:rPr>
                      <w:rFonts w:hint="eastAsia"/>
                    </w:rPr>
                    <w:t>1</w:t>
                  </w:r>
                </w:p>
              </w:tc>
              <w:tc>
                <w:tcPr>
                  <w:tcW w:w="1266" w:type="dxa"/>
                  <w:vAlign w:val="center"/>
                </w:tcPr>
                <w:p w14:paraId="68F4D7DB">
                  <w:pPr>
                    <w:pStyle w:val="24"/>
                  </w:pPr>
                  <w:r>
                    <w:rPr>
                      <w:rFonts w:hint="eastAsia"/>
                    </w:rPr>
                    <w:t>85</w:t>
                  </w:r>
                </w:p>
              </w:tc>
              <w:tc>
                <w:tcPr>
                  <w:tcW w:w="1033" w:type="dxa"/>
                  <w:vMerge w:val="continue"/>
                  <w:vAlign w:val="center"/>
                </w:tcPr>
                <w:p w14:paraId="1409CCEB">
                  <w:pPr>
                    <w:pStyle w:val="24"/>
                  </w:pPr>
                </w:p>
              </w:tc>
              <w:tc>
                <w:tcPr>
                  <w:tcW w:w="710" w:type="dxa"/>
                  <w:vAlign w:val="center"/>
                </w:tcPr>
                <w:p w14:paraId="57071D79">
                  <w:pPr>
                    <w:pStyle w:val="24"/>
                  </w:pPr>
                  <w:r>
                    <w:rPr>
                      <w:rFonts w:hint="eastAsia"/>
                    </w:rPr>
                    <w:t>偶发间断</w:t>
                  </w:r>
                </w:p>
              </w:tc>
            </w:tr>
            <w:tr w14:paraId="6ED6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4A5F0D3C">
                  <w:pPr>
                    <w:pStyle w:val="24"/>
                  </w:pPr>
                  <w:r>
                    <w:rPr>
                      <w:rFonts w:hint="eastAsia"/>
                    </w:rPr>
                    <w:t>13</w:t>
                  </w:r>
                </w:p>
              </w:tc>
              <w:tc>
                <w:tcPr>
                  <w:tcW w:w="710" w:type="dxa"/>
                  <w:vMerge w:val="continue"/>
                  <w:vAlign w:val="center"/>
                </w:tcPr>
                <w:p w14:paraId="3B8B8313">
                  <w:pPr>
                    <w:pStyle w:val="24"/>
                  </w:pPr>
                </w:p>
              </w:tc>
              <w:tc>
                <w:tcPr>
                  <w:tcW w:w="953" w:type="dxa"/>
                  <w:vAlign w:val="center"/>
                </w:tcPr>
                <w:p w14:paraId="7230464B">
                  <w:pPr>
                    <w:pStyle w:val="24"/>
                  </w:pPr>
                  <w:r>
                    <w:rPr>
                      <w:rFonts w:hint="eastAsia"/>
                    </w:rPr>
                    <w:t>砂轮机1</w:t>
                  </w:r>
                </w:p>
              </w:tc>
              <w:tc>
                <w:tcPr>
                  <w:tcW w:w="825" w:type="dxa"/>
                  <w:vAlign w:val="center"/>
                </w:tcPr>
                <w:p w14:paraId="410595A5">
                  <w:pPr>
                    <w:pStyle w:val="24"/>
                  </w:pPr>
                  <w:r>
                    <w:rPr>
                      <w:rFonts w:hint="eastAsia"/>
                    </w:rPr>
                    <w:t>-13</w:t>
                  </w:r>
                </w:p>
              </w:tc>
              <w:tc>
                <w:tcPr>
                  <w:tcW w:w="718" w:type="dxa"/>
                  <w:vAlign w:val="center"/>
                </w:tcPr>
                <w:p w14:paraId="0E4AB216">
                  <w:pPr>
                    <w:pStyle w:val="24"/>
                  </w:pPr>
                  <w:r>
                    <w:rPr>
                      <w:rFonts w:hint="eastAsia"/>
                    </w:rPr>
                    <w:t>37</w:t>
                  </w:r>
                </w:p>
              </w:tc>
              <w:tc>
                <w:tcPr>
                  <w:tcW w:w="674" w:type="dxa"/>
                  <w:vAlign w:val="center"/>
                </w:tcPr>
                <w:p w14:paraId="629EB2FB">
                  <w:pPr>
                    <w:pStyle w:val="24"/>
                  </w:pPr>
                  <w:r>
                    <w:rPr>
                      <w:rFonts w:hint="eastAsia"/>
                    </w:rPr>
                    <w:t>1</w:t>
                  </w:r>
                </w:p>
              </w:tc>
              <w:tc>
                <w:tcPr>
                  <w:tcW w:w="1266" w:type="dxa"/>
                  <w:vAlign w:val="center"/>
                </w:tcPr>
                <w:p w14:paraId="7D4541D6">
                  <w:pPr>
                    <w:pStyle w:val="24"/>
                  </w:pPr>
                  <w:r>
                    <w:rPr>
                      <w:rFonts w:hint="eastAsia"/>
                    </w:rPr>
                    <w:t>80</w:t>
                  </w:r>
                </w:p>
              </w:tc>
              <w:tc>
                <w:tcPr>
                  <w:tcW w:w="1033" w:type="dxa"/>
                  <w:vMerge w:val="continue"/>
                  <w:vAlign w:val="center"/>
                </w:tcPr>
                <w:p w14:paraId="64FBBC34">
                  <w:pPr>
                    <w:pStyle w:val="24"/>
                  </w:pPr>
                </w:p>
              </w:tc>
              <w:tc>
                <w:tcPr>
                  <w:tcW w:w="710" w:type="dxa"/>
                  <w:vAlign w:val="center"/>
                </w:tcPr>
                <w:p w14:paraId="287014B2">
                  <w:pPr>
                    <w:pStyle w:val="24"/>
                  </w:pPr>
                  <w:r>
                    <w:rPr>
                      <w:rFonts w:hint="eastAsia"/>
                    </w:rPr>
                    <w:t>偶发间断</w:t>
                  </w:r>
                </w:p>
              </w:tc>
            </w:tr>
            <w:tr w14:paraId="469A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tcBorders>
                    <w:right w:val="single" w:color="auto" w:sz="4" w:space="0"/>
                  </w:tcBorders>
                  <w:shd w:val="clear" w:color="auto" w:fill="auto"/>
                  <w:vAlign w:val="center"/>
                </w:tcPr>
                <w:p w14:paraId="40FE2A37">
                  <w:pPr>
                    <w:pStyle w:val="24"/>
                  </w:pPr>
                  <w:r>
                    <w:rPr>
                      <w:rFonts w:hint="eastAsia"/>
                    </w:rPr>
                    <w:t>14</w:t>
                  </w:r>
                </w:p>
              </w:tc>
              <w:tc>
                <w:tcPr>
                  <w:tcW w:w="710" w:type="dxa"/>
                  <w:vMerge w:val="continue"/>
                  <w:vAlign w:val="center"/>
                </w:tcPr>
                <w:p w14:paraId="71A668A7">
                  <w:pPr>
                    <w:pStyle w:val="24"/>
                  </w:pPr>
                </w:p>
              </w:tc>
              <w:tc>
                <w:tcPr>
                  <w:tcW w:w="953" w:type="dxa"/>
                  <w:tcBorders>
                    <w:left w:val="single" w:color="auto" w:sz="4" w:space="0"/>
                  </w:tcBorders>
                  <w:vAlign w:val="center"/>
                </w:tcPr>
                <w:p w14:paraId="1809C55B">
                  <w:pPr>
                    <w:pStyle w:val="24"/>
                  </w:pPr>
                  <w:r>
                    <w:rPr>
                      <w:rFonts w:hint="eastAsia"/>
                    </w:rPr>
                    <w:t>砂轮机2</w:t>
                  </w:r>
                </w:p>
              </w:tc>
              <w:tc>
                <w:tcPr>
                  <w:tcW w:w="825" w:type="dxa"/>
                  <w:vAlign w:val="center"/>
                </w:tcPr>
                <w:p w14:paraId="49E5031C">
                  <w:pPr>
                    <w:pStyle w:val="24"/>
                  </w:pPr>
                  <w:r>
                    <w:rPr>
                      <w:rFonts w:hint="eastAsia"/>
                    </w:rPr>
                    <w:t>-15</w:t>
                  </w:r>
                </w:p>
              </w:tc>
              <w:tc>
                <w:tcPr>
                  <w:tcW w:w="718" w:type="dxa"/>
                  <w:vAlign w:val="center"/>
                </w:tcPr>
                <w:p w14:paraId="71B514D9">
                  <w:pPr>
                    <w:pStyle w:val="24"/>
                  </w:pPr>
                  <w:r>
                    <w:rPr>
                      <w:rFonts w:hint="eastAsia"/>
                    </w:rPr>
                    <w:t>35</w:t>
                  </w:r>
                </w:p>
              </w:tc>
              <w:tc>
                <w:tcPr>
                  <w:tcW w:w="674" w:type="dxa"/>
                  <w:vAlign w:val="center"/>
                </w:tcPr>
                <w:p w14:paraId="4AEDB434">
                  <w:pPr>
                    <w:pStyle w:val="24"/>
                  </w:pPr>
                  <w:r>
                    <w:rPr>
                      <w:rFonts w:hint="eastAsia"/>
                    </w:rPr>
                    <w:t>1</w:t>
                  </w:r>
                </w:p>
              </w:tc>
              <w:tc>
                <w:tcPr>
                  <w:tcW w:w="1266" w:type="dxa"/>
                  <w:vAlign w:val="center"/>
                </w:tcPr>
                <w:p w14:paraId="1C2713F9">
                  <w:pPr>
                    <w:pStyle w:val="24"/>
                  </w:pPr>
                  <w:r>
                    <w:rPr>
                      <w:rFonts w:hint="eastAsia"/>
                    </w:rPr>
                    <w:t>80</w:t>
                  </w:r>
                </w:p>
              </w:tc>
              <w:tc>
                <w:tcPr>
                  <w:tcW w:w="1033" w:type="dxa"/>
                  <w:vMerge w:val="continue"/>
                  <w:vAlign w:val="center"/>
                </w:tcPr>
                <w:p w14:paraId="2235EC35">
                  <w:pPr>
                    <w:pStyle w:val="24"/>
                  </w:pPr>
                </w:p>
              </w:tc>
              <w:tc>
                <w:tcPr>
                  <w:tcW w:w="710" w:type="dxa"/>
                  <w:vAlign w:val="center"/>
                </w:tcPr>
                <w:p w14:paraId="09B3824D">
                  <w:pPr>
                    <w:pStyle w:val="24"/>
                  </w:pPr>
                  <w:r>
                    <w:rPr>
                      <w:rFonts w:hint="eastAsia"/>
                    </w:rPr>
                    <w:t>偶发间断</w:t>
                  </w:r>
                </w:p>
              </w:tc>
            </w:tr>
            <w:tr w14:paraId="00C4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2FD3DDB7">
                  <w:pPr>
                    <w:pStyle w:val="24"/>
                  </w:pPr>
                  <w:r>
                    <w:rPr>
                      <w:rFonts w:hint="eastAsia"/>
                    </w:rPr>
                    <w:t>15</w:t>
                  </w:r>
                </w:p>
              </w:tc>
              <w:tc>
                <w:tcPr>
                  <w:tcW w:w="710" w:type="dxa"/>
                  <w:vMerge w:val="continue"/>
                  <w:vAlign w:val="center"/>
                </w:tcPr>
                <w:p w14:paraId="6DED9217">
                  <w:pPr>
                    <w:pStyle w:val="24"/>
                  </w:pPr>
                </w:p>
              </w:tc>
              <w:tc>
                <w:tcPr>
                  <w:tcW w:w="953" w:type="dxa"/>
                  <w:vAlign w:val="center"/>
                </w:tcPr>
                <w:p w14:paraId="4E0A69AD">
                  <w:pPr>
                    <w:pStyle w:val="24"/>
                  </w:pPr>
                  <w:r>
                    <w:rPr>
                      <w:rFonts w:hint="eastAsia"/>
                    </w:rPr>
                    <w:t>角磨机1</w:t>
                  </w:r>
                </w:p>
              </w:tc>
              <w:tc>
                <w:tcPr>
                  <w:tcW w:w="825" w:type="dxa"/>
                  <w:vAlign w:val="center"/>
                </w:tcPr>
                <w:p w14:paraId="0084EC4A">
                  <w:pPr>
                    <w:pStyle w:val="24"/>
                  </w:pPr>
                  <w:r>
                    <w:rPr>
                      <w:rFonts w:hint="eastAsia"/>
                    </w:rPr>
                    <w:t>-26</w:t>
                  </w:r>
                </w:p>
              </w:tc>
              <w:tc>
                <w:tcPr>
                  <w:tcW w:w="718" w:type="dxa"/>
                  <w:vAlign w:val="center"/>
                </w:tcPr>
                <w:p w14:paraId="06698F94">
                  <w:pPr>
                    <w:pStyle w:val="24"/>
                  </w:pPr>
                  <w:r>
                    <w:rPr>
                      <w:rFonts w:hint="eastAsia"/>
                    </w:rPr>
                    <w:t>42</w:t>
                  </w:r>
                </w:p>
              </w:tc>
              <w:tc>
                <w:tcPr>
                  <w:tcW w:w="674" w:type="dxa"/>
                  <w:vAlign w:val="center"/>
                </w:tcPr>
                <w:p w14:paraId="1AB5D931">
                  <w:pPr>
                    <w:pStyle w:val="24"/>
                  </w:pPr>
                  <w:r>
                    <w:rPr>
                      <w:rFonts w:hint="eastAsia"/>
                    </w:rPr>
                    <w:t>1</w:t>
                  </w:r>
                </w:p>
              </w:tc>
              <w:tc>
                <w:tcPr>
                  <w:tcW w:w="1266" w:type="dxa"/>
                  <w:vAlign w:val="center"/>
                </w:tcPr>
                <w:p w14:paraId="4D59E328">
                  <w:pPr>
                    <w:pStyle w:val="24"/>
                  </w:pPr>
                  <w:r>
                    <w:rPr>
                      <w:rFonts w:hint="eastAsia"/>
                    </w:rPr>
                    <w:t>85</w:t>
                  </w:r>
                </w:p>
              </w:tc>
              <w:tc>
                <w:tcPr>
                  <w:tcW w:w="1033" w:type="dxa"/>
                  <w:vMerge w:val="continue"/>
                  <w:vAlign w:val="center"/>
                </w:tcPr>
                <w:p w14:paraId="0C6C527C">
                  <w:pPr>
                    <w:pStyle w:val="24"/>
                  </w:pPr>
                </w:p>
              </w:tc>
              <w:tc>
                <w:tcPr>
                  <w:tcW w:w="710" w:type="dxa"/>
                  <w:vAlign w:val="center"/>
                </w:tcPr>
                <w:p w14:paraId="32A50BDB">
                  <w:pPr>
                    <w:pStyle w:val="24"/>
                  </w:pPr>
                  <w:r>
                    <w:rPr>
                      <w:rFonts w:hint="eastAsia"/>
                    </w:rPr>
                    <w:t>偶发间断</w:t>
                  </w:r>
                </w:p>
              </w:tc>
            </w:tr>
            <w:tr w14:paraId="335F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119C35D2">
                  <w:pPr>
                    <w:pStyle w:val="24"/>
                  </w:pPr>
                  <w:r>
                    <w:rPr>
                      <w:rFonts w:hint="eastAsia"/>
                    </w:rPr>
                    <w:t>16</w:t>
                  </w:r>
                </w:p>
              </w:tc>
              <w:tc>
                <w:tcPr>
                  <w:tcW w:w="710" w:type="dxa"/>
                  <w:vMerge w:val="continue"/>
                  <w:vAlign w:val="center"/>
                </w:tcPr>
                <w:p w14:paraId="30C9662C">
                  <w:pPr>
                    <w:pStyle w:val="24"/>
                  </w:pPr>
                </w:p>
              </w:tc>
              <w:tc>
                <w:tcPr>
                  <w:tcW w:w="953" w:type="dxa"/>
                  <w:vAlign w:val="center"/>
                </w:tcPr>
                <w:p w14:paraId="396183C2">
                  <w:pPr>
                    <w:pStyle w:val="24"/>
                  </w:pPr>
                  <w:r>
                    <w:rPr>
                      <w:rFonts w:hint="eastAsia"/>
                    </w:rPr>
                    <w:t>角磨机2</w:t>
                  </w:r>
                </w:p>
              </w:tc>
              <w:tc>
                <w:tcPr>
                  <w:tcW w:w="825" w:type="dxa"/>
                  <w:vAlign w:val="center"/>
                </w:tcPr>
                <w:p w14:paraId="6D087C88">
                  <w:pPr>
                    <w:pStyle w:val="24"/>
                  </w:pPr>
                  <w:r>
                    <w:rPr>
                      <w:rFonts w:hint="eastAsia"/>
                    </w:rPr>
                    <w:t>-28</w:t>
                  </w:r>
                </w:p>
              </w:tc>
              <w:tc>
                <w:tcPr>
                  <w:tcW w:w="718" w:type="dxa"/>
                  <w:vAlign w:val="center"/>
                </w:tcPr>
                <w:p w14:paraId="799E67D6">
                  <w:pPr>
                    <w:pStyle w:val="24"/>
                  </w:pPr>
                  <w:r>
                    <w:rPr>
                      <w:rFonts w:hint="eastAsia"/>
                    </w:rPr>
                    <w:t>42</w:t>
                  </w:r>
                </w:p>
              </w:tc>
              <w:tc>
                <w:tcPr>
                  <w:tcW w:w="674" w:type="dxa"/>
                  <w:vAlign w:val="center"/>
                </w:tcPr>
                <w:p w14:paraId="4D027574">
                  <w:pPr>
                    <w:pStyle w:val="24"/>
                  </w:pPr>
                  <w:r>
                    <w:rPr>
                      <w:rFonts w:hint="eastAsia"/>
                    </w:rPr>
                    <w:t>1</w:t>
                  </w:r>
                </w:p>
              </w:tc>
              <w:tc>
                <w:tcPr>
                  <w:tcW w:w="1266" w:type="dxa"/>
                  <w:vAlign w:val="center"/>
                </w:tcPr>
                <w:p w14:paraId="7260AE97">
                  <w:pPr>
                    <w:pStyle w:val="24"/>
                  </w:pPr>
                  <w:r>
                    <w:rPr>
                      <w:rFonts w:hint="eastAsia"/>
                    </w:rPr>
                    <w:t>85</w:t>
                  </w:r>
                </w:p>
              </w:tc>
              <w:tc>
                <w:tcPr>
                  <w:tcW w:w="1033" w:type="dxa"/>
                  <w:vMerge w:val="continue"/>
                  <w:vAlign w:val="center"/>
                </w:tcPr>
                <w:p w14:paraId="0216D3B1">
                  <w:pPr>
                    <w:pStyle w:val="24"/>
                  </w:pPr>
                </w:p>
              </w:tc>
              <w:tc>
                <w:tcPr>
                  <w:tcW w:w="710" w:type="dxa"/>
                  <w:vAlign w:val="center"/>
                </w:tcPr>
                <w:p w14:paraId="40C3D217">
                  <w:pPr>
                    <w:pStyle w:val="24"/>
                  </w:pPr>
                  <w:r>
                    <w:rPr>
                      <w:rFonts w:hint="eastAsia"/>
                    </w:rPr>
                    <w:t>偶发间断</w:t>
                  </w:r>
                </w:p>
              </w:tc>
            </w:tr>
            <w:tr w14:paraId="2FF0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shd w:val="clear" w:color="auto" w:fill="auto"/>
                  <w:vAlign w:val="center"/>
                </w:tcPr>
                <w:p w14:paraId="350763E3">
                  <w:pPr>
                    <w:pStyle w:val="24"/>
                    <w:rPr>
                      <w:rFonts w:hint="default" w:eastAsia="宋体"/>
                      <w:lang w:val="en-US" w:eastAsia="zh-CN"/>
                    </w:rPr>
                  </w:pPr>
                  <w:r>
                    <w:rPr>
                      <w:rFonts w:hint="eastAsia"/>
                      <w:lang w:val="en-US" w:eastAsia="zh-CN"/>
                    </w:rPr>
                    <w:t>17</w:t>
                  </w:r>
                </w:p>
              </w:tc>
              <w:tc>
                <w:tcPr>
                  <w:tcW w:w="710" w:type="dxa"/>
                  <w:vMerge w:val="continue"/>
                  <w:vAlign w:val="center"/>
                </w:tcPr>
                <w:p w14:paraId="4ABE3FEC">
                  <w:pPr>
                    <w:pStyle w:val="24"/>
                  </w:pPr>
                </w:p>
              </w:tc>
              <w:tc>
                <w:tcPr>
                  <w:tcW w:w="3170" w:type="dxa"/>
                  <w:gridSpan w:val="4"/>
                  <w:vAlign w:val="center"/>
                </w:tcPr>
                <w:p w14:paraId="0CEEF63A">
                  <w:pPr>
                    <w:pStyle w:val="24"/>
                    <w:rPr>
                      <w:rFonts w:hint="eastAsia"/>
                    </w:rPr>
                  </w:pPr>
                  <w:r>
                    <w:rPr>
                      <w:rFonts w:hint="eastAsia"/>
                      <w:lang w:eastAsia="zh-CN"/>
                    </w:rPr>
                    <w:t>发动机试车</w:t>
                  </w:r>
                </w:p>
              </w:tc>
              <w:tc>
                <w:tcPr>
                  <w:tcW w:w="1266" w:type="dxa"/>
                  <w:vAlign w:val="center"/>
                </w:tcPr>
                <w:p w14:paraId="7A0E475B">
                  <w:pPr>
                    <w:pStyle w:val="24"/>
                    <w:rPr>
                      <w:rFonts w:hint="default" w:eastAsia="宋体"/>
                      <w:lang w:val="en-US" w:eastAsia="zh-CN"/>
                    </w:rPr>
                  </w:pPr>
                  <w:r>
                    <w:rPr>
                      <w:rFonts w:hint="eastAsia"/>
                      <w:lang w:val="en-US" w:eastAsia="zh-CN"/>
                    </w:rPr>
                    <w:t>85</w:t>
                  </w:r>
                </w:p>
              </w:tc>
              <w:tc>
                <w:tcPr>
                  <w:tcW w:w="1033" w:type="dxa"/>
                  <w:vMerge w:val="continue"/>
                  <w:vAlign w:val="center"/>
                </w:tcPr>
                <w:p w14:paraId="108FB106">
                  <w:pPr>
                    <w:pStyle w:val="24"/>
                  </w:pPr>
                </w:p>
              </w:tc>
              <w:tc>
                <w:tcPr>
                  <w:tcW w:w="710" w:type="dxa"/>
                  <w:vAlign w:val="center"/>
                </w:tcPr>
                <w:p w14:paraId="4218B596">
                  <w:pPr>
                    <w:pStyle w:val="24"/>
                    <w:rPr>
                      <w:rFonts w:hint="eastAsia" w:eastAsia="宋体"/>
                      <w:lang w:eastAsia="zh-CN"/>
                    </w:rPr>
                  </w:pPr>
                  <w:r>
                    <w:rPr>
                      <w:rFonts w:hint="eastAsia"/>
                    </w:rPr>
                    <w:t>偶发</w:t>
                  </w:r>
                  <w:r>
                    <w:rPr>
                      <w:rFonts w:hint="eastAsia"/>
                      <w:lang w:eastAsia="zh-CN"/>
                    </w:rPr>
                    <w:t>持续</w:t>
                  </w:r>
                </w:p>
              </w:tc>
            </w:tr>
            <w:tr w14:paraId="36A6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8" w:type="dxa"/>
                  <w:gridSpan w:val="9"/>
                  <w:vAlign w:val="center"/>
                </w:tcPr>
                <w:p w14:paraId="7622F88D">
                  <w:pPr>
                    <w:pStyle w:val="24"/>
                    <w:jc w:val="both"/>
                  </w:pPr>
                  <w:r>
                    <w:t>注：X轴方向为</w:t>
                  </w:r>
                  <w:r>
                    <w:rPr>
                      <w:rFonts w:hint="eastAsia"/>
                    </w:rPr>
                    <w:t>平行于朝阳路方向</w:t>
                  </w:r>
                  <w:r>
                    <w:t>，Y轴方向为</w:t>
                  </w:r>
                  <w:r>
                    <w:rPr>
                      <w:rFonts w:hint="eastAsia"/>
                    </w:rPr>
                    <w:t>垂直于道路方向。</w:t>
                  </w:r>
                </w:p>
              </w:tc>
            </w:tr>
          </w:tbl>
          <w:p w14:paraId="1F5AFA5A">
            <w:pPr>
              <w:adjustRightInd w:val="0"/>
              <w:snapToGrid w:val="0"/>
            </w:pPr>
            <w:r>
              <w:t>2、预测</w:t>
            </w:r>
            <w:r>
              <w:rPr>
                <w:rFonts w:hint="eastAsia"/>
              </w:rPr>
              <w:t>模式</w:t>
            </w:r>
          </w:p>
          <w:p w14:paraId="004305B2">
            <w:pPr>
              <w:ind w:firstLine="480" w:firstLineChars="200"/>
            </w:pPr>
            <w:r>
              <w:rPr>
                <w:rFonts w:hint="eastAsia"/>
                <w:kern w:val="0"/>
                <w:lang w:bidi="ar"/>
              </w:rPr>
              <w:t>本次评价采用《环境影响评价技术导则－声环境》（</w:t>
            </w:r>
            <w:r>
              <w:rPr>
                <w:kern w:val="0"/>
                <w:lang w:bidi="ar"/>
              </w:rPr>
              <w:t>HJ2.4-20</w:t>
            </w:r>
            <w:r>
              <w:rPr>
                <w:rFonts w:hint="eastAsia"/>
                <w:kern w:val="0"/>
                <w:lang w:bidi="ar"/>
              </w:rPr>
              <w:t>21）中点声源预测模式进行预测，用</w:t>
            </w:r>
            <w:r>
              <w:rPr>
                <w:kern w:val="0"/>
                <w:lang w:bidi="ar"/>
              </w:rPr>
              <w:t>A</w:t>
            </w:r>
            <w:r>
              <w:rPr>
                <w:rFonts w:hint="eastAsia"/>
                <w:kern w:val="0"/>
                <w:lang w:bidi="ar"/>
              </w:rPr>
              <w:t>声级计算，模式如下：</w:t>
            </w:r>
          </w:p>
          <w:p w14:paraId="263E3D94">
            <w:pPr>
              <w:spacing w:line="240" w:lineRule="auto"/>
              <w:ind w:firstLine="480" w:firstLineChars="200"/>
              <w:rPr>
                <w:kern w:val="0"/>
                <w:lang w:bidi="ar"/>
              </w:rPr>
            </w:pPr>
            <w:r>
              <w:t>①</w:t>
            </w:r>
            <w:r>
              <w:rPr>
                <w:rFonts w:hint="eastAsia"/>
                <w:kern w:val="0"/>
                <w:lang w:bidi="ar"/>
              </w:rPr>
              <w:t>计算A声级的衰减</w:t>
            </w:r>
          </w:p>
          <w:p w14:paraId="3CCD2E49">
            <w:pPr>
              <w:jc w:val="center"/>
              <w:rPr>
                <w:kern w:val="0"/>
                <w:lang w:bidi="ar"/>
              </w:rPr>
            </w:pPr>
            <w:r>
              <w:rPr>
                <w:kern w:val="0"/>
                <w:position w:val="-12"/>
                <w:lang w:bidi="ar"/>
              </w:rPr>
              <w:object>
                <v:shape id="_x0000_i1025" o:spt="75" type="#_x0000_t75" style="height:18.65pt;width:199.4pt;" o:ole="t" filled="f" o:preferrelative="t" stroked="f" coordsize="21600,21600">
                  <v:path/>
                  <v:fill on="f" focussize="0,0"/>
                  <v:stroke on="f" joinstyle="miter"/>
                  <v:imagedata r:id="rId32" o:title=""/>
                  <o:lock v:ext="edit" aspectratio="t"/>
                  <w10:wrap type="none"/>
                  <w10:anchorlock/>
                </v:shape>
                <o:OLEObject Type="Embed" ProgID="Equation.KSEE3" ShapeID="_x0000_i1025" DrawAspect="Content" ObjectID="_1468075725" r:id="rId31">
                  <o:LockedField>false</o:LockedField>
                </o:OLEObject>
              </w:object>
            </w:r>
          </w:p>
          <w:p w14:paraId="26756E61">
            <w:pPr>
              <w:ind w:firstLine="480" w:firstLineChars="200"/>
              <w:rPr>
                <w:kern w:val="0"/>
                <w:lang w:bidi="ar"/>
              </w:rPr>
            </w:pPr>
            <w:r>
              <w:rPr>
                <w:rFonts w:hint="eastAsia"/>
                <w:kern w:val="0"/>
                <w:lang w:bidi="ar"/>
              </w:rPr>
              <w:t>式中：L</w:t>
            </w:r>
            <w:r>
              <w:rPr>
                <w:rFonts w:hint="eastAsia"/>
                <w:kern w:val="0"/>
                <w:vertAlign w:val="subscript"/>
                <w:lang w:bidi="ar"/>
              </w:rPr>
              <w:t>A</w:t>
            </w:r>
            <w:r>
              <w:rPr>
                <w:rFonts w:hint="eastAsia"/>
                <w:kern w:val="0"/>
                <w:lang w:bidi="ar"/>
              </w:rPr>
              <w:t>（r）——距声源r处的A声级，dB（A）；</w:t>
            </w:r>
          </w:p>
          <w:p w14:paraId="02183A23">
            <w:pPr>
              <w:ind w:firstLine="1200" w:firstLineChars="500"/>
              <w:rPr>
                <w:kern w:val="0"/>
                <w:lang w:bidi="ar"/>
              </w:rPr>
            </w:pPr>
            <w:r>
              <w:rPr>
                <w:rFonts w:hint="eastAsia"/>
                <w:kern w:val="0"/>
                <w:lang w:bidi="ar"/>
              </w:rPr>
              <w:t>L</w:t>
            </w:r>
            <w:r>
              <w:rPr>
                <w:rFonts w:hint="eastAsia"/>
                <w:kern w:val="0"/>
                <w:vertAlign w:val="subscript"/>
                <w:lang w:bidi="ar"/>
              </w:rPr>
              <w:t>Are</w:t>
            </w:r>
            <w:r>
              <w:rPr>
                <w:rFonts w:hint="eastAsia"/>
                <w:kern w:val="0"/>
                <w:lang w:bidi="ar"/>
              </w:rPr>
              <w:t>（r</w:t>
            </w:r>
            <w:r>
              <w:rPr>
                <w:rFonts w:hint="eastAsia"/>
                <w:kern w:val="0"/>
                <w:vertAlign w:val="subscript"/>
                <w:lang w:bidi="ar"/>
              </w:rPr>
              <w:t>0</w:t>
            </w:r>
            <w:r>
              <w:rPr>
                <w:rFonts w:hint="eastAsia"/>
                <w:kern w:val="0"/>
                <w:lang w:bidi="ar"/>
              </w:rPr>
              <w:t>）——参考位置r</w:t>
            </w:r>
            <w:r>
              <w:rPr>
                <w:rFonts w:hint="eastAsia"/>
                <w:kern w:val="0"/>
                <w:vertAlign w:val="subscript"/>
                <w:lang w:bidi="ar"/>
              </w:rPr>
              <w:t>0</w:t>
            </w:r>
            <w:r>
              <w:rPr>
                <w:rFonts w:hint="eastAsia"/>
                <w:kern w:val="0"/>
                <w:lang w:bidi="ar"/>
              </w:rPr>
              <w:t>处A声级，dB（A）；</w:t>
            </w:r>
          </w:p>
          <w:p w14:paraId="767AFB59">
            <w:pPr>
              <w:ind w:firstLine="1200" w:firstLineChars="500"/>
              <w:rPr>
                <w:kern w:val="0"/>
                <w:lang w:bidi="ar"/>
              </w:rPr>
            </w:pPr>
            <w:r>
              <w:rPr>
                <w:rFonts w:hint="eastAsia"/>
                <w:kern w:val="0"/>
                <w:lang w:bidi="ar"/>
              </w:rPr>
              <w:t>A</w:t>
            </w:r>
            <w:r>
              <w:rPr>
                <w:rFonts w:hint="eastAsia"/>
                <w:kern w:val="0"/>
                <w:vertAlign w:val="subscript"/>
                <w:lang w:bidi="ar"/>
              </w:rPr>
              <w:t>div</w:t>
            </w:r>
            <w:r>
              <w:rPr>
                <w:rFonts w:hint="eastAsia"/>
                <w:kern w:val="0"/>
                <w:lang w:bidi="ar"/>
              </w:rPr>
              <w:t>——声波几何发散引起的A声级衰减量，dB（A）；</w:t>
            </w:r>
          </w:p>
          <w:p w14:paraId="67096CBC">
            <w:pPr>
              <w:ind w:firstLine="1200" w:firstLineChars="500"/>
              <w:rPr>
                <w:kern w:val="0"/>
                <w:lang w:bidi="ar"/>
              </w:rPr>
            </w:pPr>
            <w:r>
              <w:rPr>
                <w:rFonts w:hint="eastAsia"/>
                <w:kern w:val="0"/>
                <w:lang w:bidi="ar"/>
              </w:rPr>
              <w:t>A</w:t>
            </w:r>
            <w:r>
              <w:rPr>
                <w:rFonts w:hint="eastAsia"/>
                <w:kern w:val="0"/>
                <w:vertAlign w:val="subscript"/>
                <w:lang w:bidi="ar"/>
              </w:rPr>
              <w:t>bar</w:t>
            </w:r>
            <w:r>
              <w:rPr>
                <w:rFonts w:hint="eastAsia"/>
                <w:kern w:val="0"/>
                <w:lang w:bidi="ar"/>
              </w:rPr>
              <w:t>——遮挡物引起的A声级衰减量，dB（A）；</w:t>
            </w:r>
          </w:p>
          <w:p w14:paraId="6F9D4C53">
            <w:pPr>
              <w:ind w:firstLine="1200" w:firstLineChars="500"/>
              <w:rPr>
                <w:kern w:val="0"/>
                <w:lang w:bidi="ar"/>
              </w:rPr>
            </w:pPr>
            <w:r>
              <w:rPr>
                <w:rFonts w:hint="eastAsia"/>
                <w:kern w:val="0"/>
                <w:lang w:bidi="ar"/>
              </w:rPr>
              <w:t>A</w:t>
            </w:r>
            <w:r>
              <w:rPr>
                <w:rFonts w:hint="eastAsia"/>
                <w:kern w:val="0"/>
                <w:vertAlign w:val="subscript"/>
                <w:lang w:bidi="ar"/>
              </w:rPr>
              <w:t>atm</w:t>
            </w:r>
            <w:r>
              <w:rPr>
                <w:rFonts w:hint="eastAsia"/>
                <w:kern w:val="0"/>
                <w:lang w:bidi="ar"/>
              </w:rPr>
              <w:t>——空气吸收衰减量，dB（A）；</w:t>
            </w:r>
          </w:p>
          <w:p w14:paraId="0085F8CD">
            <w:pPr>
              <w:ind w:firstLine="1200" w:firstLineChars="500"/>
            </w:pPr>
            <w:r>
              <w:rPr>
                <w:rFonts w:hint="eastAsia"/>
                <w:lang w:bidi="ar"/>
              </w:rPr>
              <w:t>A</w:t>
            </w:r>
            <w:r>
              <w:rPr>
                <w:rFonts w:hint="eastAsia"/>
                <w:vertAlign w:val="subscript"/>
                <w:lang w:bidi="ar"/>
              </w:rPr>
              <w:t>exc</w:t>
            </w:r>
            <w:r>
              <w:rPr>
                <w:rFonts w:hint="eastAsia"/>
                <w:lang w:bidi="ar"/>
              </w:rPr>
              <w:t>——附加衰减量，dB（A）。</w:t>
            </w:r>
          </w:p>
          <w:p w14:paraId="2EA692A3">
            <w:pPr>
              <w:spacing w:line="240" w:lineRule="auto"/>
              <w:rPr>
                <w:kern w:val="0"/>
                <w:lang w:bidi="ar"/>
              </w:rPr>
            </w:pPr>
            <w:r>
              <w:t>②</w:t>
            </w:r>
            <w:r>
              <w:rPr>
                <w:rFonts w:hint="eastAsia"/>
                <w:kern w:val="0"/>
                <w:lang w:bidi="ar"/>
              </w:rPr>
              <w:t>计算A声级的迭加</w:t>
            </w:r>
          </w:p>
          <w:p w14:paraId="4754399A">
            <w:pPr>
              <w:jc w:val="center"/>
              <w:rPr>
                <w:kern w:val="0"/>
                <w:lang w:bidi="ar"/>
              </w:rPr>
            </w:pPr>
            <w:r>
              <w:rPr>
                <w:kern w:val="0"/>
                <w:position w:val="-30"/>
                <w:lang w:bidi="ar"/>
              </w:rPr>
              <w:object>
                <v:shape id="_x0000_i1026" o:spt="75" type="#_x0000_t75" style="height:36pt;width:112pt;" o:ole="t" filled="f" o:preferrelative="t" stroked="f" coordsize="21600,21600">
                  <v:path/>
                  <v:fill on="f" focussize="0,0"/>
                  <v:stroke on="f" joinstyle="miter"/>
                  <v:imagedata r:id="rId34" o:title=""/>
                  <o:lock v:ext="edit" aspectratio="t"/>
                  <w10:wrap type="none"/>
                  <w10:anchorlock/>
                </v:shape>
                <o:OLEObject Type="Embed" ProgID="Equation.KSEE3" ShapeID="_x0000_i1026" DrawAspect="Content" ObjectID="_1468075726" r:id="rId33">
                  <o:LockedField>false</o:LockedField>
                </o:OLEObject>
              </w:object>
            </w:r>
          </w:p>
          <w:p w14:paraId="0532ABBE">
            <w:pPr>
              <w:ind w:firstLine="480" w:firstLineChars="200"/>
              <w:rPr>
                <w:kern w:val="0"/>
                <w:lang w:bidi="ar"/>
              </w:rPr>
            </w:pPr>
            <w:r>
              <w:rPr>
                <w:rFonts w:hint="eastAsia"/>
                <w:kern w:val="0"/>
                <w:lang w:bidi="ar"/>
              </w:rPr>
              <w:t>式中：L</w:t>
            </w:r>
            <w:r>
              <w:rPr>
                <w:rFonts w:hint="eastAsia"/>
                <w:kern w:val="0"/>
                <w:vertAlign w:val="subscript"/>
                <w:lang w:bidi="ar"/>
              </w:rPr>
              <w:t>P</w:t>
            </w:r>
            <w:r>
              <w:rPr>
                <w:rFonts w:hint="eastAsia"/>
                <w:kern w:val="0"/>
                <w:lang w:bidi="ar"/>
              </w:rPr>
              <w:t>——预测点处的声级迭加值，dB（A）；</w:t>
            </w:r>
          </w:p>
          <w:p w14:paraId="03F34B47">
            <w:pPr>
              <w:ind w:firstLine="1200" w:firstLineChars="500"/>
              <w:rPr>
                <w:kern w:val="0"/>
                <w:lang w:bidi="ar"/>
              </w:rPr>
            </w:pPr>
            <w:r>
              <w:rPr>
                <w:rFonts w:hint="eastAsia"/>
                <w:kern w:val="0"/>
                <w:lang w:bidi="ar"/>
              </w:rPr>
              <w:t>n——噪声源个数。</w:t>
            </w:r>
          </w:p>
          <w:p w14:paraId="279B9F90">
            <w:pPr>
              <w:adjustRightInd w:val="0"/>
              <w:snapToGrid w:val="0"/>
              <w:ind w:firstLine="480" w:firstLineChars="200"/>
            </w:pPr>
            <w:r>
              <w:t>③</w:t>
            </w:r>
            <w:r>
              <w:rPr>
                <w:rFonts w:hint="eastAsia"/>
              </w:rPr>
              <w:t>参数的确定</w:t>
            </w:r>
          </w:p>
          <w:p w14:paraId="184516B4">
            <w:pPr>
              <w:ind w:firstLine="480" w:firstLineChars="200"/>
              <w:rPr>
                <w:kern w:val="0"/>
                <w:lang w:bidi="ar"/>
              </w:rPr>
            </w:pPr>
            <w:r>
              <w:rPr>
                <w:rFonts w:hint="eastAsia"/>
                <w:kern w:val="0"/>
                <w:lang w:bidi="ar"/>
              </w:rPr>
              <w:t>1）声波几何发散引起的A声级衰减量</w:t>
            </w:r>
          </w:p>
          <w:p w14:paraId="2D84C47E">
            <w:pPr>
              <w:jc w:val="center"/>
              <w:rPr>
                <w:kern w:val="0"/>
                <w:position w:val="-12"/>
                <w:lang w:bidi="ar"/>
              </w:rPr>
            </w:pPr>
            <w:r>
              <w:rPr>
                <w:rFonts w:hint="eastAsia"/>
                <w:kern w:val="0"/>
                <w:position w:val="-12"/>
                <w:lang w:bidi="ar"/>
              </w:rPr>
              <w:object>
                <v:shape id="_x0000_i1027" o:spt="75" type="#_x0000_t75" style="height:18.65pt;width:122.65pt;" o:ole="t" filled="f" o:preferrelative="t" stroked="f" coordsize="21600,21600">
                  <v:path/>
                  <v:fill on="f" focussize="0,0"/>
                  <v:stroke on="f" joinstyle="miter"/>
                  <v:imagedata r:id="rId36" o:title=""/>
                  <o:lock v:ext="edit" aspectratio="t"/>
                  <w10:wrap type="none"/>
                  <w10:anchorlock/>
                </v:shape>
                <o:OLEObject Type="Embed" ProgID="Equation.KSEE3" ShapeID="_x0000_i1027" DrawAspect="Content" ObjectID="_1468075727" r:id="rId35">
                  <o:LockedField>false</o:LockedField>
                </o:OLEObject>
              </w:object>
            </w:r>
          </w:p>
          <w:p w14:paraId="5972EC17">
            <w:pPr>
              <w:ind w:firstLine="480" w:firstLineChars="200"/>
              <w:rPr>
                <w:kern w:val="0"/>
                <w:lang w:bidi="ar"/>
              </w:rPr>
            </w:pPr>
            <w:r>
              <w:rPr>
                <w:rFonts w:hint="eastAsia"/>
                <w:kern w:val="0"/>
                <w:lang w:bidi="ar"/>
              </w:rPr>
              <w:t>式中：r</w:t>
            </w:r>
            <w:r>
              <w:rPr>
                <w:rFonts w:hint="eastAsia"/>
                <w:kern w:val="0"/>
                <w:vertAlign w:val="subscript"/>
                <w:lang w:bidi="ar"/>
              </w:rPr>
              <w:t>0</w:t>
            </w:r>
            <w:r>
              <w:rPr>
                <w:rFonts w:hint="eastAsia"/>
                <w:kern w:val="0"/>
                <w:lang w:bidi="ar"/>
              </w:rPr>
              <w:t>——预测参考距离，m；</w:t>
            </w:r>
          </w:p>
          <w:p w14:paraId="28D811C9">
            <w:pPr>
              <w:adjustRightInd w:val="0"/>
              <w:snapToGrid w:val="0"/>
              <w:ind w:firstLine="480" w:firstLineChars="200"/>
              <w:rPr>
                <w:kern w:val="0"/>
                <w:lang w:bidi="ar"/>
              </w:rPr>
            </w:pPr>
            <w:r>
              <w:rPr>
                <w:rFonts w:hint="eastAsia"/>
                <w:kern w:val="0"/>
                <w:lang w:bidi="ar"/>
              </w:rPr>
              <w:t>2）遮挡物引起的衰减量A</w:t>
            </w:r>
            <w:r>
              <w:rPr>
                <w:rFonts w:hint="eastAsia"/>
                <w:kern w:val="0"/>
                <w:vertAlign w:val="subscript"/>
                <w:lang w:bidi="ar"/>
              </w:rPr>
              <w:t>bar</w:t>
            </w:r>
          </w:p>
          <w:p w14:paraId="042F2749">
            <w:pPr>
              <w:ind w:firstLine="480" w:firstLineChars="200"/>
              <w:rPr>
                <w:kern w:val="0"/>
                <w:lang w:bidi="ar"/>
              </w:rPr>
            </w:pPr>
            <w:r>
              <w:rPr>
                <w:rFonts w:hint="eastAsia"/>
                <w:kern w:val="0"/>
                <w:lang w:bidi="ar"/>
              </w:rPr>
              <w:t>噪声在向外传播过程中将受到厂房或其它车间的阻挡影响，从而引起声能量 的较大衰减，具体衰减根据不同声级的传播途径而定，一般取0~10dB(A)。本项目根据噪声源情况，取</w:t>
            </w:r>
            <w:r>
              <w:rPr>
                <w:kern w:val="0"/>
                <w:lang w:bidi="ar"/>
              </w:rPr>
              <w:t>3~5dB(A)</w:t>
            </w:r>
            <w:r>
              <w:rPr>
                <w:rFonts w:hint="eastAsia"/>
                <w:kern w:val="0"/>
                <w:lang w:bidi="ar"/>
              </w:rPr>
              <w:t>。</w:t>
            </w:r>
          </w:p>
          <w:p w14:paraId="2002D824">
            <w:pPr>
              <w:ind w:firstLine="480" w:firstLineChars="200"/>
              <w:rPr>
                <w:kern w:val="0"/>
                <w:lang w:bidi="ar"/>
              </w:rPr>
            </w:pPr>
            <w:r>
              <w:rPr>
                <w:rFonts w:hint="eastAsia"/>
                <w:kern w:val="0"/>
                <w:lang w:bidi="ar"/>
              </w:rPr>
              <w:t>3）空气吸收衰减量A</w:t>
            </w:r>
            <w:r>
              <w:rPr>
                <w:rFonts w:hint="eastAsia"/>
                <w:kern w:val="0"/>
                <w:vertAlign w:val="subscript"/>
                <w:lang w:bidi="ar"/>
              </w:rPr>
              <w:t>atm</w:t>
            </w:r>
          </w:p>
          <w:p w14:paraId="282A8E88">
            <w:pPr>
              <w:ind w:firstLine="480" w:firstLineChars="200"/>
              <w:jc w:val="center"/>
              <w:rPr>
                <w:kern w:val="0"/>
                <w:lang w:bidi="ar"/>
              </w:rPr>
            </w:pPr>
            <w:r>
              <w:rPr>
                <w:kern w:val="0"/>
                <w:lang w:bidi="ar"/>
              </w:rPr>
              <w:object>
                <v:shape id="_x0000_i1028" o:spt="75" type="#_x0000_t75" style="height:30.65pt;width:78pt;" o:ole="t" filled="f" o:preferrelative="t" stroked="f" coordsize="21600,21600">
                  <v:path/>
                  <v:fill on="f" focussize="0,0"/>
                  <v:stroke on="f" joinstyle="miter"/>
                  <v:imagedata r:id="rId38" o:title=""/>
                  <o:lock v:ext="edit" aspectratio="t"/>
                  <w10:wrap type="none"/>
                  <w10:anchorlock/>
                </v:shape>
                <o:OLEObject Type="Embed" ProgID="Equation.KSEE3" ShapeID="_x0000_i1028" DrawAspect="Content" ObjectID="_1468075728" r:id="rId37">
                  <o:LockedField>false</o:LockedField>
                </o:OLEObject>
              </w:object>
            </w:r>
          </w:p>
          <w:p w14:paraId="03AACCC1">
            <w:pPr>
              <w:ind w:firstLine="480" w:firstLineChars="200"/>
              <w:rPr>
                <w:kern w:val="0"/>
                <w:lang w:bidi="ar"/>
              </w:rPr>
            </w:pPr>
            <w:r>
              <w:rPr>
                <w:rFonts w:hint="eastAsia"/>
                <w:kern w:val="0"/>
                <w:lang w:bidi="ar"/>
              </w:rPr>
              <w:t>式中：r——为预测点距声源的距离，（m）；</w:t>
            </w:r>
          </w:p>
          <w:p w14:paraId="4A7DB751">
            <w:pPr>
              <w:ind w:firstLine="1200" w:firstLineChars="500"/>
              <w:rPr>
                <w:kern w:val="0"/>
                <w:lang w:bidi="ar"/>
              </w:rPr>
            </w:pPr>
            <w:r>
              <w:rPr>
                <w:rFonts w:hint="eastAsia"/>
                <w:kern w:val="0"/>
                <w:lang w:bidi="ar"/>
              </w:rPr>
              <w:t>r</w:t>
            </w:r>
            <w:r>
              <w:rPr>
                <w:rFonts w:hint="eastAsia"/>
                <w:kern w:val="0"/>
                <w:vertAlign w:val="subscript"/>
                <w:lang w:bidi="ar"/>
              </w:rPr>
              <w:t>0</w:t>
            </w:r>
            <w:r>
              <w:rPr>
                <w:rFonts w:hint="eastAsia"/>
                <w:kern w:val="0"/>
                <w:lang w:bidi="ar"/>
              </w:rPr>
              <w:t>——为参考位置距离，（m）；</w:t>
            </w:r>
          </w:p>
          <w:p w14:paraId="53EE88E6">
            <w:pPr>
              <w:ind w:firstLine="1200" w:firstLineChars="500"/>
              <w:rPr>
                <w:kern w:val="0"/>
                <w:lang w:bidi="ar"/>
              </w:rPr>
            </w:pPr>
            <w:r>
              <w:rPr>
                <w:kern w:val="0"/>
                <w:lang w:bidi="ar"/>
              </w:rPr>
              <w:t>α</w:t>
            </w:r>
            <w:r>
              <w:rPr>
                <w:rFonts w:hint="eastAsia"/>
                <w:kern w:val="0"/>
                <w:lang w:bidi="ar"/>
              </w:rPr>
              <w:t>——为每100米空气吸收系数（dB）。</w:t>
            </w:r>
          </w:p>
          <w:p w14:paraId="0106BDAB">
            <w:pPr>
              <w:widowControl/>
              <w:kinsoku w:val="0"/>
              <w:autoSpaceDE w:val="0"/>
              <w:autoSpaceDN w:val="0"/>
              <w:adjustRightInd w:val="0"/>
              <w:snapToGrid w:val="0"/>
              <w:ind w:firstLine="480" w:firstLineChars="200"/>
              <w:textAlignment w:val="baseline"/>
              <w:rPr>
                <w:kern w:val="0"/>
                <w:lang w:bidi="ar"/>
              </w:rPr>
            </w:pPr>
            <w:r>
              <w:rPr>
                <w:rFonts w:hint="eastAsia"/>
                <w:kern w:val="0"/>
                <w:lang w:bidi="ar"/>
              </w:rPr>
              <w:t>4）附加衰减量A</w:t>
            </w:r>
            <w:r>
              <w:rPr>
                <w:rFonts w:hint="eastAsia"/>
                <w:kern w:val="0"/>
                <w:vertAlign w:val="subscript"/>
                <w:lang w:bidi="ar"/>
              </w:rPr>
              <w:t>exc</w:t>
            </w:r>
          </w:p>
          <w:p w14:paraId="7AA701FD">
            <w:pPr>
              <w:widowControl/>
              <w:kinsoku w:val="0"/>
              <w:autoSpaceDE w:val="0"/>
              <w:autoSpaceDN w:val="0"/>
              <w:adjustRightInd w:val="0"/>
              <w:snapToGrid w:val="0"/>
              <w:ind w:firstLine="480" w:firstLineChars="200"/>
              <w:textAlignment w:val="baseline"/>
            </w:pPr>
            <w:r>
              <w:rPr>
                <w:rFonts w:hint="eastAsia"/>
                <w:kern w:val="0"/>
                <w:lang w:bidi="ar"/>
              </w:rPr>
              <w:t>附加衰减包括声波传播过程中由于云、雾、温度梯度、风引起的声能量衰减以及地面效应引起的声能量衰减，本次评价中忽略不计。</w:t>
            </w:r>
          </w:p>
          <w:p w14:paraId="740441F1">
            <w:pPr>
              <w:adjustRightInd w:val="0"/>
              <w:snapToGrid w:val="0"/>
            </w:pPr>
            <w:r>
              <w:t>3、预测结果</w:t>
            </w:r>
          </w:p>
          <w:p w14:paraId="6262A9AB">
            <w:pPr>
              <w:adjustRightInd w:val="0"/>
              <w:snapToGrid w:val="0"/>
              <w:ind w:firstLine="480" w:firstLineChars="200"/>
            </w:pPr>
            <w:r>
              <w:rPr>
                <w:rFonts w:hint="eastAsia"/>
              </w:rPr>
              <w:t>本项目</w:t>
            </w:r>
            <w:r>
              <w:t>噪声预测结果</w:t>
            </w:r>
            <w:r>
              <w:rPr>
                <w:rFonts w:hint="eastAsia"/>
              </w:rPr>
              <w:t>见下表</w:t>
            </w:r>
            <w:r>
              <w:t>。</w:t>
            </w:r>
          </w:p>
          <w:p w14:paraId="7E13ED58">
            <w:pPr>
              <w:pStyle w:val="6"/>
            </w:pPr>
            <w:r>
              <w:t xml:space="preserve">表 </w:t>
            </w:r>
            <w:r>
              <w:rPr>
                <w:rFonts w:hint="eastAsia"/>
              </w:rPr>
              <w:t>4-</w:t>
            </w:r>
            <w:r>
              <w:fldChar w:fldCharType="begin"/>
            </w:r>
            <w:r>
              <w:instrText xml:space="preserve"> SEQ 表 \* ARABIC \s 1 </w:instrText>
            </w:r>
            <w:r>
              <w:fldChar w:fldCharType="separate"/>
            </w:r>
            <w:r>
              <w:t>11</w:t>
            </w:r>
            <w:r>
              <w:fldChar w:fldCharType="end"/>
            </w:r>
            <w:r>
              <w:rPr>
                <w:rFonts w:hint="eastAsia"/>
              </w:rPr>
              <w:t xml:space="preserve"> 本项目</w:t>
            </w:r>
            <w:r>
              <w:rPr>
                <w:bCs/>
                <w:szCs w:val="21"/>
              </w:rPr>
              <w:t>噪声预测结果表</w:t>
            </w:r>
            <w:r>
              <w:rPr>
                <w:rFonts w:hint="eastAsia"/>
              </w:rPr>
              <w:t xml:space="preserve">  </w:t>
            </w:r>
            <w:r>
              <w:rPr>
                <w:rFonts w:hint="eastAsia"/>
                <w:sz w:val="18"/>
                <w:szCs w:val="18"/>
              </w:rPr>
              <w:t>单位：</w:t>
            </w:r>
            <w:r>
              <w:rPr>
                <w:kern w:val="21"/>
                <w:sz w:val="18"/>
                <w:szCs w:val="18"/>
              </w:rPr>
              <w:t>dB（A）</w:t>
            </w:r>
          </w:p>
          <w:tbl>
            <w:tblPr>
              <w:tblStyle w:val="18"/>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730"/>
              <w:gridCol w:w="735"/>
              <w:gridCol w:w="730"/>
              <w:gridCol w:w="735"/>
              <w:gridCol w:w="730"/>
              <w:gridCol w:w="735"/>
              <w:gridCol w:w="730"/>
              <w:gridCol w:w="735"/>
              <w:gridCol w:w="601"/>
            </w:tblGrid>
            <w:tr w14:paraId="10ED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vMerge w:val="restart"/>
                  <w:tcBorders>
                    <w:top w:val="single" w:color="auto" w:sz="4" w:space="0"/>
                    <w:left w:val="single" w:color="auto" w:sz="4" w:space="0"/>
                    <w:bottom w:val="single" w:color="auto" w:sz="4" w:space="0"/>
                    <w:right w:val="single" w:color="auto" w:sz="4" w:space="0"/>
                  </w:tcBorders>
                  <w:vAlign w:val="center"/>
                </w:tcPr>
                <w:p w14:paraId="5D853C35">
                  <w:pPr>
                    <w:pStyle w:val="24"/>
                    <w:rPr>
                      <w:b/>
                      <w:bCs/>
                    </w:rPr>
                  </w:pPr>
                  <w:r>
                    <w:rPr>
                      <w:rFonts w:hint="eastAsia"/>
                      <w:b/>
                      <w:bCs/>
                    </w:rPr>
                    <w:t>预测点</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5B63A52E">
                  <w:pPr>
                    <w:pStyle w:val="24"/>
                    <w:rPr>
                      <w:b/>
                      <w:bCs/>
                    </w:rPr>
                  </w:pPr>
                  <w:r>
                    <w:rPr>
                      <w:rFonts w:hint="eastAsia"/>
                      <w:b/>
                      <w:bCs/>
                    </w:rPr>
                    <w:t>背景值</w:t>
                  </w:r>
                </w:p>
              </w:tc>
              <w:tc>
                <w:tcPr>
                  <w:tcW w:w="961" w:type="pct"/>
                  <w:gridSpan w:val="2"/>
                  <w:tcBorders>
                    <w:top w:val="single" w:color="auto" w:sz="4" w:space="0"/>
                    <w:left w:val="single" w:color="auto" w:sz="4" w:space="0"/>
                    <w:bottom w:val="single" w:color="auto" w:sz="4" w:space="0"/>
                    <w:right w:val="single" w:color="auto" w:sz="4" w:space="0"/>
                  </w:tcBorders>
                  <w:noWrap/>
                  <w:vAlign w:val="center"/>
                </w:tcPr>
                <w:p w14:paraId="18C4AD14">
                  <w:pPr>
                    <w:pStyle w:val="24"/>
                    <w:rPr>
                      <w:b/>
                      <w:bCs/>
                    </w:rPr>
                  </w:pPr>
                  <w:r>
                    <w:rPr>
                      <w:rFonts w:hint="eastAsia"/>
                      <w:b/>
                      <w:bCs/>
                    </w:rPr>
                    <w:t>贡献值</w:t>
                  </w:r>
                </w:p>
              </w:tc>
              <w:tc>
                <w:tcPr>
                  <w:tcW w:w="961" w:type="pct"/>
                  <w:gridSpan w:val="2"/>
                  <w:tcBorders>
                    <w:top w:val="single" w:color="auto" w:sz="4" w:space="0"/>
                    <w:left w:val="single" w:color="auto" w:sz="4" w:space="0"/>
                    <w:bottom w:val="single" w:color="auto" w:sz="4" w:space="0"/>
                    <w:right w:val="single" w:color="auto" w:sz="4" w:space="0"/>
                  </w:tcBorders>
                  <w:vAlign w:val="center"/>
                </w:tcPr>
                <w:p w14:paraId="4C30AA29">
                  <w:pPr>
                    <w:pStyle w:val="24"/>
                  </w:pPr>
                  <w:r>
                    <w:rPr>
                      <w:rFonts w:hint="eastAsia"/>
                      <w:b/>
                      <w:bCs/>
                    </w:rPr>
                    <w:t>预测值</w:t>
                  </w:r>
                </w:p>
              </w:tc>
              <w:tc>
                <w:tcPr>
                  <w:tcW w:w="961" w:type="pct"/>
                  <w:gridSpan w:val="2"/>
                  <w:tcBorders>
                    <w:top w:val="single" w:color="auto" w:sz="4" w:space="0"/>
                    <w:left w:val="single" w:color="auto" w:sz="4" w:space="0"/>
                    <w:bottom w:val="single" w:color="auto" w:sz="4" w:space="0"/>
                    <w:right w:val="single" w:color="auto" w:sz="4" w:space="0"/>
                  </w:tcBorders>
                  <w:vAlign w:val="center"/>
                </w:tcPr>
                <w:p w14:paraId="01FCD531">
                  <w:pPr>
                    <w:pStyle w:val="24"/>
                    <w:rPr>
                      <w:b/>
                      <w:bCs/>
                    </w:rPr>
                  </w:pPr>
                  <w:r>
                    <w:rPr>
                      <w:rFonts w:hint="eastAsia"/>
                      <w:b/>
                      <w:bCs/>
                    </w:rPr>
                    <w:t>标准值</w:t>
                  </w:r>
                </w:p>
              </w:tc>
              <w:tc>
                <w:tcPr>
                  <w:tcW w:w="394" w:type="pct"/>
                  <w:vMerge w:val="restart"/>
                  <w:tcBorders>
                    <w:top w:val="single" w:color="auto" w:sz="4" w:space="0"/>
                    <w:left w:val="single" w:color="auto" w:sz="4" w:space="0"/>
                    <w:right w:val="single" w:color="auto" w:sz="4" w:space="0"/>
                  </w:tcBorders>
                  <w:vAlign w:val="center"/>
                </w:tcPr>
                <w:p w14:paraId="5B8B7AA9">
                  <w:pPr>
                    <w:pStyle w:val="24"/>
                    <w:rPr>
                      <w:b/>
                      <w:bCs/>
                    </w:rPr>
                  </w:pPr>
                  <w:r>
                    <w:rPr>
                      <w:rFonts w:hint="eastAsia"/>
                      <w:b/>
                      <w:bCs/>
                    </w:rPr>
                    <w:t>达标情况</w:t>
                  </w:r>
                </w:p>
              </w:tc>
            </w:tr>
            <w:tr w14:paraId="5B1D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60" w:type="pct"/>
                  <w:vMerge w:val="continue"/>
                  <w:tcBorders>
                    <w:top w:val="single" w:color="auto" w:sz="4" w:space="0"/>
                    <w:left w:val="single" w:color="auto" w:sz="4" w:space="0"/>
                    <w:bottom w:val="single" w:color="auto" w:sz="4" w:space="0"/>
                    <w:right w:val="single" w:color="auto" w:sz="4" w:space="0"/>
                  </w:tcBorders>
                  <w:vAlign w:val="center"/>
                </w:tcPr>
                <w:p w14:paraId="06057DA2">
                  <w:pPr>
                    <w:pStyle w:val="24"/>
                    <w:rPr>
                      <w:b/>
                      <w:bCs/>
                    </w:rPr>
                  </w:pPr>
                </w:p>
              </w:tc>
              <w:tc>
                <w:tcPr>
                  <w:tcW w:w="479" w:type="pct"/>
                  <w:tcBorders>
                    <w:top w:val="single" w:color="auto" w:sz="4" w:space="0"/>
                    <w:left w:val="single" w:color="auto" w:sz="4" w:space="0"/>
                    <w:bottom w:val="single" w:color="auto" w:sz="4" w:space="0"/>
                    <w:right w:val="single" w:color="auto" w:sz="4" w:space="0"/>
                  </w:tcBorders>
                  <w:noWrap/>
                  <w:vAlign w:val="center"/>
                </w:tcPr>
                <w:p w14:paraId="1BB17038">
                  <w:pPr>
                    <w:pStyle w:val="24"/>
                    <w:rPr>
                      <w:b/>
                      <w:bCs/>
                      <w:lang w:val="en-GB"/>
                    </w:rPr>
                  </w:pPr>
                  <w:r>
                    <w:rPr>
                      <w:b/>
                      <w:bCs/>
                    </w:rPr>
                    <w:t>昼间</w:t>
                  </w:r>
                </w:p>
              </w:tc>
              <w:tc>
                <w:tcPr>
                  <w:tcW w:w="481" w:type="pct"/>
                  <w:tcBorders>
                    <w:top w:val="single" w:color="auto" w:sz="4" w:space="0"/>
                    <w:left w:val="single" w:color="auto" w:sz="4" w:space="0"/>
                    <w:bottom w:val="single" w:color="auto" w:sz="4" w:space="0"/>
                    <w:right w:val="single" w:color="auto" w:sz="4" w:space="0"/>
                  </w:tcBorders>
                  <w:noWrap/>
                  <w:vAlign w:val="center"/>
                </w:tcPr>
                <w:p w14:paraId="012AC8F3">
                  <w:pPr>
                    <w:pStyle w:val="24"/>
                    <w:rPr>
                      <w:b/>
                      <w:bCs/>
                    </w:rPr>
                  </w:pPr>
                  <w:r>
                    <w:rPr>
                      <w:b/>
                      <w:bCs/>
                    </w:rPr>
                    <w:t>夜间</w:t>
                  </w:r>
                </w:p>
              </w:tc>
              <w:tc>
                <w:tcPr>
                  <w:tcW w:w="479" w:type="pct"/>
                  <w:tcBorders>
                    <w:top w:val="single" w:color="auto" w:sz="4" w:space="0"/>
                    <w:left w:val="single" w:color="auto" w:sz="4" w:space="0"/>
                    <w:bottom w:val="single" w:color="auto" w:sz="4" w:space="0"/>
                    <w:right w:val="single" w:color="auto" w:sz="4" w:space="0"/>
                  </w:tcBorders>
                  <w:noWrap/>
                  <w:vAlign w:val="center"/>
                </w:tcPr>
                <w:p w14:paraId="616BB305">
                  <w:pPr>
                    <w:pStyle w:val="24"/>
                    <w:rPr>
                      <w:lang w:val="en-GB"/>
                    </w:rPr>
                  </w:pPr>
                  <w:r>
                    <w:t>昼间</w:t>
                  </w:r>
                </w:p>
              </w:tc>
              <w:tc>
                <w:tcPr>
                  <w:tcW w:w="481" w:type="pct"/>
                  <w:tcBorders>
                    <w:top w:val="single" w:color="auto" w:sz="4" w:space="0"/>
                    <w:left w:val="single" w:color="auto" w:sz="4" w:space="0"/>
                    <w:bottom w:val="single" w:color="auto" w:sz="4" w:space="0"/>
                    <w:right w:val="single" w:color="auto" w:sz="4" w:space="0"/>
                  </w:tcBorders>
                  <w:noWrap/>
                  <w:vAlign w:val="center"/>
                </w:tcPr>
                <w:p w14:paraId="7BBFAF1D">
                  <w:pPr>
                    <w:pStyle w:val="24"/>
                  </w:pPr>
                  <w:r>
                    <w:t>夜间</w:t>
                  </w:r>
                </w:p>
              </w:tc>
              <w:tc>
                <w:tcPr>
                  <w:tcW w:w="479" w:type="pct"/>
                  <w:tcBorders>
                    <w:top w:val="single" w:color="auto" w:sz="4" w:space="0"/>
                    <w:left w:val="single" w:color="auto" w:sz="4" w:space="0"/>
                    <w:bottom w:val="single" w:color="auto" w:sz="4" w:space="0"/>
                    <w:right w:val="single" w:color="auto" w:sz="4" w:space="0"/>
                  </w:tcBorders>
                  <w:noWrap/>
                  <w:vAlign w:val="center"/>
                </w:tcPr>
                <w:p w14:paraId="03ADF136">
                  <w:pPr>
                    <w:pStyle w:val="24"/>
                  </w:pPr>
                  <w:r>
                    <w:t>昼间</w:t>
                  </w:r>
                </w:p>
              </w:tc>
              <w:tc>
                <w:tcPr>
                  <w:tcW w:w="481" w:type="pct"/>
                  <w:tcBorders>
                    <w:top w:val="single" w:color="auto" w:sz="4" w:space="0"/>
                    <w:left w:val="single" w:color="auto" w:sz="4" w:space="0"/>
                    <w:bottom w:val="single" w:color="auto" w:sz="4" w:space="0"/>
                    <w:right w:val="single" w:color="auto" w:sz="4" w:space="0"/>
                  </w:tcBorders>
                  <w:vAlign w:val="center"/>
                </w:tcPr>
                <w:p w14:paraId="430B59E4">
                  <w:pPr>
                    <w:pStyle w:val="24"/>
                  </w:pPr>
                  <w:r>
                    <w:t>夜间</w:t>
                  </w:r>
                </w:p>
              </w:tc>
              <w:tc>
                <w:tcPr>
                  <w:tcW w:w="479" w:type="pct"/>
                  <w:tcBorders>
                    <w:top w:val="single" w:color="auto" w:sz="4" w:space="0"/>
                    <w:left w:val="single" w:color="auto" w:sz="4" w:space="0"/>
                    <w:bottom w:val="single" w:color="auto" w:sz="4" w:space="0"/>
                    <w:right w:val="single" w:color="auto" w:sz="4" w:space="0"/>
                  </w:tcBorders>
                  <w:vAlign w:val="center"/>
                </w:tcPr>
                <w:p w14:paraId="25845F4A">
                  <w:pPr>
                    <w:pStyle w:val="24"/>
                  </w:pPr>
                  <w:r>
                    <w:rPr>
                      <w:rFonts w:hint="eastAsia"/>
                    </w:rPr>
                    <w:t>昼间</w:t>
                  </w:r>
                </w:p>
              </w:tc>
              <w:tc>
                <w:tcPr>
                  <w:tcW w:w="482" w:type="pct"/>
                  <w:tcBorders>
                    <w:top w:val="single" w:color="auto" w:sz="4" w:space="0"/>
                    <w:left w:val="single" w:color="auto" w:sz="4" w:space="0"/>
                    <w:bottom w:val="single" w:color="auto" w:sz="4" w:space="0"/>
                    <w:right w:val="single" w:color="auto" w:sz="4" w:space="0"/>
                  </w:tcBorders>
                  <w:vAlign w:val="center"/>
                </w:tcPr>
                <w:p w14:paraId="62485D17">
                  <w:pPr>
                    <w:pStyle w:val="24"/>
                  </w:pPr>
                  <w:r>
                    <w:rPr>
                      <w:rFonts w:hint="eastAsia"/>
                    </w:rPr>
                    <w:t>夜间</w:t>
                  </w:r>
                </w:p>
              </w:tc>
              <w:tc>
                <w:tcPr>
                  <w:tcW w:w="394" w:type="pct"/>
                  <w:vMerge w:val="continue"/>
                  <w:tcBorders>
                    <w:left w:val="single" w:color="auto" w:sz="4" w:space="0"/>
                    <w:right w:val="single" w:color="auto" w:sz="4" w:space="0"/>
                  </w:tcBorders>
                  <w:vAlign w:val="center"/>
                </w:tcPr>
                <w:p w14:paraId="0D2838F0">
                  <w:pPr>
                    <w:pStyle w:val="24"/>
                  </w:pPr>
                </w:p>
              </w:tc>
            </w:tr>
            <w:tr w14:paraId="771D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tcBorders>
                    <w:top w:val="single" w:color="auto" w:sz="4" w:space="0"/>
                    <w:left w:val="single" w:color="auto" w:sz="4" w:space="0"/>
                    <w:bottom w:val="single" w:color="auto" w:sz="4" w:space="0"/>
                    <w:right w:val="single" w:color="auto" w:sz="4" w:space="0"/>
                  </w:tcBorders>
                  <w:vAlign w:val="center"/>
                </w:tcPr>
                <w:p w14:paraId="057468FB">
                  <w:pPr>
                    <w:pStyle w:val="24"/>
                  </w:pPr>
                  <w:r>
                    <w:rPr>
                      <w:rFonts w:hint="eastAsia"/>
                    </w:rPr>
                    <w:t>东侧厂界</w:t>
                  </w:r>
                </w:p>
              </w:tc>
              <w:tc>
                <w:tcPr>
                  <w:tcW w:w="4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EC264B">
                  <w:pPr>
                    <w:pStyle w:val="24"/>
                  </w:pPr>
                  <w:r>
                    <w:rPr>
                      <w:rFonts w:hint="eastAsia"/>
                    </w:rPr>
                    <w:t>57</w:t>
                  </w:r>
                </w:p>
              </w:tc>
              <w:tc>
                <w:tcPr>
                  <w:tcW w:w="48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860587">
                  <w:pPr>
                    <w:pStyle w:val="24"/>
                  </w:pPr>
                  <w:r>
                    <w:rPr>
                      <w:rFonts w:hint="eastAsia"/>
                    </w:rPr>
                    <w:t>49</w:t>
                  </w:r>
                </w:p>
              </w:tc>
              <w:tc>
                <w:tcPr>
                  <w:tcW w:w="4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8EF6AA">
                  <w:pPr>
                    <w:pStyle w:val="24"/>
                  </w:pPr>
                  <w:r>
                    <w:rPr>
                      <w:rFonts w:hint="eastAsia"/>
                    </w:rPr>
                    <w:t>55.4</w:t>
                  </w:r>
                </w:p>
              </w:tc>
              <w:tc>
                <w:tcPr>
                  <w:tcW w:w="48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99C3CE">
                  <w:pPr>
                    <w:pStyle w:val="24"/>
                  </w:pPr>
                  <w:r>
                    <w:rPr>
                      <w:rFonts w:hint="eastAsia"/>
                    </w:rPr>
                    <w:t>48.5</w:t>
                  </w:r>
                </w:p>
              </w:tc>
              <w:tc>
                <w:tcPr>
                  <w:tcW w:w="4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F98CFA">
                  <w:pPr>
                    <w:pStyle w:val="24"/>
                  </w:pPr>
                  <w:r>
                    <w:rPr>
                      <w:rFonts w:hint="eastAsia"/>
                    </w:rPr>
                    <w:t>57.6</w:t>
                  </w:r>
                </w:p>
              </w:tc>
              <w:tc>
                <w:tcPr>
                  <w:tcW w:w="481" w:type="pct"/>
                  <w:tcBorders>
                    <w:left w:val="single" w:color="auto" w:sz="4" w:space="0"/>
                    <w:right w:val="single" w:color="auto" w:sz="4" w:space="0"/>
                  </w:tcBorders>
                  <w:shd w:val="clear" w:color="auto" w:fill="auto"/>
                  <w:vAlign w:val="center"/>
                </w:tcPr>
                <w:p w14:paraId="57A2362D">
                  <w:pPr>
                    <w:pStyle w:val="24"/>
                  </w:pPr>
                  <w:r>
                    <w:rPr>
                      <w:rFonts w:hint="eastAsia"/>
                    </w:rPr>
                    <w:t>48.6</w:t>
                  </w:r>
                </w:p>
              </w:tc>
              <w:tc>
                <w:tcPr>
                  <w:tcW w:w="479" w:type="pct"/>
                  <w:tcBorders>
                    <w:left w:val="single" w:color="auto" w:sz="4" w:space="0"/>
                    <w:right w:val="single" w:color="auto" w:sz="4" w:space="0"/>
                  </w:tcBorders>
                  <w:vAlign w:val="center"/>
                </w:tcPr>
                <w:p w14:paraId="050530A5">
                  <w:pPr>
                    <w:pStyle w:val="24"/>
                  </w:pPr>
                  <w:r>
                    <w:rPr>
                      <w:rFonts w:hint="eastAsia"/>
                    </w:rPr>
                    <w:t>70</w:t>
                  </w:r>
                </w:p>
              </w:tc>
              <w:tc>
                <w:tcPr>
                  <w:tcW w:w="482" w:type="pct"/>
                  <w:tcBorders>
                    <w:top w:val="single" w:color="auto" w:sz="4" w:space="0"/>
                    <w:left w:val="single" w:color="auto" w:sz="4" w:space="0"/>
                    <w:bottom w:val="single" w:color="auto" w:sz="4" w:space="0"/>
                    <w:right w:val="single" w:color="auto" w:sz="4" w:space="0"/>
                  </w:tcBorders>
                  <w:vAlign w:val="center"/>
                </w:tcPr>
                <w:p w14:paraId="3327EAAE">
                  <w:pPr>
                    <w:pStyle w:val="24"/>
                  </w:pPr>
                  <w:r>
                    <w:rPr>
                      <w:rFonts w:hint="eastAsia"/>
                    </w:rPr>
                    <w:t>55</w:t>
                  </w:r>
                </w:p>
              </w:tc>
              <w:tc>
                <w:tcPr>
                  <w:tcW w:w="394" w:type="pct"/>
                  <w:tcBorders>
                    <w:top w:val="single" w:color="auto" w:sz="4" w:space="0"/>
                    <w:left w:val="single" w:color="auto" w:sz="4" w:space="0"/>
                    <w:bottom w:val="single" w:color="auto" w:sz="4" w:space="0"/>
                    <w:right w:val="single" w:color="auto" w:sz="4" w:space="0"/>
                  </w:tcBorders>
                  <w:vAlign w:val="center"/>
                </w:tcPr>
                <w:p w14:paraId="1D62ECA8">
                  <w:pPr>
                    <w:pStyle w:val="24"/>
                  </w:pPr>
                  <w:r>
                    <w:t>达标</w:t>
                  </w:r>
                </w:p>
              </w:tc>
            </w:tr>
            <w:tr w14:paraId="1A97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tcBorders>
                    <w:top w:val="single" w:color="auto" w:sz="4" w:space="0"/>
                    <w:left w:val="single" w:color="auto" w:sz="4" w:space="0"/>
                    <w:bottom w:val="single" w:color="auto" w:sz="4" w:space="0"/>
                    <w:right w:val="single" w:color="auto" w:sz="4" w:space="0"/>
                  </w:tcBorders>
                  <w:vAlign w:val="center"/>
                </w:tcPr>
                <w:p w14:paraId="45E49A94">
                  <w:pPr>
                    <w:pStyle w:val="24"/>
                  </w:pPr>
                  <w:r>
                    <w:rPr>
                      <w:rFonts w:hint="eastAsia"/>
                    </w:rPr>
                    <w:t>南侧厂界</w:t>
                  </w:r>
                </w:p>
              </w:tc>
              <w:tc>
                <w:tcPr>
                  <w:tcW w:w="4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0B0870">
                  <w:pPr>
                    <w:pStyle w:val="24"/>
                  </w:pPr>
                  <w:r>
                    <w:rPr>
                      <w:rFonts w:hint="eastAsia"/>
                    </w:rPr>
                    <w:t>56</w:t>
                  </w:r>
                </w:p>
              </w:tc>
              <w:tc>
                <w:tcPr>
                  <w:tcW w:w="48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4FA760">
                  <w:pPr>
                    <w:pStyle w:val="24"/>
                  </w:pPr>
                  <w:r>
                    <w:rPr>
                      <w:rFonts w:hint="eastAsia"/>
                    </w:rPr>
                    <w:t>45</w:t>
                  </w:r>
                </w:p>
              </w:tc>
              <w:tc>
                <w:tcPr>
                  <w:tcW w:w="479" w:type="pct"/>
                  <w:tcBorders>
                    <w:top w:val="single" w:color="auto" w:sz="4" w:space="0"/>
                    <w:left w:val="single" w:color="auto" w:sz="4" w:space="0"/>
                    <w:bottom w:val="single" w:color="auto" w:sz="4" w:space="0"/>
                    <w:right w:val="single" w:color="auto" w:sz="4" w:space="0"/>
                  </w:tcBorders>
                  <w:noWrap/>
                  <w:vAlign w:val="center"/>
                </w:tcPr>
                <w:p w14:paraId="62D4DCEC">
                  <w:pPr>
                    <w:pStyle w:val="24"/>
                  </w:pPr>
                  <w:r>
                    <w:rPr>
                      <w:rFonts w:hint="eastAsia"/>
                    </w:rPr>
                    <w:t>54.9</w:t>
                  </w:r>
                </w:p>
              </w:tc>
              <w:tc>
                <w:tcPr>
                  <w:tcW w:w="481" w:type="pct"/>
                  <w:tcBorders>
                    <w:top w:val="single" w:color="auto" w:sz="4" w:space="0"/>
                    <w:left w:val="single" w:color="auto" w:sz="4" w:space="0"/>
                    <w:bottom w:val="single" w:color="auto" w:sz="4" w:space="0"/>
                    <w:right w:val="single" w:color="auto" w:sz="4" w:space="0"/>
                  </w:tcBorders>
                  <w:noWrap/>
                  <w:vAlign w:val="center"/>
                </w:tcPr>
                <w:p w14:paraId="1B2C3BC7">
                  <w:pPr>
                    <w:pStyle w:val="24"/>
                  </w:pPr>
                  <w:r>
                    <w:rPr>
                      <w:rFonts w:hint="eastAsia"/>
                    </w:rPr>
                    <w:t>44..2</w:t>
                  </w:r>
                </w:p>
              </w:tc>
              <w:tc>
                <w:tcPr>
                  <w:tcW w:w="479" w:type="pct"/>
                  <w:tcBorders>
                    <w:top w:val="single" w:color="auto" w:sz="4" w:space="0"/>
                    <w:left w:val="single" w:color="auto" w:sz="4" w:space="0"/>
                    <w:bottom w:val="single" w:color="auto" w:sz="4" w:space="0"/>
                    <w:right w:val="single" w:color="auto" w:sz="4" w:space="0"/>
                  </w:tcBorders>
                  <w:noWrap/>
                  <w:vAlign w:val="center"/>
                </w:tcPr>
                <w:p w14:paraId="0AFE064E">
                  <w:pPr>
                    <w:pStyle w:val="24"/>
                  </w:pPr>
                  <w:r>
                    <w:rPr>
                      <w:rFonts w:hint="eastAsia"/>
                    </w:rPr>
                    <w:t>55.4</w:t>
                  </w:r>
                </w:p>
              </w:tc>
              <w:tc>
                <w:tcPr>
                  <w:tcW w:w="481" w:type="pct"/>
                  <w:tcBorders>
                    <w:left w:val="single" w:color="auto" w:sz="4" w:space="0"/>
                    <w:right w:val="single" w:color="auto" w:sz="4" w:space="0"/>
                  </w:tcBorders>
                  <w:vAlign w:val="center"/>
                </w:tcPr>
                <w:p w14:paraId="4E449CFA">
                  <w:pPr>
                    <w:pStyle w:val="24"/>
                  </w:pPr>
                  <w:r>
                    <w:rPr>
                      <w:rFonts w:hint="eastAsia"/>
                    </w:rPr>
                    <w:t>44.2</w:t>
                  </w:r>
                </w:p>
              </w:tc>
              <w:tc>
                <w:tcPr>
                  <w:tcW w:w="479" w:type="pct"/>
                  <w:tcBorders>
                    <w:left w:val="single" w:color="auto" w:sz="4" w:space="0"/>
                    <w:right w:val="single" w:color="auto" w:sz="4" w:space="0"/>
                  </w:tcBorders>
                  <w:shd w:val="clear" w:color="auto" w:fill="auto"/>
                  <w:vAlign w:val="center"/>
                </w:tcPr>
                <w:p w14:paraId="3946F6F7">
                  <w:pPr>
                    <w:pStyle w:val="24"/>
                  </w:pPr>
                  <w:r>
                    <w:rPr>
                      <w:rFonts w:hint="eastAsia"/>
                    </w:rPr>
                    <w:t>60</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727D3AE4">
                  <w:pPr>
                    <w:pStyle w:val="24"/>
                  </w:pPr>
                  <w:r>
                    <w:rPr>
                      <w:rFonts w:hint="eastAsia"/>
                    </w:rPr>
                    <w:t>50</w:t>
                  </w:r>
                </w:p>
              </w:tc>
              <w:tc>
                <w:tcPr>
                  <w:tcW w:w="394" w:type="pct"/>
                  <w:tcBorders>
                    <w:top w:val="single" w:color="auto" w:sz="4" w:space="0"/>
                    <w:left w:val="single" w:color="auto" w:sz="4" w:space="0"/>
                    <w:bottom w:val="single" w:color="auto" w:sz="4" w:space="0"/>
                    <w:right w:val="single" w:color="auto" w:sz="4" w:space="0"/>
                  </w:tcBorders>
                  <w:vAlign w:val="center"/>
                </w:tcPr>
                <w:p w14:paraId="494942E0">
                  <w:pPr>
                    <w:pStyle w:val="24"/>
                  </w:pPr>
                  <w:r>
                    <w:t>达标</w:t>
                  </w:r>
                </w:p>
              </w:tc>
            </w:tr>
            <w:tr w14:paraId="6CBF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tcBorders>
                    <w:top w:val="single" w:color="auto" w:sz="4" w:space="0"/>
                    <w:left w:val="single" w:color="auto" w:sz="4" w:space="0"/>
                    <w:bottom w:val="single" w:color="auto" w:sz="4" w:space="0"/>
                    <w:right w:val="single" w:color="auto" w:sz="4" w:space="0"/>
                  </w:tcBorders>
                  <w:vAlign w:val="center"/>
                </w:tcPr>
                <w:p w14:paraId="3CD3837F">
                  <w:pPr>
                    <w:pStyle w:val="24"/>
                  </w:pPr>
                  <w:r>
                    <w:rPr>
                      <w:rFonts w:hint="eastAsia"/>
                    </w:rPr>
                    <w:t>西侧厂界</w:t>
                  </w:r>
                </w:p>
              </w:tc>
              <w:tc>
                <w:tcPr>
                  <w:tcW w:w="4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688677">
                  <w:pPr>
                    <w:pStyle w:val="24"/>
                  </w:pPr>
                  <w:r>
                    <w:rPr>
                      <w:rFonts w:hint="eastAsia"/>
                    </w:rPr>
                    <w:t>58</w:t>
                  </w:r>
                </w:p>
              </w:tc>
              <w:tc>
                <w:tcPr>
                  <w:tcW w:w="48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FB4936">
                  <w:pPr>
                    <w:pStyle w:val="24"/>
                  </w:pPr>
                  <w:r>
                    <w:rPr>
                      <w:rFonts w:hint="eastAsia"/>
                    </w:rPr>
                    <w:t>46</w:t>
                  </w:r>
                </w:p>
              </w:tc>
              <w:tc>
                <w:tcPr>
                  <w:tcW w:w="479" w:type="pct"/>
                  <w:tcBorders>
                    <w:top w:val="single" w:color="auto" w:sz="4" w:space="0"/>
                    <w:left w:val="single" w:color="auto" w:sz="4" w:space="0"/>
                    <w:bottom w:val="single" w:color="auto" w:sz="4" w:space="0"/>
                    <w:right w:val="single" w:color="auto" w:sz="4" w:space="0"/>
                  </w:tcBorders>
                  <w:noWrap/>
                  <w:vAlign w:val="center"/>
                </w:tcPr>
                <w:p w14:paraId="18348F7C">
                  <w:pPr>
                    <w:pStyle w:val="24"/>
                  </w:pPr>
                  <w:r>
                    <w:rPr>
                      <w:rFonts w:hint="eastAsia"/>
                    </w:rPr>
                    <w:t>55.2</w:t>
                  </w:r>
                </w:p>
              </w:tc>
              <w:tc>
                <w:tcPr>
                  <w:tcW w:w="481" w:type="pct"/>
                  <w:tcBorders>
                    <w:top w:val="single" w:color="auto" w:sz="4" w:space="0"/>
                    <w:left w:val="single" w:color="auto" w:sz="4" w:space="0"/>
                    <w:bottom w:val="single" w:color="auto" w:sz="4" w:space="0"/>
                    <w:right w:val="single" w:color="auto" w:sz="4" w:space="0"/>
                  </w:tcBorders>
                  <w:noWrap/>
                  <w:vAlign w:val="center"/>
                </w:tcPr>
                <w:p w14:paraId="33714CFB">
                  <w:pPr>
                    <w:pStyle w:val="24"/>
                  </w:pPr>
                  <w:r>
                    <w:rPr>
                      <w:rFonts w:hint="eastAsia"/>
                    </w:rPr>
                    <w:t>42.5</w:t>
                  </w:r>
                </w:p>
              </w:tc>
              <w:tc>
                <w:tcPr>
                  <w:tcW w:w="479" w:type="pct"/>
                  <w:tcBorders>
                    <w:top w:val="single" w:color="auto" w:sz="4" w:space="0"/>
                    <w:left w:val="single" w:color="auto" w:sz="4" w:space="0"/>
                    <w:bottom w:val="single" w:color="auto" w:sz="4" w:space="0"/>
                    <w:right w:val="single" w:color="auto" w:sz="4" w:space="0"/>
                  </w:tcBorders>
                  <w:noWrap/>
                  <w:vAlign w:val="center"/>
                </w:tcPr>
                <w:p w14:paraId="1CA31739">
                  <w:pPr>
                    <w:pStyle w:val="24"/>
                  </w:pPr>
                  <w:r>
                    <w:rPr>
                      <w:rFonts w:hint="eastAsia"/>
                    </w:rPr>
                    <w:t>57.8</w:t>
                  </w:r>
                </w:p>
              </w:tc>
              <w:tc>
                <w:tcPr>
                  <w:tcW w:w="481" w:type="pct"/>
                  <w:tcBorders>
                    <w:left w:val="single" w:color="auto" w:sz="4" w:space="0"/>
                    <w:right w:val="single" w:color="auto" w:sz="4" w:space="0"/>
                  </w:tcBorders>
                  <w:vAlign w:val="center"/>
                </w:tcPr>
                <w:p w14:paraId="37BE979C">
                  <w:pPr>
                    <w:pStyle w:val="24"/>
                  </w:pPr>
                  <w:r>
                    <w:rPr>
                      <w:rFonts w:hint="eastAsia"/>
                    </w:rPr>
                    <w:t>45.8</w:t>
                  </w:r>
                </w:p>
              </w:tc>
              <w:tc>
                <w:tcPr>
                  <w:tcW w:w="479" w:type="pct"/>
                  <w:tcBorders>
                    <w:left w:val="single" w:color="auto" w:sz="4" w:space="0"/>
                    <w:right w:val="single" w:color="auto" w:sz="4" w:space="0"/>
                  </w:tcBorders>
                  <w:shd w:val="clear" w:color="auto" w:fill="auto"/>
                  <w:vAlign w:val="center"/>
                </w:tcPr>
                <w:p w14:paraId="25CB1477">
                  <w:pPr>
                    <w:pStyle w:val="24"/>
                  </w:pPr>
                  <w:r>
                    <w:rPr>
                      <w:rFonts w:hint="eastAsia"/>
                    </w:rPr>
                    <w:t>60</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7ADCD612">
                  <w:pPr>
                    <w:pStyle w:val="24"/>
                  </w:pPr>
                  <w:r>
                    <w:rPr>
                      <w:rFonts w:hint="eastAsia"/>
                    </w:rPr>
                    <w:t>50</w:t>
                  </w:r>
                </w:p>
              </w:tc>
              <w:tc>
                <w:tcPr>
                  <w:tcW w:w="394" w:type="pct"/>
                  <w:tcBorders>
                    <w:top w:val="single" w:color="auto" w:sz="4" w:space="0"/>
                    <w:left w:val="single" w:color="auto" w:sz="4" w:space="0"/>
                    <w:bottom w:val="single" w:color="auto" w:sz="4" w:space="0"/>
                    <w:right w:val="single" w:color="auto" w:sz="4" w:space="0"/>
                  </w:tcBorders>
                  <w:vAlign w:val="center"/>
                </w:tcPr>
                <w:p w14:paraId="050D5D44">
                  <w:pPr>
                    <w:pStyle w:val="24"/>
                  </w:pPr>
                  <w:r>
                    <w:t>达标</w:t>
                  </w:r>
                </w:p>
              </w:tc>
            </w:tr>
            <w:tr w14:paraId="787E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tcBorders>
                    <w:top w:val="single" w:color="auto" w:sz="4" w:space="0"/>
                    <w:left w:val="single" w:color="auto" w:sz="4" w:space="0"/>
                    <w:bottom w:val="single" w:color="auto" w:sz="4" w:space="0"/>
                    <w:right w:val="single" w:color="auto" w:sz="4" w:space="0"/>
                  </w:tcBorders>
                  <w:vAlign w:val="center"/>
                </w:tcPr>
                <w:p w14:paraId="0DDFAC5B">
                  <w:pPr>
                    <w:pStyle w:val="24"/>
                  </w:pPr>
                  <w:r>
                    <w:rPr>
                      <w:rFonts w:hint="eastAsia"/>
                    </w:rPr>
                    <w:t>北侧厂界</w:t>
                  </w:r>
                </w:p>
              </w:tc>
              <w:tc>
                <w:tcPr>
                  <w:tcW w:w="4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E3D4A2">
                  <w:pPr>
                    <w:pStyle w:val="24"/>
                  </w:pPr>
                  <w:r>
                    <w:rPr>
                      <w:rFonts w:hint="eastAsia"/>
                    </w:rPr>
                    <w:t>59</w:t>
                  </w:r>
                </w:p>
              </w:tc>
              <w:tc>
                <w:tcPr>
                  <w:tcW w:w="48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611FD2">
                  <w:pPr>
                    <w:pStyle w:val="24"/>
                  </w:pPr>
                  <w:r>
                    <w:rPr>
                      <w:rFonts w:hint="eastAsia"/>
                    </w:rPr>
                    <w:t>44</w:t>
                  </w:r>
                </w:p>
              </w:tc>
              <w:tc>
                <w:tcPr>
                  <w:tcW w:w="479" w:type="pct"/>
                  <w:tcBorders>
                    <w:top w:val="single" w:color="auto" w:sz="4" w:space="0"/>
                    <w:left w:val="single" w:color="auto" w:sz="4" w:space="0"/>
                    <w:bottom w:val="single" w:color="auto" w:sz="4" w:space="0"/>
                    <w:right w:val="single" w:color="auto" w:sz="4" w:space="0"/>
                  </w:tcBorders>
                  <w:noWrap/>
                  <w:vAlign w:val="center"/>
                </w:tcPr>
                <w:p w14:paraId="240E9461">
                  <w:pPr>
                    <w:pStyle w:val="24"/>
                  </w:pPr>
                  <w:r>
                    <w:rPr>
                      <w:rFonts w:hint="eastAsia"/>
                    </w:rPr>
                    <w:t>53.5</w:t>
                  </w:r>
                </w:p>
              </w:tc>
              <w:tc>
                <w:tcPr>
                  <w:tcW w:w="481" w:type="pct"/>
                  <w:tcBorders>
                    <w:top w:val="single" w:color="auto" w:sz="4" w:space="0"/>
                    <w:left w:val="single" w:color="auto" w:sz="4" w:space="0"/>
                    <w:bottom w:val="single" w:color="auto" w:sz="4" w:space="0"/>
                    <w:right w:val="single" w:color="auto" w:sz="4" w:space="0"/>
                  </w:tcBorders>
                  <w:noWrap/>
                  <w:vAlign w:val="center"/>
                </w:tcPr>
                <w:p w14:paraId="5E5F25F4">
                  <w:pPr>
                    <w:pStyle w:val="24"/>
                  </w:pPr>
                  <w:r>
                    <w:rPr>
                      <w:rFonts w:hint="eastAsia"/>
                    </w:rPr>
                    <w:t>39.8</w:t>
                  </w:r>
                </w:p>
              </w:tc>
              <w:tc>
                <w:tcPr>
                  <w:tcW w:w="479" w:type="pct"/>
                  <w:tcBorders>
                    <w:top w:val="single" w:color="auto" w:sz="4" w:space="0"/>
                    <w:left w:val="single" w:color="auto" w:sz="4" w:space="0"/>
                    <w:bottom w:val="single" w:color="auto" w:sz="4" w:space="0"/>
                    <w:right w:val="single" w:color="auto" w:sz="4" w:space="0"/>
                  </w:tcBorders>
                  <w:noWrap/>
                  <w:vAlign w:val="center"/>
                </w:tcPr>
                <w:p w14:paraId="033FDDE2">
                  <w:pPr>
                    <w:pStyle w:val="24"/>
                  </w:pPr>
                  <w:r>
                    <w:rPr>
                      <w:rFonts w:hint="eastAsia"/>
                    </w:rPr>
                    <w:t>58.1</w:t>
                  </w:r>
                </w:p>
              </w:tc>
              <w:tc>
                <w:tcPr>
                  <w:tcW w:w="481" w:type="pct"/>
                  <w:tcBorders>
                    <w:left w:val="single" w:color="auto" w:sz="4" w:space="0"/>
                    <w:right w:val="single" w:color="auto" w:sz="4" w:space="0"/>
                  </w:tcBorders>
                  <w:vAlign w:val="center"/>
                </w:tcPr>
                <w:p w14:paraId="442FCB38">
                  <w:pPr>
                    <w:pStyle w:val="24"/>
                  </w:pPr>
                  <w:r>
                    <w:rPr>
                      <w:rFonts w:hint="eastAsia"/>
                    </w:rPr>
                    <w:t>43.3</w:t>
                  </w:r>
                </w:p>
              </w:tc>
              <w:tc>
                <w:tcPr>
                  <w:tcW w:w="479" w:type="pct"/>
                  <w:tcBorders>
                    <w:left w:val="single" w:color="auto" w:sz="4" w:space="0"/>
                    <w:right w:val="single" w:color="auto" w:sz="4" w:space="0"/>
                  </w:tcBorders>
                  <w:shd w:val="clear" w:color="auto" w:fill="auto"/>
                  <w:vAlign w:val="center"/>
                </w:tcPr>
                <w:p w14:paraId="7893EBF3">
                  <w:pPr>
                    <w:pStyle w:val="24"/>
                  </w:pPr>
                  <w:r>
                    <w:rPr>
                      <w:rFonts w:hint="eastAsia"/>
                    </w:rPr>
                    <w:t>70</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5DCFBA7E">
                  <w:pPr>
                    <w:pStyle w:val="24"/>
                  </w:pPr>
                  <w:r>
                    <w:rPr>
                      <w:rFonts w:hint="eastAsia"/>
                    </w:rPr>
                    <w:t>55</w:t>
                  </w:r>
                </w:p>
              </w:tc>
              <w:tc>
                <w:tcPr>
                  <w:tcW w:w="394" w:type="pct"/>
                  <w:tcBorders>
                    <w:top w:val="single" w:color="auto" w:sz="4" w:space="0"/>
                    <w:left w:val="single" w:color="auto" w:sz="4" w:space="0"/>
                    <w:bottom w:val="single" w:color="auto" w:sz="4" w:space="0"/>
                    <w:right w:val="single" w:color="auto" w:sz="4" w:space="0"/>
                  </w:tcBorders>
                  <w:vAlign w:val="center"/>
                </w:tcPr>
                <w:p w14:paraId="05325F4D">
                  <w:pPr>
                    <w:pStyle w:val="24"/>
                  </w:pPr>
                  <w:r>
                    <w:t>达标</w:t>
                  </w:r>
                </w:p>
              </w:tc>
            </w:tr>
            <w:tr w14:paraId="0251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tcBorders>
                    <w:top w:val="single" w:color="auto" w:sz="4" w:space="0"/>
                    <w:left w:val="single" w:color="auto" w:sz="4" w:space="0"/>
                    <w:bottom w:val="single" w:color="auto" w:sz="4" w:space="0"/>
                    <w:right w:val="single" w:color="auto" w:sz="4" w:space="0"/>
                  </w:tcBorders>
                  <w:vAlign w:val="center"/>
                </w:tcPr>
                <w:p w14:paraId="2FAD0457">
                  <w:pPr>
                    <w:pStyle w:val="24"/>
                  </w:pPr>
                  <w:r>
                    <w:rPr>
                      <w:rFonts w:hint="eastAsia"/>
                    </w:rPr>
                    <w:t>益康小区</w:t>
                  </w:r>
                </w:p>
              </w:tc>
              <w:tc>
                <w:tcPr>
                  <w:tcW w:w="4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8C5799">
                  <w:pPr>
                    <w:pStyle w:val="24"/>
                  </w:pPr>
                  <w:r>
                    <w:rPr>
                      <w:rFonts w:hint="eastAsia"/>
                    </w:rPr>
                    <w:t>59</w:t>
                  </w:r>
                </w:p>
              </w:tc>
              <w:tc>
                <w:tcPr>
                  <w:tcW w:w="48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0941D3">
                  <w:pPr>
                    <w:pStyle w:val="24"/>
                  </w:pPr>
                  <w:r>
                    <w:rPr>
                      <w:rFonts w:hint="eastAsia"/>
                    </w:rPr>
                    <w:t>47</w:t>
                  </w:r>
                </w:p>
              </w:tc>
              <w:tc>
                <w:tcPr>
                  <w:tcW w:w="479" w:type="pct"/>
                  <w:tcBorders>
                    <w:top w:val="single" w:color="auto" w:sz="4" w:space="0"/>
                    <w:left w:val="single" w:color="auto" w:sz="4" w:space="0"/>
                    <w:bottom w:val="single" w:color="auto" w:sz="4" w:space="0"/>
                    <w:right w:val="single" w:color="auto" w:sz="4" w:space="0"/>
                  </w:tcBorders>
                  <w:noWrap/>
                  <w:vAlign w:val="center"/>
                </w:tcPr>
                <w:p w14:paraId="682F3329">
                  <w:pPr>
                    <w:pStyle w:val="24"/>
                  </w:pPr>
                  <w:r>
                    <w:rPr>
                      <w:rFonts w:hint="eastAsia"/>
                    </w:rPr>
                    <w:t>45.6</w:t>
                  </w:r>
                </w:p>
              </w:tc>
              <w:tc>
                <w:tcPr>
                  <w:tcW w:w="481" w:type="pct"/>
                  <w:tcBorders>
                    <w:top w:val="single" w:color="auto" w:sz="4" w:space="0"/>
                    <w:left w:val="single" w:color="auto" w:sz="4" w:space="0"/>
                    <w:bottom w:val="single" w:color="auto" w:sz="4" w:space="0"/>
                    <w:right w:val="single" w:color="auto" w:sz="4" w:space="0"/>
                  </w:tcBorders>
                  <w:noWrap/>
                  <w:vAlign w:val="center"/>
                </w:tcPr>
                <w:p w14:paraId="75CAA14E">
                  <w:pPr>
                    <w:pStyle w:val="24"/>
                  </w:pPr>
                  <w:r>
                    <w:rPr>
                      <w:rFonts w:hint="eastAsia"/>
                    </w:rPr>
                    <w:t>42.7</w:t>
                  </w:r>
                </w:p>
              </w:tc>
              <w:tc>
                <w:tcPr>
                  <w:tcW w:w="479" w:type="pct"/>
                  <w:tcBorders>
                    <w:top w:val="single" w:color="auto" w:sz="4" w:space="0"/>
                    <w:left w:val="single" w:color="auto" w:sz="4" w:space="0"/>
                    <w:bottom w:val="single" w:color="auto" w:sz="4" w:space="0"/>
                    <w:right w:val="single" w:color="auto" w:sz="4" w:space="0"/>
                  </w:tcBorders>
                  <w:noWrap/>
                  <w:vAlign w:val="center"/>
                </w:tcPr>
                <w:p w14:paraId="799B1F60">
                  <w:pPr>
                    <w:pStyle w:val="24"/>
                  </w:pPr>
                  <w:r>
                    <w:rPr>
                      <w:rFonts w:hint="eastAsia"/>
                    </w:rPr>
                    <w:t>58.5</w:t>
                  </w:r>
                </w:p>
              </w:tc>
              <w:tc>
                <w:tcPr>
                  <w:tcW w:w="481" w:type="pct"/>
                  <w:tcBorders>
                    <w:left w:val="single" w:color="auto" w:sz="4" w:space="0"/>
                    <w:right w:val="single" w:color="auto" w:sz="4" w:space="0"/>
                  </w:tcBorders>
                  <w:vAlign w:val="center"/>
                </w:tcPr>
                <w:p w14:paraId="4F0F9166">
                  <w:pPr>
                    <w:pStyle w:val="24"/>
                  </w:pPr>
                  <w:r>
                    <w:rPr>
                      <w:rFonts w:hint="eastAsia"/>
                    </w:rPr>
                    <w:t>46.3</w:t>
                  </w:r>
                </w:p>
              </w:tc>
              <w:tc>
                <w:tcPr>
                  <w:tcW w:w="479" w:type="pct"/>
                  <w:tcBorders>
                    <w:left w:val="single" w:color="auto" w:sz="4" w:space="0"/>
                    <w:right w:val="single" w:color="auto" w:sz="4" w:space="0"/>
                  </w:tcBorders>
                  <w:vAlign w:val="center"/>
                </w:tcPr>
                <w:p w14:paraId="2349C2B5">
                  <w:pPr>
                    <w:pStyle w:val="24"/>
                  </w:pPr>
                  <w:r>
                    <w:rPr>
                      <w:rFonts w:hint="eastAsia"/>
                    </w:rPr>
                    <w:t>60</w:t>
                  </w:r>
                </w:p>
              </w:tc>
              <w:tc>
                <w:tcPr>
                  <w:tcW w:w="482" w:type="pct"/>
                  <w:tcBorders>
                    <w:top w:val="single" w:color="auto" w:sz="4" w:space="0"/>
                    <w:left w:val="single" w:color="auto" w:sz="4" w:space="0"/>
                    <w:bottom w:val="single" w:color="auto" w:sz="4" w:space="0"/>
                    <w:right w:val="single" w:color="auto" w:sz="4" w:space="0"/>
                  </w:tcBorders>
                  <w:vAlign w:val="center"/>
                </w:tcPr>
                <w:p w14:paraId="5FBF6C9F">
                  <w:pPr>
                    <w:pStyle w:val="24"/>
                  </w:pPr>
                  <w:r>
                    <w:rPr>
                      <w:rFonts w:hint="eastAsia"/>
                    </w:rPr>
                    <w:t>50</w:t>
                  </w:r>
                </w:p>
              </w:tc>
              <w:tc>
                <w:tcPr>
                  <w:tcW w:w="394" w:type="pct"/>
                  <w:tcBorders>
                    <w:top w:val="single" w:color="auto" w:sz="4" w:space="0"/>
                    <w:left w:val="single" w:color="auto" w:sz="4" w:space="0"/>
                    <w:bottom w:val="single" w:color="auto" w:sz="4" w:space="0"/>
                    <w:right w:val="single" w:color="auto" w:sz="4" w:space="0"/>
                  </w:tcBorders>
                  <w:vAlign w:val="center"/>
                </w:tcPr>
                <w:p w14:paraId="4DB70BEB">
                  <w:pPr>
                    <w:pStyle w:val="24"/>
                  </w:pPr>
                  <w:r>
                    <w:t>达标</w:t>
                  </w:r>
                </w:p>
              </w:tc>
            </w:tr>
            <w:tr w14:paraId="642E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tcBorders>
                    <w:top w:val="single" w:color="auto" w:sz="4" w:space="0"/>
                    <w:left w:val="single" w:color="auto" w:sz="4" w:space="0"/>
                    <w:bottom w:val="single" w:color="auto" w:sz="4" w:space="0"/>
                    <w:right w:val="single" w:color="auto" w:sz="4" w:space="0"/>
                  </w:tcBorders>
                  <w:vAlign w:val="center"/>
                </w:tcPr>
                <w:p w14:paraId="7AC81AB5">
                  <w:pPr>
                    <w:pStyle w:val="24"/>
                  </w:pPr>
                  <w:bookmarkStart w:id="37" w:name="OLE_LINK35" w:colFirst="3" w:colLast="8"/>
                  <w:r>
                    <w:rPr>
                      <w:rFonts w:hint="eastAsia"/>
                    </w:rPr>
                    <w:t>淮南农场（办事处）</w:t>
                  </w:r>
                </w:p>
              </w:tc>
              <w:tc>
                <w:tcPr>
                  <w:tcW w:w="4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B5987A">
                  <w:pPr>
                    <w:pStyle w:val="24"/>
                  </w:pPr>
                  <w:r>
                    <w:rPr>
                      <w:rFonts w:hint="eastAsia"/>
                    </w:rPr>
                    <w:t>54</w:t>
                  </w:r>
                </w:p>
              </w:tc>
              <w:tc>
                <w:tcPr>
                  <w:tcW w:w="48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A76180">
                  <w:pPr>
                    <w:pStyle w:val="24"/>
                  </w:pPr>
                  <w:r>
                    <w:rPr>
                      <w:rFonts w:hint="eastAsia"/>
                    </w:rPr>
                    <w:t>43</w:t>
                  </w:r>
                </w:p>
              </w:tc>
              <w:tc>
                <w:tcPr>
                  <w:tcW w:w="479" w:type="pct"/>
                  <w:tcBorders>
                    <w:top w:val="single" w:color="auto" w:sz="4" w:space="0"/>
                    <w:left w:val="single" w:color="auto" w:sz="4" w:space="0"/>
                    <w:bottom w:val="single" w:color="auto" w:sz="4" w:space="0"/>
                    <w:right w:val="single" w:color="auto" w:sz="4" w:space="0"/>
                  </w:tcBorders>
                  <w:noWrap/>
                  <w:vAlign w:val="center"/>
                </w:tcPr>
                <w:p w14:paraId="0E545BE5">
                  <w:pPr>
                    <w:pStyle w:val="24"/>
                  </w:pPr>
                  <w:r>
                    <w:rPr>
                      <w:rFonts w:hint="eastAsia"/>
                    </w:rPr>
                    <w:t>43.9</w:t>
                  </w:r>
                </w:p>
              </w:tc>
              <w:tc>
                <w:tcPr>
                  <w:tcW w:w="481" w:type="pct"/>
                  <w:tcBorders>
                    <w:top w:val="single" w:color="auto" w:sz="4" w:space="0"/>
                    <w:left w:val="single" w:color="auto" w:sz="4" w:space="0"/>
                    <w:bottom w:val="single" w:color="auto" w:sz="4" w:space="0"/>
                    <w:right w:val="single" w:color="auto" w:sz="4" w:space="0"/>
                  </w:tcBorders>
                  <w:noWrap/>
                  <w:vAlign w:val="center"/>
                </w:tcPr>
                <w:p w14:paraId="55562559">
                  <w:pPr>
                    <w:pStyle w:val="24"/>
                  </w:pPr>
                  <w:r>
                    <w:rPr>
                      <w:rFonts w:hint="eastAsia"/>
                    </w:rPr>
                    <w:t>39.6</w:t>
                  </w:r>
                </w:p>
              </w:tc>
              <w:tc>
                <w:tcPr>
                  <w:tcW w:w="479" w:type="pct"/>
                  <w:tcBorders>
                    <w:top w:val="single" w:color="auto" w:sz="4" w:space="0"/>
                    <w:left w:val="single" w:color="auto" w:sz="4" w:space="0"/>
                    <w:bottom w:val="single" w:color="auto" w:sz="4" w:space="0"/>
                    <w:right w:val="single" w:color="auto" w:sz="4" w:space="0"/>
                  </w:tcBorders>
                  <w:noWrap/>
                  <w:vAlign w:val="center"/>
                </w:tcPr>
                <w:p w14:paraId="64E3BA45">
                  <w:pPr>
                    <w:pStyle w:val="24"/>
                  </w:pPr>
                  <w:r>
                    <w:rPr>
                      <w:rFonts w:hint="eastAsia"/>
                    </w:rPr>
                    <w:t>53.6</w:t>
                  </w:r>
                </w:p>
              </w:tc>
              <w:tc>
                <w:tcPr>
                  <w:tcW w:w="481" w:type="pct"/>
                  <w:tcBorders>
                    <w:left w:val="single" w:color="auto" w:sz="4" w:space="0"/>
                    <w:right w:val="single" w:color="auto" w:sz="4" w:space="0"/>
                  </w:tcBorders>
                  <w:vAlign w:val="center"/>
                </w:tcPr>
                <w:p w14:paraId="0F6DDB56">
                  <w:pPr>
                    <w:pStyle w:val="24"/>
                  </w:pPr>
                  <w:r>
                    <w:rPr>
                      <w:rFonts w:hint="eastAsia"/>
                    </w:rPr>
                    <w:t>42.8</w:t>
                  </w:r>
                </w:p>
              </w:tc>
              <w:tc>
                <w:tcPr>
                  <w:tcW w:w="479" w:type="pct"/>
                  <w:tcBorders>
                    <w:left w:val="single" w:color="auto" w:sz="4" w:space="0"/>
                    <w:right w:val="single" w:color="auto" w:sz="4" w:space="0"/>
                  </w:tcBorders>
                  <w:vAlign w:val="center"/>
                </w:tcPr>
                <w:p w14:paraId="048425CC">
                  <w:pPr>
                    <w:pStyle w:val="24"/>
                  </w:pPr>
                  <w:r>
                    <w:rPr>
                      <w:rFonts w:hint="eastAsia"/>
                    </w:rPr>
                    <w:t>60</w:t>
                  </w:r>
                </w:p>
              </w:tc>
              <w:tc>
                <w:tcPr>
                  <w:tcW w:w="482" w:type="pct"/>
                  <w:tcBorders>
                    <w:top w:val="single" w:color="auto" w:sz="4" w:space="0"/>
                    <w:left w:val="single" w:color="auto" w:sz="4" w:space="0"/>
                    <w:bottom w:val="single" w:color="auto" w:sz="4" w:space="0"/>
                    <w:right w:val="single" w:color="auto" w:sz="4" w:space="0"/>
                  </w:tcBorders>
                  <w:vAlign w:val="center"/>
                </w:tcPr>
                <w:p w14:paraId="5CAAB563">
                  <w:pPr>
                    <w:pStyle w:val="24"/>
                  </w:pPr>
                  <w:r>
                    <w:rPr>
                      <w:rFonts w:hint="eastAsia"/>
                    </w:rPr>
                    <w:t>50</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14:paraId="1BFD6C3C">
                  <w:pPr>
                    <w:pStyle w:val="24"/>
                  </w:pPr>
                  <w:r>
                    <w:t>达标</w:t>
                  </w:r>
                </w:p>
              </w:tc>
            </w:tr>
            <w:tr w14:paraId="33E1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pct"/>
                  <w:tcBorders>
                    <w:top w:val="single" w:color="auto" w:sz="4" w:space="0"/>
                    <w:left w:val="single" w:color="auto" w:sz="4" w:space="0"/>
                    <w:bottom w:val="single" w:color="auto" w:sz="4" w:space="0"/>
                    <w:right w:val="single" w:color="auto" w:sz="4" w:space="0"/>
                  </w:tcBorders>
                  <w:vAlign w:val="center"/>
                </w:tcPr>
                <w:p w14:paraId="5504F949">
                  <w:pPr>
                    <w:pStyle w:val="24"/>
                  </w:pPr>
                  <w:r>
                    <w:rPr>
                      <w:rFonts w:hint="eastAsia"/>
                    </w:rPr>
                    <w:t>幸福村</w:t>
                  </w:r>
                </w:p>
              </w:tc>
              <w:tc>
                <w:tcPr>
                  <w:tcW w:w="4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DC4341">
                  <w:pPr>
                    <w:pStyle w:val="24"/>
                  </w:pPr>
                  <w:r>
                    <w:rPr>
                      <w:rFonts w:hint="eastAsia"/>
                    </w:rPr>
                    <w:t>56</w:t>
                  </w:r>
                </w:p>
              </w:tc>
              <w:tc>
                <w:tcPr>
                  <w:tcW w:w="48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0CF75F">
                  <w:pPr>
                    <w:pStyle w:val="24"/>
                  </w:pPr>
                  <w:r>
                    <w:rPr>
                      <w:rFonts w:hint="eastAsia"/>
                    </w:rPr>
                    <w:t>43</w:t>
                  </w:r>
                </w:p>
              </w:tc>
              <w:tc>
                <w:tcPr>
                  <w:tcW w:w="479" w:type="pct"/>
                  <w:tcBorders>
                    <w:top w:val="single" w:color="auto" w:sz="4" w:space="0"/>
                    <w:left w:val="single" w:color="auto" w:sz="4" w:space="0"/>
                    <w:bottom w:val="single" w:color="auto" w:sz="4" w:space="0"/>
                    <w:right w:val="single" w:color="auto" w:sz="4" w:space="0"/>
                  </w:tcBorders>
                  <w:noWrap/>
                  <w:vAlign w:val="center"/>
                </w:tcPr>
                <w:p w14:paraId="1F7ABA6D">
                  <w:pPr>
                    <w:pStyle w:val="24"/>
                  </w:pPr>
                  <w:r>
                    <w:rPr>
                      <w:rFonts w:hint="eastAsia"/>
                    </w:rPr>
                    <w:t>52.1</w:t>
                  </w:r>
                </w:p>
              </w:tc>
              <w:tc>
                <w:tcPr>
                  <w:tcW w:w="481" w:type="pct"/>
                  <w:tcBorders>
                    <w:top w:val="single" w:color="auto" w:sz="4" w:space="0"/>
                    <w:left w:val="single" w:color="auto" w:sz="4" w:space="0"/>
                    <w:bottom w:val="single" w:color="auto" w:sz="4" w:space="0"/>
                    <w:right w:val="single" w:color="auto" w:sz="4" w:space="0"/>
                  </w:tcBorders>
                  <w:noWrap/>
                  <w:vAlign w:val="center"/>
                </w:tcPr>
                <w:p w14:paraId="424EA2F1">
                  <w:pPr>
                    <w:pStyle w:val="24"/>
                  </w:pPr>
                  <w:r>
                    <w:rPr>
                      <w:rFonts w:hint="eastAsia"/>
                    </w:rPr>
                    <w:t>46.2</w:t>
                  </w:r>
                </w:p>
              </w:tc>
              <w:tc>
                <w:tcPr>
                  <w:tcW w:w="479" w:type="pct"/>
                  <w:tcBorders>
                    <w:top w:val="single" w:color="auto" w:sz="4" w:space="0"/>
                    <w:left w:val="single" w:color="auto" w:sz="4" w:space="0"/>
                    <w:bottom w:val="single" w:color="auto" w:sz="4" w:space="0"/>
                    <w:right w:val="single" w:color="auto" w:sz="4" w:space="0"/>
                  </w:tcBorders>
                  <w:noWrap/>
                  <w:vAlign w:val="center"/>
                </w:tcPr>
                <w:p w14:paraId="5DCDCBFE">
                  <w:pPr>
                    <w:pStyle w:val="24"/>
                  </w:pPr>
                  <w:r>
                    <w:rPr>
                      <w:rFonts w:hint="eastAsia"/>
                    </w:rPr>
                    <w:t>55.7</w:t>
                  </w:r>
                </w:p>
              </w:tc>
              <w:tc>
                <w:tcPr>
                  <w:tcW w:w="481" w:type="pct"/>
                  <w:tcBorders>
                    <w:left w:val="single" w:color="auto" w:sz="4" w:space="0"/>
                    <w:right w:val="single" w:color="auto" w:sz="4" w:space="0"/>
                  </w:tcBorders>
                  <w:vAlign w:val="center"/>
                </w:tcPr>
                <w:p w14:paraId="3B17C450">
                  <w:pPr>
                    <w:pStyle w:val="24"/>
                    <w:rPr>
                      <w:rFonts w:hint="default" w:eastAsia="宋体"/>
                      <w:lang w:val="en-US" w:eastAsia="zh-CN"/>
                    </w:rPr>
                  </w:pPr>
                  <w:r>
                    <w:rPr>
                      <w:rFonts w:hint="eastAsia"/>
                      <w:lang w:val="en-US" w:eastAsia="zh-CN"/>
                    </w:rPr>
                    <w:t>42.6</w:t>
                  </w:r>
                </w:p>
              </w:tc>
              <w:tc>
                <w:tcPr>
                  <w:tcW w:w="479" w:type="pct"/>
                  <w:tcBorders>
                    <w:left w:val="single" w:color="auto" w:sz="4" w:space="0"/>
                    <w:right w:val="single" w:color="auto" w:sz="4" w:space="0"/>
                  </w:tcBorders>
                  <w:shd w:val="clear" w:color="auto" w:fill="auto"/>
                  <w:vAlign w:val="center"/>
                </w:tcPr>
                <w:p w14:paraId="19D30044">
                  <w:pPr>
                    <w:pStyle w:val="24"/>
                  </w:pPr>
                  <w:r>
                    <w:rPr>
                      <w:rFonts w:hint="eastAsia"/>
                    </w:rPr>
                    <w:t>60</w:t>
                  </w:r>
                </w:p>
              </w:tc>
              <w:tc>
                <w:tcPr>
                  <w:tcW w:w="482" w:type="pct"/>
                  <w:tcBorders>
                    <w:top w:val="single" w:color="auto" w:sz="4" w:space="0"/>
                    <w:left w:val="single" w:color="auto" w:sz="4" w:space="0"/>
                    <w:bottom w:val="single" w:color="auto" w:sz="4" w:space="0"/>
                    <w:right w:val="single" w:color="auto" w:sz="4" w:space="0"/>
                  </w:tcBorders>
                  <w:shd w:val="clear" w:color="auto" w:fill="auto"/>
                  <w:vAlign w:val="center"/>
                </w:tcPr>
                <w:p w14:paraId="4EBDE3F4">
                  <w:pPr>
                    <w:pStyle w:val="24"/>
                  </w:pPr>
                  <w:r>
                    <w:rPr>
                      <w:rFonts w:hint="eastAsia"/>
                    </w:rPr>
                    <w:t>50</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14:paraId="65DEEAC5">
                  <w:pPr>
                    <w:pStyle w:val="24"/>
                  </w:pPr>
                  <w:r>
                    <w:t>达标</w:t>
                  </w:r>
                </w:p>
              </w:tc>
            </w:tr>
            <w:bookmarkEnd w:id="37"/>
          </w:tbl>
          <w:p w14:paraId="6A2BAFE3">
            <w:pPr>
              <w:adjustRightInd w:val="0"/>
              <w:snapToGrid w:val="0"/>
              <w:ind w:firstLine="480" w:firstLineChars="200"/>
            </w:pPr>
            <w:r>
              <w:t>根据预测结果可知，项目使用的生产设备通过距离衰减、墙壁阻隔等措施之后，其噪声在</w:t>
            </w:r>
            <w:r>
              <w:rPr>
                <w:rFonts w:hint="eastAsia"/>
              </w:rPr>
              <w:t>项目</w:t>
            </w:r>
            <w:r>
              <w:t>边界处能够达到《工业企业厂界环境噪声排放标准》（GB12348-2008）中</w:t>
            </w:r>
            <w:r>
              <w:rPr>
                <w:rFonts w:hint="eastAsia"/>
              </w:rPr>
              <w:t>2类、4类</w:t>
            </w:r>
            <w:r>
              <w:t>标准要求</w:t>
            </w:r>
            <w:r>
              <w:rPr>
                <w:rFonts w:hint="eastAsia"/>
              </w:rPr>
              <w:t>，</w:t>
            </w:r>
            <w:r>
              <w:t>对周边环境无明显影响。</w:t>
            </w:r>
          </w:p>
          <w:p w14:paraId="29079426">
            <w:pPr>
              <w:adjustRightInd w:val="0"/>
              <w:snapToGrid w:val="0"/>
              <w:ind w:firstLine="480" w:firstLineChars="200"/>
            </w:pPr>
            <w:r>
              <w:rPr>
                <w:rFonts w:hint="eastAsia"/>
              </w:rPr>
              <w:t>为保证厂界噪声达，本环评提出以下噪声防治措施。噪声防治措施要求：</w:t>
            </w:r>
          </w:p>
          <w:p w14:paraId="22CB32E0">
            <w:pPr>
              <w:adjustRightInd w:val="0"/>
              <w:snapToGrid w:val="0"/>
              <w:ind w:firstLine="480" w:firstLineChars="200"/>
            </w:pPr>
            <w:r>
              <w:t>①工艺上应该选用机械性能好、噪声强度低的设备，并提高设备安装精度。</w:t>
            </w:r>
          </w:p>
          <w:p w14:paraId="686B7046">
            <w:pPr>
              <w:adjustRightInd w:val="0"/>
              <w:snapToGrid w:val="0"/>
              <w:ind w:firstLine="480" w:firstLineChars="200"/>
            </w:pPr>
            <w:r>
              <w:t>②生产过程中产生噪声较大的设备应尽量避开敏感点，有利于减轻噪声对外环境的影响。</w:t>
            </w:r>
          </w:p>
          <w:p w14:paraId="7CBF1068">
            <w:pPr>
              <w:ind w:firstLine="480" w:firstLineChars="200"/>
            </w:pPr>
            <w:r>
              <w:t>③应考虑在绿化设计等方面采取有效措施，在</w:t>
            </w:r>
            <w:r>
              <w:rPr>
                <w:rFonts w:hint="eastAsia"/>
              </w:rPr>
              <w:t>加油站</w:t>
            </w:r>
            <w:r>
              <w:t>边界绿化带搭配种植低矮灌木，以阻隔噪声的传播和干扰。</w:t>
            </w:r>
          </w:p>
          <w:p w14:paraId="48E563F6">
            <w:pPr>
              <w:ind w:firstLine="480" w:firstLineChars="200"/>
            </w:pPr>
            <w:r>
              <w:fldChar w:fldCharType="begin"/>
            </w:r>
            <w:r>
              <w:instrText xml:space="preserve"> = 4 \* GB3 \* MERGEFORMAT </w:instrText>
            </w:r>
            <w:r>
              <w:fldChar w:fldCharType="separate"/>
            </w:r>
            <w:r>
              <w:t>④</w:t>
            </w:r>
            <w:r>
              <w:fldChar w:fldCharType="end"/>
            </w:r>
            <w:r>
              <w:t>维护好设备，使之保持良好的工作状态、加强设备润滑等措施降低生产设备噪声。</w:t>
            </w:r>
          </w:p>
          <w:p w14:paraId="2338A9B6">
            <w:pPr>
              <w:widowControl/>
              <w:numPr>
                <w:ilvl w:val="0"/>
                <w:numId w:val="8"/>
              </w:numPr>
              <w:jc w:val="left"/>
              <w:rPr>
                <w:rFonts w:hint="eastAsia" w:ascii="宋体" w:hAnsi="宋体" w:cs="宋体"/>
                <w:kern w:val="0"/>
                <w:lang w:bidi="ar"/>
              </w:rPr>
            </w:pPr>
            <w:r>
              <w:rPr>
                <w:rFonts w:hint="eastAsia" w:ascii="宋体" w:hAnsi="宋体" w:cs="宋体"/>
                <w:kern w:val="0"/>
                <w:lang w:bidi="ar"/>
              </w:rPr>
              <w:t>运营期声环境保护措施</w:t>
            </w:r>
          </w:p>
          <w:p w14:paraId="4FD380AF">
            <w:pPr>
              <w:ind w:firstLine="420"/>
            </w:pPr>
            <w:r>
              <w:t>工程噪声控制拟在满足工艺生产条件前提下，尽可能选用低噪声设备，对高噪声等动力噪声源设置隔声罩、进气口加装消声器；车间采用封闭式厂房或隔音室，同时，对噪声设备基础进行隔振、减震处理。工程还应从在平面布局考虑，强噪设备布置时应充分考虑强噪设备与厂界的距离及厂界噪声限值，布置位置尽可能远离厂界。采用以下噪声防治措施：</w:t>
            </w:r>
          </w:p>
          <w:p w14:paraId="7FFCA40B">
            <w:pPr>
              <w:ind w:firstLine="420"/>
            </w:pPr>
            <w:r>
              <w:rPr>
                <w:rFonts w:hint="eastAsia" w:ascii="宋体" w:hAnsi="宋体" w:cs="宋体"/>
              </w:rPr>
              <w:t>①</w:t>
            </w:r>
            <w:r>
              <w:t>在设备选型注意选择低噪声设备。在设备布局中除了满足工艺要求，考虑利用地形建筑物等障碍物降低噪声。</w:t>
            </w:r>
          </w:p>
          <w:p w14:paraId="1A2E3E79">
            <w:pPr>
              <w:ind w:firstLine="420"/>
            </w:pPr>
            <w:r>
              <w:rPr>
                <w:rFonts w:hint="eastAsia" w:ascii="宋体" w:hAnsi="宋体" w:cs="宋体"/>
              </w:rPr>
              <w:t>②</w:t>
            </w:r>
            <w:r>
              <w:t>设备的安装采用减振处理，风机可以安装消声器，风管连接采用软接；管道的固定要防止共振。</w:t>
            </w:r>
          </w:p>
          <w:p w14:paraId="7B1F60D3">
            <w:pPr>
              <w:ind w:firstLine="420"/>
            </w:pPr>
            <w:r>
              <w:rPr>
                <w:rFonts w:hint="eastAsia" w:ascii="宋体" w:hAnsi="宋体" w:cs="宋体"/>
              </w:rPr>
              <w:t>③</w:t>
            </w:r>
            <w:r>
              <w:t>维护好设备，使之保持良好的工作状态、加强设备润滑等措施降低生产设备噪声。</w:t>
            </w:r>
          </w:p>
          <w:p w14:paraId="7DD279AE">
            <w:pPr>
              <w:ind w:firstLine="480" w:firstLineChars="200"/>
              <w:rPr>
                <w:rFonts w:hint="eastAsia" w:ascii="宋体" w:hAnsi="宋体" w:cs="宋体"/>
                <w:kern w:val="0"/>
                <w:lang w:bidi="ar"/>
              </w:rPr>
            </w:pPr>
            <w:r>
              <w:rPr>
                <w:rFonts w:hint="eastAsia" w:ascii="宋体" w:hAnsi="宋体" w:cs="宋体"/>
                <w:kern w:val="0"/>
                <w:lang w:bidi="ar"/>
              </w:rPr>
              <w:t>本项目潜油泵布置在地下，噪声传至地面后对外环境影响较小。本项目噪声主要为车辆进出加油站时产生的交通噪声、加油机噪声以及车辆维修过程中产生的噪声。为降低噪声对周边环境的影响，建议采取以下降噪措施：</w:t>
            </w:r>
          </w:p>
          <w:p w14:paraId="0E93124F">
            <w:pPr>
              <w:ind w:firstLine="480" w:firstLineChars="200"/>
              <w:rPr>
                <w:rFonts w:hint="eastAsia" w:ascii="宋体" w:hAnsi="宋体" w:cs="宋体"/>
                <w:kern w:val="0"/>
                <w:lang w:bidi="ar"/>
              </w:rPr>
            </w:pPr>
            <w:r>
              <w:rPr>
                <w:rFonts w:hint="eastAsia" w:ascii="宋体" w:hAnsi="宋体" w:cs="宋体"/>
                <w:kern w:val="0"/>
                <w:lang w:bidi="ar"/>
              </w:rPr>
              <w:t>①在进站口设置减速标志和禁鸣标志，加强对进站车辆的管理；</w:t>
            </w:r>
          </w:p>
          <w:p w14:paraId="3B320B2F">
            <w:pPr>
              <w:ind w:firstLine="480" w:firstLineChars="200"/>
              <w:rPr>
                <w:rFonts w:hint="eastAsia" w:ascii="宋体" w:hAnsi="宋体" w:cs="宋体"/>
                <w:kern w:val="0"/>
                <w:lang w:bidi="ar"/>
              </w:rPr>
            </w:pPr>
            <w:r>
              <w:rPr>
                <w:rFonts w:hint="eastAsia" w:ascii="宋体" w:hAnsi="宋体" w:cs="宋体"/>
                <w:kern w:val="0"/>
                <w:lang w:bidi="ar"/>
              </w:rPr>
              <w:t>②优先选用低噪声设备，加强对加油机等设备的维护和保养，避免因设备问题而引发突发性高噪声；</w:t>
            </w:r>
          </w:p>
          <w:p w14:paraId="09E3E38B">
            <w:pPr>
              <w:ind w:firstLine="480" w:firstLineChars="200"/>
              <w:rPr>
                <w:rFonts w:hint="eastAsia" w:ascii="宋体" w:hAnsi="宋体" w:cs="宋体"/>
                <w:kern w:val="0"/>
                <w:lang w:bidi="ar"/>
              </w:rPr>
            </w:pPr>
            <w:r>
              <w:rPr>
                <w:rFonts w:hint="eastAsia" w:ascii="宋体" w:hAnsi="宋体" w:cs="宋体"/>
                <w:kern w:val="0"/>
                <w:lang w:bidi="ar"/>
              </w:rPr>
              <w:t>③在运营过程中应遵守作业规定，减少碰撞噪声，尽量降低人为噪声；</w:t>
            </w:r>
          </w:p>
          <w:p w14:paraId="069CFA55">
            <w:pPr>
              <w:ind w:firstLine="480" w:firstLineChars="200"/>
              <w:rPr>
                <w:rFonts w:hint="eastAsia" w:ascii="宋体" w:hAnsi="宋体" w:cs="宋体"/>
                <w:kern w:val="0"/>
                <w:lang w:bidi="ar"/>
              </w:rPr>
            </w:pPr>
            <w:r>
              <w:rPr>
                <w:rFonts w:hint="eastAsia" w:ascii="宋体" w:hAnsi="宋体" w:cs="宋体"/>
                <w:kern w:val="0"/>
                <w:lang w:bidi="ar"/>
              </w:rPr>
              <w:t>④在场界四周多种灌木使其形成绿化带，进一步降低噪声对周围环境的影响。</w:t>
            </w:r>
          </w:p>
          <w:p w14:paraId="4F3C3025">
            <w:pPr>
              <w:ind w:firstLine="480" w:firstLineChars="200"/>
            </w:pPr>
            <w:r>
              <w:rPr>
                <w:rFonts w:hint="eastAsia" w:ascii="宋体" w:hAnsi="宋体" w:cs="宋体"/>
                <w:kern w:val="0"/>
                <w:lang w:bidi="ar"/>
              </w:rPr>
              <w:t>综上，项目投入使用后不会改变项目所处区域的声环境功能，对声环境的影响很小。</w:t>
            </w:r>
          </w:p>
          <w:p w14:paraId="530FEE28">
            <w:pPr>
              <w:snapToGrid w:val="0"/>
              <w:rPr>
                <w:bCs/>
              </w:rPr>
            </w:pPr>
            <w:r>
              <w:rPr>
                <w:rFonts w:hint="eastAsia"/>
                <w:bCs/>
              </w:rPr>
              <w:t>5</w:t>
            </w:r>
            <w:r>
              <w:rPr>
                <w:bCs/>
              </w:rPr>
              <w:t>、噪声监测要求</w:t>
            </w:r>
          </w:p>
          <w:p w14:paraId="253051E5">
            <w:pPr>
              <w:adjustRightInd w:val="0"/>
              <w:snapToGrid w:val="0"/>
              <w:ind w:firstLine="480" w:firstLineChars="200"/>
            </w:pPr>
            <w:r>
              <w:t>根据《排污单位自行监测技术指南 总则》（HJ 819-2017），项目噪声自行监测计划如下：</w:t>
            </w:r>
          </w:p>
          <w:p w14:paraId="49C27E1B">
            <w:pPr>
              <w:pStyle w:val="6"/>
            </w:pPr>
            <w:r>
              <w:t xml:space="preserve">表 </w:t>
            </w:r>
            <w:r>
              <w:rPr>
                <w:rFonts w:hint="eastAsia"/>
              </w:rPr>
              <w:t>4-</w:t>
            </w:r>
            <w:r>
              <w:fldChar w:fldCharType="begin"/>
            </w:r>
            <w:r>
              <w:instrText xml:space="preserve"> SEQ 表 \* ARABIC \s 1 </w:instrText>
            </w:r>
            <w:r>
              <w:fldChar w:fldCharType="separate"/>
            </w:r>
            <w:r>
              <w:t>12</w:t>
            </w:r>
            <w:r>
              <w:fldChar w:fldCharType="end"/>
            </w:r>
            <w:r>
              <w:rPr>
                <w:bCs/>
                <w:szCs w:val="21"/>
              </w:rPr>
              <w:t xml:space="preserve"> 噪声监测计划一览表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969"/>
              <w:gridCol w:w="1406"/>
              <w:gridCol w:w="4139"/>
            </w:tblGrid>
            <w:tr w14:paraId="1167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Align w:val="center"/>
                </w:tcPr>
                <w:p w14:paraId="456CA953">
                  <w:pPr>
                    <w:pStyle w:val="24"/>
                    <w:rPr>
                      <w:b/>
                      <w:bCs/>
                    </w:rPr>
                  </w:pPr>
                  <w:r>
                    <w:rPr>
                      <w:b/>
                      <w:bCs/>
                    </w:rPr>
                    <w:t>监测点位</w:t>
                  </w:r>
                </w:p>
              </w:tc>
              <w:tc>
                <w:tcPr>
                  <w:tcW w:w="340" w:type="dxa"/>
                  <w:vAlign w:val="center"/>
                </w:tcPr>
                <w:p w14:paraId="74A8B4FC">
                  <w:pPr>
                    <w:pStyle w:val="24"/>
                    <w:rPr>
                      <w:b/>
                      <w:bCs/>
                    </w:rPr>
                  </w:pPr>
                  <w:r>
                    <w:rPr>
                      <w:b/>
                      <w:bCs/>
                    </w:rPr>
                    <w:t>监测指标</w:t>
                  </w:r>
                </w:p>
              </w:tc>
              <w:tc>
                <w:tcPr>
                  <w:tcW w:w="340" w:type="dxa"/>
                  <w:vAlign w:val="center"/>
                </w:tcPr>
                <w:p w14:paraId="07340D9A">
                  <w:pPr>
                    <w:pStyle w:val="24"/>
                    <w:rPr>
                      <w:b/>
                      <w:bCs/>
                    </w:rPr>
                  </w:pPr>
                  <w:r>
                    <w:rPr>
                      <w:b/>
                      <w:bCs/>
                    </w:rPr>
                    <w:t>监测频次</w:t>
                  </w:r>
                </w:p>
              </w:tc>
              <w:tc>
                <w:tcPr>
                  <w:tcW w:w="340" w:type="dxa"/>
                  <w:vAlign w:val="center"/>
                </w:tcPr>
                <w:p w14:paraId="72FA8FB4">
                  <w:pPr>
                    <w:pStyle w:val="24"/>
                    <w:rPr>
                      <w:b/>
                      <w:bCs/>
                    </w:rPr>
                  </w:pPr>
                  <w:r>
                    <w:rPr>
                      <w:b/>
                      <w:bCs/>
                    </w:rPr>
                    <w:t>执行排放标准</w:t>
                  </w:r>
                </w:p>
              </w:tc>
            </w:tr>
            <w:tr w14:paraId="5888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Align w:val="center"/>
                </w:tcPr>
                <w:p w14:paraId="5A037F84">
                  <w:pPr>
                    <w:pStyle w:val="24"/>
                  </w:pPr>
                  <w:r>
                    <w:t>厂界外1m</w:t>
                  </w:r>
                </w:p>
              </w:tc>
              <w:tc>
                <w:tcPr>
                  <w:tcW w:w="340" w:type="dxa"/>
                  <w:vAlign w:val="center"/>
                </w:tcPr>
                <w:p w14:paraId="533FC6D0">
                  <w:pPr>
                    <w:pStyle w:val="24"/>
                  </w:pPr>
                  <w:r>
                    <w:t>噪声</w:t>
                  </w:r>
                </w:p>
              </w:tc>
              <w:tc>
                <w:tcPr>
                  <w:tcW w:w="340" w:type="dxa"/>
                  <w:vAlign w:val="center"/>
                </w:tcPr>
                <w:p w14:paraId="50BB0DED">
                  <w:pPr>
                    <w:pStyle w:val="24"/>
                  </w:pPr>
                  <w:r>
                    <w:t>1次/季度，昼夜各1次</w:t>
                  </w:r>
                </w:p>
              </w:tc>
              <w:tc>
                <w:tcPr>
                  <w:tcW w:w="340" w:type="dxa"/>
                  <w:vAlign w:val="center"/>
                </w:tcPr>
                <w:p w14:paraId="33121A4F">
                  <w:pPr>
                    <w:pStyle w:val="24"/>
                  </w:pPr>
                  <w:r>
                    <w:rPr>
                      <w:rFonts w:hint="eastAsia"/>
                    </w:rPr>
                    <w:t>东、北侧</w:t>
                  </w:r>
                  <w:r>
                    <w:t>执行《工业企业厂界环境噪声排放标准》（GB12348-2008）</w:t>
                  </w:r>
                  <w:bookmarkStart w:id="38" w:name="OLE_LINK36"/>
                  <w:r>
                    <w:rPr>
                      <w:rFonts w:hint="eastAsia"/>
                    </w:rPr>
                    <w:t>4类</w:t>
                  </w:r>
                  <w:bookmarkEnd w:id="38"/>
                  <w:r>
                    <w:rPr>
                      <w:rFonts w:hint="eastAsia"/>
                    </w:rPr>
                    <w:t>标准要求；西、南侧执行</w:t>
                  </w:r>
                  <w:r>
                    <w:t>GB12348-2008</w:t>
                  </w:r>
                  <w:r>
                    <w:rPr>
                      <w:rFonts w:hint="eastAsia"/>
                    </w:rPr>
                    <w:t>中2类标准。</w:t>
                  </w:r>
                </w:p>
              </w:tc>
            </w:tr>
          </w:tbl>
          <w:p w14:paraId="79685C63">
            <w:pPr>
              <w:rPr>
                <w:b/>
                <w:bCs/>
              </w:rPr>
            </w:pPr>
            <w:r>
              <w:rPr>
                <w:rFonts w:hint="eastAsia"/>
                <w:b/>
                <w:bCs/>
              </w:rPr>
              <w:t>四、固体废物环境影响分析</w:t>
            </w:r>
          </w:p>
          <w:p w14:paraId="33AD476A">
            <w:pPr>
              <w:ind w:firstLine="480" w:firstLineChars="200"/>
            </w:pPr>
            <w:r>
              <w:t>本项目营运期主要固体废弃物为生活垃圾、</w:t>
            </w:r>
            <w:r>
              <w:rPr>
                <w:rFonts w:hint="eastAsia"/>
              </w:rPr>
              <w:t>废零部件、废轮胎、废机油、废电池、洗车污泥及泥沙、废包装材料、清罐</w:t>
            </w:r>
            <w:r>
              <w:t>油泥、</w:t>
            </w:r>
            <w:r>
              <w:rPr>
                <w:rFonts w:hint="eastAsia"/>
              </w:rPr>
              <w:t>油渣以及废含油抹布或手套等</w:t>
            </w:r>
            <w:r>
              <w:t>。</w:t>
            </w:r>
          </w:p>
          <w:p w14:paraId="19997451">
            <w:pPr>
              <w:ind w:firstLine="480" w:firstLineChars="200"/>
            </w:pPr>
            <w:r>
              <w:rPr>
                <w:rFonts w:hint="eastAsia"/>
              </w:rPr>
              <w:t>1、一般固废</w:t>
            </w:r>
          </w:p>
          <w:p w14:paraId="2F1013DB">
            <w:pPr>
              <w:ind w:firstLine="480" w:firstLineChars="200"/>
            </w:pPr>
            <w:r>
              <w:rPr>
                <w:rFonts w:hint="eastAsia"/>
              </w:rPr>
              <w:t>（1）生活垃圾S1</w:t>
            </w:r>
          </w:p>
          <w:p w14:paraId="16D67687">
            <w:pPr>
              <w:ind w:firstLine="480" w:firstLineChars="200"/>
              <w:rPr>
                <w:lang w:val="zh-CN"/>
              </w:rPr>
            </w:pPr>
            <w:r>
              <w:t>项目</w:t>
            </w:r>
            <w:r>
              <w:rPr>
                <w:rFonts w:hint="eastAsia"/>
              </w:rPr>
              <w:t>劳动定员30人</w:t>
            </w:r>
            <w:r>
              <w:t>，</w:t>
            </w:r>
            <w:r>
              <w:rPr>
                <w:rFonts w:hint="eastAsia"/>
              </w:rPr>
              <w:t>往来人员</w:t>
            </w:r>
            <w:r>
              <w:t>约</w:t>
            </w:r>
            <w:r>
              <w:rPr>
                <w:rFonts w:hint="eastAsia"/>
              </w:rPr>
              <w:t>500</w:t>
            </w:r>
            <w:r>
              <w:t>人，合计约</w:t>
            </w:r>
            <w:r>
              <w:rPr>
                <w:rFonts w:hint="eastAsia"/>
              </w:rPr>
              <w:t>530</w:t>
            </w:r>
            <w:r>
              <w:t>人，生活垃圾按每人0.5kg/d算，产生量约为</w:t>
            </w:r>
            <w:r>
              <w:rPr>
                <w:rFonts w:hint="eastAsia"/>
              </w:rPr>
              <w:t>365</w:t>
            </w:r>
            <w:r>
              <w:t>kg/d（</w:t>
            </w:r>
            <w:r>
              <w:rPr>
                <w:rFonts w:hint="eastAsia"/>
              </w:rPr>
              <w:t>96.73</w:t>
            </w:r>
            <w:r>
              <w:t>t/a），</w:t>
            </w:r>
            <w:r>
              <w:rPr>
                <w:lang w:val="zh-CN"/>
              </w:rPr>
              <w:t>收集后</w:t>
            </w:r>
            <w:r>
              <w:t>由环卫部门清运</w:t>
            </w:r>
            <w:r>
              <w:rPr>
                <w:lang w:val="zh-CN"/>
              </w:rPr>
              <w:t>。</w:t>
            </w:r>
          </w:p>
          <w:p w14:paraId="3C8DD4D6">
            <w:pPr>
              <w:ind w:firstLine="480" w:firstLineChars="200"/>
            </w:pPr>
            <w:r>
              <w:rPr>
                <w:rFonts w:hint="eastAsia"/>
                <w:lang w:val="zh-CN"/>
              </w:rPr>
              <w:t>（2）废零部件</w:t>
            </w:r>
            <w:r>
              <w:rPr>
                <w:rFonts w:hint="eastAsia"/>
              </w:rPr>
              <w:t>S2</w:t>
            </w:r>
          </w:p>
          <w:p w14:paraId="282AEDA3">
            <w:pPr>
              <w:ind w:firstLine="480" w:firstLineChars="200"/>
            </w:pPr>
            <w:r>
              <w:rPr>
                <w:rFonts w:hint="eastAsia"/>
                <w:lang w:val="zh-CN"/>
              </w:rPr>
              <w:t>车辆维修过程中产生的废旧零部件约</w:t>
            </w:r>
            <w:r>
              <w:rPr>
                <w:rFonts w:hint="eastAsia"/>
              </w:rPr>
              <w:t>5t/a，经收集后定期外售给物资回收单位。</w:t>
            </w:r>
          </w:p>
          <w:p w14:paraId="11EB3C2B">
            <w:pPr>
              <w:ind w:firstLine="480" w:firstLineChars="200"/>
            </w:pPr>
            <w:r>
              <w:rPr>
                <w:rFonts w:hint="eastAsia"/>
              </w:rPr>
              <w:t>（3）废焊丝S3</w:t>
            </w:r>
          </w:p>
          <w:p w14:paraId="086FE8B5">
            <w:pPr>
              <w:ind w:firstLine="480" w:firstLineChars="200"/>
            </w:pPr>
            <w:r>
              <w:t>项目焊接工序中会产生少量的废弃焊丝，根据建设单位经验，废弃焊丝产生量约为5%，项目焊丝使用量为</w:t>
            </w:r>
            <w:r>
              <w:rPr>
                <w:rFonts w:hint="eastAsia"/>
              </w:rPr>
              <w:t>25kg</w:t>
            </w:r>
            <w:r>
              <w:t>/a，则废焊丝产生量为0.</w:t>
            </w:r>
            <w:r>
              <w:rPr>
                <w:rFonts w:hint="eastAsia"/>
              </w:rPr>
              <w:t>0</w:t>
            </w:r>
            <w:r>
              <w:t>01t/a，集中收集后外售。属于</w:t>
            </w:r>
            <w:r>
              <w:rPr>
                <w:rFonts w:hint="eastAsia"/>
              </w:rPr>
              <w:t>《固体废物分类与代码目录》</w:t>
            </w:r>
            <w:r>
              <w:t>中</w:t>
            </w:r>
            <w:r>
              <w:rPr>
                <w:rFonts w:hint="eastAsia"/>
              </w:rPr>
              <w:t>“其他工业生产过程中产生的固体废物”</w:t>
            </w:r>
            <w:r>
              <w:t>，代码为</w:t>
            </w:r>
            <w:r>
              <w:rPr>
                <w:rFonts w:hint="eastAsia"/>
              </w:rPr>
              <w:t>“</w:t>
            </w:r>
            <w:r>
              <w:t>900-099-S59</w:t>
            </w:r>
            <w:r>
              <w:rPr>
                <w:rFonts w:hint="eastAsia"/>
              </w:rPr>
              <w:t>”</w:t>
            </w:r>
            <w:r>
              <w:t>，经妥善收集后交由资源回收单位处理。</w:t>
            </w:r>
          </w:p>
          <w:p w14:paraId="483F2C3D">
            <w:pPr>
              <w:ind w:firstLine="480" w:firstLineChars="200"/>
            </w:pPr>
            <w:r>
              <w:rPr>
                <w:rFonts w:hint="eastAsia"/>
              </w:rPr>
              <w:t>（4）废轮胎S4</w:t>
            </w:r>
          </w:p>
          <w:p w14:paraId="3A90FAC0">
            <w:pPr>
              <w:ind w:firstLine="480" w:firstLineChars="200"/>
            </w:pPr>
            <w:r>
              <w:rPr>
                <w:rFonts w:hint="eastAsia"/>
              </w:rPr>
              <w:t>根据建设单位提供资料，</w:t>
            </w:r>
            <w:r>
              <w:rPr>
                <w:rFonts w:hint="eastAsia"/>
                <w:lang w:val="zh-CN"/>
              </w:rPr>
              <w:t>车辆维修过程中产生</w:t>
            </w:r>
            <w:r>
              <w:rPr>
                <w:rFonts w:hint="eastAsia"/>
              </w:rPr>
              <w:t>废轮胎的量约8t/a，集中收集后外售给物资回收单位。</w:t>
            </w:r>
          </w:p>
          <w:p w14:paraId="6D4D3FA0">
            <w:pPr>
              <w:ind w:firstLine="480" w:firstLineChars="200"/>
            </w:pPr>
            <w:r>
              <w:rPr>
                <w:rFonts w:hint="eastAsia"/>
              </w:rPr>
              <w:t>2、</w:t>
            </w:r>
            <w:r>
              <w:t>危险废物</w:t>
            </w:r>
          </w:p>
          <w:p w14:paraId="47780D64">
            <w:pPr>
              <w:ind w:firstLine="480" w:firstLineChars="200"/>
            </w:pPr>
            <w:r>
              <w:rPr>
                <w:rFonts w:hint="eastAsia"/>
              </w:rPr>
              <w:t>（</w:t>
            </w:r>
            <w:r>
              <w:rPr>
                <w:rFonts w:hint="eastAsia"/>
                <w:lang w:val="en-US" w:eastAsia="zh-CN"/>
              </w:rPr>
              <w:t>1</w:t>
            </w:r>
            <w:r>
              <w:rPr>
                <w:rFonts w:hint="eastAsia"/>
              </w:rPr>
              <w:t>）洗车污泥及泥沙S5</w:t>
            </w:r>
          </w:p>
          <w:p w14:paraId="58757AB6">
            <w:pPr>
              <w:ind w:firstLine="480" w:firstLineChars="200"/>
            </w:pPr>
            <w:r>
              <w:rPr>
                <w:rFonts w:hint="eastAsia"/>
              </w:rPr>
              <w:t>本项目年洗车大型车1095辆、中型车2555辆、小型车1825辆，类比同类型项目，洗车过程中大型车产生的污泥及泥沙含量平均为2kg/辆，中型车产生量平均为1kg/辆，小型车产生量平均为0.5kg/辆，则污泥及泥沙产生量约7t/a。集中收集后委托</w:t>
            </w:r>
            <w:r>
              <w:t>有危废处置资质的单位及时清运</w:t>
            </w:r>
            <w:r>
              <w:rPr>
                <w:rFonts w:hint="eastAsia"/>
              </w:rPr>
              <w:t>。</w:t>
            </w:r>
          </w:p>
          <w:p w14:paraId="478ED263">
            <w:pPr>
              <w:ind w:firstLine="480" w:firstLineChars="200"/>
            </w:pPr>
            <w:r>
              <w:rPr>
                <w:rFonts w:hint="eastAsia"/>
              </w:rPr>
              <w:t>（</w:t>
            </w:r>
            <w:r>
              <w:rPr>
                <w:rFonts w:hint="eastAsia"/>
                <w:lang w:val="en-US" w:eastAsia="zh-CN"/>
              </w:rPr>
              <w:t>2</w:t>
            </w:r>
            <w:r>
              <w:rPr>
                <w:rFonts w:hint="eastAsia"/>
              </w:rPr>
              <w:t>）清罐油泥S6及清罐废液S7</w:t>
            </w:r>
          </w:p>
          <w:p w14:paraId="4D2A0425">
            <w:pPr>
              <w:ind w:firstLine="480" w:firstLineChars="200"/>
              <w:rPr>
                <w:rFonts w:hint="eastAsia" w:ascii="宋体" w:hAnsi="宋体" w:cs="宋体"/>
              </w:rPr>
            </w:pPr>
            <w:r>
              <w:rPr>
                <w:rFonts w:ascii="宋体" w:hAnsi="宋体" w:cs="宋体"/>
              </w:rPr>
              <w:t>成品油储罐定期清理时，有少量清罐废物产生，主要由清罐</w:t>
            </w:r>
            <w:r>
              <w:rPr>
                <w:rFonts w:hint="eastAsia" w:ascii="宋体" w:hAnsi="宋体" w:cs="宋体"/>
              </w:rPr>
              <w:t>油泥</w:t>
            </w:r>
            <w:r>
              <w:rPr>
                <w:rFonts w:ascii="宋体" w:hAnsi="宋体" w:cs="宋体"/>
              </w:rPr>
              <w:t>和清罐</w:t>
            </w:r>
            <w:r>
              <w:rPr>
                <w:rFonts w:hint="eastAsia" w:ascii="宋体" w:hAnsi="宋体" w:cs="宋体"/>
              </w:rPr>
              <w:t>废液</w:t>
            </w:r>
            <w:r>
              <w:rPr>
                <w:rFonts w:ascii="宋体" w:hAnsi="宋体" w:cs="宋体"/>
              </w:rPr>
              <w:t>组成。</w:t>
            </w:r>
            <w:r>
              <w:rPr>
                <w:rFonts w:hint="eastAsia" w:ascii="宋体" w:hAnsi="宋体" w:cs="宋体"/>
              </w:rPr>
              <w:t>本项目</w:t>
            </w:r>
            <w:r>
              <w:rPr>
                <w:rFonts w:ascii="宋体" w:hAnsi="宋体" w:cs="宋体"/>
              </w:rPr>
              <w:t>加油站平均</w:t>
            </w:r>
            <w:r>
              <w:rPr>
                <w:rFonts w:hint="eastAsia" w:ascii="宋体" w:hAnsi="宋体" w:cs="宋体"/>
              </w:rPr>
              <w:t>每3</w:t>
            </w:r>
            <w:r>
              <w:rPr>
                <w:rFonts w:ascii="宋体" w:hAnsi="宋体" w:cs="宋体"/>
              </w:rPr>
              <w:t>年清理一次，由有资质的专业清洗公司进行清洗，按照中华人民共和国石油天然气行业标准《储罐机械清洗作业规</w:t>
            </w:r>
            <w:r>
              <w:t>范》SY/T9996-2014，</w:t>
            </w:r>
            <w:r>
              <w:rPr>
                <w:rFonts w:ascii="宋体" w:hAnsi="宋体" w:cs="宋体"/>
              </w:rPr>
              <w:t>采用临时设置的管线，将回收系统、清洗系统、油水分离系统与清洗油罐及清洗油供给油罐与接收油罐连接在一起，通过设置在清洗油罐上的清洗机，喷射清洗油供给油罐，击碎溶解罐内淤渣，用回收系统回收罐内清罐产生的淤渣。</w:t>
            </w:r>
          </w:p>
          <w:p w14:paraId="5FEDD3A9">
            <w:pPr>
              <w:ind w:firstLine="480" w:firstLineChars="200"/>
            </w:pPr>
            <w:r>
              <w:rPr>
                <w:rFonts w:hint="eastAsia"/>
              </w:rPr>
              <w:t>综合能源</w:t>
            </w:r>
            <w:r>
              <w:t>站储罐总容积为</w:t>
            </w:r>
            <w:r>
              <w:rPr>
                <w:rFonts w:hint="eastAsia"/>
              </w:rPr>
              <w:t>210</w:t>
            </w:r>
            <w:r>
              <w:t>m</w:t>
            </w:r>
            <w:r>
              <w:rPr>
                <w:vertAlign w:val="superscript"/>
              </w:rPr>
              <w:t>3</w:t>
            </w:r>
            <w:r>
              <w:t>，</w:t>
            </w:r>
            <w:r>
              <w:rPr>
                <w:rFonts w:hint="eastAsia"/>
              </w:rPr>
              <w:t>根据同行业储罐清理经验数据，</w:t>
            </w:r>
            <w:r>
              <w:t>清罐</w:t>
            </w:r>
            <w:r>
              <w:rPr>
                <w:rFonts w:hint="eastAsia"/>
              </w:rPr>
              <w:t>废液</w:t>
            </w:r>
            <w:r>
              <w:t>产生量约为油罐总容积的</w:t>
            </w:r>
            <w:r>
              <w:rPr>
                <w:rFonts w:hint="eastAsia"/>
              </w:rPr>
              <w:t>5</w:t>
            </w:r>
            <w:r>
              <w:t>%，油泥产生量约占油罐总容积的</w:t>
            </w:r>
            <w:r>
              <w:rPr>
                <w:rFonts w:hint="eastAsia"/>
              </w:rPr>
              <w:t>1</w:t>
            </w:r>
            <w:r>
              <w:t>%，</w:t>
            </w:r>
            <w:r>
              <w:rPr>
                <w:rFonts w:hint="eastAsia"/>
              </w:rPr>
              <w:t>则</w:t>
            </w:r>
            <w:r>
              <w:t>项目清罐</w:t>
            </w:r>
            <w:r>
              <w:rPr>
                <w:rFonts w:hint="eastAsia"/>
              </w:rPr>
              <w:t>废液</w:t>
            </w:r>
            <w:r>
              <w:t>产生量约为</w:t>
            </w:r>
            <w:r>
              <w:rPr>
                <w:rFonts w:hint="eastAsia"/>
              </w:rPr>
              <w:t>10.5</w:t>
            </w:r>
            <w:r>
              <w:t>t/次，计算项目油罐底部油泥产生量约</w:t>
            </w:r>
            <w:r>
              <w:rPr>
                <w:rFonts w:hint="eastAsia"/>
              </w:rPr>
              <w:t>2.1</w:t>
            </w:r>
            <w:r>
              <w:t>t/次。根据《国家危险废物名录》（2021</w:t>
            </w:r>
            <w:r>
              <w:rPr>
                <w:rFonts w:hint="eastAsia"/>
              </w:rPr>
              <w:t>版</w:t>
            </w:r>
            <w:r>
              <w:t>），其废物类别为HW08，废物代码：清罐油水混合物为251-001-08，清罐废渣为900-221-08。油罐清洗产生的废水、废渣由具处置资质的单位运输并进行安全处置，不在站内暂存。</w:t>
            </w:r>
          </w:p>
          <w:p w14:paraId="41DDDA87">
            <w:pPr>
              <w:ind w:firstLine="480" w:firstLineChars="200"/>
            </w:pPr>
            <w:r>
              <w:rPr>
                <w:rFonts w:hint="eastAsia"/>
              </w:rPr>
              <w:t>（</w:t>
            </w:r>
            <w:r>
              <w:rPr>
                <w:rFonts w:hint="eastAsia"/>
                <w:lang w:val="en-US" w:eastAsia="zh-CN"/>
              </w:rPr>
              <w:t>3</w:t>
            </w:r>
            <w:r>
              <w:rPr>
                <w:rFonts w:hint="eastAsia"/>
              </w:rPr>
              <w:t>）含油废沙S8</w:t>
            </w:r>
          </w:p>
          <w:p w14:paraId="7715489A">
            <w:pPr>
              <w:ind w:firstLine="480" w:firstLineChars="200"/>
            </w:pPr>
            <w:r>
              <w:t>加油等作业过程中会使用含油废沙处理滴漏在地上的油品，因此含油废沙也具有一定环境危害性，处置不当可能导致水体及土壤污染。其危险废物类别编号为HW08</w:t>
            </w:r>
            <w:r>
              <w:rPr>
                <w:rFonts w:hint="eastAsia"/>
              </w:rPr>
              <w:t>（</w:t>
            </w:r>
            <w:r>
              <w:t>900-249-08</w:t>
            </w:r>
            <w:r>
              <w:rPr>
                <w:rFonts w:hint="eastAsia"/>
              </w:rPr>
              <w:t>）</w:t>
            </w:r>
            <w:r>
              <w:t>，危险特性T/I。项目运行过程中含油废沙产生量约为0.1t/a，经收集后暂存于危险废物暂存间，委托有危废处置资质的单位</w:t>
            </w:r>
            <w:r>
              <w:rPr>
                <w:rFonts w:hint="eastAsia"/>
                <w:lang w:eastAsia="zh-CN"/>
              </w:rPr>
              <w:t>定期</w:t>
            </w:r>
            <w:r>
              <w:t>清运</w:t>
            </w:r>
            <w:r>
              <w:rPr>
                <w:rFonts w:hint="eastAsia"/>
              </w:rPr>
              <w:t>。</w:t>
            </w:r>
          </w:p>
          <w:p w14:paraId="068F3ACE">
            <w:pPr>
              <w:ind w:firstLine="480" w:firstLineChars="200"/>
            </w:pPr>
            <w:r>
              <w:rPr>
                <w:rFonts w:hint="eastAsia"/>
              </w:rPr>
              <w:t>（</w:t>
            </w:r>
            <w:r>
              <w:rPr>
                <w:rFonts w:hint="eastAsia"/>
                <w:lang w:val="en-US" w:eastAsia="zh-CN"/>
              </w:rPr>
              <w:t>4</w:t>
            </w:r>
            <w:r>
              <w:rPr>
                <w:rFonts w:hint="eastAsia"/>
              </w:rPr>
              <w:t>）废含油抹布或手套S9</w:t>
            </w:r>
          </w:p>
          <w:p w14:paraId="3FCF91E1">
            <w:pPr>
              <w:ind w:firstLine="480" w:firstLineChars="200"/>
            </w:pPr>
            <w:r>
              <w:rPr>
                <w:rFonts w:hint="eastAsia"/>
              </w:rPr>
              <w:t>项目含油抹布、废手套来源于设备维修等过程，本项目产生量约为0.05t/a，由于该类废物携带有油品，易燃，随意丢弃后可能间接导致水体、土壤污染，具有环境危害。根据《国家危险废物名录》（2021年版），经查《国家危险废物名录》（2021版），其危险废物类别编号为HW49（900-041-49），危险特性T，I。暂存于危险废物暂存间，统一交由有资质单位及时清运。</w:t>
            </w:r>
          </w:p>
          <w:p w14:paraId="191C428D">
            <w:pPr>
              <w:ind w:firstLine="480" w:firstLineChars="200"/>
            </w:pPr>
            <w:r>
              <w:rPr>
                <w:rFonts w:hint="eastAsia"/>
              </w:rPr>
              <w:t>（</w:t>
            </w:r>
            <w:r>
              <w:rPr>
                <w:rFonts w:hint="eastAsia"/>
                <w:lang w:val="en-US" w:eastAsia="zh-CN"/>
              </w:rPr>
              <w:t>5</w:t>
            </w:r>
            <w:r>
              <w:rPr>
                <w:rFonts w:hint="eastAsia"/>
              </w:rPr>
              <w:t>）废机油S10、废机油桶S11</w:t>
            </w:r>
          </w:p>
          <w:p w14:paraId="6C31DE95">
            <w:pPr>
              <w:ind w:firstLine="480" w:firstLineChars="200"/>
            </w:pPr>
            <w:r>
              <w:rPr>
                <w:rFonts w:hint="eastAsia"/>
              </w:rPr>
              <w:t>本项目营运期货车应急维修中心在车辆检修和保养检验过程会产生一定量的废机油，根据企业提供资料，废机油产生量约为1.5t/a，产生废机油桶0.5t/a，集中收集后委托有资质单位处置。</w:t>
            </w:r>
          </w:p>
          <w:p w14:paraId="5034DF48">
            <w:pPr>
              <w:ind w:firstLine="480" w:firstLineChars="200"/>
            </w:pPr>
            <w:r>
              <w:rPr>
                <w:rFonts w:hint="eastAsia"/>
              </w:rPr>
              <w:t>（</w:t>
            </w:r>
            <w:r>
              <w:rPr>
                <w:rFonts w:hint="eastAsia"/>
                <w:lang w:val="en-US" w:eastAsia="zh-CN"/>
              </w:rPr>
              <w:t>6</w:t>
            </w:r>
            <w:r>
              <w:rPr>
                <w:rFonts w:hint="eastAsia"/>
              </w:rPr>
              <w:t>）废电池S12</w:t>
            </w:r>
          </w:p>
          <w:p w14:paraId="1766AF64">
            <w:pPr>
              <w:ind w:firstLine="480" w:firstLineChars="200"/>
            </w:pPr>
            <w:r>
              <w:rPr>
                <w:rFonts w:hint="eastAsia"/>
              </w:rPr>
              <w:t>本项目货车应急维修中心主要以维修燃油车为主，根据企业提供资料，废电池每年的产生量约为0.4t，在危废暂存间收集后定期交由有资质单位处置。</w:t>
            </w:r>
          </w:p>
          <w:p w14:paraId="596347D3">
            <w:pPr>
              <w:pStyle w:val="6"/>
            </w:pPr>
            <w:r>
              <w:t xml:space="preserve">表 </w:t>
            </w:r>
            <w:r>
              <w:rPr>
                <w:rFonts w:hint="eastAsia"/>
              </w:rPr>
              <w:t>4-</w:t>
            </w:r>
            <w:r>
              <w:fldChar w:fldCharType="begin"/>
            </w:r>
            <w:r>
              <w:instrText xml:space="preserve"> SEQ 表 \* ARABIC \s 1 </w:instrText>
            </w:r>
            <w:r>
              <w:fldChar w:fldCharType="separate"/>
            </w:r>
            <w:r>
              <w:t>13</w:t>
            </w:r>
            <w:r>
              <w:fldChar w:fldCharType="end"/>
            </w:r>
            <w:r>
              <w:rPr>
                <w:rFonts w:hint="eastAsia"/>
              </w:rPr>
              <w:t xml:space="preserve"> </w:t>
            </w:r>
            <w:r>
              <w:t>项目固体废物产生情况表</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944"/>
              <w:gridCol w:w="951"/>
              <w:gridCol w:w="882"/>
              <w:gridCol w:w="1068"/>
              <w:gridCol w:w="1103"/>
              <w:gridCol w:w="1018"/>
              <w:gridCol w:w="983"/>
            </w:tblGrid>
            <w:tr w14:paraId="17AA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Align w:val="center"/>
                </w:tcPr>
                <w:p w14:paraId="50C741D8">
                  <w:pPr>
                    <w:pStyle w:val="24"/>
                  </w:pPr>
                  <w:r>
                    <w:t>序号</w:t>
                  </w:r>
                </w:p>
              </w:tc>
              <w:tc>
                <w:tcPr>
                  <w:tcW w:w="944" w:type="dxa"/>
                  <w:vAlign w:val="center"/>
                </w:tcPr>
                <w:p w14:paraId="0735CD4B">
                  <w:pPr>
                    <w:pStyle w:val="24"/>
                  </w:pPr>
                  <w:r>
                    <w:t>来源</w:t>
                  </w:r>
                </w:p>
              </w:tc>
              <w:tc>
                <w:tcPr>
                  <w:tcW w:w="951" w:type="dxa"/>
                  <w:vAlign w:val="center"/>
                </w:tcPr>
                <w:p w14:paraId="36117736">
                  <w:pPr>
                    <w:pStyle w:val="24"/>
                  </w:pPr>
                  <w:r>
                    <w:t>废弃物</w:t>
                  </w:r>
                </w:p>
                <w:p w14:paraId="57171899">
                  <w:pPr>
                    <w:pStyle w:val="24"/>
                  </w:pPr>
                  <w:r>
                    <w:t>名称</w:t>
                  </w:r>
                </w:p>
              </w:tc>
              <w:tc>
                <w:tcPr>
                  <w:tcW w:w="882" w:type="dxa"/>
                  <w:vAlign w:val="center"/>
                </w:tcPr>
                <w:p w14:paraId="2C179873">
                  <w:pPr>
                    <w:pStyle w:val="24"/>
                  </w:pPr>
                  <w:r>
                    <w:t>产生量</w:t>
                  </w:r>
                </w:p>
                <w:p w14:paraId="204038B7">
                  <w:pPr>
                    <w:pStyle w:val="24"/>
                  </w:pPr>
                  <w:r>
                    <w:t>t/a</w:t>
                  </w:r>
                </w:p>
              </w:tc>
              <w:tc>
                <w:tcPr>
                  <w:tcW w:w="1068" w:type="dxa"/>
                  <w:vAlign w:val="center"/>
                </w:tcPr>
                <w:p w14:paraId="5ACC7C27">
                  <w:pPr>
                    <w:pStyle w:val="24"/>
                  </w:pPr>
                  <w:r>
                    <w:t>属性</w:t>
                  </w:r>
                </w:p>
              </w:tc>
              <w:tc>
                <w:tcPr>
                  <w:tcW w:w="1103" w:type="dxa"/>
                  <w:vAlign w:val="center"/>
                </w:tcPr>
                <w:p w14:paraId="71C3BC6E">
                  <w:pPr>
                    <w:pStyle w:val="24"/>
                  </w:pPr>
                  <w:r>
                    <w:t>固废</w:t>
                  </w:r>
                </w:p>
                <w:p w14:paraId="7D20C71C">
                  <w:pPr>
                    <w:pStyle w:val="24"/>
                  </w:pPr>
                  <w:r>
                    <w:t>代码</w:t>
                  </w:r>
                </w:p>
              </w:tc>
              <w:tc>
                <w:tcPr>
                  <w:tcW w:w="1018" w:type="dxa"/>
                  <w:vAlign w:val="center"/>
                </w:tcPr>
                <w:p w14:paraId="6D8386D0">
                  <w:pPr>
                    <w:pStyle w:val="24"/>
                  </w:pPr>
                  <w:r>
                    <w:t>危废</w:t>
                  </w:r>
                </w:p>
                <w:p w14:paraId="69D7CD53">
                  <w:pPr>
                    <w:pStyle w:val="24"/>
                  </w:pPr>
                  <w:r>
                    <w:t>类别</w:t>
                  </w:r>
                </w:p>
              </w:tc>
              <w:tc>
                <w:tcPr>
                  <w:tcW w:w="983" w:type="dxa"/>
                  <w:vAlign w:val="center"/>
                </w:tcPr>
                <w:p w14:paraId="16ECDB6C">
                  <w:pPr>
                    <w:pStyle w:val="24"/>
                  </w:pPr>
                  <w:r>
                    <w:t>处置去向</w:t>
                  </w:r>
                </w:p>
              </w:tc>
            </w:tr>
            <w:tr w14:paraId="2B0A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Align w:val="center"/>
                </w:tcPr>
                <w:p w14:paraId="00DC04AA">
                  <w:pPr>
                    <w:pStyle w:val="24"/>
                  </w:pPr>
                  <w:r>
                    <w:t>1</w:t>
                  </w:r>
                </w:p>
              </w:tc>
              <w:tc>
                <w:tcPr>
                  <w:tcW w:w="944" w:type="dxa"/>
                  <w:vAlign w:val="center"/>
                </w:tcPr>
                <w:p w14:paraId="13AB9CAA">
                  <w:pPr>
                    <w:pStyle w:val="24"/>
                  </w:pPr>
                  <w:r>
                    <w:rPr>
                      <w:rFonts w:hint="eastAsia"/>
                    </w:rPr>
                    <w:t>员工、旅客</w:t>
                  </w:r>
                </w:p>
              </w:tc>
              <w:tc>
                <w:tcPr>
                  <w:tcW w:w="951" w:type="dxa"/>
                  <w:vAlign w:val="center"/>
                </w:tcPr>
                <w:p w14:paraId="39A5F45C">
                  <w:pPr>
                    <w:pStyle w:val="24"/>
                  </w:pPr>
                  <w:r>
                    <w:t>生活垃圾</w:t>
                  </w:r>
                  <w:r>
                    <w:rPr>
                      <w:rFonts w:hint="eastAsia"/>
                    </w:rPr>
                    <w:t>S1</w:t>
                  </w:r>
                </w:p>
              </w:tc>
              <w:tc>
                <w:tcPr>
                  <w:tcW w:w="882" w:type="dxa"/>
                  <w:vAlign w:val="center"/>
                </w:tcPr>
                <w:p w14:paraId="2E9C4128">
                  <w:pPr>
                    <w:pStyle w:val="24"/>
                  </w:pPr>
                  <w:r>
                    <w:rPr>
                      <w:rFonts w:hint="eastAsia"/>
                    </w:rPr>
                    <w:t>96.73</w:t>
                  </w:r>
                </w:p>
              </w:tc>
              <w:tc>
                <w:tcPr>
                  <w:tcW w:w="1068" w:type="dxa"/>
                  <w:vAlign w:val="center"/>
                </w:tcPr>
                <w:p w14:paraId="3B7C6184">
                  <w:pPr>
                    <w:pStyle w:val="24"/>
                  </w:pPr>
                  <w:r>
                    <w:t>一般固废</w:t>
                  </w:r>
                </w:p>
              </w:tc>
              <w:tc>
                <w:tcPr>
                  <w:tcW w:w="1103" w:type="dxa"/>
                  <w:vAlign w:val="center"/>
                </w:tcPr>
                <w:p w14:paraId="2DB5D175">
                  <w:pPr>
                    <w:pStyle w:val="24"/>
                  </w:pPr>
                  <w:r>
                    <w:t>/</w:t>
                  </w:r>
                </w:p>
              </w:tc>
              <w:tc>
                <w:tcPr>
                  <w:tcW w:w="1018" w:type="dxa"/>
                  <w:vAlign w:val="center"/>
                </w:tcPr>
                <w:p w14:paraId="33313A70">
                  <w:pPr>
                    <w:pStyle w:val="24"/>
                  </w:pPr>
                  <w:r>
                    <w:t>/</w:t>
                  </w:r>
                </w:p>
              </w:tc>
              <w:tc>
                <w:tcPr>
                  <w:tcW w:w="983" w:type="dxa"/>
                  <w:vAlign w:val="center"/>
                </w:tcPr>
                <w:p w14:paraId="029BB8BA">
                  <w:pPr>
                    <w:pStyle w:val="24"/>
                  </w:pPr>
                  <w:r>
                    <w:t>环卫部门收集处理</w:t>
                  </w:r>
                </w:p>
              </w:tc>
            </w:tr>
            <w:tr w14:paraId="030C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restart"/>
                  <w:vAlign w:val="center"/>
                </w:tcPr>
                <w:p w14:paraId="497D1FC0">
                  <w:pPr>
                    <w:pStyle w:val="24"/>
                  </w:pPr>
                  <w:r>
                    <w:t>2</w:t>
                  </w:r>
                </w:p>
              </w:tc>
              <w:tc>
                <w:tcPr>
                  <w:tcW w:w="944" w:type="dxa"/>
                  <w:vMerge w:val="restart"/>
                  <w:vAlign w:val="center"/>
                </w:tcPr>
                <w:p w14:paraId="6037DC98">
                  <w:pPr>
                    <w:pStyle w:val="24"/>
                  </w:pPr>
                  <w:r>
                    <w:rPr>
                      <w:rFonts w:hint="eastAsia"/>
                    </w:rPr>
                    <w:t>加油站运营</w:t>
                  </w:r>
                </w:p>
              </w:tc>
              <w:tc>
                <w:tcPr>
                  <w:tcW w:w="951" w:type="dxa"/>
                  <w:vAlign w:val="center"/>
                </w:tcPr>
                <w:p w14:paraId="5A1696DF">
                  <w:pPr>
                    <w:pStyle w:val="24"/>
                  </w:pPr>
                  <w:r>
                    <w:rPr>
                      <w:rFonts w:hint="eastAsia"/>
                    </w:rPr>
                    <w:t>清罐油泥S6</w:t>
                  </w:r>
                </w:p>
              </w:tc>
              <w:tc>
                <w:tcPr>
                  <w:tcW w:w="882" w:type="dxa"/>
                  <w:vAlign w:val="center"/>
                </w:tcPr>
                <w:p w14:paraId="2FA6D92E">
                  <w:pPr>
                    <w:pStyle w:val="24"/>
                  </w:pPr>
                  <w:r>
                    <w:rPr>
                      <w:rFonts w:hint="eastAsia"/>
                    </w:rPr>
                    <w:t>2.1</w:t>
                  </w:r>
                </w:p>
              </w:tc>
              <w:tc>
                <w:tcPr>
                  <w:tcW w:w="1068" w:type="dxa"/>
                  <w:vAlign w:val="center"/>
                </w:tcPr>
                <w:p w14:paraId="2EE69054">
                  <w:pPr>
                    <w:pStyle w:val="24"/>
                  </w:pPr>
                  <w:r>
                    <w:t>危险固废</w:t>
                  </w:r>
                </w:p>
              </w:tc>
              <w:tc>
                <w:tcPr>
                  <w:tcW w:w="1103" w:type="dxa"/>
                  <w:vAlign w:val="center"/>
                </w:tcPr>
                <w:p w14:paraId="5E3BBF74">
                  <w:pPr>
                    <w:pStyle w:val="24"/>
                  </w:pPr>
                  <w:r>
                    <w:t>900-2</w:t>
                  </w:r>
                  <w:r>
                    <w:rPr>
                      <w:rFonts w:hint="eastAsia"/>
                    </w:rPr>
                    <w:t>49</w:t>
                  </w:r>
                  <w:r>
                    <w:t>-08</w:t>
                  </w:r>
                </w:p>
              </w:tc>
              <w:tc>
                <w:tcPr>
                  <w:tcW w:w="1018" w:type="dxa"/>
                  <w:vAlign w:val="center"/>
                </w:tcPr>
                <w:p w14:paraId="352CB649">
                  <w:pPr>
                    <w:pStyle w:val="24"/>
                  </w:pPr>
                  <w:r>
                    <w:t>HW</w:t>
                  </w:r>
                  <w:r>
                    <w:rPr>
                      <w:rFonts w:hint="eastAsia"/>
                    </w:rPr>
                    <w:t>08</w:t>
                  </w:r>
                </w:p>
              </w:tc>
              <w:tc>
                <w:tcPr>
                  <w:tcW w:w="983" w:type="dxa"/>
                  <w:vMerge w:val="restart"/>
                  <w:vAlign w:val="center"/>
                </w:tcPr>
                <w:p w14:paraId="0F59CCA3">
                  <w:pPr>
                    <w:pStyle w:val="24"/>
                  </w:pPr>
                  <w:r>
                    <w:t>委托有资质的单位安全处置</w:t>
                  </w:r>
                </w:p>
              </w:tc>
            </w:tr>
            <w:tr w14:paraId="72A2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0AD6DD91">
                  <w:pPr>
                    <w:pStyle w:val="24"/>
                  </w:pPr>
                </w:p>
              </w:tc>
              <w:tc>
                <w:tcPr>
                  <w:tcW w:w="944" w:type="dxa"/>
                  <w:vMerge w:val="continue"/>
                  <w:vAlign w:val="center"/>
                </w:tcPr>
                <w:p w14:paraId="6FFEBA60">
                  <w:pPr>
                    <w:pStyle w:val="24"/>
                  </w:pPr>
                </w:p>
              </w:tc>
              <w:tc>
                <w:tcPr>
                  <w:tcW w:w="951" w:type="dxa"/>
                  <w:vAlign w:val="center"/>
                </w:tcPr>
                <w:p w14:paraId="1A40D646">
                  <w:pPr>
                    <w:pStyle w:val="24"/>
                  </w:pPr>
                  <w:r>
                    <w:rPr>
                      <w:rFonts w:hint="eastAsia"/>
                    </w:rPr>
                    <w:t>清洗废液S7</w:t>
                  </w:r>
                </w:p>
              </w:tc>
              <w:tc>
                <w:tcPr>
                  <w:tcW w:w="882" w:type="dxa"/>
                  <w:vAlign w:val="center"/>
                </w:tcPr>
                <w:p w14:paraId="44690B3A">
                  <w:pPr>
                    <w:pStyle w:val="24"/>
                  </w:pPr>
                  <w:r>
                    <w:rPr>
                      <w:rFonts w:hint="eastAsia"/>
                    </w:rPr>
                    <w:t>10.5</w:t>
                  </w:r>
                </w:p>
              </w:tc>
              <w:tc>
                <w:tcPr>
                  <w:tcW w:w="1068" w:type="dxa"/>
                  <w:vAlign w:val="center"/>
                </w:tcPr>
                <w:p w14:paraId="0CE09B12">
                  <w:pPr>
                    <w:pStyle w:val="24"/>
                  </w:pPr>
                  <w:r>
                    <w:t>危险固废</w:t>
                  </w:r>
                </w:p>
              </w:tc>
              <w:tc>
                <w:tcPr>
                  <w:tcW w:w="1103" w:type="dxa"/>
                  <w:vAlign w:val="center"/>
                </w:tcPr>
                <w:p w14:paraId="1FA9C3B4">
                  <w:pPr>
                    <w:pStyle w:val="24"/>
                  </w:pPr>
                  <w:r>
                    <w:t>251-001-08</w:t>
                  </w:r>
                </w:p>
              </w:tc>
              <w:tc>
                <w:tcPr>
                  <w:tcW w:w="1018" w:type="dxa"/>
                  <w:vAlign w:val="center"/>
                </w:tcPr>
                <w:p w14:paraId="4EC592C7">
                  <w:pPr>
                    <w:pStyle w:val="24"/>
                  </w:pPr>
                  <w:r>
                    <w:t>HW08</w:t>
                  </w:r>
                </w:p>
              </w:tc>
              <w:tc>
                <w:tcPr>
                  <w:tcW w:w="983" w:type="dxa"/>
                  <w:vMerge w:val="continue"/>
                  <w:vAlign w:val="center"/>
                </w:tcPr>
                <w:p w14:paraId="0C9CB397">
                  <w:pPr>
                    <w:pStyle w:val="24"/>
                  </w:pPr>
                </w:p>
              </w:tc>
            </w:tr>
            <w:tr w14:paraId="523A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575A9749">
                  <w:pPr>
                    <w:pStyle w:val="24"/>
                  </w:pPr>
                </w:p>
              </w:tc>
              <w:tc>
                <w:tcPr>
                  <w:tcW w:w="944" w:type="dxa"/>
                  <w:vMerge w:val="continue"/>
                  <w:vAlign w:val="center"/>
                </w:tcPr>
                <w:p w14:paraId="496AB372">
                  <w:pPr>
                    <w:pStyle w:val="24"/>
                  </w:pPr>
                </w:p>
              </w:tc>
              <w:tc>
                <w:tcPr>
                  <w:tcW w:w="951" w:type="dxa"/>
                  <w:vAlign w:val="center"/>
                </w:tcPr>
                <w:p w14:paraId="1D72F3C8">
                  <w:pPr>
                    <w:pStyle w:val="24"/>
                  </w:pPr>
                  <w:r>
                    <w:rPr>
                      <w:rFonts w:hint="eastAsia"/>
                    </w:rPr>
                    <w:t>废含油抹布或手套S9</w:t>
                  </w:r>
                </w:p>
              </w:tc>
              <w:tc>
                <w:tcPr>
                  <w:tcW w:w="882" w:type="dxa"/>
                  <w:vAlign w:val="center"/>
                </w:tcPr>
                <w:p w14:paraId="5DFF118D">
                  <w:pPr>
                    <w:pStyle w:val="24"/>
                  </w:pPr>
                  <w:r>
                    <w:rPr>
                      <w:rFonts w:hint="eastAsia"/>
                    </w:rPr>
                    <w:t>0.05</w:t>
                  </w:r>
                </w:p>
              </w:tc>
              <w:tc>
                <w:tcPr>
                  <w:tcW w:w="1068" w:type="dxa"/>
                  <w:vAlign w:val="center"/>
                </w:tcPr>
                <w:p w14:paraId="1D513C85">
                  <w:pPr>
                    <w:pStyle w:val="24"/>
                  </w:pPr>
                  <w:r>
                    <w:t>危险固废</w:t>
                  </w:r>
                </w:p>
              </w:tc>
              <w:tc>
                <w:tcPr>
                  <w:tcW w:w="1103" w:type="dxa"/>
                  <w:vAlign w:val="center"/>
                </w:tcPr>
                <w:p w14:paraId="508B7C2D">
                  <w:pPr>
                    <w:pStyle w:val="24"/>
                  </w:pPr>
                  <w:r>
                    <w:t>900-041-49</w:t>
                  </w:r>
                </w:p>
              </w:tc>
              <w:tc>
                <w:tcPr>
                  <w:tcW w:w="1018" w:type="dxa"/>
                  <w:vAlign w:val="center"/>
                </w:tcPr>
                <w:p w14:paraId="1227BD97">
                  <w:pPr>
                    <w:pStyle w:val="24"/>
                  </w:pPr>
                  <w:r>
                    <w:t>HW49</w:t>
                  </w:r>
                </w:p>
              </w:tc>
              <w:tc>
                <w:tcPr>
                  <w:tcW w:w="983" w:type="dxa"/>
                  <w:vMerge w:val="continue"/>
                  <w:vAlign w:val="center"/>
                </w:tcPr>
                <w:p w14:paraId="19A10B45">
                  <w:pPr>
                    <w:pStyle w:val="24"/>
                  </w:pPr>
                </w:p>
              </w:tc>
            </w:tr>
            <w:tr w14:paraId="58EC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1AD72547">
                  <w:pPr>
                    <w:pStyle w:val="24"/>
                  </w:pPr>
                </w:p>
              </w:tc>
              <w:tc>
                <w:tcPr>
                  <w:tcW w:w="944" w:type="dxa"/>
                  <w:vMerge w:val="continue"/>
                  <w:vAlign w:val="center"/>
                </w:tcPr>
                <w:p w14:paraId="4ABDDBF9">
                  <w:pPr>
                    <w:pStyle w:val="24"/>
                  </w:pPr>
                </w:p>
              </w:tc>
              <w:tc>
                <w:tcPr>
                  <w:tcW w:w="951" w:type="dxa"/>
                  <w:vAlign w:val="center"/>
                </w:tcPr>
                <w:p w14:paraId="70ACCEB9">
                  <w:pPr>
                    <w:pStyle w:val="24"/>
                  </w:pPr>
                  <w:r>
                    <w:rPr>
                      <w:rFonts w:hint="eastAsia"/>
                    </w:rPr>
                    <w:t>含油废沙S8</w:t>
                  </w:r>
                </w:p>
              </w:tc>
              <w:tc>
                <w:tcPr>
                  <w:tcW w:w="882" w:type="dxa"/>
                  <w:vAlign w:val="center"/>
                </w:tcPr>
                <w:p w14:paraId="3083854C">
                  <w:pPr>
                    <w:pStyle w:val="24"/>
                  </w:pPr>
                  <w:r>
                    <w:rPr>
                      <w:rFonts w:hint="eastAsia"/>
                    </w:rPr>
                    <w:t>0.1</w:t>
                  </w:r>
                </w:p>
              </w:tc>
              <w:tc>
                <w:tcPr>
                  <w:tcW w:w="1068" w:type="dxa"/>
                  <w:vAlign w:val="center"/>
                </w:tcPr>
                <w:p w14:paraId="409D7247">
                  <w:pPr>
                    <w:pStyle w:val="24"/>
                  </w:pPr>
                  <w:r>
                    <w:t>危险固废</w:t>
                  </w:r>
                </w:p>
              </w:tc>
              <w:tc>
                <w:tcPr>
                  <w:tcW w:w="1103" w:type="dxa"/>
                  <w:vAlign w:val="center"/>
                </w:tcPr>
                <w:p w14:paraId="7335D413">
                  <w:pPr>
                    <w:pStyle w:val="24"/>
                  </w:pPr>
                  <w:r>
                    <w:t>900-2</w:t>
                  </w:r>
                  <w:r>
                    <w:rPr>
                      <w:rFonts w:hint="eastAsia"/>
                    </w:rPr>
                    <w:t>49</w:t>
                  </w:r>
                  <w:r>
                    <w:t>-08</w:t>
                  </w:r>
                </w:p>
              </w:tc>
              <w:tc>
                <w:tcPr>
                  <w:tcW w:w="1018" w:type="dxa"/>
                  <w:vAlign w:val="center"/>
                </w:tcPr>
                <w:p w14:paraId="7315C546">
                  <w:pPr>
                    <w:pStyle w:val="24"/>
                  </w:pPr>
                  <w:r>
                    <w:t>HW</w:t>
                  </w:r>
                  <w:r>
                    <w:rPr>
                      <w:rFonts w:hint="eastAsia"/>
                    </w:rPr>
                    <w:t>08</w:t>
                  </w:r>
                </w:p>
              </w:tc>
              <w:tc>
                <w:tcPr>
                  <w:tcW w:w="983" w:type="dxa"/>
                  <w:vMerge w:val="continue"/>
                  <w:vAlign w:val="center"/>
                </w:tcPr>
                <w:p w14:paraId="253E0FAF">
                  <w:pPr>
                    <w:pStyle w:val="24"/>
                  </w:pPr>
                </w:p>
              </w:tc>
            </w:tr>
            <w:tr w14:paraId="0886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restart"/>
                  <w:vAlign w:val="center"/>
                </w:tcPr>
                <w:p w14:paraId="01164E6A">
                  <w:pPr>
                    <w:pStyle w:val="24"/>
                  </w:pPr>
                  <w:r>
                    <w:rPr>
                      <w:rFonts w:hint="eastAsia"/>
                    </w:rPr>
                    <w:t>3</w:t>
                  </w:r>
                </w:p>
              </w:tc>
              <w:tc>
                <w:tcPr>
                  <w:tcW w:w="944" w:type="dxa"/>
                  <w:vMerge w:val="restart"/>
                  <w:vAlign w:val="center"/>
                </w:tcPr>
                <w:p w14:paraId="4FCAE17E">
                  <w:pPr>
                    <w:pStyle w:val="24"/>
                  </w:pPr>
                  <w:r>
                    <w:rPr>
                      <w:rFonts w:hint="eastAsia"/>
                    </w:rPr>
                    <w:t>货车应急维修中心</w:t>
                  </w:r>
                </w:p>
              </w:tc>
              <w:tc>
                <w:tcPr>
                  <w:tcW w:w="951" w:type="dxa"/>
                  <w:vAlign w:val="center"/>
                </w:tcPr>
                <w:p w14:paraId="35398654">
                  <w:pPr>
                    <w:pStyle w:val="24"/>
                  </w:pPr>
                  <w:r>
                    <w:rPr>
                      <w:rFonts w:hint="eastAsia"/>
                    </w:rPr>
                    <w:t>废零部件S2</w:t>
                  </w:r>
                </w:p>
              </w:tc>
              <w:tc>
                <w:tcPr>
                  <w:tcW w:w="882" w:type="dxa"/>
                  <w:vAlign w:val="center"/>
                </w:tcPr>
                <w:p w14:paraId="7AE30480">
                  <w:pPr>
                    <w:pStyle w:val="24"/>
                  </w:pPr>
                  <w:r>
                    <w:rPr>
                      <w:rFonts w:hint="eastAsia"/>
                    </w:rPr>
                    <w:t>5</w:t>
                  </w:r>
                </w:p>
              </w:tc>
              <w:tc>
                <w:tcPr>
                  <w:tcW w:w="1068" w:type="dxa"/>
                  <w:vAlign w:val="center"/>
                </w:tcPr>
                <w:p w14:paraId="7230A758">
                  <w:pPr>
                    <w:pStyle w:val="24"/>
                  </w:pPr>
                  <w:r>
                    <w:rPr>
                      <w:rFonts w:hint="eastAsia"/>
                    </w:rPr>
                    <w:t>一般固废</w:t>
                  </w:r>
                </w:p>
              </w:tc>
              <w:tc>
                <w:tcPr>
                  <w:tcW w:w="1103" w:type="dxa"/>
                  <w:vAlign w:val="center"/>
                </w:tcPr>
                <w:p w14:paraId="4F90DD1E">
                  <w:pPr>
                    <w:pStyle w:val="24"/>
                  </w:pPr>
                  <w:r>
                    <w:rPr>
                      <w:rFonts w:hint="eastAsia"/>
                    </w:rPr>
                    <w:t>/</w:t>
                  </w:r>
                </w:p>
              </w:tc>
              <w:tc>
                <w:tcPr>
                  <w:tcW w:w="1018" w:type="dxa"/>
                  <w:vAlign w:val="center"/>
                </w:tcPr>
                <w:p w14:paraId="037FB55F">
                  <w:pPr>
                    <w:pStyle w:val="24"/>
                  </w:pPr>
                  <w:r>
                    <w:rPr>
                      <w:rFonts w:hint="eastAsia"/>
                    </w:rPr>
                    <w:t>/</w:t>
                  </w:r>
                </w:p>
              </w:tc>
              <w:tc>
                <w:tcPr>
                  <w:tcW w:w="983" w:type="dxa"/>
                  <w:vMerge w:val="restart"/>
                  <w:vAlign w:val="center"/>
                </w:tcPr>
                <w:p w14:paraId="555DBF73">
                  <w:pPr>
                    <w:pStyle w:val="24"/>
                  </w:pPr>
                  <w:r>
                    <w:rPr>
                      <w:rFonts w:hint="eastAsia"/>
                    </w:rPr>
                    <w:t>外售给物资回收单位</w:t>
                  </w:r>
                </w:p>
              </w:tc>
            </w:tr>
            <w:tr w14:paraId="3C45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28E8216B">
                  <w:pPr>
                    <w:pStyle w:val="24"/>
                  </w:pPr>
                </w:p>
              </w:tc>
              <w:tc>
                <w:tcPr>
                  <w:tcW w:w="944" w:type="dxa"/>
                  <w:vMerge w:val="continue"/>
                  <w:vAlign w:val="center"/>
                </w:tcPr>
                <w:p w14:paraId="6C56CFAC">
                  <w:pPr>
                    <w:pStyle w:val="24"/>
                  </w:pPr>
                </w:p>
              </w:tc>
              <w:tc>
                <w:tcPr>
                  <w:tcW w:w="951" w:type="dxa"/>
                  <w:vAlign w:val="center"/>
                </w:tcPr>
                <w:p w14:paraId="5969F677">
                  <w:pPr>
                    <w:pStyle w:val="24"/>
                  </w:pPr>
                  <w:r>
                    <w:rPr>
                      <w:rFonts w:hint="eastAsia"/>
                    </w:rPr>
                    <w:t>废焊丝S3</w:t>
                  </w:r>
                </w:p>
              </w:tc>
              <w:tc>
                <w:tcPr>
                  <w:tcW w:w="882" w:type="dxa"/>
                  <w:vAlign w:val="center"/>
                </w:tcPr>
                <w:p w14:paraId="51210C2B">
                  <w:pPr>
                    <w:pStyle w:val="24"/>
                  </w:pPr>
                  <w:r>
                    <w:rPr>
                      <w:rFonts w:hint="eastAsia"/>
                    </w:rPr>
                    <w:t>0.001</w:t>
                  </w:r>
                </w:p>
              </w:tc>
              <w:tc>
                <w:tcPr>
                  <w:tcW w:w="1068" w:type="dxa"/>
                  <w:vAlign w:val="center"/>
                </w:tcPr>
                <w:p w14:paraId="7BDCBEC2">
                  <w:pPr>
                    <w:pStyle w:val="24"/>
                  </w:pPr>
                  <w:r>
                    <w:rPr>
                      <w:rFonts w:hint="eastAsia"/>
                    </w:rPr>
                    <w:t>一般固废</w:t>
                  </w:r>
                </w:p>
              </w:tc>
              <w:tc>
                <w:tcPr>
                  <w:tcW w:w="1103" w:type="dxa"/>
                  <w:vAlign w:val="center"/>
                </w:tcPr>
                <w:p w14:paraId="5E8F2351">
                  <w:pPr>
                    <w:pStyle w:val="24"/>
                  </w:pPr>
                  <w:r>
                    <w:rPr>
                      <w:rFonts w:hint="eastAsia"/>
                    </w:rPr>
                    <w:t>/</w:t>
                  </w:r>
                </w:p>
              </w:tc>
              <w:tc>
                <w:tcPr>
                  <w:tcW w:w="1018" w:type="dxa"/>
                  <w:vAlign w:val="center"/>
                </w:tcPr>
                <w:p w14:paraId="344ACA98">
                  <w:pPr>
                    <w:pStyle w:val="24"/>
                  </w:pPr>
                  <w:r>
                    <w:rPr>
                      <w:rFonts w:hint="eastAsia"/>
                    </w:rPr>
                    <w:t>/</w:t>
                  </w:r>
                </w:p>
              </w:tc>
              <w:tc>
                <w:tcPr>
                  <w:tcW w:w="983" w:type="dxa"/>
                  <w:vMerge w:val="continue"/>
                  <w:vAlign w:val="center"/>
                </w:tcPr>
                <w:p w14:paraId="344AFFD6">
                  <w:pPr>
                    <w:pStyle w:val="24"/>
                  </w:pPr>
                </w:p>
              </w:tc>
            </w:tr>
            <w:tr w14:paraId="7796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53593D5A">
                  <w:pPr>
                    <w:pStyle w:val="24"/>
                  </w:pPr>
                </w:p>
              </w:tc>
              <w:tc>
                <w:tcPr>
                  <w:tcW w:w="944" w:type="dxa"/>
                  <w:vMerge w:val="continue"/>
                  <w:vAlign w:val="center"/>
                </w:tcPr>
                <w:p w14:paraId="21938A2D">
                  <w:pPr>
                    <w:pStyle w:val="24"/>
                  </w:pPr>
                </w:p>
              </w:tc>
              <w:tc>
                <w:tcPr>
                  <w:tcW w:w="951" w:type="dxa"/>
                  <w:vAlign w:val="center"/>
                </w:tcPr>
                <w:p w14:paraId="3428AA14">
                  <w:pPr>
                    <w:pStyle w:val="24"/>
                  </w:pPr>
                  <w:r>
                    <w:rPr>
                      <w:rFonts w:hint="eastAsia"/>
                    </w:rPr>
                    <w:t>废轮胎S4</w:t>
                  </w:r>
                </w:p>
              </w:tc>
              <w:tc>
                <w:tcPr>
                  <w:tcW w:w="882" w:type="dxa"/>
                  <w:vAlign w:val="center"/>
                </w:tcPr>
                <w:p w14:paraId="171190EB">
                  <w:pPr>
                    <w:pStyle w:val="24"/>
                  </w:pPr>
                  <w:r>
                    <w:rPr>
                      <w:rFonts w:hint="eastAsia"/>
                    </w:rPr>
                    <w:t>8</w:t>
                  </w:r>
                </w:p>
              </w:tc>
              <w:tc>
                <w:tcPr>
                  <w:tcW w:w="1068" w:type="dxa"/>
                  <w:vAlign w:val="center"/>
                </w:tcPr>
                <w:p w14:paraId="17F13E12">
                  <w:pPr>
                    <w:pStyle w:val="24"/>
                  </w:pPr>
                  <w:r>
                    <w:rPr>
                      <w:rFonts w:hint="eastAsia"/>
                    </w:rPr>
                    <w:t>一般固废</w:t>
                  </w:r>
                </w:p>
              </w:tc>
              <w:tc>
                <w:tcPr>
                  <w:tcW w:w="1103" w:type="dxa"/>
                  <w:vAlign w:val="center"/>
                </w:tcPr>
                <w:p w14:paraId="1CE702F2">
                  <w:pPr>
                    <w:pStyle w:val="24"/>
                  </w:pPr>
                  <w:r>
                    <w:rPr>
                      <w:rFonts w:hint="eastAsia"/>
                    </w:rPr>
                    <w:t>/</w:t>
                  </w:r>
                </w:p>
              </w:tc>
              <w:tc>
                <w:tcPr>
                  <w:tcW w:w="1018" w:type="dxa"/>
                  <w:vAlign w:val="center"/>
                </w:tcPr>
                <w:p w14:paraId="6568BF8D">
                  <w:pPr>
                    <w:pStyle w:val="24"/>
                  </w:pPr>
                  <w:r>
                    <w:rPr>
                      <w:rFonts w:hint="eastAsia"/>
                    </w:rPr>
                    <w:t>/</w:t>
                  </w:r>
                </w:p>
              </w:tc>
              <w:tc>
                <w:tcPr>
                  <w:tcW w:w="983" w:type="dxa"/>
                  <w:vMerge w:val="continue"/>
                  <w:vAlign w:val="center"/>
                </w:tcPr>
                <w:p w14:paraId="7E89628E">
                  <w:pPr>
                    <w:pStyle w:val="24"/>
                  </w:pPr>
                </w:p>
              </w:tc>
            </w:tr>
            <w:tr w14:paraId="17AB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70920906">
                  <w:pPr>
                    <w:pStyle w:val="24"/>
                  </w:pPr>
                </w:p>
              </w:tc>
              <w:tc>
                <w:tcPr>
                  <w:tcW w:w="944" w:type="dxa"/>
                  <w:vMerge w:val="continue"/>
                  <w:vAlign w:val="center"/>
                </w:tcPr>
                <w:p w14:paraId="2D711DE5">
                  <w:pPr>
                    <w:pStyle w:val="24"/>
                  </w:pPr>
                </w:p>
              </w:tc>
              <w:tc>
                <w:tcPr>
                  <w:tcW w:w="951" w:type="dxa"/>
                  <w:vAlign w:val="center"/>
                </w:tcPr>
                <w:p w14:paraId="6794B7A0">
                  <w:pPr>
                    <w:pStyle w:val="24"/>
                  </w:pPr>
                  <w:r>
                    <w:rPr>
                      <w:rFonts w:hint="eastAsia"/>
                    </w:rPr>
                    <w:t>洗车污泥及泥沙S5</w:t>
                  </w:r>
                </w:p>
              </w:tc>
              <w:tc>
                <w:tcPr>
                  <w:tcW w:w="882" w:type="dxa"/>
                  <w:vAlign w:val="center"/>
                </w:tcPr>
                <w:p w14:paraId="4F55625F">
                  <w:pPr>
                    <w:pStyle w:val="24"/>
                  </w:pPr>
                  <w:r>
                    <w:rPr>
                      <w:rFonts w:hint="eastAsia"/>
                    </w:rPr>
                    <w:t>7</w:t>
                  </w:r>
                </w:p>
              </w:tc>
              <w:tc>
                <w:tcPr>
                  <w:tcW w:w="1068" w:type="dxa"/>
                  <w:vAlign w:val="center"/>
                </w:tcPr>
                <w:p w14:paraId="19ABA9E9">
                  <w:pPr>
                    <w:pStyle w:val="24"/>
                  </w:pPr>
                  <w:r>
                    <w:rPr>
                      <w:rFonts w:hint="eastAsia"/>
                    </w:rPr>
                    <w:t>危险固废</w:t>
                  </w:r>
                </w:p>
              </w:tc>
              <w:tc>
                <w:tcPr>
                  <w:tcW w:w="1103" w:type="dxa"/>
                  <w:vAlign w:val="center"/>
                </w:tcPr>
                <w:p w14:paraId="69A2097D">
                  <w:pPr>
                    <w:pStyle w:val="24"/>
                  </w:pPr>
                  <w:r>
                    <w:t>900-2</w:t>
                  </w:r>
                  <w:r>
                    <w:rPr>
                      <w:rFonts w:hint="eastAsia"/>
                    </w:rPr>
                    <w:t>49</w:t>
                  </w:r>
                  <w:r>
                    <w:t>-08</w:t>
                  </w:r>
                </w:p>
              </w:tc>
              <w:tc>
                <w:tcPr>
                  <w:tcW w:w="1018" w:type="dxa"/>
                  <w:vAlign w:val="center"/>
                </w:tcPr>
                <w:p w14:paraId="0852E2F2">
                  <w:pPr>
                    <w:pStyle w:val="24"/>
                  </w:pPr>
                  <w:r>
                    <w:t>HW</w:t>
                  </w:r>
                  <w:r>
                    <w:rPr>
                      <w:rFonts w:hint="eastAsia"/>
                    </w:rPr>
                    <w:t>08</w:t>
                  </w:r>
                </w:p>
              </w:tc>
              <w:tc>
                <w:tcPr>
                  <w:tcW w:w="983" w:type="dxa"/>
                  <w:vMerge w:val="restart"/>
                  <w:vAlign w:val="center"/>
                </w:tcPr>
                <w:p w14:paraId="3244D2CD">
                  <w:pPr>
                    <w:pStyle w:val="24"/>
                  </w:pPr>
                  <w:r>
                    <w:t>委托有资质的单位安全处置</w:t>
                  </w:r>
                </w:p>
              </w:tc>
            </w:tr>
            <w:tr w14:paraId="1C92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1BA1D673">
                  <w:pPr>
                    <w:pStyle w:val="24"/>
                  </w:pPr>
                </w:p>
              </w:tc>
              <w:tc>
                <w:tcPr>
                  <w:tcW w:w="944" w:type="dxa"/>
                  <w:vMerge w:val="continue"/>
                  <w:vAlign w:val="center"/>
                </w:tcPr>
                <w:p w14:paraId="2AACB3A0">
                  <w:pPr>
                    <w:pStyle w:val="24"/>
                  </w:pPr>
                </w:p>
              </w:tc>
              <w:tc>
                <w:tcPr>
                  <w:tcW w:w="951" w:type="dxa"/>
                  <w:vAlign w:val="center"/>
                </w:tcPr>
                <w:p w14:paraId="3E73BD4B">
                  <w:pPr>
                    <w:pStyle w:val="24"/>
                  </w:pPr>
                  <w:r>
                    <w:rPr>
                      <w:rFonts w:hint="eastAsia"/>
                    </w:rPr>
                    <w:t>废机油S10</w:t>
                  </w:r>
                </w:p>
              </w:tc>
              <w:tc>
                <w:tcPr>
                  <w:tcW w:w="882" w:type="dxa"/>
                  <w:vAlign w:val="center"/>
                </w:tcPr>
                <w:p w14:paraId="7931BA9D">
                  <w:pPr>
                    <w:pStyle w:val="24"/>
                  </w:pPr>
                  <w:r>
                    <w:rPr>
                      <w:rFonts w:hint="eastAsia"/>
                    </w:rPr>
                    <w:t>1.5</w:t>
                  </w:r>
                </w:p>
              </w:tc>
              <w:tc>
                <w:tcPr>
                  <w:tcW w:w="1068" w:type="dxa"/>
                  <w:vAlign w:val="center"/>
                </w:tcPr>
                <w:p w14:paraId="03D1071C">
                  <w:pPr>
                    <w:pStyle w:val="24"/>
                  </w:pPr>
                  <w:r>
                    <w:rPr>
                      <w:rFonts w:hint="eastAsia"/>
                    </w:rPr>
                    <w:t>固废</w:t>
                  </w:r>
                </w:p>
              </w:tc>
              <w:tc>
                <w:tcPr>
                  <w:tcW w:w="1103" w:type="dxa"/>
                  <w:vAlign w:val="center"/>
                </w:tcPr>
                <w:p w14:paraId="050A6A35">
                  <w:pPr>
                    <w:pStyle w:val="24"/>
                  </w:pPr>
                  <w:r>
                    <w:rPr>
                      <w:rFonts w:hint="eastAsia"/>
                    </w:rPr>
                    <w:t>900-250-12</w:t>
                  </w:r>
                </w:p>
              </w:tc>
              <w:tc>
                <w:tcPr>
                  <w:tcW w:w="1018" w:type="dxa"/>
                  <w:vAlign w:val="center"/>
                </w:tcPr>
                <w:p w14:paraId="7B992D18">
                  <w:pPr>
                    <w:pStyle w:val="24"/>
                  </w:pPr>
                  <w:r>
                    <w:rPr>
                      <w:rFonts w:hint="eastAsia"/>
                    </w:rPr>
                    <w:t>HW12</w:t>
                  </w:r>
                </w:p>
              </w:tc>
              <w:tc>
                <w:tcPr>
                  <w:tcW w:w="983" w:type="dxa"/>
                  <w:vMerge w:val="continue"/>
                  <w:vAlign w:val="center"/>
                </w:tcPr>
                <w:p w14:paraId="3E63FA9D">
                  <w:pPr>
                    <w:pStyle w:val="24"/>
                  </w:pPr>
                </w:p>
              </w:tc>
            </w:tr>
            <w:tr w14:paraId="1184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2EE7965C">
                  <w:pPr>
                    <w:pStyle w:val="24"/>
                  </w:pPr>
                </w:p>
              </w:tc>
              <w:tc>
                <w:tcPr>
                  <w:tcW w:w="944" w:type="dxa"/>
                  <w:vMerge w:val="continue"/>
                  <w:vAlign w:val="center"/>
                </w:tcPr>
                <w:p w14:paraId="058016A0">
                  <w:pPr>
                    <w:pStyle w:val="24"/>
                  </w:pPr>
                </w:p>
              </w:tc>
              <w:tc>
                <w:tcPr>
                  <w:tcW w:w="951" w:type="dxa"/>
                  <w:vAlign w:val="center"/>
                </w:tcPr>
                <w:p w14:paraId="1DF0AB61">
                  <w:pPr>
                    <w:pStyle w:val="24"/>
                  </w:pPr>
                  <w:r>
                    <w:rPr>
                      <w:rFonts w:hint="eastAsia"/>
                    </w:rPr>
                    <w:t>废机油桶S11</w:t>
                  </w:r>
                </w:p>
              </w:tc>
              <w:tc>
                <w:tcPr>
                  <w:tcW w:w="882" w:type="dxa"/>
                  <w:vAlign w:val="center"/>
                </w:tcPr>
                <w:p w14:paraId="34EB6502">
                  <w:pPr>
                    <w:pStyle w:val="24"/>
                  </w:pPr>
                  <w:r>
                    <w:rPr>
                      <w:rFonts w:hint="eastAsia"/>
                    </w:rPr>
                    <w:t>0.5</w:t>
                  </w:r>
                </w:p>
              </w:tc>
              <w:tc>
                <w:tcPr>
                  <w:tcW w:w="1068" w:type="dxa"/>
                  <w:vAlign w:val="center"/>
                </w:tcPr>
                <w:p w14:paraId="458EBD1E">
                  <w:pPr>
                    <w:pStyle w:val="24"/>
                  </w:pPr>
                  <w:r>
                    <w:rPr>
                      <w:rFonts w:hint="eastAsia"/>
                    </w:rPr>
                    <w:t>危险固废</w:t>
                  </w:r>
                </w:p>
              </w:tc>
              <w:tc>
                <w:tcPr>
                  <w:tcW w:w="1103" w:type="dxa"/>
                  <w:vAlign w:val="center"/>
                </w:tcPr>
                <w:p w14:paraId="0FF9F501">
                  <w:pPr>
                    <w:pStyle w:val="24"/>
                  </w:pPr>
                  <w:r>
                    <w:rPr>
                      <w:rFonts w:hint="eastAsia"/>
                    </w:rPr>
                    <w:t>900-044-49</w:t>
                  </w:r>
                </w:p>
              </w:tc>
              <w:tc>
                <w:tcPr>
                  <w:tcW w:w="1018" w:type="dxa"/>
                  <w:vAlign w:val="center"/>
                </w:tcPr>
                <w:p w14:paraId="0338D752">
                  <w:pPr>
                    <w:pStyle w:val="24"/>
                  </w:pPr>
                  <w:r>
                    <w:rPr>
                      <w:rFonts w:hint="eastAsia"/>
                    </w:rPr>
                    <w:t>HW49</w:t>
                  </w:r>
                </w:p>
              </w:tc>
              <w:tc>
                <w:tcPr>
                  <w:tcW w:w="983" w:type="dxa"/>
                  <w:vMerge w:val="continue"/>
                  <w:vAlign w:val="center"/>
                </w:tcPr>
                <w:p w14:paraId="36A921DB">
                  <w:pPr>
                    <w:pStyle w:val="24"/>
                  </w:pPr>
                </w:p>
              </w:tc>
            </w:tr>
            <w:tr w14:paraId="1F7A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vMerge w:val="continue"/>
                  <w:vAlign w:val="center"/>
                </w:tcPr>
                <w:p w14:paraId="2973D746">
                  <w:pPr>
                    <w:pStyle w:val="24"/>
                  </w:pPr>
                </w:p>
              </w:tc>
              <w:tc>
                <w:tcPr>
                  <w:tcW w:w="944" w:type="dxa"/>
                  <w:vMerge w:val="continue"/>
                  <w:vAlign w:val="center"/>
                </w:tcPr>
                <w:p w14:paraId="5C16672E">
                  <w:pPr>
                    <w:pStyle w:val="24"/>
                  </w:pPr>
                </w:p>
              </w:tc>
              <w:tc>
                <w:tcPr>
                  <w:tcW w:w="951" w:type="dxa"/>
                  <w:vAlign w:val="center"/>
                </w:tcPr>
                <w:p w14:paraId="628125E0">
                  <w:pPr>
                    <w:pStyle w:val="24"/>
                  </w:pPr>
                  <w:r>
                    <w:rPr>
                      <w:rFonts w:hint="eastAsia"/>
                    </w:rPr>
                    <w:t>废电池S12</w:t>
                  </w:r>
                </w:p>
              </w:tc>
              <w:tc>
                <w:tcPr>
                  <w:tcW w:w="882" w:type="dxa"/>
                  <w:vAlign w:val="center"/>
                </w:tcPr>
                <w:p w14:paraId="0F96FE3C">
                  <w:pPr>
                    <w:pStyle w:val="24"/>
                  </w:pPr>
                  <w:r>
                    <w:rPr>
                      <w:rFonts w:hint="eastAsia"/>
                    </w:rPr>
                    <w:t>0.4</w:t>
                  </w:r>
                </w:p>
              </w:tc>
              <w:tc>
                <w:tcPr>
                  <w:tcW w:w="1068" w:type="dxa"/>
                  <w:vAlign w:val="center"/>
                </w:tcPr>
                <w:p w14:paraId="2EA400F1">
                  <w:pPr>
                    <w:pStyle w:val="24"/>
                  </w:pPr>
                  <w:r>
                    <w:rPr>
                      <w:rFonts w:hint="eastAsia"/>
                    </w:rPr>
                    <w:t>危险固废</w:t>
                  </w:r>
                </w:p>
              </w:tc>
              <w:tc>
                <w:tcPr>
                  <w:tcW w:w="1103" w:type="dxa"/>
                  <w:vAlign w:val="center"/>
                </w:tcPr>
                <w:p w14:paraId="64C4D96B">
                  <w:pPr>
                    <w:pStyle w:val="24"/>
                  </w:pPr>
                  <w:r>
                    <w:rPr>
                      <w:rFonts w:hint="eastAsia"/>
                    </w:rPr>
                    <w:t>900-052-31</w:t>
                  </w:r>
                </w:p>
              </w:tc>
              <w:tc>
                <w:tcPr>
                  <w:tcW w:w="1018" w:type="dxa"/>
                  <w:vAlign w:val="center"/>
                </w:tcPr>
                <w:p w14:paraId="6ED5BCBA">
                  <w:pPr>
                    <w:pStyle w:val="24"/>
                  </w:pPr>
                  <w:r>
                    <w:rPr>
                      <w:rFonts w:hint="eastAsia"/>
                    </w:rPr>
                    <w:t>HW31</w:t>
                  </w:r>
                </w:p>
              </w:tc>
              <w:tc>
                <w:tcPr>
                  <w:tcW w:w="983" w:type="dxa"/>
                  <w:vMerge w:val="continue"/>
                  <w:vAlign w:val="center"/>
                </w:tcPr>
                <w:p w14:paraId="18B62A20">
                  <w:pPr>
                    <w:pStyle w:val="24"/>
                  </w:pPr>
                </w:p>
              </w:tc>
            </w:tr>
          </w:tbl>
          <w:p w14:paraId="47DDDF9C">
            <w:pPr>
              <w:ind w:firstLine="480" w:firstLineChars="200"/>
            </w:pPr>
            <w:r>
              <w:t>根据上表可知，项目运行过程中产生的固体废弃物均能得到妥善处置，处置率100%。</w:t>
            </w:r>
          </w:p>
          <w:p w14:paraId="25D84BE6">
            <w:pPr>
              <w:rPr>
                <w:bCs/>
                <w:highlight w:val="yellow"/>
              </w:rPr>
            </w:pPr>
            <w:r>
              <w:rPr>
                <w:rFonts w:hint="eastAsia"/>
                <w:bCs/>
                <w:snapToGrid w:val="0"/>
              </w:rPr>
              <w:t>3</w:t>
            </w:r>
            <w:r>
              <w:rPr>
                <w:rFonts w:hint="eastAsia"/>
                <w:bCs/>
              </w:rPr>
              <w:t>、</w:t>
            </w:r>
            <w:r>
              <w:rPr>
                <w:bCs/>
              </w:rPr>
              <w:t>固体废物影响分析及其防治措施</w:t>
            </w:r>
          </w:p>
          <w:p w14:paraId="75E4836E">
            <w:pPr>
              <w:ind w:firstLine="480" w:firstLineChars="200"/>
            </w:pPr>
            <w:r>
              <w:rPr>
                <w:rFonts w:hint="eastAsia"/>
              </w:rPr>
              <w:t>根据</w:t>
            </w:r>
            <w:r>
              <w:t>《建设项目危险废物环境影响评价指南》要求</w:t>
            </w:r>
            <w:r>
              <w:rPr>
                <w:rFonts w:hint="eastAsia"/>
              </w:rPr>
              <w:t>，危废暂存间</w:t>
            </w:r>
            <w:r>
              <w:t>应关注</w:t>
            </w:r>
            <w:r>
              <w:rPr>
                <w:rFonts w:hint="eastAsia"/>
              </w:rPr>
              <w:t>“</w:t>
            </w:r>
            <w:r>
              <w:t>四防</w:t>
            </w:r>
            <w:r>
              <w:rPr>
                <w:rFonts w:hint="eastAsia"/>
              </w:rPr>
              <w:t>”</w:t>
            </w:r>
            <w:r>
              <w:t>（防风、防雨、防晒、防渗漏），明确防渗措施和渗漏收集措施，以及危险废物堆放方式、警示标识等方面内容。</w:t>
            </w:r>
            <w:r>
              <w:rPr>
                <w:rFonts w:hint="eastAsia"/>
              </w:rPr>
              <w:t>危险废物收集和转运过程中，采样专门车辆运输，合理规划运输方式及运输路线，确保运输过程中的安全性，防止污染事故的发生。</w:t>
            </w:r>
            <w:r>
              <w:t>积极推行危险废物的无害化、减量化、资源化，提出合理、可行的措施，避免产生二次污染。</w:t>
            </w:r>
          </w:p>
          <w:p w14:paraId="5A92FABC">
            <w:pPr>
              <w:ind w:firstLine="480" w:firstLineChars="200"/>
            </w:pPr>
            <w:r>
              <w:rPr>
                <w:rFonts w:hint="eastAsia"/>
              </w:rPr>
              <w:t>项目建设一般固废间和危废暂存间，位于项目区东北侧，面积均为10m</w:t>
            </w:r>
            <w:r>
              <w:rPr>
                <w:rFonts w:hint="eastAsia"/>
                <w:vertAlign w:val="superscript"/>
              </w:rPr>
              <w:t>2</w:t>
            </w:r>
            <w:r>
              <w:rPr>
                <w:rFonts w:hint="eastAsia"/>
              </w:rPr>
              <w:t>。危废暂存间应按照《危险废物贮存污染控制标准》GB18597-2023进行设置。所有危废必须分别装入容器内储存，应当使用符合标准的容器盛装危险废物。容器必须完好无损。禁止将不相容（相互反应）的危险废物在同一容器内混装。无法装入常用容器的危险废物可用防漏胶袋等盛装，盛装危险废物的容器材质和衬里要与危险废物相容（不相互反应）。危险废物贮存设施都必须按GB15562.2的规定设置警示标志。暂存产所设施内要有安全照明设施和观察窗口。不相容的危险废物必须分开存放，并设有隔离间隔断。必须定期对所贮存的危险废物包装容器及贮存设施进行检查，发现破损，应及时采取措施清理更换。</w:t>
            </w:r>
          </w:p>
          <w:p w14:paraId="53A9EE2A">
            <w:pPr>
              <w:ind w:firstLine="480" w:firstLineChars="200"/>
              <w:rPr>
                <w:rFonts w:hint="eastAsia" w:ascii="宋体" w:hAnsi="宋体" w:cs="宋体"/>
                <w:kern w:val="0"/>
                <w:lang w:bidi="ar"/>
              </w:rPr>
            </w:pPr>
            <w:r>
              <w:rPr>
                <w:rFonts w:hint="eastAsia" w:ascii="宋体" w:hAnsi="宋体" w:cs="宋体"/>
                <w:kern w:val="0"/>
                <w:lang w:bidi="ar"/>
              </w:rPr>
              <w:t>综上所述，本项目在做好防范措施情况下，产生的固体废物在采取上述措施分类收集后不会产生固废二次污染，不会对周边环境造成不利影响。</w:t>
            </w:r>
          </w:p>
          <w:p w14:paraId="3922A25E">
            <w:pPr>
              <w:rPr>
                <w:rFonts w:hint="eastAsia" w:ascii="宋体" w:hAnsi="宋体" w:cs="宋体"/>
                <w:b/>
                <w:bCs/>
                <w:kern w:val="0"/>
                <w:lang w:bidi="ar"/>
              </w:rPr>
            </w:pPr>
            <w:r>
              <w:rPr>
                <w:rFonts w:hint="eastAsia" w:ascii="宋体" w:hAnsi="宋体" w:cs="宋体"/>
                <w:b/>
                <w:bCs/>
                <w:kern w:val="0"/>
                <w:lang w:bidi="ar"/>
              </w:rPr>
              <w:t>五、环境风险</w:t>
            </w:r>
          </w:p>
          <w:p w14:paraId="00BBB337">
            <w:pPr>
              <w:ind w:firstLine="480" w:firstLineChars="200"/>
            </w:pPr>
            <w:r>
              <w:rPr>
                <w:rFonts w:hint="eastAsia"/>
              </w:rPr>
              <w:t>环境风险评价的目的是通过分析建设项目运营期内可能发生的事故类型和对环境的影响程度和范围，以确定项目风险可承受程度，从而为工程设计提供参考依据。根据工程分析和原料特性知，项目具有一定的事故风险性，需要进行必要的环境事故风险分析，并在此基础上提出降低事故风险的措施，以确保事故时生产加油站内外的环境质量仍符合功能类别要求、职工及周边影响区内人群及生物的健康和生命安全有所保障。项目环境风险评价主要依据《建设项目环境风险评价技术导则》（HJ169-2018）的要求进行评价。</w:t>
            </w:r>
          </w:p>
          <w:p w14:paraId="3BD6E7E6">
            <w:pPr>
              <w:snapToGrid w:val="0"/>
              <w:ind w:firstLine="480" w:firstLineChars="200"/>
              <w:rPr>
                <w:bCs/>
              </w:rPr>
            </w:pPr>
            <w:r>
              <w:rPr>
                <w:rFonts w:hint="eastAsia"/>
                <w:bCs/>
              </w:rPr>
              <w:t>1、环境风险评价</w:t>
            </w:r>
          </w:p>
          <w:p w14:paraId="3E8B2EC2">
            <w:pPr>
              <w:snapToGrid w:val="0"/>
              <w:ind w:firstLine="480" w:firstLineChars="200"/>
              <w:rPr>
                <w:bCs/>
              </w:rPr>
            </w:pPr>
            <w:r>
              <w:rPr>
                <w:rFonts w:hint="eastAsia"/>
                <w:bCs/>
              </w:rPr>
              <w:t>（1）环境风险潜势初判</w:t>
            </w:r>
          </w:p>
          <w:p w14:paraId="7C8DA35C">
            <w:pPr>
              <w:ind w:firstLine="480" w:firstLineChars="200"/>
              <w:rPr>
                <w:bCs/>
                <w:snapToGrid w:val="0"/>
                <w:kern w:val="0"/>
                <w:lang w:bidi="ar"/>
              </w:rPr>
            </w:pPr>
            <w:r>
              <w:rPr>
                <w:rFonts w:hint="eastAsia"/>
                <w:bCs/>
                <w:snapToGrid w:val="0"/>
                <w:kern w:val="0"/>
                <w:lang w:bidi="ar"/>
              </w:rPr>
              <w:t>计算所涉及的每种危险物质在厂界内的最大存在总量与其临界值的比值</w:t>
            </w:r>
            <w:r>
              <w:rPr>
                <w:bCs/>
                <w:snapToGrid w:val="0"/>
                <w:kern w:val="0"/>
                <w:lang w:bidi="ar"/>
              </w:rPr>
              <w:t>Q</w:t>
            </w:r>
            <w:r>
              <w:rPr>
                <w:rFonts w:hint="eastAsia"/>
                <w:bCs/>
                <w:snapToGrid w:val="0"/>
                <w:kern w:val="0"/>
                <w:lang w:bidi="ar"/>
              </w:rPr>
              <w:t>。在不同厂区的同一种物质，按其在厂界内的最大存在总量计算。对于长输管线项目，按照两个截断阀室之间管段危险物质最大存在总量计算。</w:t>
            </w:r>
          </w:p>
          <w:p w14:paraId="60C10D49">
            <w:pPr>
              <w:ind w:firstLine="480" w:firstLineChars="200"/>
              <w:rPr>
                <w:bCs/>
                <w:snapToGrid w:val="0"/>
                <w:kern w:val="0"/>
                <w:lang w:bidi="ar"/>
              </w:rPr>
            </w:pPr>
            <w:r>
              <w:rPr>
                <w:rFonts w:hint="eastAsia"/>
                <w:bCs/>
                <w:snapToGrid w:val="0"/>
                <w:kern w:val="0"/>
                <w:lang w:bidi="ar"/>
              </w:rPr>
              <w:t>当只涉及一种危险物质时，计算该物质的总量与其临界量比值，即为</w:t>
            </w:r>
            <w:r>
              <w:rPr>
                <w:bCs/>
                <w:snapToGrid w:val="0"/>
                <w:kern w:val="0"/>
                <w:lang w:bidi="ar"/>
              </w:rPr>
              <w:t>Q</w:t>
            </w:r>
            <w:r>
              <w:rPr>
                <w:rFonts w:hint="eastAsia"/>
                <w:bCs/>
                <w:snapToGrid w:val="0"/>
                <w:kern w:val="0"/>
                <w:lang w:bidi="ar"/>
              </w:rPr>
              <w:t>；</w:t>
            </w:r>
          </w:p>
          <w:p w14:paraId="692795F0">
            <w:pPr>
              <w:widowControl/>
              <w:ind w:firstLine="480" w:firstLineChars="200"/>
              <w:rPr>
                <w:bCs/>
                <w:snapToGrid w:val="0"/>
                <w:kern w:val="0"/>
                <w:lang w:bidi="ar"/>
              </w:rPr>
            </w:pPr>
            <w:r>
              <w:rPr>
                <w:rFonts w:hint="eastAsia"/>
                <w:bCs/>
                <w:snapToGrid w:val="0"/>
                <w:kern w:val="0"/>
                <w:lang w:bidi="ar"/>
              </w:rPr>
              <w:t>当存在多种危险物质时，则按下式计算物质总量与其临界量比值（</w:t>
            </w:r>
            <w:r>
              <w:rPr>
                <w:bCs/>
                <w:snapToGrid w:val="0"/>
                <w:kern w:val="0"/>
                <w:lang w:bidi="ar"/>
              </w:rPr>
              <w:t>Q</w:t>
            </w:r>
            <w:r>
              <w:rPr>
                <w:rFonts w:hint="eastAsia"/>
                <w:bCs/>
                <w:snapToGrid w:val="0"/>
                <w:kern w:val="0"/>
                <w:lang w:bidi="ar"/>
              </w:rPr>
              <w:t>）：</w:t>
            </w:r>
          </w:p>
          <w:p w14:paraId="2EB01206">
            <w:pPr>
              <w:ind w:firstLine="480"/>
              <w:jc w:val="center"/>
            </w:pPr>
            <w:r>
              <w:t>Q=q</w:t>
            </w:r>
            <w:r>
              <w:rPr>
                <w:vertAlign w:val="subscript"/>
              </w:rPr>
              <w:t>1</w:t>
            </w:r>
            <w:r>
              <w:t>/Q</w:t>
            </w:r>
            <w:r>
              <w:rPr>
                <w:vertAlign w:val="subscript"/>
              </w:rPr>
              <w:t>1</w:t>
            </w:r>
            <w:r>
              <w:t>+q</w:t>
            </w:r>
            <w:r>
              <w:rPr>
                <w:vertAlign w:val="subscript"/>
              </w:rPr>
              <w:t>2</w:t>
            </w:r>
            <w:r>
              <w:t>/Q</w:t>
            </w:r>
            <w:r>
              <w:rPr>
                <w:vertAlign w:val="subscript"/>
              </w:rPr>
              <w:t>2</w:t>
            </w:r>
            <w:r>
              <w:t>+q</w:t>
            </w:r>
            <w:r>
              <w:rPr>
                <w:vertAlign w:val="subscript"/>
              </w:rPr>
              <w:t>3</w:t>
            </w:r>
            <w:r>
              <w:t>/Q</w:t>
            </w:r>
            <w:r>
              <w:rPr>
                <w:vertAlign w:val="subscript"/>
              </w:rPr>
              <w:t>3</w:t>
            </w:r>
            <w:r>
              <w:t>+…+q</w:t>
            </w:r>
            <w:r>
              <w:rPr>
                <w:vertAlign w:val="subscript"/>
              </w:rPr>
              <w:t>n</w:t>
            </w:r>
            <w:r>
              <w:t>/Q</w:t>
            </w:r>
            <w:r>
              <w:rPr>
                <w:vertAlign w:val="subscript"/>
              </w:rPr>
              <w:t>n</w:t>
            </w:r>
          </w:p>
          <w:p w14:paraId="33B030FE">
            <w:pPr>
              <w:ind w:firstLine="480"/>
            </w:pPr>
            <w:r>
              <w:rPr>
                <w:rFonts w:hint="eastAsia"/>
              </w:rPr>
              <w:t>式中：</w:t>
            </w:r>
          </w:p>
          <w:p w14:paraId="09545EB0">
            <w:pPr>
              <w:ind w:firstLine="960" w:firstLineChars="400"/>
            </w:pPr>
            <w:r>
              <w:t>q</w:t>
            </w:r>
            <w:r>
              <w:rPr>
                <w:vertAlign w:val="subscript"/>
              </w:rPr>
              <w:t>1</w:t>
            </w:r>
            <w:r>
              <w:t>，q</w:t>
            </w:r>
            <w:r>
              <w:rPr>
                <w:vertAlign w:val="subscript"/>
              </w:rPr>
              <w:t>2</w:t>
            </w:r>
            <w:r>
              <w:t>，q</w:t>
            </w:r>
            <w:r>
              <w:rPr>
                <w:vertAlign w:val="subscript"/>
              </w:rPr>
              <w:t>3</w:t>
            </w:r>
            <w:r>
              <w:t>，…，q</w:t>
            </w:r>
            <w:r>
              <w:rPr>
                <w:vertAlign w:val="subscript"/>
              </w:rPr>
              <w:t>n</w:t>
            </w:r>
            <w:r>
              <w:t>——每种危险物质</w:t>
            </w:r>
            <w:r>
              <w:rPr>
                <w:rFonts w:hint="eastAsia"/>
              </w:rPr>
              <w:t>的最大存在总量</w:t>
            </w:r>
            <w:r>
              <w:t>，t；</w:t>
            </w:r>
          </w:p>
          <w:p w14:paraId="04C13452">
            <w:pPr>
              <w:ind w:firstLine="960" w:firstLineChars="400"/>
            </w:pPr>
            <w:r>
              <w:t>Q</w:t>
            </w:r>
            <w:r>
              <w:rPr>
                <w:vertAlign w:val="subscript"/>
              </w:rPr>
              <w:t>1</w:t>
            </w:r>
            <w:r>
              <w:t>，Q</w:t>
            </w:r>
            <w:r>
              <w:rPr>
                <w:vertAlign w:val="subscript"/>
              </w:rPr>
              <w:t>2</w:t>
            </w:r>
            <w:r>
              <w:t>，Q</w:t>
            </w:r>
            <w:r>
              <w:rPr>
                <w:vertAlign w:val="subscript"/>
              </w:rPr>
              <w:t>3</w:t>
            </w:r>
            <w:r>
              <w:t>，…，Q</w:t>
            </w:r>
            <w:r>
              <w:rPr>
                <w:vertAlign w:val="subscript"/>
              </w:rPr>
              <w:t>n</w:t>
            </w:r>
            <w:r>
              <w:t>——</w:t>
            </w:r>
            <w:r>
              <w:rPr>
                <w:rFonts w:hint="eastAsia"/>
              </w:rPr>
              <w:t>每种危险物质的</w:t>
            </w:r>
            <w:r>
              <w:t>临界量，t。</w:t>
            </w:r>
          </w:p>
          <w:p w14:paraId="0300F1FA">
            <w:pPr>
              <w:ind w:firstLine="960" w:firstLineChars="400"/>
            </w:pPr>
            <w:r>
              <w:rPr>
                <w:rFonts w:hint="eastAsia"/>
              </w:rPr>
              <w:t>当Q＜1时，该项目环境风险潜势为</w:t>
            </w:r>
            <w:r>
              <w:t>Ⅰ</w:t>
            </w:r>
            <w:r>
              <w:rPr>
                <w:rFonts w:hint="eastAsia"/>
              </w:rPr>
              <w:t>。</w:t>
            </w:r>
          </w:p>
          <w:p w14:paraId="564FC289">
            <w:pPr>
              <w:ind w:firstLine="960" w:firstLineChars="400"/>
            </w:pPr>
            <w:r>
              <w:rPr>
                <w:rFonts w:hint="eastAsia"/>
              </w:rPr>
              <w:t>当Q≥1时，讲Q值划分为：（1）1≤Q＜10；（2）10≤Q＜100；（3）Q≥100。</w:t>
            </w:r>
          </w:p>
          <w:p w14:paraId="4CE6DCE2">
            <w:pPr>
              <w:widowControl/>
              <w:ind w:firstLine="480" w:firstLineChars="200"/>
              <w:jc w:val="left"/>
            </w:pPr>
            <w:r>
              <w:t>本项目</w:t>
            </w:r>
            <w:r>
              <w:rPr>
                <w:rFonts w:hint="eastAsia"/>
              </w:rPr>
              <w:t>使用3个5</w:t>
            </w:r>
            <w:r>
              <w:t>0m</w:t>
            </w:r>
            <w:r>
              <w:rPr>
                <w:vertAlign w:val="superscript"/>
              </w:rPr>
              <w:t>3</w:t>
            </w:r>
            <w:r>
              <w:rPr>
                <w:rFonts w:hint="eastAsia"/>
              </w:rPr>
              <w:t>柴油罐、2个</w:t>
            </w:r>
            <w:r>
              <w:t>30m</w:t>
            </w:r>
            <w:r>
              <w:rPr>
                <w:vertAlign w:val="superscript"/>
              </w:rPr>
              <w:t>3</w:t>
            </w:r>
            <w:r>
              <w:rPr>
                <w:rFonts w:hint="eastAsia"/>
              </w:rPr>
              <w:t>汽油罐。</w:t>
            </w:r>
            <w:r>
              <w:rPr>
                <w:rFonts w:hint="eastAsia" w:ascii="宋体" w:hAnsi="宋体" w:cs="宋体"/>
                <w:kern w:val="0"/>
                <w:lang w:bidi="ar"/>
              </w:rPr>
              <w:t>汽油、柴油单个储罐最大储存量以</w:t>
            </w:r>
            <w:r>
              <w:rPr>
                <w:kern w:val="0"/>
                <w:lang w:bidi="ar"/>
              </w:rPr>
              <w:t>90%</w:t>
            </w:r>
            <w:r>
              <w:rPr>
                <w:rFonts w:hint="eastAsia" w:ascii="宋体" w:hAnsi="宋体" w:cs="宋体"/>
                <w:kern w:val="0"/>
                <w:lang w:bidi="ar"/>
              </w:rPr>
              <w:t>计。其中</w:t>
            </w:r>
            <w:r>
              <w:rPr>
                <w:rFonts w:hint="eastAsia"/>
              </w:rPr>
              <w:t>汽油密度以</w:t>
            </w:r>
            <w:r>
              <w:t>0.74t/m</w:t>
            </w:r>
            <w:r>
              <w:rPr>
                <w:vertAlign w:val="superscript"/>
              </w:rPr>
              <w:t>3</w:t>
            </w:r>
            <w:r>
              <w:rPr>
                <w:rFonts w:hint="eastAsia" w:ascii="宋体" w:hAnsi="宋体" w:cs="宋体"/>
                <w:kern w:val="0"/>
                <w:lang w:bidi="ar"/>
              </w:rPr>
              <w:t>计，则汽油</w:t>
            </w:r>
            <w:r>
              <w:rPr>
                <w:rFonts w:hint="eastAsia"/>
              </w:rPr>
              <w:t>最大储量为39.96</w:t>
            </w:r>
            <w:r>
              <w:t>t</w:t>
            </w:r>
            <w:r>
              <w:rPr>
                <w:rFonts w:hint="eastAsia"/>
              </w:rPr>
              <w:t>。柴油的</w:t>
            </w:r>
            <w:r>
              <w:rPr>
                <w:rFonts w:hint="eastAsia" w:ascii="宋体" w:hAnsi="宋体" w:cs="宋体"/>
                <w:kern w:val="0"/>
                <w:lang w:bidi="ar"/>
              </w:rPr>
              <w:t>密度以</w:t>
            </w:r>
            <w:r>
              <w:rPr>
                <w:kern w:val="0"/>
                <w:lang w:bidi="ar"/>
              </w:rPr>
              <w:t>0.84t/m</w:t>
            </w:r>
            <w:r>
              <w:rPr>
                <w:kern w:val="0"/>
                <w:vertAlign w:val="superscript"/>
                <w:lang w:bidi="ar"/>
              </w:rPr>
              <w:t>3</w:t>
            </w:r>
            <w:r>
              <w:rPr>
                <w:rFonts w:hint="eastAsia" w:ascii="宋体" w:hAnsi="宋体" w:cs="宋体"/>
                <w:kern w:val="0"/>
                <w:lang w:bidi="ar"/>
              </w:rPr>
              <w:t>计，则柴</w:t>
            </w:r>
            <w:r>
              <w:rPr>
                <w:rFonts w:hint="eastAsia"/>
              </w:rPr>
              <w:t>油最大储量为113.4</w:t>
            </w:r>
            <w:r>
              <w:t>t</w:t>
            </w:r>
            <w:r>
              <w:rPr>
                <w:rFonts w:hint="eastAsia"/>
              </w:rPr>
              <w:t>。</w:t>
            </w:r>
          </w:p>
          <w:p w14:paraId="4FB4B626">
            <w:pPr>
              <w:widowControl/>
              <w:ind w:firstLine="480" w:firstLineChars="200"/>
              <w:rPr>
                <w:b/>
                <w:bCs/>
                <w:spacing w:val="6"/>
              </w:rPr>
            </w:pPr>
            <w:r>
              <w:rPr>
                <w:rFonts w:hint="eastAsia"/>
              </w:rPr>
              <w:t>本项目汽油、柴油临界量参照《建设项目的环境风险评价技术导则》（</w:t>
            </w:r>
            <w:r>
              <w:t>HJ169-2018</w:t>
            </w:r>
            <w:r>
              <w:rPr>
                <w:rFonts w:hint="eastAsia"/>
              </w:rPr>
              <w:t>）中附录</w:t>
            </w:r>
            <w:r>
              <w:t>B</w:t>
            </w:r>
            <w:r>
              <w:rPr>
                <w:rFonts w:hint="eastAsia"/>
              </w:rPr>
              <w:t>“油类物质”，其</w:t>
            </w:r>
            <w:r>
              <w:t>Q</w:t>
            </w:r>
            <w:r>
              <w:rPr>
                <w:rFonts w:hint="eastAsia"/>
              </w:rPr>
              <w:t>值确定见下表。</w:t>
            </w:r>
          </w:p>
          <w:p w14:paraId="62BCA6CB">
            <w:pPr>
              <w:pStyle w:val="6"/>
            </w:pPr>
            <w:r>
              <w:t xml:space="preserve">表 </w:t>
            </w:r>
            <w:r>
              <w:rPr>
                <w:rFonts w:hint="eastAsia"/>
              </w:rPr>
              <w:t>4-</w:t>
            </w:r>
            <w:r>
              <w:fldChar w:fldCharType="begin"/>
            </w:r>
            <w:r>
              <w:instrText xml:space="preserve"> SEQ 表 \* ARABIC \s 1 </w:instrText>
            </w:r>
            <w:r>
              <w:fldChar w:fldCharType="separate"/>
            </w:r>
            <w:r>
              <w:t>14</w:t>
            </w:r>
            <w:r>
              <w:fldChar w:fldCharType="end"/>
            </w:r>
            <w:r>
              <w:rPr>
                <w:rFonts w:hint="eastAsia"/>
              </w:rPr>
              <w:t xml:space="preserve"> </w:t>
            </w:r>
            <w:r>
              <w:t>物质的种类、特性及最大贮存量</w:t>
            </w:r>
          </w:p>
          <w:tbl>
            <w:tblPr>
              <w:tblStyle w:val="18"/>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837"/>
              <w:gridCol w:w="2100"/>
              <w:gridCol w:w="1827"/>
              <w:gridCol w:w="1163"/>
              <w:gridCol w:w="1664"/>
            </w:tblGrid>
            <w:tr w14:paraId="770673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603" w:hRule="exact"/>
                <w:jc w:val="center"/>
              </w:trPr>
              <w:tc>
                <w:tcPr>
                  <w:tcW w:w="551" w:type="pct"/>
                  <w:tcBorders>
                    <w:top w:val="single" w:color="auto" w:sz="4" w:space="0"/>
                    <w:left w:val="single" w:color="auto" w:sz="4" w:space="0"/>
                  </w:tcBorders>
                  <w:vAlign w:val="center"/>
                </w:tcPr>
                <w:p w14:paraId="7A57B586">
                  <w:pPr>
                    <w:pStyle w:val="24"/>
                    <w:rPr>
                      <w:b/>
                      <w:bCs/>
                    </w:rPr>
                  </w:pPr>
                  <w:r>
                    <w:rPr>
                      <w:b/>
                      <w:bCs/>
                    </w:rPr>
                    <w:t>序号</w:t>
                  </w:r>
                </w:p>
              </w:tc>
              <w:tc>
                <w:tcPr>
                  <w:tcW w:w="1383" w:type="pct"/>
                  <w:tcBorders>
                    <w:top w:val="single" w:color="auto" w:sz="4" w:space="0"/>
                  </w:tcBorders>
                  <w:vAlign w:val="center"/>
                </w:tcPr>
                <w:p w14:paraId="11DBD895">
                  <w:pPr>
                    <w:pStyle w:val="24"/>
                    <w:rPr>
                      <w:b/>
                      <w:bCs/>
                    </w:rPr>
                  </w:pPr>
                  <w:r>
                    <w:rPr>
                      <w:b/>
                      <w:bCs/>
                    </w:rPr>
                    <w:t>危险物质名称</w:t>
                  </w:r>
                </w:p>
              </w:tc>
              <w:tc>
                <w:tcPr>
                  <w:tcW w:w="1203" w:type="pct"/>
                  <w:tcBorders>
                    <w:top w:val="single" w:color="auto" w:sz="4" w:space="0"/>
                  </w:tcBorders>
                  <w:vAlign w:val="center"/>
                </w:tcPr>
                <w:p w14:paraId="3A108C31">
                  <w:pPr>
                    <w:pStyle w:val="24"/>
                    <w:rPr>
                      <w:b/>
                      <w:bCs/>
                    </w:rPr>
                  </w:pPr>
                  <w:r>
                    <w:rPr>
                      <w:b/>
                      <w:bCs/>
                    </w:rPr>
                    <w:t>最大存在总量(t)</w:t>
                  </w:r>
                </w:p>
              </w:tc>
              <w:tc>
                <w:tcPr>
                  <w:tcW w:w="766" w:type="pct"/>
                  <w:tcBorders>
                    <w:top w:val="single" w:color="auto" w:sz="4" w:space="0"/>
                  </w:tcBorders>
                  <w:vAlign w:val="center"/>
                </w:tcPr>
                <w:p w14:paraId="27DF1941">
                  <w:pPr>
                    <w:pStyle w:val="24"/>
                    <w:rPr>
                      <w:b/>
                      <w:bCs/>
                    </w:rPr>
                  </w:pPr>
                  <w:r>
                    <w:rPr>
                      <w:b/>
                      <w:bCs/>
                    </w:rPr>
                    <w:t>临界量(t)</w:t>
                  </w:r>
                </w:p>
              </w:tc>
              <w:tc>
                <w:tcPr>
                  <w:tcW w:w="1096" w:type="pct"/>
                  <w:tcBorders>
                    <w:top w:val="single" w:color="auto" w:sz="4" w:space="0"/>
                    <w:right w:val="single" w:color="auto" w:sz="4" w:space="0"/>
                  </w:tcBorders>
                  <w:vAlign w:val="center"/>
                </w:tcPr>
                <w:p w14:paraId="34D8AA35">
                  <w:pPr>
                    <w:pStyle w:val="24"/>
                    <w:rPr>
                      <w:b/>
                      <w:bCs/>
                    </w:rPr>
                  </w:pPr>
                  <w:r>
                    <w:rPr>
                      <w:b/>
                      <w:bCs/>
                    </w:rPr>
                    <w:t>该种危险物质Q值</w:t>
                  </w:r>
                </w:p>
              </w:tc>
            </w:tr>
            <w:tr w14:paraId="15B8B2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15" w:hRule="exact"/>
                <w:jc w:val="center"/>
              </w:trPr>
              <w:tc>
                <w:tcPr>
                  <w:tcW w:w="551" w:type="pct"/>
                  <w:tcBorders>
                    <w:left w:val="single" w:color="auto" w:sz="4" w:space="0"/>
                  </w:tcBorders>
                  <w:vAlign w:val="center"/>
                </w:tcPr>
                <w:p w14:paraId="4D912F3B">
                  <w:pPr>
                    <w:pStyle w:val="24"/>
                  </w:pPr>
                  <w:r>
                    <w:t>1</w:t>
                  </w:r>
                </w:p>
              </w:tc>
              <w:tc>
                <w:tcPr>
                  <w:tcW w:w="1383" w:type="pct"/>
                  <w:vAlign w:val="center"/>
                </w:tcPr>
                <w:p w14:paraId="55CDD3DB">
                  <w:pPr>
                    <w:pStyle w:val="24"/>
                  </w:pPr>
                  <w:r>
                    <w:t>汽油</w:t>
                  </w:r>
                </w:p>
              </w:tc>
              <w:tc>
                <w:tcPr>
                  <w:tcW w:w="1203" w:type="pct"/>
                  <w:vAlign w:val="center"/>
                </w:tcPr>
                <w:p w14:paraId="54456833">
                  <w:pPr>
                    <w:pStyle w:val="24"/>
                  </w:pPr>
                  <w:r>
                    <w:rPr>
                      <w:rFonts w:hint="eastAsia"/>
                    </w:rPr>
                    <w:t>39.96</w:t>
                  </w:r>
                </w:p>
              </w:tc>
              <w:tc>
                <w:tcPr>
                  <w:tcW w:w="766" w:type="pct"/>
                  <w:vAlign w:val="center"/>
                </w:tcPr>
                <w:p w14:paraId="05BB5F19">
                  <w:pPr>
                    <w:pStyle w:val="24"/>
                  </w:pPr>
                  <w:r>
                    <w:rPr>
                      <w:rFonts w:hint="eastAsia"/>
                    </w:rPr>
                    <w:t>2500</w:t>
                  </w:r>
                </w:p>
              </w:tc>
              <w:tc>
                <w:tcPr>
                  <w:tcW w:w="1096" w:type="pct"/>
                  <w:tcBorders>
                    <w:right w:val="single" w:color="auto" w:sz="4" w:space="0"/>
                  </w:tcBorders>
                  <w:vAlign w:val="center"/>
                </w:tcPr>
                <w:p w14:paraId="003BEB26">
                  <w:pPr>
                    <w:pStyle w:val="24"/>
                  </w:pPr>
                  <w:r>
                    <w:rPr>
                      <w:rFonts w:hint="eastAsia"/>
                    </w:rPr>
                    <w:t>0.016</w:t>
                  </w:r>
                </w:p>
              </w:tc>
            </w:tr>
            <w:tr w14:paraId="12B25D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15" w:hRule="exact"/>
                <w:jc w:val="center"/>
              </w:trPr>
              <w:tc>
                <w:tcPr>
                  <w:tcW w:w="551" w:type="pct"/>
                  <w:tcBorders>
                    <w:left w:val="single" w:color="auto" w:sz="4" w:space="0"/>
                  </w:tcBorders>
                  <w:vAlign w:val="center"/>
                </w:tcPr>
                <w:p w14:paraId="69A86E59">
                  <w:pPr>
                    <w:pStyle w:val="24"/>
                  </w:pPr>
                  <w:r>
                    <w:rPr>
                      <w:rFonts w:hint="eastAsia"/>
                    </w:rPr>
                    <w:t>2</w:t>
                  </w:r>
                </w:p>
              </w:tc>
              <w:tc>
                <w:tcPr>
                  <w:tcW w:w="1383" w:type="pct"/>
                  <w:vAlign w:val="center"/>
                </w:tcPr>
                <w:p w14:paraId="7D9E4193">
                  <w:pPr>
                    <w:pStyle w:val="24"/>
                  </w:pPr>
                  <w:r>
                    <w:rPr>
                      <w:rFonts w:hint="eastAsia"/>
                    </w:rPr>
                    <w:t>柴油</w:t>
                  </w:r>
                </w:p>
              </w:tc>
              <w:tc>
                <w:tcPr>
                  <w:tcW w:w="1203" w:type="pct"/>
                  <w:vAlign w:val="center"/>
                </w:tcPr>
                <w:p w14:paraId="3B469060">
                  <w:pPr>
                    <w:pStyle w:val="24"/>
                  </w:pPr>
                  <w:r>
                    <w:rPr>
                      <w:rFonts w:hint="eastAsia"/>
                    </w:rPr>
                    <w:t>113.4</w:t>
                  </w:r>
                </w:p>
              </w:tc>
              <w:tc>
                <w:tcPr>
                  <w:tcW w:w="766" w:type="pct"/>
                  <w:vAlign w:val="center"/>
                </w:tcPr>
                <w:p w14:paraId="1D1D82FA">
                  <w:pPr>
                    <w:pStyle w:val="24"/>
                  </w:pPr>
                  <w:r>
                    <w:rPr>
                      <w:rFonts w:hint="eastAsia"/>
                    </w:rPr>
                    <w:t>2500</w:t>
                  </w:r>
                </w:p>
              </w:tc>
              <w:tc>
                <w:tcPr>
                  <w:tcW w:w="1096" w:type="pct"/>
                  <w:tcBorders>
                    <w:right w:val="single" w:color="auto" w:sz="4" w:space="0"/>
                  </w:tcBorders>
                  <w:vAlign w:val="center"/>
                </w:tcPr>
                <w:p w14:paraId="10366AF8">
                  <w:pPr>
                    <w:pStyle w:val="24"/>
                  </w:pPr>
                  <w:r>
                    <w:rPr>
                      <w:rFonts w:hint="eastAsia"/>
                    </w:rPr>
                    <w:t>0.045</w:t>
                  </w:r>
                </w:p>
              </w:tc>
            </w:tr>
            <w:tr w14:paraId="61CCF9F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15" w:hRule="exact"/>
                <w:jc w:val="center"/>
              </w:trPr>
              <w:tc>
                <w:tcPr>
                  <w:tcW w:w="551" w:type="pct"/>
                  <w:tcBorders>
                    <w:left w:val="single" w:color="auto" w:sz="4" w:space="0"/>
                  </w:tcBorders>
                  <w:shd w:val="clear" w:color="auto" w:fill="auto"/>
                  <w:vAlign w:val="center"/>
                </w:tcPr>
                <w:p w14:paraId="5FC438D0">
                  <w:pPr>
                    <w:pStyle w:val="24"/>
                  </w:pPr>
                  <w:r>
                    <w:rPr>
                      <w:rFonts w:hint="eastAsia"/>
                    </w:rPr>
                    <w:t>3</w:t>
                  </w:r>
                </w:p>
              </w:tc>
              <w:tc>
                <w:tcPr>
                  <w:tcW w:w="1383" w:type="pct"/>
                  <w:shd w:val="clear" w:color="auto" w:fill="auto"/>
                  <w:vAlign w:val="center"/>
                </w:tcPr>
                <w:p w14:paraId="05C47322">
                  <w:pPr>
                    <w:pStyle w:val="24"/>
                  </w:pPr>
                  <w:r>
                    <w:rPr>
                      <w:rFonts w:hint="eastAsia"/>
                    </w:rPr>
                    <w:t>危险废物</w:t>
                  </w:r>
                </w:p>
              </w:tc>
              <w:tc>
                <w:tcPr>
                  <w:tcW w:w="1203" w:type="pct"/>
                  <w:shd w:val="clear" w:color="auto" w:fill="auto"/>
                  <w:vAlign w:val="center"/>
                </w:tcPr>
                <w:p w14:paraId="5C81A495">
                  <w:pPr>
                    <w:pStyle w:val="24"/>
                  </w:pPr>
                  <w:r>
                    <w:rPr>
                      <w:rFonts w:hint="eastAsia"/>
                    </w:rPr>
                    <w:t>2.55</w:t>
                  </w:r>
                </w:p>
              </w:tc>
              <w:tc>
                <w:tcPr>
                  <w:tcW w:w="766" w:type="pct"/>
                  <w:shd w:val="clear" w:color="auto" w:fill="auto"/>
                  <w:vAlign w:val="center"/>
                </w:tcPr>
                <w:p w14:paraId="7493E209">
                  <w:pPr>
                    <w:pStyle w:val="24"/>
                  </w:pPr>
                  <w:r>
                    <w:rPr>
                      <w:rFonts w:hint="eastAsia"/>
                    </w:rPr>
                    <w:t>50</w:t>
                  </w:r>
                </w:p>
              </w:tc>
              <w:tc>
                <w:tcPr>
                  <w:tcW w:w="1096" w:type="pct"/>
                  <w:tcBorders>
                    <w:right w:val="single" w:color="auto" w:sz="4" w:space="0"/>
                  </w:tcBorders>
                  <w:shd w:val="clear" w:color="auto" w:fill="auto"/>
                  <w:vAlign w:val="center"/>
                </w:tcPr>
                <w:p w14:paraId="68536169">
                  <w:pPr>
                    <w:pStyle w:val="24"/>
                  </w:pPr>
                  <w:r>
                    <w:rPr>
                      <w:rFonts w:hint="eastAsia"/>
                    </w:rPr>
                    <w:t>0.051</w:t>
                  </w:r>
                </w:p>
              </w:tc>
            </w:tr>
            <w:tr w14:paraId="2CB923F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cantSplit/>
                <w:trHeight w:val="415" w:hRule="exact"/>
                <w:jc w:val="center"/>
              </w:trPr>
              <w:tc>
                <w:tcPr>
                  <w:tcW w:w="3903" w:type="pct"/>
                  <w:gridSpan w:val="4"/>
                  <w:tcBorders>
                    <w:left w:val="single" w:color="auto" w:sz="4" w:space="0"/>
                    <w:bottom w:val="single" w:color="auto" w:sz="4" w:space="0"/>
                  </w:tcBorders>
                  <w:vAlign w:val="center"/>
                </w:tcPr>
                <w:p w14:paraId="0F9D9BF9">
                  <w:pPr>
                    <w:pStyle w:val="24"/>
                  </w:pPr>
                  <w:r>
                    <w:t>项目Q值Σ</w:t>
                  </w:r>
                </w:p>
              </w:tc>
              <w:tc>
                <w:tcPr>
                  <w:tcW w:w="1096" w:type="pct"/>
                  <w:tcBorders>
                    <w:bottom w:val="single" w:color="auto" w:sz="4" w:space="0"/>
                    <w:right w:val="single" w:color="auto" w:sz="4" w:space="0"/>
                  </w:tcBorders>
                  <w:vAlign w:val="center"/>
                </w:tcPr>
                <w:p w14:paraId="2C7557E1">
                  <w:pPr>
                    <w:pStyle w:val="24"/>
                  </w:pPr>
                  <w:r>
                    <w:rPr>
                      <w:rFonts w:hint="eastAsia"/>
                    </w:rPr>
                    <w:t>0.112</w:t>
                  </w:r>
                </w:p>
              </w:tc>
            </w:tr>
          </w:tbl>
          <w:p w14:paraId="55A56A4F">
            <w:pPr>
              <w:ind w:firstLine="480" w:firstLineChars="200"/>
            </w:pPr>
            <w:r>
              <w:rPr>
                <w:rFonts w:hint="eastAsia"/>
              </w:rPr>
              <w:t>由于</w:t>
            </w:r>
            <w:r>
              <w:t>Q=0.</w:t>
            </w:r>
            <w:r>
              <w:rPr>
                <w:rFonts w:hint="eastAsia"/>
              </w:rPr>
              <w:t>112</w:t>
            </w:r>
            <w:r>
              <w:t>＜1</w:t>
            </w:r>
            <w:r>
              <w:rPr>
                <w:rFonts w:hint="eastAsia"/>
              </w:rPr>
              <w:t>，因此本项目的环境风险潜势等级为Ⅰ。</w:t>
            </w:r>
          </w:p>
          <w:p w14:paraId="45EC3FA7">
            <w:pPr>
              <w:ind w:firstLine="480" w:firstLineChars="200"/>
              <w:rPr>
                <w:snapToGrid w:val="0"/>
                <w:kern w:val="0"/>
                <w:lang w:bidi="ar"/>
              </w:rPr>
            </w:pPr>
            <w:r>
              <w:rPr>
                <w:rFonts w:hint="eastAsia"/>
                <w:snapToGrid w:val="0"/>
                <w:kern w:val="0"/>
                <w:lang w:bidi="ar"/>
              </w:rPr>
              <w:t>2、环境</w:t>
            </w:r>
            <w:r>
              <w:rPr>
                <w:snapToGrid w:val="0"/>
                <w:kern w:val="0"/>
                <w:lang w:bidi="ar"/>
              </w:rPr>
              <w:t>风险识别</w:t>
            </w:r>
          </w:p>
          <w:p w14:paraId="1352B32D">
            <w:pPr>
              <w:widowControl/>
              <w:ind w:firstLine="480" w:firstLineChars="200"/>
              <w:rPr>
                <w:snapToGrid w:val="0"/>
                <w:kern w:val="0"/>
                <w:lang w:bidi="ar"/>
              </w:rPr>
            </w:pPr>
            <w:r>
              <w:rPr>
                <w:rFonts w:hint="eastAsia"/>
                <w:snapToGrid w:val="0"/>
                <w:kern w:val="0"/>
                <w:lang w:bidi="ar"/>
              </w:rPr>
              <w:t>（1）物质危险性识别</w:t>
            </w:r>
          </w:p>
          <w:p w14:paraId="66B08017">
            <w:pPr>
              <w:widowControl/>
              <w:ind w:firstLine="480" w:firstLineChars="200"/>
              <w:rPr>
                <w:snapToGrid w:val="0"/>
                <w:kern w:val="0"/>
                <w:lang w:bidi="ar"/>
              </w:rPr>
            </w:pPr>
            <w:r>
              <w:rPr>
                <w:snapToGrid w:val="0"/>
                <w:kern w:val="0"/>
                <w:lang w:bidi="ar"/>
              </w:rPr>
              <w:t>根据上述分析，本项目所涉及的原料为汽油、柴油。</w:t>
            </w:r>
            <w:r>
              <w:rPr>
                <w:kern w:val="0"/>
                <w:lang w:bidi="ar"/>
              </w:rPr>
              <w:t>此类易燃易爆物体，与空气混合能形成爆炸性混合物，遇静电、明火、高温极易燃烧爆炸。若遇高温高热，容器内压力增大后有开裂和爆炸的危险。根据《常用危险化学品的分类及标志》（GB13690—2009）和其它与本项目有关化学品危险特性的资料，将其理化性质以及危险特性分别列于如下</w:t>
            </w:r>
            <w:r>
              <w:rPr>
                <w:snapToGrid w:val="0"/>
                <w:kern w:val="0"/>
                <w:lang w:bidi="ar"/>
              </w:rPr>
              <w:t>：</w:t>
            </w:r>
          </w:p>
          <w:p w14:paraId="1C2EDBC8">
            <w:pPr>
              <w:ind w:firstLine="480" w:firstLineChars="200"/>
              <w:rPr>
                <w:b/>
                <w:bCs/>
                <w:spacing w:val="6"/>
              </w:rPr>
            </w:pPr>
            <w:r>
              <w:rPr>
                <w:rFonts w:hint="eastAsia"/>
                <w:snapToGrid w:val="0"/>
                <w:kern w:val="0"/>
                <w:lang w:bidi="ar"/>
              </w:rPr>
              <w:t>a、</w:t>
            </w:r>
            <w:r>
              <w:rPr>
                <w:snapToGrid w:val="0"/>
                <w:kern w:val="0"/>
                <w:lang w:bidi="ar"/>
              </w:rPr>
              <w:t>汽油</w:t>
            </w:r>
          </w:p>
          <w:p w14:paraId="4CB250F0">
            <w:pPr>
              <w:pStyle w:val="6"/>
            </w:pPr>
            <w:r>
              <w:t xml:space="preserve">表 </w:t>
            </w:r>
            <w:r>
              <w:rPr>
                <w:rFonts w:hint="eastAsia"/>
              </w:rPr>
              <w:t>4-</w:t>
            </w:r>
            <w:r>
              <w:fldChar w:fldCharType="begin"/>
            </w:r>
            <w:r>
              <w:instrText xml:space="preserve"> SEQ 表 \* ARABIC \s 1 </w:instrText>
            </w:r>
            <w:r>
              <w:fldChar w:fldCharType="separate"/>
            </w:r>
            <w:r>
              <w:t>15</w:t>
            </w:r>
            <w:r>
              <w:fldChar w:fldCharType="end"/>
            </w:r>
            <w:r>
              <w:rPr>
                <w:rFonts w:hint="eastAsia"/>
              </w:rPr>
              <w:t xml:space="preserve"> 汽油安全技术特征及危险、有害因素识别表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525"/>
              <w:gridCol w:w="1747"/>
              <w:gridCol w:w="1656"/>
              <w:gridCol w:w="1868"/>
            </w:tblGrid>
            <w:tr w14:paraId="3286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restart"/>
                  <w:tcBorders>
                    <w:tl2br w:val="nil"/>
                    <w:tr2bl w:val="nil"/>
                  </w:tcBorders>
                  <w:vAlign w:val="center"/>
                </w:tcPr>
                <w:p w14:paraId="6FD7D363">
                  <w:pPr>
                    <w:pStyle w:val="24"/>
                    <w:rPr>
                      <w:b/>
                      <w:bCs/>
                    </w:rPr>
                  </w:pPr>
                  <w:r>
                    <w:rPr>
                      <w:b/>
                      <w:bCs/>
                    </w:rPr>
                    <w:t>标识</w:t>
                  </w:r>
                </w:p>
              </w:tc>
              <w:tc>
                <w:tcPr>
                  <w:tcW w:w="1888" w:type="dxa"/>
                  <w:tcBorders>
                    <w:tl2br w:val="nil"/>
                    <w:tr2bl w:val="nil"/>
                  </w:tcBorders>
                  <w:vAlign w:val="center"/>
                </w:tcPr>
                <w:p w14:paraId="45D572C1">
                  <w:pPr>
                    <w:pStyle w:val="24"/>
                    <w:rPr>
                      <w:b/>
                      <w:bCs/>
                    </w:rPr>
                  </w:pPr>
                  <w:r>
                    <w:rPr>
                      <w:b/>
                      <w:bCs/>
                    </w:rPr>
                    <w:t>中文名</w:t>
                  </w:r>
                </w:p>
              </w:tc>
              <w:tc>
                <w:tcPr>
                  <w:tcW w:w="2064" w:type="dxa"/>
                  <w:tcBorders>
                    <w:tl2br w:val="nil"/>
                    <w:tr2bl w:val="nil"/>
                  </w:tcBorders>
                  <w:vAlign w:val="center"/>
                </w:tcPr>
                <w:p w14:paraId="28A01E45">
                  <w:pPr>
                    <w:pStyle w:val="24"/>
                    <w:rPr>
                      <w:b/>
                      <w:bCs/>
                    </w:rPr>
                  </w:pPr>
                  <w:r>
                    <w:rPr>
                      <w:b/>
                      <w:bCs/>
                    </w:rPr>
                    <w:t>汽油</w:t>
                  </w:r>
                </w:p>
              </w:tc>
              <w:tc>
                <w:tcPr>
                  <w:tcW w:w="2069" w:type="dxa"/>
                  <w:tcBorders>
                    <w:tl2br w:val="nil"/>
                    <w:tr2bl w:val="nil"/>
                  </w:tcBorders>
                  <w:vAlign w:val="center"/>
                </w:tcPr>
                <w:p w14:paraId="21B613D6">
                  <w:pPr>
                    <w:pStyle w:val="24"/>
                    <w:rPr>
                      <w:b/>
                      <w:bCs/>
                    </w:rPr>
                  </w:pPr>
                  <w:r>
                    <w:rPr>
                      <w:b/>
                      <w:bCs/>
                    </w:rPr>
                    <w:t>英文名</w:t>
                  </w:r>
                </w:p>
              </w:tc>
              <w:tc>
                <w:tcPr>
                  <w:tcW w:w="2174" w:type="dxa"/>
                  <w:tcBorders>
                    <w:tl2br w:val="nil"/>
                    <w:tr2bl w:val="nil"/>
                  </w:tcBorders>
                  <w:vAlign w:val="center"/>
                </w:tcPr>
                <w:p w14:paraId="6123B941">
                  <w:pPr>
                    <w:pStyle w:val="24"/>
                    <w:rPr>
                      <w:b/>
                      <w:bCs/>
                    </w:rPr>
                  </w:pPr>
                  <w:r>
                    <w:rPr>
                      <w:b/>
                      <w:bCs/>
                    </w:rPr>
                    <w:t>Gasoline；petrol</w:t>
                  </w:r>
                </w:p>
              </w:tc>
            </w:tr>
            <w:tr w14:paraId="7342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continue"/>
                  <w:tcBorders>
                    <w:tl2br w:val="nil"/>
                    <w:tr2bl w:val="nil"/>
                  </w:tcBorders>
                  <w:vAlign w:val="center"/>
                </w:tcPr>
                <w:p w14:paraId="7AA015D1">
                  <w:pPr>
                    <w:pStyle w:val="24"/>
                  </w:pPr>
                </w:p>
              </w:tc>
              <w:tc>
                <w:tcPr>
                  <w:tcW w:w="1888" w:type="dxa"/>
                  <w:tcBorders>
                    <w:tl2br w:val="nil"/>
                    <w:tr2bl w:val="nil"/>
                  </w:tcBorders>
                  <w:vAlign w:val="center"/>
                </w:tcPr>
                <w:p w14:paraId="6A71DBF9">
                  <w:pPr>
                    <w:pStyle w:val="24"/>
                  </w:pPr>
                  <w:r>
                    <w:t>分子式</w:t>
                  </w:r>
                </w:p>
              </w:tc>
              <w:tc>
                <w:tcPr>
                  <w:tcW w:w="2064" w:type="dxa"/>
                  <w:tcBorders>
                    <w:tl2br w:val="nil"/>
                    <w:tr2bl w:val="nil"/>
                  </w:tcBorders>
                  <w:vAlign w:val="center"/>
                </w:tcPr>
                <w:p w14:paraId="2D10D2C6">
                  <w:pPr>
                    <w:pStyle w:val="24"/>
                  </w:pPr>
                  <w:r>
                    <w:t>C5H12～C12H26</w:t>
                  </w:r>
                </w:p>
              </w:tc>
              <w:tc>
                <w:tcPr>
                  <w:tcW w:w="2069" w:type="dxa"/>
                  <w:tcBorders>
                    <w:tl2br w:val="nil"/>
                    <w:tr2bl w:val="nil"/>
                  </w:tcBorders>
                  <w:vAlign w:val="center"/>
                </w:tcPr>
                <w:p w14:paraId="7972BE4F">
                  <w:pPr>
                    <w:pStyle w:val="24"/>
                  </w:pPr>
                  <w:r>
                    <w:t>危货及UN编号</w:t>
                  </w:r>
                </w:p>
              </w:tc>
              <w:tc>
                <w:tcPr>
                  <w:tcW w:w="2174" w:type="dxa"/>
                  <w:tcBorders>
                    <w:tl2br w:val="nil"/>
                    <w:tr2bl w:val="nil"/>
                  </w:tcBorders>
                  <w:vAlign w:val="center"/>
                </w:tcPr>
                <w:p w14:paraId="41FBC85F">
                  <w:pPr>
                    <w:pStyle w:val="24"/>
                  </w:pPr>
                  <w:r>
                    <w:t>31001；1203</w:t>
                  </w:r>
                </w:p>
              </w:tc>
            </w:tr>
            <w:tr w14:paraId="1395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restart"/>
                  <w:tcBorders>
                    <w:tl2br w:val="nil"/>
                    <w:tr2bl w:val="nil"/>
                  </w:tcBorders>
                  <w:vAlign w:val="center"/>
                </w:tcPr>
                <w:p w14:paraId="62AA1312">
                  <w:pPr>
                    <w:pStyle w:val="24"/>
                  </w:pPr>
                  <w:r>
                    <w:t>理化性质</w:t>
                  </w:r>
                </w:p>
              </w:tc>
              <w:tc>
                <w:tcPr>
                  <w:tcW w:w="1888" w:type="dxa"/>
                  <w:tcBorders>
                    <w:tl2br w:val="nil"/>
                    <w:tr2bl w:val="nil"/>
                  </w:tcBorders>
                  <w:vAlign w:val="bottom"/>
                </w:tcPr>
                <w:p w14:paraId="31AA9672">
                  <w:pPr>
                    <w:pStyle w:val="24"/>
                  </w:pPr>
                  <w:r>
                    <w:t>沸点</w:t>
                  </w:r>
                </w:p>
              </w:tc>
              <w:tc>
                <w:tcPr>
                  <w:tcW w:w="2064" w:type="dxa"/>
                  <w:tcBorders>
                    <w:tl2br w:val="nil"/>
                    <w:tr2bl w:val="nil"/>
                  </w:tcBorders>
                  <w:vAlign w:val="bottom"/>
                </w:tcPr>
                <w:p w14:paraId="785A6562">
                  <w:pPr>
                    <w:pStyle w:val="24"/>
                  </w:pPr>
                  <w:r>
                    <w:t>40～200℃</w:t>
                  </w:r>
                </w:p>
              </w:tc>
              <w:tc>
                <w:tcPr>
                  <w:tcW w:w="2069" w:type="dxa"/>
                  <w:tcBorders>
                    <w:tl2br w:val="nil"/>
                    <w:tr2bl w:val="nil"/>
                  </w:tcBorders>
                  <w:vAlign w:val="bottom"/>
                </w:tcPr>
                <w:p w14:paraId="3EF055DD">
                  <w:pPr>
                    <w:pStyle w:val="24"/>
                  </w:pPr>
                  <w:r>
                    <w:t>凝固点</w:t>
                  </w:r>
                </w:p>
              </w:tc>
              <w:tc>
                <w:tcPr>
                  <w:tcW w:w="2174" w:type="dxa"/>
                  <w:tcBorders>
                    <w:tl2br w:val="nil"/>
                    <w:tr2bl w:val="nil"/>
                  </w:tcBorders>
                  <w:vAlign w:val="bottom"/>
                </w:tcPr>
                <w:p w14:paraId="251AE377">
                  <w:pPr>
                    <w:pStyle w:val="24"/>
                  </w:pPr>
                  <w:r>
                    <w:t>＜-60℃</w:t>
                  </w:r>
                </w:p>
              </w:tc>
            </w:tr>
            <w:tr w14:paraId="6954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continue"/>
                  <w:tcBorders>
                    <w:tl2br w:val="nil"/>
                    <w:tr2bl w:val="nil"/>
                  </w:tcBorders>
                  <w:vAlign w:val="center"/>
                </w:tcPr>
                <w:p w14:paraId="5B0ABBE9">
                  <w:pPr>
                    <w:pStyle w:val="24"/>
                  </w:pPr>
                </w:p>
              </w:tc>
              <w:tc>
                <w:tcPr>
                  <w:tcW w:w="1888" w:type="dxa"/>
                  <w:tcBorders>
                    <w:tl2br w:val="nil"/>
                    <w:tr2bl w:val="nil"/>
                  </w:tcBorders>
                  <w:vAlign w:val="center"/>
                </w:tcPr>
                <w:p w14:paraId="45D7B535">
                  <w:pPr>
                    <w:pStyle w:val="24"/>
                  </w:pPr>
                  <w:r>
                    <w:t>相对密度（水＝1）</w:t>
                  </w:r>
                </w:p>
              </w:tc>
              <w:tc>
                <w:tcPr>
                  <w:tcW w:w="2064" w:type="dxa"/>
                  <w:tcBorders>
                    <w:tl2br w:val="nil"/>
                    <w:tr2bl w:val="nil"/>
                  </w:tcBorders>
                  <w:vAlign w:val="center"/>
                </w:tcPr>
                <w:p w14:paraId="7F4F8ABE">
                  <w:pPr>
                    <w:pStyle w:val="24"/>
                  </w:pPr>
                  <w:r>
                    <w:t>0.70～0.79</w:t>
                  </w:r>
                </w:p>
              </w:tc>
              <w:tc>
                <w:tcPr>
                  <w:tcW w:w="2069" w:type="dxa"/>
                  <w:tcBorders>
                    <w:tl2br w:val="nil"/>
                    <w:tr2bl w:val="nil"/>
                  </w:tcBorders>
                  <w:vAlign w:val="center"/>
                </w:tcPr>
                <w:p w14:paraId="298A88B8">
                  <w:pPr>
                    <w:pStyle w:val="24"/>
                  </w:pPr>
                  <w:r>
                    <w:t>相对密度</w:t>
                  </w:r>
                </w:p>
                <w:p w14:paraId="42ABD1B0">
                  <w:pPr>
                    <w:pStyle w:val="24"/>
                  </w:pPr>
                  <w:r>
                    <w:t>（空气＝1）</w:t>
                  </w:r>
                </w:p>
              </w:tc>
              <w:tc>
                <w:tcPr>
                  <w:tcW w:w="2174" w:type="dxa"/>
                  <w:tcBorders>
                    <w:tl2br w:val="nil"/>
                    <w:tr2bl w:val="nil"/>
                  </w:tcBorders>
                  <w:vAlign w:val="center"/>
                </w:tcPr>
                <w:p w14:paraId="5498146B">
                  <w:pPr>
                    <w:pStyle w:val="24"/>
                  </w:pPr>
                  <w:r>
                    <w:t>3.5</w:t>
                  </w:r>
                </w:p>
              </w:tc>
            </w:tr>
            <w:tr w14:paraId="0771F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continue"/>
                  <w:tcBorders>
                    <w:tl2br w:val="nil"/>
                    <w:tr2bl w:val="nil"/>
                  </w:tcBorders>
                  <w:vAlign w:val="center"/>
                </w:tcPr>
                <w:p w14:paraId="5E0192E8">
                  <w:pPr>
                    <w:pStyle w:val="24"/>
                  </w:pPr>
                </w:p>
              </w:tc>
              <w:tc>
                <w:tcPr>
                  <w:tcW w:w="1888" w:type="dxa"/>
                  <w:tcBorders>
                    <w:tl2br w:val="nil"/>
                    <w:tr2bl w:val="nil"/>
                  </w:tcBorders>
                  <w:vAlign w:val="center"/>
                </w:tcPr>
                <w:p w14:paraId="7D6DB3CE">
                  <w:pPr>
                    <w:pStyle w:val="24"/>
                  </w:pPr>
                  <w:r>
                    <w:t>外观性状</w:t>
                  </w:r>
                </w:p>
              </w:tc>
              <w:tc>
                <w:tcPr>
                  <w:tcW w:w="2064" w:type="dxa"/>
                  <w:tcBorders>
                    <w:tl2br w:val="nil"/>
                    <w:tr2bl w:val="nil"/>
                  </w:tcBorders>
                  <w:vAlign w:val="center"/>
                </w:tcPr>
                <w:p w14:paraId="7497EAC1">
                  <w:pPr>
                    <w:pStyle w:val="24"/>
                  </w:pPr>
                  <w:r>
                    <w:t>无色或淡黄色液体，具有挥发性和易燃性，有特殊气味</w:t>
                  </w:r>
                </w:p>
              </w:tc>
              <w:tc>
                <w:tcPr>
                  <w:tcW w:w="2069" w:type="dxa"/>
                  <w:tcBorders>
                    <w:tl2br w:val="nil"/>
                    <w:tr2bl w:val="nil"/>
                  </w:tcBorders>
                  <w:vAlign w:val="center"/>
                </w:tcPr>
                <w:p w14:paraId="0315F750">
                  <w:pPr>
                    <w:pStyle w:val="24"/>
                  </w:pPr>
                  <w:r>
                    <w:t>溶解性</w:t>
                  </w:r>
                </w:p>
              </w:tc>
              <w:tc>
                <w:tcPr>
                  <w:tcW w:w="2174" w:type="dxa"/>
                  <w:tcBorders>
                    <w:tl2br w:val="nil"/>
                    <w:tr2bl w:val="nil"/>
                  </w:tcBorders>
                  <w:vAlign w:val="center"/>
                </w:tcPr>
                <w:p w14:paraId="7CBD5BA6">
                  <w:pPr>
                    <w:pStyle w:val="24"/>
                  </w:pPr>
                  <w:r>
                    <w:t>不溶于水，易溶于苯、二硫化碳、醇、极易溶于脂肪</w:t>
                  </w:r>
                </w:p>
              </w:tc>
            </w:tr>
            <w:tr w14:paraId="5AB6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continue"/>
                  <w:tcBorders>
                    <w:tl2br w:val="nil"/>
                    <w:tr2bl w:val="nil"/>
                  </w:tcBorders>
                  <w:vAlign w:val="center"/>
                </w:tcPr>
                <w:p w14:paraId="3A99447C">
                  <w:pPr>
                    <w:pStyle w:val="24"/>
                  </w:pPr>
                </w:p>
              </w:tc>
              <w:tc>
                <w:tcPr>
                  <w:tcW w:w="1888" w:type="dxa"/>
                  <w:tcBorders>
                    <w:tl2br w:val="nil"/>
                    <w:tr2bl w:val="nil"/>
                  </w:tcBorders>
                  <w:vAlign w:val="center"/>
                </w:tcPr>
                <w:p w14:paraId="24E5127B">
                  <w:pPr>
                    <w:pStyle w:val="24"/>
                  </w:pPr>
                  <w:r>
                    <w:t>稳定性</w:t>
                  </w:r>
                </w:p>
              </w:tc>
              <w:tc>
                <w:tcPr>
                  <w:tcW w:w="2064" w:type="dxa"/>
                  <w:tcBorders>
                    <w:tl2br w:val="nil"/>
                    <w:tr2bl w:val="nil"/>
                  </w:tcBorders>
                  <w:vAlign w:val="center"/>
                </w:tcPr>
                <w:p w14:paraId="0302AC77">
                  <w:pPr>
                    <w:pStyle w:val="24"/>
                  </w:pPr>
                  <w:r>
                    <w:t>稳定</w:t>
                  </w:r>
                </w:p>
              </w:tc>
              <w:tc>
                <w:tcPr>
                  <w:tcW w:w="2069" w:type="dxa"/>
                  <w:tcBorders>
                    <w:tl2br w:val="nil"/>
                    <w:tr2bl w:val="nil"/>
                  </w:tcBorders>
                  <w:vAlign w:val="center"/>
                </w:tcPr>
                <w:p w14:paraId="189EF20D">
                  <w:pPr>
                    <w:pStyle w:val="24"/>
                  </w:pPr>
                  <w:r>
                    <w:rPr>
                      <w:rFonts w:hint="eastAsia"/>
                    </w:rPr>
                    <w:t>/</w:t>
                  </w:r>
                </w:p>
              </w:tc>
              <w:tc>
                <w:tcPr>
                  <w:tcW w:w="2174" w:type="dxa"/>
                  <w:tcBorders>
                    <w:tl2br w:val="nil"/>
                    <w:tr2bl w:val="nil"/>
                  </w:tcBorders>
                  <w:vAlign w:val="center"/>
                </w:tcPr>
                <w:p w14:paraId="24B8A5A2">
                  <w:pPr>
                    <w:pStyle w:val="24"/>
                  </w:pPr>
                  <w:r>
                    <w:rPr>
                      <w:rFonts w:hint="eastAsia"/>
                    </w:rPr>
                    <w:t>/</w:t>
                  </w:r>
                </w:p>
              </w:tc>
            </w:tr>
            <w:tr w14:paraId="0B79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continue"/>
                  <w:tcBorders>
                    <w:tl2br w:val="nil"/>
                    <w:tr2bl w:val="nil"/>
                  </w:tcBorders>
                  <w:vAlign w:val="center"/>
                </w:tcPr>
                <w:p w14:paraId="385D30F2">
                  <w:pPr>
                    <w:pStyle w:val="24"/>
                  </w:pPr>
                </w:p>
              </w:tc>
              <w:tc>
                <w:tcPr>
                  <w:tcW w:w="1888" w:type="dxa"/>
                  <w:tcBorders>
                    <w:tl2br w:val="nil"/>
                    <w:tr2bl w:val="nil"/>
                  </w:tcBorders>
                  <w:vAlign w:val="center"/>
                </w:tcPr>
                <w:p w14:paraId="6A2B7B05">
                  <w:pPr>
                    <w:pStyle w:val="24"/>
                  </w:pPr>
                  <w:r>
                    <w:t>闪点</w:t>
                  </w:r>
                </w:p>
              </w:tc>
              <w:tc>
                <w:tcPr>
                  <w:tcW w:w="2064" w:type="dxa"/>
                  <w:tcBorders>
                    <w:tl2br w:val="nil"/>
                    <w:tr2bl w:val="nil"/>
                  </w:tcBorders>
                  <w:vAlign w:val="center"/>
                </w:tcPr>
                <w:p w14:paraId="211B571E">
                  <w:pPr>
                    <w:pStyle w:val="24"/>
                  </w:pPr>
                  <w:r>
                    <w:t>-50℃</w:t>
                  </w:r>
                </w:p>
              </w:tc>
              <w:tc>
                <w:tcPr>
                  <w:tcW w:w="2069" w:type="dxa"/>
                  <w:tcBorders>
                    <w:tl2br w:val="nil"/>
                    <w:tr2bl w:val="nil"/>
                  </w:tcBorders>
                  <w:vAlign w:val="center"/>
                </w:tcPr>
                <w:p w14:paraId="30E9EDBF">
                  <w:pPr>
                    <w:pStyle w:val="24"/>
                  </w:pPr>
                  <w:r>
                    <w:t>爆炸极限</w:t>
                  </w:r>
                </w:p>
              </w:tc>
              <w:tc>
                <w:tcPr>
                  <w:tcW w:w="2174" w:type="dxa"/>
                  <w:tcBorders>
                    <w:tl2br w:val="nil"/>
                    <w:tr2bl w:val="nil"/>
                  </w:tcBorders>
                  <w:vAlign w:val="center"/>
                </w:tcPr>
                <w:p w14:paraId="195275AE">
                  <w:pPr>
                    <w:pStyle w:val="24"/>
                  </w:pPr>
                  <w:r>
                    <w:t>1.3～6.0％</w:t>
                  </w:r>
                </w:p>
              </w:tc>
            </w:tr>
            <w:tr w14:paraId="1984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continue"/>
                  <w:tcBorders>
                    <w:tl2br w:val="nil"/>
                    <w:tr2bl w:val="nil"/>
                  </w:tcBorders>
                  <w:vAlign w:val="center"/>
                </w:tcPr>
                <w:p w14:paraId="4A189612">
                  <w:pPr>
                    <w:pStyle w:val="24"/>
                  </w:pPr>
                </w:p>
              </w:tc>
              <w:tc>
                <w:tcPr>
                  <w:tcW w:w="1888" w:type="dxa"/>
                  <w:tcBorders>
                    <w:tl2br w:val="nil"/>
                    <w:tr2bl w:val="nil"/>
                  </w:tcBorders>
                  <w:vAlign w:val="center"/>
                </w:tcPr>
                <w:p w14:paraId="2C42097B">
                  <w:pPr>
                    <w:pStyle w:val="24"/>
                  </w:pPr>
                  <w:r>
                    <w:t>自燃点</w:t>
                  </w:r>
                </w:p>
              </w:tc>
              <w:tc>
                <w:tcPr>
                  <w:tcW w:w="2064" w:type="dxa"/>
                  <w:tcBorders>
                    <w:tl2br w:val="nil"/>
                    <w:tr2bl w:val="nil"/>
                  </w:tcBorders>
                  <w:vAlign w:val="center"/>
                </w:tcPr>
                <w:p w14:paraId="7C727E75">
                  <w:pPr>
                    <w:pStyle w:val="24"/>
                  </w:pPr>
                  <w:r>
                    <w:t>415～530℃</w:t>
                  </w:r>
                </w:p>
              </w:tc>
              <w:tc>
                <w:tcPr>
                  <w:tcW w:w="2069" w:type="dxa"/>
                  <w:tcBorders>
                    <w:tl2br w:val="nil"/>
                    <w:tr2bl w:val="nil"/>
                  </w:tcBorders>
                  <w:vAlign w:val="center"/>
                </w:tcPr>
                <w:p w14:paraId="4F6A5958">
                  <w:pPr>
                    <w:pStyle w:val="24"/>
                  </w:pPr>
                  <w:r>
                    <w:t>最大爆炸压力</w:t>
                  </w:r>
                </w:p>
              </w:tc>
              <w:tc>
                <w:tcPr>
                  <w:tcW w:w="2174" w:type="dxa"/>
                  <w:tcBorders>
                    <w:tl2br w:val="nil"/>
                    <w:tr2bl w:val="nil"/>
                  </w:tcBorders>
                  <w:vAlign w:val="center"/>
                </w:tcPr>
                <w:p w14:paraId="3DF27523">
                  <w:pPr>
                    <w:pStyle w:val="24"/>
                  </w:pPr>
                  <w:r>
                    <w:t>0.813MPa</w:t>
                  </w:r>
                </w:p>
              </w:tc>
            </w:tr>
            <w:tr w14:paraId="28D3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continue"/>
                  <w:tcBorders>
                    <w:tl2br w:val="nil"/>
                    <w:tr2bl w:val="nil"/>
                  </w:tcBorders>
                  <w:vAlign w:val="center"/>
                </w:tcPr>
                <w:p w14:paraId="0E8813D2">
                  <w:pPr>
                    <w:pStyle w:val="24"/>
                  </w:pPr>
                </w:p>
              </w:tc>
              <w:tc>
                <w:tcPr>
                  <w:tcW w:w="1888" w:type="dxa"/>
                  <w:tcBorders>
                    <w:tl2br w:val="nil"/>
                    <w:tr2bl w:val="nil"/>
                  </w:tcBorders>
                  <w:vAlign w:val="center"/>
                </w:tcPr>
                <w:p w14:paraId="156D2A12">
                  <w:pPr>
                    <w:pStyle w:val="24"/>
                  </w:pPr>
                  <w:r>
                    <w:t>火灾危险类别</w:t>
                  </w:r>
                </w:p>
              </w:tc>
              <w:tc>
                <w:tcPr>
                  <w:tcW w:w="2064" w:type="dxa"/>
                  <w:tcBorders>
                    <w:tl2br w:val="nil"/>
                    <w:tr2bl w:val="nil"/>
                  </w:tcBorders>
                  <w:vAlign w:val="center"/>
                </w:tcPr>
                <w:p w14:paraId="17F3B2A8">
                  <w:pPr>
                    <w:pStyle w:val="24"/>
                  </w:pPr>
                  <w:r>
                    <w:t>甲B</w:t>
                  </w:r>
                </w:p>
              </w:tc>
              <w:tc>
                <w:tcPr>
                  <w:tcW w:w="2069" w:type="dxa"/>
                  <w:tcBorders>
                    <w:tl2br w:val="nil"/>
                    <w:tr2bl w:val="nil"/>
                  </w:tcBorders>
                  <w:vAlign w:val="center"/>
                </w:tcPr>
                <w:p w14:paraId="7B19A0C2">
                  <w:pPr>
                    <w:pStyle w:val="24"/>
                  </w:pPr>
                  <w:r>
                    <w:t>爆炸危险组别类别</w:t>
                  </w:r>
                </w:p>
              </w:tc>
              <w:tc>
                <w:tcPr>
                  <w:tcW w:w="2174" w:type="dxa"/>
                  <w:tcBorders>
                    <w:tl2br w:val="nil"/>
                    <w:tr2bl w:val="nil"/>
                  </w:tcBorders>
                  <w:vAlign w:val="center"/>
                </w:tcPr>
                <w:p w14:paraId="2139287E">
                  <w:pPr>
                    <w:pStyle w:val="24"/>
                  </w:pPr>
                  <w:r>
                    <w:t>T3/ⅡA</w:t>
                  </w:r>
                </w:p>
              </w:tc>
            </w:tr>
            <w:tr w14:paraId="5118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restart"/>
                  <w:tcBorders>
                    <w:tl2br w:val="nil"/>
                    <w:tr2bl w:val="nil"/>
                  </w:tcBorders>
                  <w:vAlign w:val="center"/>
                </w:tcPr>
                <w:p w14:paraId="46946C3B">
                  <w:pPr>
                    <w:pStyle w:val="24"/>
                  </w:pPr>
                  <w:r>
                    <w:t>燃爆特性</w:t>
                  </w:r>
                </w:p>
              </w:tc>
              <w:tc>
                <w:tcPr>
                  <w:tcW w:w="1888" w:type="dxa"/>
                  <w:tcBorders>
                    <w:tl2br w:val="nil"/>
                    <w:tr2bl w:val="nil"/>
                  </w:tcBorders>
                  <w:vAlign w:val="center"/>
                </w:tcPr>
                <w:p w14:paraId="4708F750">
                  <w:pPr>
                    <w:pStyle w:val="24"/>
                  </w:pPr>
                  <w:r>
                    <w:t>危险特性</w:t>
                  </w:r>
                </w:p>
              </w:tc>
              <w:tc>
                <w:tcPr>
                  <w:tcW w:w="6307" w:type="dxa"/>
                  <w:gridSpan w:val="3"/>
                  <w:tcBorders>
                    <w:tl2br w:val="nil"/>
                    <w:tr2bl w:val="nil"/>
                  </w:tcBorders>
                  <w:vAlign w:val="center"/>
                </w:tcPr>
                <w:p w14:paraId="3E0496C6">
                  <w:pPr>
                    <w:pStyle w:val="24"/>
                  </w:pPr>
                  <w:r>
                    <w:t>其蒸气与空气能形成爆炸性混合物，遇明火、高热易引起燃烧爆炸，与氧化剂接触能发生强烈反应。蒸气比空气重，能在较低处扩散到相当远的地方，遇明火会引起回燃。若遇高热，容器内压增大，有开裂和爆炸的危险。</w:t>
                  </w:r>
                </w:p>
              </w:tc>
            </w:tr>
            <w:tr w14:paraId="56B5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continue"/>
                  <w:tcBorders>
                    <w:tl2br w:val="nil"/>
                    <w:tr2bl w:val="nil"/>
                  </w:tcBorders>
                </w:tcPr>
                <w:p w14:paraId="455C8923">
                  <w:pPr>
                    <w:pStyle w:val="24"/>
                  </w:pPr>
                </w:p>
              </w:tc>
              <w:tc>
                <w:tcPr>
                  <w:tcW w:w="1888" w:type="dxa"/>
                  <w:tcBorders>
                    <w:tl2br w:val="nil"/>
                    <w:tr2bl w:val="nil"/>
                  </w:tcBorders>
                </w:tcPr>
                <w:p w14:paraId="0A05EA4C">
                  <w:pPr>
                    <w:pStyle w:val="24"/>
                  </w:pPr>
                  <w:r>
                    <w:t>灭火剂种类</w:t>
                  </w:r>
                </w:p>
              </w:tc>
              <w:tc>
                <w:tcPr>
                  <w:tcW w:w="6307" w:type="dxa"/>
                  <w:gridSpan w:val="3"/>
                  <w:tcBorders>
                    <w:tl2br w:val="nil"/>
                    <w:tr2bl w:val="nil"/>
                  </w:tcBorders>
                  <w:vAlign w:val="center"/>
                </w:tcPr>
                <w:p w14:paraId="1FFA0C46">
                  <w:pPr>
                    <w:pStyle w:val="24"/>
                  </w:pPr>
                  <w:r>
                    <w:t>泡沫、干粉、沙土、CO</w:t>
                  </w:r>
                  <w:r>
                    <w:rPr>
                      <w:vertAlign w:val="subscript"/>
                    </w:rPr>
                    <w:t>2</w:t>
                  </w:r>
                  <w:r>
                    <w:t>。用水灭火无效。</w:t>
                  </w:r>
                </w:p>
              </w:tc>
            </w:tr>
            <w:tr w14:paraId="68F6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restart"/>
                  <w:tcBorders>
                    <w:tl2br w:val="nil"/>
                    <w:tr2bl w:val="nil"/>
                  </w:tcBorders>
                  <w:vAlign w:val="center"/>
                </w:tcPr>
                <w:p w14:paraId="1218C1D9">
                  <w:pPr>
                    <w:pStyle w:val="24"/>
                  </w:pPr>
                  <w:r>
                    <w:t>毒性及健康危害</w:t>
                  </w:r>
                </w:p>
              </w:tc>
              <w:tc>
                <w:tcPr>
                  <w:tcW w:w="1888" w:type="dxa"/>
                  <w:tcBorders>
                    <w:tl2br w:val="nil"/>
                    <w:tr2bl w:val="nil"/>
                  </w:tcBorders>
                  <w:vAlign w:val="center"/>
                </w:tcPr>
                <w:p w14:paraId="5AD1565B">
                  <w:pPr>
                    <w:pStyle w:val="24"/>
                  </w:pPr>
                  <w:r>
                    <w:t>健康危害</w:t>
                  </w:r>
                </w:p>
              </w:tc>
              <w:tc>
                <w:tcPr>
                  <w:tcW w:w="6307" w:type="dxa"/>
                  <w:gridSpan w:val="3"/>
                  <w:tcBorders>
                    <w:tl2br w:val="nil"/>
                    <w:tr2bl w:val="nil"/>
                  </w:tcBorders>
                </w:tcPr>
                <w:p w14:paraId="2BEAC790">
                  <w:pPr>
                    <w:pStyle w:val="24"/>
                  </w:pPr>
                  <w:r>
                    <w:t>主要是引起中枢神经系统功能障碍。高浓度时引起呼吸中枢麻痹。轻度中毒的表现有：头痛、头晕。四肢无力、恶心等症状。重度中毒的表现有；高浓度汽油蒸气可能引起中毒性脑病，出现中毒性精神病症状。汽油直接吸入呼吸道可引起吸入性肺炎。</w:t>
                  </w:r>
                </w:p>
              </w:tc>
            </w:tr>
            <w:tr w14:paraId="20C2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continue"/>
                  <w:tcBorders>
                    <w:tl2br w:val="nil"/>
                    <w:tr2bl w:val="nil"/>
                  </w:tcBorders>
                </w:tcPr>
                <w:p w14:paraId="593300FB">
                  <w:pPr>
                    <w:pStyle w:val="24"/>
                  </w:pPr>
                </w:p>
              </w:tc>
              <w:tc>
                <w:tcPr>
                  <w:tcW w:w="1888" w:type="dxa"/>
                  <w:tcBorders>
                    <w:tl2br w:val="nil"/>
                    <w:tr2bl w:val="nil"/>
                  </w:tcBorders>
                </w:tcPr>
                <w:p w14:paraId="14B9845D">
                  <w:pPr>
                    <w:pStyle w:val="24"/>
                  </w:pPr>
                  <w:r>
                    <w:t>皮肤接触</w:t>
                  </w:r>
                </w:p>
              </w:tc>
              <w:tc>
                <w:tcPr>
                  <w:tcW w:w="6307" w:type="dxa"/>
                  <w:gridSpan w:val="3"/>
                  <w:tcBorders>
                    <w:tl2br w:val="nil"/>
                    <w:tr2bl w:val="nil"/>
                  </w:tcBorders>
                </w:tcPr>
                <w:p w14:paraId="2C179BD5">
                  <w:pPr>
                    <w:pStyle w:val="24"/>
                  </w:pPr>
                  <w:r>
                    <w:t>脱去污染的衣物，用肥皂及清水彻底冲洗。</w:t>
                  </w:r>
                </w:p>
              </w:tc>
            </w:tr>
            <w:tr w14:paraId="1530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continue"/>
                  <w:tcBorders>
                    <w:tl2br w:val="nil"/>
                    <w:tr2bl w:val="nil"/>
                  </w:tcBorders>
                </w:tcPr>
                <w:p w14:paraId="4FCB02CF">
                  <w:pPr>
                    <w:pStyle w:val="24"/>
                  </w:pPr>
                </w:p>
              </w:tc>
              <w:tc>
                <w:tcPr>
                  <w:tcW w:w="1888" w:type="dxa"/>
                  <w:tcBorders>
                    <w:tl2br w:val="nil"/>
                    <w:tr2bl w:val="nil"/>
                  </w:tcBorders>
                  <w:vAlign w:val="center"/>
                </w:tcPr>
                <w:p w14:paraId="3A37A447">
                  <w:pPr>
                    <w:pStyle w:val="24"/>
                  </w:pPr>
                  <w:r>
                    <w:t>眼睛接触</w:t>
                  </w:r>
                </w:p>
              </w:tc>
              <w:tc>
                <w:tcPr>
                  <w:tcW w:w="6307" w:type="dxa"/>
                  <w:gridSpan w:val="3"/>
                  <w:tcBorders>
                    <w:tl2br w:val="nil"/>
                    <w:tr2bl w:val="nil"/>
                  </w:tcBorders>
                </w:tcPr>
                <w:p w14:paraId="03A612E9">
                  <w:pPr>
                    <w:pStyle w:val="24"/>
                  </w:pPr>
                  <w:r>
                    <w:t>立即翻开上下眼睑，用流动清水冲洗10分钟或用 2％碳酸氢钠溶液冲洗并敷硼酸眼膏。就医。</w:t>
                  </w:r>
                </w:p>
              </w:tc>
            </w:tr>
            <w:tr w14:paraId="1FF6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continue"/>
                  <w:tcBorders>
                    <w:tl2br w:val="nil"/>
                    <w:tr2bl w:val="nil"/>
                  </w:tcBorders>
                </w:tcPr>
                <w:p w14:paraId="72C80735">
                  <w:pPr>
                    <w:pStyle w:val="24"/>
                  </w:pPr>
                </w:p>
              </w:tc>
              <w:tc>
                <w:tcPr>
                  <w:tcW w:w="1888" w:type="dxa"/>
                  <w:tcBorders>
                    <w:tl2br w:val="nil"/>
                    <w:tr2bl w:val="nil"/>
                  </w:tcBorders>
                  <w:vAlign w:val="center"/>
                </w:tcPr>
                <w:p w14:paraId="7EC97735">
                  <w:pPr>
                    <w:pStyle w:val="24"/>
                  </w:pPr>
                  <w:r>
                    <w:t>吸入</w:t>
                  </w:r>
                </w:p>
              </w:tc>
              <w:tc>
                <w:tcPr>
                  <w:tcW w:w="6307" w:type="dxa"/>
                  <w:gridSpan w:val="3"/>
                  <w:tcBorders>
                    <w:tl2br w:val="nil"/>
                    <w:tr2bl w:val="nil"/>
                  </w:tcBorders>
                </w:tcPr>
                <w:p w14:paraId="11EF2F4E">
                  <w:pPr>
                    <w:pStyle w:val="24"/>
                  </w:pPr>
                  <w:r>
                    <w:t>迅速脱离现场至空气新鲜处，保暖并休息。呼吸困难时给予输氧。呼吸停止时，立即进行人工呼吸。就医。</w:t>
                  </w:r>
                </w:p>
              </w:tc>
            </w:tr>
            <w:tr w14:paraId="4EC2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vMerge w:val="continue"/>
                  <w:tcBorders>
                    <w:tl2br w:val="nil"/>
                    <w:tr2bl w:val="nil"/>
                  </w:tcBorders>
                </w:tcPr>
                <w:p w14:paraId="51326D74">
                  <w:pPr>
                    <w:pStyle w:val="24"/>
                  </w:pPr>
                </w:p>
              </w:tc>
              <w:tc>
                <w:tcPr>
                  <w:tcW w:w="1888" w:type="dxa"/>
                  <w:tcBorders>
                    <w:tl2br w:val="nil"/>
                    <w:tr2bl w:val="nil"/>
                  </w:tcBorders>
                </w:tcPr>
                <w:p w14:paraId="169DD37C">
                  <w:pPr>
                    <w:pStyle w:val="24"/>
                  </w:pPr>
                  <w:r>
                    <w:t>食入</w:t>
                  </w:r>
                </w:p>
              </w:tc>
              <w:tc>
                <w:tcPr>
                  <w:tcW w:w="6307" w:type="dxa"/>
                  <w:gridSpan w:val="3"/>
                  <w:tcBorders>
                    <w:tl2br w:val="nil"/>
                    <w:tr2bl w:val="nil"/>
                  </w:tcBorders>
                </w:tcPr>
                <w:p w14:paraId="3FC6F571">
                  <w:pPr>
                    <w:pStyle w:val="24"/>
                  </w:pPr>
                  <w:r>
                    <w:t>误食者立即漱口，饮牛奶或植物油，洗胃并灌肠。就医。</w:t>
                  </w:r>
                </w:p>
              </w:tc>
            </w:tr>
            <w:tr w14:paraId="0B7F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dxa"/>
                  <w:tcBorders>
                    <w:tl2br w:val="nil"/>
                    <w:tr2bl w:val="nil"/>
                  </w:tcBorders>
                  <w:vAlign w:val="center"/>
                </w:tcPr>
                <w:p w14:paraId="22913873">
                  <w:pPr>
                    <w:pStyle w:val="24"/>
                  </w:pPr>
                  <w:r>
                    <w:t>泄漏处理</w:t>
                  </w:r>
                </w:p>
              </w:tc>
              <w:tc>
                <w:tcPr>
                  <w:tcW w:w="8195" w:type="dxa"/>
                  <w:gridSpan w:val="4"/>
                  <w:tcBorders>
                    <w:tl2br w:val="nil"/>
                    <w:tr2bl w:val="nil"/>
                  </w:tcBorders>
                </w:tcPr>
                <w:p w14:paraId="382F593D">
                  <w:pPr>
                    <w:pStyle w:val="24"/>
                  </w:pPr>
                  <w:r>
                    <w:t>疏散泄漏污染区人员至安全区，禁止物管人员进入污染区，切断火源。应急处理人员戴自给式呼吸器，穿一般消防防护服。在确保安全的情况下堵漏。用吸油毡吸收油料，然后收集于干燥洁净有盖的容器中，运至废物处理场所。若大量泄漏，则利用围堤收集、转移、回收或无害处理后废弃。</w:t>
                  </w:r>
                </w:p>
              </w:tc>
            </w:tr>
          </w:tbl>
          <w:p w14:paraId="2B10C1AB">
            <w:pPr>
              <w:ind w:firstLine="480"/>
              <w:rPr>
                <w:snapToGrid w:val="0"/>
                <w:kern w:val="0"/>
                <w:lang w:bidi="ar"/>
              </w:rPr>
            </w:pPr>
            <w:r>
              <w:rPr>
                <w:rFonts w:hint="eastAsia"/>
                <w:snapToGrid w:val="0"/>
                <w:kern w:val="0"/>
                <w:lang w:bidi="ar"/>
              </w:rPr>
              <w:t>b、柴油</w:t>
            </w:r>
          </w:p>
          <w:p w14:paraId="3CE29889">
            <w:pPr>
              <w:pStyle w:val="6"/>
            </w:pPr>
            <w:r>
              <w:t xml:space="preserve">表 </w:t>
            </w:r>
            <w:r>
              <w:rPr>
                <w:rFonts w:hint="eastAsia"/>
              </w:rPr>
              <w:t>4-</w:t>
            </w:r>
            <w:r>
              <w:fldChar w:fldCharType="begin"/>
            </w:r>
            <w:r>
              <w:instrText xml:space="preserve"> SEQ 表 \* ARABIC \s 1 </w:instrText>
            </w:r>
            <w:r>
              <w:fldChar w:fldCharType="separate"/>
            </w:r>
            <w:r>
              <w:t>16</w:t>
            </w:r>
            <w:r>
              <w:fldChar w:fldCharType="end"/>
            </w:r>
            <w:r>
              <w:rPr>
                <w:rFonts w:hint="eastAsia"/>
              </w:rPr>
              <w:t xml:space="preserve"> 柴油安全技术特征及危险、有害因素识别表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0" w:type="dxa"/>
              </w:tblCellMar>
            </w:tblPr>
            <w:tblGrid>
              <w:gridCol w:w="695"/>
              <w:gridCol w:w="2176"/>
              <w:gridCol w:w="1437"/>
              <w:gridCol w:w="271"/>
              <w:gridCol w:w="1784"/>
              <w:gridCol w:w="164"/>
              <w:gridCol w:w="1077"/>
            </w:tblGrid>
            <w:tr w14:paraId="471D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tcBorders>
                    <w:tl2br w:val="nil"/>
                    <w:tr2bl w:val="nil"/>
                  </w:tcBorders>
                  <w:vAlign w:val="center"/>
                </w:tcPr>
                <w:p w14:paraId="5C028A52">
                  <w:pPr>
                    <w:pStyle w:val="24"/>
                    <w:rPr>
                      <w:b/>
                      <w:bCs/>
                    </w:rPr>
                  </w:pPr>
                  <w:r>
                    <w:rPr>
                      <w:b/>
                      <w:bCs/>
                    </w:rPr>
                    <w:t>标识</w:t>
                  </w:r>
                </w:p>
              </w:tc>
              <w:tc>
                <w:tcPr>
                  <w:tcW w:w="2623" w:type="dxa"/>
                  <w:tcBorders>
                    <w:tl2br w:val="nil"/>
                    <w:tr2bl w:val="nil"/>
                  </w:tcBorders>
                  <w:vAlign w:val="center"/>
                </w:tcPr>
                <w:p w14:paraId="688161B9">
                  <w:pPr>
                    <w:pStyle w:val="24"/>
                    <w:rPr>
                      <w:b/>
                      <w:bCs/>
                    </w:rPr>
                  </w:pPr>
                  <w:r>
                    <w:rPr>
                      <w:b/>
                      <w:bCs/>
                    </w:rPr>
                    <w:t>中文名</w:t>
                  </w:r>
                </w:p>
              </w:tc>
              <w:tc>
                <w:tcPr>
                  <w:tcW w:w="1741" w:type="dxa"/>
                  <w:tcBorders>
                    <w:tl2br w:val="nil"/>
                    <w:tr2bl w:val="nil"/>
                  </w:tcBorders>
                  <w:vAlign w:val="center"/>
                </w:tcPr>
                <w:p w14:paraId="468EF2AA">
                  <w:pPr>
                    <w:pStyle w:val="24"/>
                    <w:rPr>
                      <w:b/>
                      <w:bCs/>
                    </w:rPr>
                  </w:pPr>
                  <w:r>
                    <w:rPr>
                      <w:b/>
                      <w:bCs/>
                    </w:rPr>
                    <w:t>柴油</w:t>
                  </w:r>
                </w:p>
              </w:tc>
              <w:tc>
                <w:tcPr>
                  <w:tcW w:w="2449" w:type="dxa"/>
                  <w:gridSpan w:val="2"/>
                  <w:tcBorders>
                    <w:tl2br w:val="nil"/>
                    <w:tr2bl w:val="nil"/>
                  </w:tcBorders>
                  <w:vAlign w:val="center"/>
                </w:tcPr>
                <w:p w14:paraId="75003248">
                  <w:pPr>
                    <w:pStyle w:val="24"/>
                    <w:rPr>
                      <w:b/>
                      <w:bCs/>
                    </w:rPr>
                  </w:pPr>
                  <w:r>
                    <w:rPr>
                      <w:b/>
                      <w:bCs/>
                    </w:rPr>
                    <w:t>英文名</w:t>
                  </w:r>
                </w:p>
              </w:tc>
              <w:tc>
                <w:tcPr>
                  <w:tcW w:w="1490" w:type="dxa"/>
                  <w:gridSpan w:val="2"/>
                  <w:tcBorders>
                    <w:tl2br w:val="nil"/>
                    <w:tr2bl w:val="nil"/>
                  </w:tcBorders>
                  <w:vAlign w:val="center"/>
                </w:tcPr>
                <w:p w14:paraId="2395DBC9">
                  <w:pPr>
                    <w:pStyle w:val="24"/>
                    <w:rPr>
                      <w:b/>
                      <w:bCs/>
                    </w:rPr>
                  </w:pPr>
                  <w:r>
                    <w:rPr>
                      <w:b/>
                      <w:bCs/>
                    </w:rPr>
                    <w:t>Diesel Oil</w:t>
                  </w:r>
                </w:p>
              </w:tc>
            </w:tr>
            <w:tr w14:paraId="44A4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vMerge w:val="restart"/>
                  <w:tcBorders>
                    <w:tl2br w:val="nil"/>
                    <w:tr2bl w:val="nil"/>
                  </w:tcBorders>
                  <w:vAlign w:val="center"/>
                </w:tcPr>
                <w:p w14:paraId="4E6888D7">
                  <w:pPr>
                    <w:pStyle w:val="24"/>
                  </w:pPr>
                  <w:r>
                    <w:t>理化特性</w:t>
                  </w:r>
                </w:p>
              </w:tc>
              <w:tc>
                <w:tcPr>
                  <w:tcW w:w="2623" w:type="dxa"/>
                  <w:tcBorders>
                    <w:tl2br w:val="nil"/>
                    <w:tr2bl w:val="nil"/>
                  </w:tcBorders>
                  <w:vAlign w:val="center"/>
                </w:tcPr>
                <w:p w14:paraId="1B5688C8">
                  <w:pPr>
                    <w:pStyle w:val="24"/>
                  </w:pPr>
                  <w:r>
                    <w:t>沸点（℃）</w:t>
                  </w:r>
                </w:p>
              </w:tc>
              <w:tc>
                <w:tcPr>
                  <w:tcW w:w="1741" w:type="dxa"/>
                  <w:tcBorders>
                    <w:tl2br w:val="nil"/>
                    <w:tr2bl w:val="nil"/>
                  </w:tcBorders>
                  <w:vAlign w:val="center"/>
                </w:tcPr>
                <w:p w14:paraId="61CA30FA">
                  <w:pPr>
                    <w:pStyle w:val="24"/>
                  </w:pPr>
                  <w:r>
                    <w:t>282～365</w:t>
                  </w:r>
                </w:p>
              </w:tc>
              <w:tc>
                <w:tcPr>
                  <w:tcW w:w="2449" w:type="dxa"/>
                  <w:gridSpan w:val="2"/>
                  <w:tcBorders>
                    <w:tl2br w:val="nil"/>
                    <w:tr2bl w:val="nil"/>
                  </w:tcBorders>
                  <w:vAlign w:val="center"/>
                </w:tcPr>
                <w:p w14:paraId="24C5DC3C">
                  <w:pPr>
                    <w:pStyle w:val="24"/>
                  </w:pPr>
                  <w:r>
                    <w:t>熔点（℃）</w:t>
                  </w:r>
                </w:p>
              </w:tc>
              <w:tc>
                <w:tcPr>
                  <w:tcW w:w="1490" w:type="dxa"/>
                  <w:gridSpan w:val="2"/>
                  <w:tcBorders>
                    <w:tl2br w:val="nil"/>
                    <w:tr2bl w:val="nil"/>
                  </w:tcBorders>
                  <w:vAlign w:val="center"/>
                </w:tcPr>
                <w:p w14:paraId="559EB579">
                  <w:pPr>
                    <w:pStyle w:val="24"/>
                  </w:pPr>
                  <w:r>
                    <w:t>-18</w:t>
                  </w:r>
                </w:p>
              </w:tc>
            </w:tr>
            <w:tr w14:paraId="369E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continue"/>
                  <w:tcBorders>
                    <w:tl2br w:val="nil"/>
                    <w:tr2bl w:val="nil"/>
                  </w:tcBorders>
                  <w:vAlign w:val="center"/>
                </w:tcPr>
                <w:p w14:paraId="018C5186">
                  <w:pPr>
                    <w:pStyle w:val="24"/>
                  </w:pPr>
                </w:p>
              </w:tc>
              <w:tc>
                <w:tcPr>
                  <w:tcW w:w="2623" w:type="dxa"/>
                  <w:tcBorders>
                    <w:tl2br w:val="nil"/>
                    <w:tr2bl w:val="nil"/>
                  </w:tcBorders>
                  <w:vAlign w:val="center"/>
                </w:tcPr>
                <w:p w14:paraId="7F202F75">
                  <w:pPr>
                    <w:pStyle w:val="24"/>
                  </w:pPr>
                  <w:r>
                    <w:t>相对密度（水=1）</w:t>
                  </w:r>
                </w:p>
              </w:tc>
              <w:tc>
                <w:tcPr>
                  <w:tcW w:w="1741" w:type="dxa"/>
                  <w:tcBorders>
                    <w:tl2br w:val="nil"/>
                    <w:tr2bl w:val="nil"/>
                  </w:tcBorders>
                  <w:vAlign w:val="center"/>
                </w:tcPr>
                <w:p w14:paraId="10C99B09">
                  <w:pPr>
                    <w:pStyle w:val="24"/>
                  </w:pPr>
                  <w:r>
                    <w:t>0.87～0.9</w:t>
                  </w:r>
                </w:p>
              </w:tc>
              <w:tc>
                <w:tcPr>
                  <w:tcW w:w="2449" w:type="dxa"/>
                  <w:gridSpan w:val="2"/>
                  <w:tcBorders>
                    <w:tl2br w:val="nil"/>
                    <w:tr2bl w:val="nil"/>
                  </w:tcBorders>
                  <w:vAlign w:val="center"/>
                </w:tcPr>
                <w:p w14:paraId="214D6D21">
                  <w:pPr>
                    <w:pStyle w:val="24"/>
                  </w:pPr>
                  <w:r>
                    <w:t>相对密度（空气=1）</w:t>
                  </w:r>
                </w:p>
              </w:tc>
              <w:tc>
                <w:tcPr>
                  <w:tcW w:w="1490" w:type="dxa"/>
                  <w:gridSpan w:val="2"/>
                  <w:tcBorders>
                    <w:tl2br w:val="nil"/>
                    <w:tr2bl w:val="nil"/>
                  </w:tcBorders>
                  <w:vAlign w:val="center"/>
                </w:tcPr>
                <w:p w14:paraId="3260620E">
                  <w:pPr>
                    <w:pStyle w:val="24"/>
                  </w:pPr>
                  <w:r>
                    <w:t>无资料</w:t>
                  </w:r>
                </w:p>
              </w:tc>
            </w:tr>
            <w:tr w14:paraId="2FF8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continue"/>
                  <w:tcBorders>
                    <w:tl2br w:val="nil"/>
                    <w:tr2bl w:val="nil"/>
                  </w:tcBorders>
                  <w:vAlign w:val="center"/>
                </w:tcPr>
                <w:p w14:paraId="7BF2ED5E">
                  <w:pPr>
                    <w:pStyle w:val="24"/>
                  </w:pPr>
                </w:p>
              </w:tc>
              <w:tc>
                <w:tcPr>
                  <w:tcW w:w="2623" w:type="dxa"/>
                  <w:tcBorders>
                    <w:tl2br w:val="nil"/>
                    <w:tr2bl w:val="nil"/>
                  </w:tcBorders>
                  <w:vAlign w:val="center"/>
                </w:tcPr>
                <w:p w14:paraId="31893C3D">
                  <w:pPr>
                    <w:pStyle w:val="24"/>
                  </w:pPr>
                  <w:r>
                    <w:t>外观性状</w:t>
                  </w:r>
                </w:p>
              </w:tc>
              <w:tc>
                <w:tcPr>
                  <w:tcW w:w="5680" w:type="dxa"/>
                  <w:gridSpan w:val="5"/>
                  <w:tcBorders>
                    <w:tl2br w:val="nil"/>
                    <w:tr2bl w:val="nil"/>
                  </w:tcBorders>
                  <w:vAlign w:val="center"/>
                </w:tcPr>
                <w:p w14:paraId="78D8CB32">
                  <w:pPr>
                    <w:pStyle w:val="24"/>
                  </w:pPr>
                  <w:r>
                    <w:t>稍有粘性的棕色液体</w:t>
                  </w:r>
                </w:p>
              </w:tc>
            </w:tr>
            <w:tr w14:paraId="4B63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continue"/>
                  <w:tcBorders>
                    <w:tl2br w:val="nil"/>
                    <w:tr2bl w:val="nil"/>
                  </w:tcBorders>
                  <w:vAlign w:val="center"/>
                </w:tcPr>
                <w:p w14:paraId="5F93C546">
                  <w:pPr>
                    <w:pStyle w:val="24"/>
                  </w:pPr>
                </w:p>
              </w:tc>
              <w:tc>
                <w:tcPr>
                  <w:tcW w:w="2623" w:type="dxa"/>
                  <w:tcBorders>
                    <w:tl2br w:val="nil"/>
                    <w:tr2bl w:val="nil"/>
                  </w:tcBorders>
                  <w:vAlign w:val="center"/>
                </w:tcPr>
                <w:p w14:paraId="4303F096">
                  <w:pPr>
                    <w:pStyle w:val="24"/>
                  </w:pPr>
                  <w:r>
                    <w:t>稳定性</w:t>
                  </w:r>
                </w:p>
              </w:tc>
              <w:tc>
                <w:tcPr>
                  <w:tcW w:w="5680" w:type="dxa"/>
                  <w:gridSpan w:val="5"/>
                  <w:tcBorders>
                    <w:tl2br w:val="nil"/>
                    <w:tr2bl w:val="nil"/>
                  </w:tcBorders>
                  <w:vAlign w:val="center"/>
                </w:tcPr>
                <w:p w14:paraId="09318263">
                  <w:pPr>
                    <w:pStyle w:val="24"/>
                  </w:pPr>
                  <w:r>
                    <w:t>稳定聚合危害不聚合</w:t>
                  </w:r>
                </w:p>
              </w:tc>
            </w:tr>
            <w:tr w14:paraId="69C5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continue"/>
                  <w:tcBorders>
                    <w:tl2br w:val="nil"/>
                    <w:tr2bl w:val="nil"/>
                  </w:tcBorders>
                  <w:vAlign w:val="center"/>
                </w:tcPr>
                <w:p w14:paraId="4DAC7374">
                  <w:pPr>
                    <w:pStyle w:val="24"/>
                  </w:pPr>
                </w:p>
              </w:tc>
              <w:tc>
                <w:tcPr>
                  <w:tcW w:w="2623" w:type="dxa"/>
                  <w:tcBorders>
                    <w:tl2br w:val="nil"/>
                    <w:tr2bl w:val="nil"/>
                  </w:tcBorders>
                  <w:vAlign w:val="center"/>
                </w:tcPr>
                <w:p w14:paraId="6BD613FC">
                  <w:pPr>
                    <w:pStyle w:val="24"/>
                  </w:pPr>
                  <w:r>
                    <w:t>主要用途</w:t>
                  </w:r>
                </w:p>
              </w:tc>
              <w:tc>
                <w:tcPr>
                  <w:tcW w:w="5680" w:type="dxa"/>
                  <w:gridSpan w:val="5"/>
                  <w:tcBorders>
                    <w:tl2br w:val="nil"/>
                    <w:tr2bl w:val="nil"/>
                  </w:tcBorders>
                  <w:vAlign w:val="center"/>
                </w:tcPr>
                <w:p w14:paraId="0EC9AB80">
                  <w:pPr>
                    <w:pStyle w:val="24"/>
                  </w:pPr>
                  <w:r>
                    <w:t>主要用作柴油机的燃料</w:t>
                  </w:r>
                </w:p>
              </w:tc>
            </w:tr>
            <w:tr w14:paraId="326A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restart"/>
                  <w:tcBorders>
                    <w:tl2br w:val="nil"/>
                    <w:tr2bl w:val="nil"/>
                  </w:tcBorders>
                  <w:vAlign w:val="center"/>
                </w:tcPr>
                <w:p w14:paraId="493E6067">
                  <w:pPr>
                    <w:pStyle w:val="24"/>
                  </w:pPr>
                  <w:r>
                    <w:t>燃爆性</w:t>
                  </w:r>
                </w:p>
              </w:tc>
              <w:tc>
                <w:tcPr>
                  <w:tcW w:w="2623" w:type="dxa"/>
                  <w:tcBorders>
                    <w:tl2br w:val="nil"/>
                    <w:tr2bl w:val="nil"/>
                  </w:tcBorders>
                  <w:vAlign w:val="center"/>
                </w:tcPr>
                <w:p w14:paraId="79051D44">
                  <w:pPr>
                    <w:pStyle w:val="24"/>
                  </w:pPr>
                  <w:r>
                    <w:t>闪点（℃）</w:t>
                  </w:r>
                </w:p>
              </w:tc>
              <w:tc>
                <w:tcPr>
                  <w:tcW w:w="2064" w:type="dxa"/>
                  <w:gridSpan w:val="2"/>
                  <w:tcBorders>
                    <w:tl2br w:val="nil"/>
                    <w:tr2bl w:val="nil"/>
                  </w:tcBorders>
                  <w:vAlign w:val="center"/>
                </w:tcPr>
                <w:p w14:paraId="5440AF57">
                  <w:pPr>
                    <w:pStyle w:val="24"/>
                  </w:pPr>
                  <w:r>
                    <w:t>≥55</w:t>
                  </w:r>
                </w:p>
              </w:tc>
              <w:tc>
                <w:tcPr>
                  <w:tcW w:w="2322" w:type="dxa"/>
                  <w:gridSpan w:val="2"/>
                  <w:tcBorders>
                    <w:tl2br w:val="nil"/>
                    <w:tr2bl w:val="nil"/>
                  </w:tcBorders>
                  <w:vAlign w:val="center"/>
                </w:tcPr>
                <w:p w14:paraId="50937D56">
                  <w:pPr>
                    <w:pStyle w:val="24"/>
                  </w:pPr>
                  <w:r>
                    <w:t>爆炸极限（%V/V）</w:t>
                  </w:r>
                </w:p>
              </w:tc>
              <w:tc>
                <w:tcPr>
                  <w:tcW w:w="1294" w:type="dxa"/>
                  <w:tcBorders>
                    <w:tl2br w:val="nil"/>
                    <w:tr2bl w:val="nil"/>
                  </w:tcBorders>
                  <w:vAlign w:val="center"/>
                </w:tcPr>
                <w:p w14:paraId="453C3930">
                  <w:pPr>
                    <w:pStyle w:val="24"/>
                  </w:pPr>
                  <w:r>
                    <w:t>无资料</w:t>
                  </w:r>
                </w:p>
              </w:tc>
            </w:tr>
            <w:tr w14:paraId="43BD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continue"/>
                  <w:tcBorders>
                    <w:tl2br w:val="nil"/>
                    <w:tr2bl w:val="nil"/>
                  </w:tcBorders>
                  <w:vAlign w:val="center"/>
                </w:tcPr>
                <w:p w14:paraId="44FA6E7B">
                  <w:pPr>
                    <w:pStyle w:val="24"/>
                  </w:pPr>
                </w:p>
              </w:tc>
              <w:tc>
                <w:tcPr>
                  <w:tcW w:w="2623" w:type="dxa"/>
                  <w:tcBorders>
                    <w:tl2br w:val="nil"/>
                    <w:tr2bl w:val="nil"/>
                  </w:tcBorders>
                  <w:vAlign w:val="center"/>
                </w:tcPr>
                <w:p w14:paraId="566D45B7">
                  <w:pPr>
                    <w:pStyle w:val="24"/>
                  </w:pPr>
                  <w:r>
                    <w:t>自燃温度（℃）</w:t>
                  </w:r>
                </w:p>
              </w:tc>
              <w:tc>
                <w:tcPr>
                  <w:tcW w:w="2064" w:type="dxa"/>
                  <w:gridSpan w:val="2"/>
                  <w:tcBorders>
                    <w:tl2br w:val="nil"/>
                    <w:tr2bl w:val="nil"/>
                  </w:tcBorders>
                  <w:vAlign w:val="center"/>
                </w:tcPr>
                <w:p w14:paraId="39185FF0">
                  <w:pPr>
                    <w:pStyle w:val="24"/>
                  </w:pPr>
                  <w:r>
                    <w:t>350~380</w:t>
                  </w:r>
                </w:p>
              </w:tc>
              <w:tc>
                <w:tcPr>
                  <w:tcW w:w="2322" w:type="dxa"/>
                  <w:gridSpan w:val="2"/>
                  <w:tcBorders>
                    <w:tl2br w:val="nil"/>
                    <w:tr2bl w:val="nil"/>
                  </w:tcBorders>
                  <w:vAlign w:val="center"/>
                </w:tcPr>
                <w:p w14:paraId="77254796">
                  <w:pPr>
                    <w:pStyle w:val="24"/>
                  </w:pPr>
                  <w:r>
                    <w:t>最大爆炸压力（Mpa）</w:t>
                  </w:r>
                </w:p>
              </w:tc>
              <w:tc>
                <w:tcPr>
                  <w:tcW w:w="1294" w:type="dxa"/>
                  <w:vMerge w:val="restart"/>
                  <w:tcBorders>
                    <w:tl2br w:val="nil"/>
                    <w:tr2bl w:val="nil"/>
                  </w:tcBorders>
                  <w:vAlign w:val="center"/>
                </w:tcPr>
                <w:p w14:paraId="6C3837AE">
                  <w:pPr>
                    <w:pStyle w:val="24"/>
                  </w:pPr>
                  <w:r>
                    <w:t>无资料</w:t>
                  </w:r>
                </w:p>
              </w:tc>
            </w:tr>
            <w:tr w14:paraId="1238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continue"/>
                  <w:tcBorders>
                    <w:tl2br w:val="nil"/>
                    <w:tr2bl w:val="nil"/>
                  </w:tcBorders>
                  <w:vAlign w:val="center"/>
                </w:tcPr>
                <w:p w14:paraId="45D65627">
                  <w:pPr>
                    <w:pStyle w:val="24"/>
                  </w:pPr>
                </w:p>
              </w:tc>
              <w:tc>
                <w:tcPr>
                  <w:tcW w:w="2623" w:type="dxa"/>
                  <w:tcBorders>
                    <w:tl2br w:val="nil"/>
                    <w:tr2bl w:val="nil"/>
                  </w:tcBorders>
                  <w:vAlign w:val="center"/>
                </w:tcPr>
                <w:p w14:paraId="4AB3F208">
                  <w:pPr>
                    <w:pStyle w:val="24"/>
                  </w:pPr>
                  <w:r>
                    <w:t>危险特性</w:t>
                  </w:r>
                </w:p>
              </w:tc>
              <w:tc>
                <w:tcPr>
                  <w:tcW w:w="5680" w:type="dxa"/>
                  <w:gridSpan w:val="5"/>
                  <w:tcBorders>
                    <w:tl2br w:val="nil"/>
                    <w:tr2bl w:val="nil"/>
                  </w:tcBorders>
                  <w:vAlign w:val="center"/>
                </w:tcPr>
                <w:p w14:paraId="7458EAE7">
                  <w:pPr>
                    <w:pStyle w:val="24"/>
                  </w:pPr>
                  <w:r>
                    <w:t>遇明火、高热或与氧化剂有引起燃烧爆炸的危险</w:t>
                  </w:r>
                </w:p>
              </w:tc>
            </w:tr>
            <w:tr w14:paraId="6EA1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continue"/>
                  <w:tcBorders>
                    <w:tl2br w:val="nil"/>
                    <w:tr2bl w:val="nil"/>
                  </w:tcBorders>
                  <w:vAlign w:val="center"/>
                </w:tcPr>
                <w:p w14:paraId="21E4F11E">
                  <w:pPr>
                    <w:pStyle w:val="24"/>
                  </w:pPr>
                </w:p>
              </w:tc>
              <w:tc>
                <w:tcPr>
                  <w:tcW w:w="2623" w:type="dxa"/>
                  <w:tcBorders>
                    <w:tl2br w:val="nil"/>
                    <w:tr2bl w:val="nil"/>
                  </w:tcBorders>
                  <w:vAlign w:val="center"/>
                </w:tcPr>
                <w:p w14:paraId="6702C54B">
                  <w:pPr>
                    <w:pStyle w:val="24"/>
                  </w:pPr>
                  <w:r>
                    <w:t>灭火方法</w:t>
                  </w:r>
                </w:p>
              </w:tc>
              <w:tc>
                <w:tcPr>
                  <w:tcW w:w="5680" w:type="dxa"/>
                  <w:gridSpan w:val="5"/>
                  <w:vMerge w:val="restart"/>
                  <w:tcBorders>
                    <w:tl2br w:val="nil"/>
                    <w:tr2bl w:val="nil"/>
                  </w:tcBorders>
                  <w:vAlign w:val="center"/>
                </w:tcPr>
                <w:p w14:paraId="7057AD54">
                  <w:pPr>
                    <w:pStyle w:val="24"/>
                  </w:pPr>
                  <w:r>
                    <w:t>喷水冷却容器，尽可能将容器从火场移至空旷处。</w:t>
                  </w:r>
                </w:p>
              </w:tc>
            </w:tr>
            <w:tr w14:paraId="4D23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continue"/>
                  <w:tcBorders>
                    <w:tl2br w:val="nil"/>
                    <w:tr2bl w:val="nil"/>
                  </w:tcBorders>
                  <w:vAlign w:val="center"/>
                </w:tcPr>
                <w:p w14:paraId="3F6AB87E">
                  <w:pPr>
                    <w:pStyle w:val="24"/>
                  </w:pPr>
                </w:p>
              </w:tc>
              <w:tc>
                <w:tcPr>
                  <w:tcW w:w="2623" w:type="dxa"/>
                  <w:tcBorders>
                    <w:tl2br w:val="nil"/>
                    <w:tr2bl w:val="nil"/>
                  </w:tcBorders>
                  <w:vAlign w:val="center"/>
                </w:tcPr>
                <w:p w14:paraId="7C34A24C">
                  <w:pPr>
                    <w:pStyle w:val="24"/>
                  </w:pPr>
                  <w:r>
                    <w:t>灭火剂</w:t>
                  </w:r>
                </w:p>
              </w:tc>
              <w:tc>
                <w:tcPr>
                  <w:tcW w:w="5680" w:type="dxa"/>
                  <w:gridSpan w:val="5"/>
                  <w:tcBorders>
                    <w:tl2br w:val="nil"/>
                    <w:tr2bl w:val="nil"/>
                  </w:tcBorders>
                  <w:vAlign w:val="center"/>
                </w:tcPr>
                <w:p w14:paraId="0A43265D">
                  <w:pPr>
                    <w:pStyle w:val="24"/>
                  </w:pPr>
                  <w:r>
                    <w:t>雾状水、泡沫、干粉、砂土、二氧化碳</w:t>
                  </w:r>
                </w:p>
              </w:tc>
            </w:tr>
            <w:tr w14:paraId="401A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restart"/>
                  <w:tcBorders>
                    <w:tl2br w:val="nil"/>
                    <w:tr2bl w:val="nil"/>
                  </w:tcBorders>
                  <w:vAlign w:val="center"/>
                </w:tcPr>
                <w:p w14:paraId="6360ED26">
                  <w:pPr>
                    <w:pStyle w:val="24"/>
                  </w:pPr>
                  <w:r>
                    <w:t>毒性及健康危</w:t>
                  </w:r>
                </w:p>
                <w:p w14:paraId="1876B4FB">
                  <w:pPr>
                    <w:pStyle w:val="24"/>
                  </w:pPr>
                  <w:r>
                    <w:t>害</w:t>
                  </w:r>
                </w:p>
              </w:tc>
              <w:tc>
                <w:tcPr>
                  <w:tcW w:w="2623" w:type="dxa"/>
                  <w:tcBorders>
                    <w:tl2br w:val="nil"/>
                    <w:tr2bl w:val="nil"/>
                  </w:tcBorders>
                  <w:vAlign w:val="center"/>
                </w:tcPr>
                <w:p w14:paraId="1D09C36C">
                  <w:pPr>
                    <w:pStyle w:val="24"/>
                  </w:pPr>
                  <w:r>
                    <w:t>急性毒性</w:t>
                  </w:r>
                </w:p>
              </w:tc>
              <w:tc>
                <w:tcPr>
                  <w:tcW w:w="5680" w:type="dxa"/>
                  <w:gridSpan w:val="5"/>
                  <w:tcBorders>
                    <w:tl2br w:val="nil"/>
                    <w:tr2bl w:val="nil"/>
                  </w:tcBorders>
                  <w:vAlign w:val="center"/>
                </w:tcPr>
                <w:p w14:paraId="1A9ACF97">
                  <w:pPr>
                    <w:pStyle w:val="24"/>
                  </w:pPr>
                  <w:r>
                    <w:t>无资料</w:t>
                  </w:r>
                </w:p>
              </w:tc>
            </w:tr>
            <w:tr w14:paraId="2353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continue"/>
                  <w:tcBorders>
                    <w:tl2br w:val="nil"/>
                    <w:tr2bl w:val="nil"/>
                  </w:tcBorders>
                  <w:vAlign w:val="center"/>
                </w:tcPr>
                <w:p w14:paraId="598682D8">
                  <w:pPr>
                    <w:pStyle w:val="24"/>
                  </w:pPr>
                </w:p>
              </w:tc>
              <w:tc>
                <w:tcPr>
                  <w:tcW w:w="2623" w:type="dxa"/>
                  <w:tcBorders>
                    <w:tl2br w:val="nil"/>
                    <w:tr2bl w:val="nil"/>
                  </w:tcBorders>
                  <w:vAlign w:val="center"/>
                </w:tcPr>
                <w:p w14:paraId="1856875E">
                  <w:pPr>
                    <w:pStyle w:val="24"/>
                  </w:pPr>
                  <w:r>
                    <w:t>最高容许浓度（mg/m</w:t>
                  </w:r>
                  <w:r>
                    <w:rPr>
                      <w:vertAlign w:val="superscript"/>
                    </w:rPr>
                    <w:t>3</w:t>
                  </w:r>
                  <w:r>
                    <w:t>）</w:t>
                  </w:r>
                </w:p>
              </w:tc>
              <w:tc>
                <w:tcPr>
                  <w:tcW w:w="5680" w:type="dxa"/>
                  <w:gridSpan w:val="5"/>
                  <w:tcBorders>
                    <w:tl2br w:val="nil"/>
                    <w:tr2bl w:val="nil"/>
                  </w:tcBorders>
                  <w:vAlign w:val="center"/>
                </w:tcPr>
                <w:p w14:paraId="4A93CE08">
                  <w:pPr>
                    <w:pStyle w:val="24"/>
                  </w:pPr>
                  <w:r>
                    <w:t>中国：未制定标准；前苏联：未制定标准健康危害</w:t>
                  </w:r>
                </w:p>
              </w:tc>
            </w:tr>
            <w:tr w14:paraId="39F6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continue"/>
                  <w:tcBorders>
                    <w:tl2br w:val="nil"/>
                    <w:tr2bl w:val="nil"/>
                  </w:tcBorders>
                  <w:vAlign w:val="center"/>
                </w:tcPr>
                <w:p w14:paraId="630C381E">
                  <w:pPr>
                    <w:pStyle w:val="24"/>
                  </w:pPr>
                </w:p>
              </w:tc>
              <w:tc>
                <w:tcPr>
                  <w:tcW w:w="2623" w:type="dxa"/>
                  <w:tcBorders>
                    <w:tl2br w:val="nil"/>
                    <w:tr2bl w:val="nil"/>
                  </w:tcBorders>
                  <w:vAlign w:val="center"/>
                </w:tcPr>
                <w:p w14:paraId="66D1D0E1">
                  <w:pPr>
                    <w:pStyle w:val="24"/>
                  </w:pPr>
                  <w:r>
                    <w:t>健康危害</w:t>
                  </w:r>
                </w:p>
              </w:tc>
              <w:tc>
                <w:tcPr>
                  <w:tcW w:w="5680" w:type="dxa"/>
                  <w:gridSpan w:val="5"/>
                  <w:tcBorders>
                    <w:tl2br w:val="nil"/>
                    <w:tr2bl w:val="nil"/>
                  </w:tcBorders>
                  <w:vAlign w:val="center"/>
                </w:tcPr>
                <w:p w14:paraId="1A473CDB">
                  <w:pPr>
                    <w:pStyle w:val="24"/>
                  </w:pPr>
                  <w:r>
                    <w:t>皮肤接触可为主要吸收途径，可致急性肾脏损害。柴油可引起接触性皮炎、油性痤疮。吸入其液滴或液体呛入可引起吸入性肺炎。能经胎盘进入胎儿血液中。柴油废气可引起眼、鼻刺激性症状，头晕及头痛</w:t>
                  </w:r>
                </w:p>
              </w:tc>
            </w:tr>
            <w:tr w14:paraId="45DD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vMerge w:val="continue"/>
                  <w:tcBorders>
                    <w:tl2br w:val="nil"/>
                    <w:tr2bl w:val="nil"/>
                  </w:tcBorders>
                  <w:vAlign w:val="center"/>
                </w:tcPr>
                <w:p w14:paraId="3902BE47">
                  <w:pPr>
                    <w:pStyle w:val="24"/>
                  </w:pPr>
                </w:p>
              </w:tc>
              <w:tc>
                <w:tcPr>
                  <w:tcW w:w="2623" w:type="dxa"/>
                  <w:tcBorders>
                    <w:tl2br w:val="nil"/>
                    <w:tr2bl w:val="nil"/>
                  </w:tcBorders>
                  <w:vAlign w:val="center"/>
                </w:tcPr>
                <w:p w14:paraId="394A8D4C">
                  <w:pPr>
                    <w:pStyle w:val="24"/>
                  </w:pPr>
                  <w:r>
                    <w:t>侵入途径</w:t>
                  </w:r>
                </w:p>
              </w:tc>
              <w:tc>
                <w:tcPr>
                  <w:tcW w:w="5680" w:type="dxa"/>
                  <w:gridSpan w:val="5"/>
                  <w:tcBorders>
                    <w:tl2br w:val="nil"/>
                    <w:tr2bl w:val="nil"/>
                  </w:tcBorders>
                  <w:vAlign w:val="center"/>
                </w:tcPr>
                <w:p w14:paraId="7C1B7ED6">
                  <w:pPr>
                    <w:pStyle w:val="24"/>
                  </w:pPr>
                  <w:r>
                    <w:t>吸入、食入、经皮吸收</w:t>
                  </w:r>
                </w:p>
              </w:tc>
            </w:tr>
            <w:tr w14:paraId="1233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9" w:type="dxa"/>
                  <w:tcBorders>
                    <w:tl2br w:val="nil"/>
                    <w:tr2bl w:val="nil"/>
                  </w:tcBorders>
                  <w:vAlign w:val="center"/>
                </w:tcPr>
                <w:p w14:paraId="6B72C812">
                  <w:pPr>
                    <w:pStyle w:val="24"/>
                  </w:pPr>
                  <w:r>
                    <w:t>泄漏应急处理</w:t>
                  </w:r>
                </w:p>
              </w:tc>
              <w:tc>
                <w:tcPr>
                  <w:tcW w:w="8303" w:type="dxa"/>
                  <w:gridSpan w:val="6"/>
                  <w:tcBorders>
                    <w:tl2br w:val="nil"/>
                    <w:tr2bl w:val="nil"/>
                  </w:tcBorders>
                  <w:vAlign w:val="center"/>
                </w:tcPr>
                <w:p w14:paraId="2D723A4D">
                  <w:pPr>
                    <w:pStyle w:val="24"/>
                  </w:pPr>
                  <w:r>
                    <w:t>迅速撤离泄漏污染区人员至安全处，并进行隔离，严格限制出入。切断火源。应急人员戴自给正压式呼吸器，穿一般消防工作服。尽可能切断泄漏源。防止流入下水道、排洪沟等限制性空间。小量泄漏：用砂土、活性碳或其他惰性材料吸收。大量泄漏：构筑围堤或挖坑收容。用泡沫覆盖，降低蒸气灾害。用防爆泵转移至槽车或专用收集器内，回收或运至废物处理场所处置。</w:t>
                  </w:r>
                </w:p>
              </w:tc>
            </w:tr>
            <w:tr w14:paraId="147F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340" w:hRule="atLeast"/>
                <w:jc w:val="center"/>
              </w:trPr>
              <w:tc>
                <w:tcPr>
                  <w:tcW w:w="859" w:type="dxa"/>
                  <w:tcBorders>
                    <w:tl2br w:val="nil"/>
                    <w:tr2bl w:val="nil"/>
                  </w:tcBorders>
                  <w:vAlign w:val="center"/>
                </w:tcPr>
                <w:p w14:paraId="564AB723">
                  <w:pPr>
                    <w:pStyle w:val="24"/>
                  </w:pPr>
                  <w:r>
                    <w:t>储运注意事项</w:t>
                  </w:r>
                </w:p>
              </w:tc>
              <w:tc>
                <w:tcPr>
                  <w:tcW w:w="8303" w:type="dxa"/>
                  <w:gridSpan w:val="6"/>
                  <w:tcBorders>
                    <w:tl2br w:val="nil"/>
                    <w:tr2bl w:val="nil"/>
                  </w:tcBorders>
                  <w:vAlign w:val="center"/>
                </w:tcPr>
                <w:p w14:paraId="0B609D4C">
                  <w:pPr>
                    <w:pStyle w:val="24"/>
                  </w:pPr>
                  <w:r>
                    <w:t>储存于阴凉、通风的库房。远离火种、热源。应与氧化剂、卤素分开存放，切忌混储。采用防爆型照明、通风设施。禁止使用易产生火花的机械设备和工具。储区应备有泄漏应急处理设备和合适的收容材料。</w:t>
                  </w:r>
                </w:p>
              </w:tc>
            </w:tr>
          </w:tbl>
          <w:p w14:paraId="6E4C0326">
            <w:pPr>
              <w:widowControl/>
              <w:ind w:firstLine="480" w:firstLineChars="200"/>
              <w:rPr>
                <w:bCs/>
                <w:kern w:val="0"/>
                <w:lang w:bidi="ar"/>
              </w:rPr>
            </w:pPr>
            <w:r>
              <w:rPr>
                <w:rFonts w:hint="eastAsia"/>
                <w:bCs/>
                <w:kern w:val="0"/>
                <w:lang w:bidi="ar"/>
              </w:rPr>
              <w:t>（2）风险类型</w:t>
            </w:r>
          </w:p>
          <w:p w14:paraId="7521C7BB">
            <w:pPr>
              <w:widowControl/>
              <w:ind w:firstLine="480" w:firstLineChars="200"/>
              <w:rPr>
                <w:bCs/>
                <w:kern w:val="0"/>
                <w:lang w:bidi="ar"/>
              </w:rPr>
            </w:pPr>
            <w:r>
              <w:rPr>
                <w:bCs/>
                <w:kern w:val="0"/>
                <w:lang w:bidi="ar"/>
              </w:rPr>
              <w:t>本项目主要功能是对汽油、柴油进行储存和销售，工艺流程包括卸</w:t>
            </w:r>
            <w:r>
              <w:rPr>
                <w:rFonts w:hint="eastAsia"/>
                <w:bCs/>
                <w:kern w:val="0"/>
                <w:lang w:bidi="ar"/>
              </w:rPr>
              <w:t>油</w:t>
            </w:r>
            <w:r>
              <w:rPr>
                <w:bCs/>
                <w:kern w:val="0"/>
                <w:lang w:bidi="ar"/>
              </w:rPr>
              <w:t>、储存、加油等。根据工程特点，项目主要事故类型可分为泄漏，火灾及爆炸两大类，项目可能发生的风险事故见下表。</w:t>
            </w:r>
          </w:p>
          <w:p w14:paraId="2BF845C0">
            <w:pPr>
              <w:pStyle w:val="6"/>
            </w:pPr>
            <w:r>
              <w:t xml:space="preserve">表 </w:t>
            </w:r>
            <w:r>
              <w:rPr>
                <w:rFonts w:hint="eastAsia"/>
              </w:rPr>
              <w:t>4-</w:t>
            </w:r>
            <w:r>
              <w:fldChar w:fldCharType="begin"/>
            </w:r>
            <w:r>
              <w:instrText xml:space="preserve"> SEQ 表 \* ARABIC \s 1 </w:instrText>
            </w:r>
            <w:r>
              <w:fldChar w:fldCharType="separate"/>
            </w:r>
            <w:r>
              <w:t>17</w:t>
            </w:r>
            <w:r>
              <w:fldChar w:fldCharType="end"/>
            </w:r>
            <w:r>
              <w:rPr>
                <w:rFonts w:hint="eastAsia"/>
              </w:rPr>
              <w:t xml:space="preserve"> 项目主要风险识别一览表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978"/>
              <w:gridCol w:w="718"/>
              <w:gridCol w:w="3300"/>
              <w:gridCol w:w="1989"/>
            </w:tblGrid>
            <w:tr w14:paraId="6D21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dxa"/>
                  <w:tcBorders>
                    <w:tl2br w:val="nil"/>
                    <w:tr2bl w:val="nil"/>
                  </w:tcBorders>
                  <w:vAlign w:val="center"/>
                </w:tcPr>
                <w:p w14:paraId="6E98911E">
                  <w:pPr>
                    <w:pStyle w:val="24"/>
                    <w:rPr>
                      <w:b/>
                      <w:bCs/>
                    </w:rPr>
                  </w:pPr>
                  <w:r>
                    <w:rPr>
                      <w:b/>
                      <w:bCs/>
                    </w:rPr>
                    <w:t>序号</w:t>
                  </w:r>
                </w:p>
              </w:tc>
              <w:tc>
                <w:tcPr>
                  <w:tcW w:w="978" w:type="dxa"/>
                  <w:tcBorders>
                    <w:tl2br w:val="nil"/>
                    <w:tr2bl w:val="nil"/>
                  </w:tcBorders>
                  <w:vAlign w:val="center"/>
                </w:tcPr>
                <w:p w14:paraId="6E0418D7">
                  <w:pPr>
                    <w:pStyle w:val="24"/>
                    <w:rPr>
                      <w:b/>
                      <w:bCs/>
                    </w:rPr>
                  </w:pPr>
                  <w:r>
                    <w:rPr>
                      <w:b/>
                      <w:bCs/>
                    </w:rPr>
                    <w:t>事故类型</w:t>
                  </w:r>
                </w:p>
              </w:tc>
              <w:tc>
                <w:tcPr>
                  <w:tcW w:w="718" w:type="dxa"/>
                  <w:tcBorders>
                    <w:tl2br w:val="nil"/>
                    <w:tr2bl w:val="nil"/>
                  </w:tcBorders>
                  <w:vAlign w:val="center"/>
                </w:tcPr>
                <w:p w14:paraId="2E39F481">
                  <w:pPr>
                    <w:pStyle w:val="24"/>
                    <w:rPr>
                      <w:b/>
                      <w:bCs/>
                    </w:rPr>
                  </w:pPr>
                  <w:r>
                    <w:rPr>
                      <w:b/>
                      <w:bCs/>
                    </w:rPr>
                    <w:t>危险物质</w:t>
                  </w:r>
                </w:p>
              </w:tc>
              <w:tc>
                <w:tcPr>
                  <w:tcW w:w="3300" w:type="dxa"/>
                  <w:tcBorders>
                    <w:tl2br w:val="nil"/>
                    <w:tr2bl w:val="nil"/>
                  </w:tcBorders>
                  <w:vAlign w:val="center"/>
                </w:tcPr>
                <w:p w14:paraId="0065D135">
                  <w:pPr>
                    <w:pStyle w:val="24"/>
                    <w:rPr>
                      <w:b/>
                      <w:bCs/>
                    </w:rPr>
                  </w:pPr>
                  <w:r>
                    <w:rPr>
                      <w:b/>
                      <w:bCs/>
                    </w:rPr>
                    <w:t>危险位置/触发情况</w:t>
                  </w:r>
                </w:p>
              </w:tc>
              <w:tc>
                <w:tcPr>
                  <w:tcW w:w="1989" w:type="dxa"/>
                  <w:tcBorders>
                    <w:tl2br w:val="nil"/>
                    <w:tr2bl w:val="nil"/>
                  </w:tcBorders>
                  <w:vAlign w:val="center"/>
                </w:tcPr>
                <w:p w14:paraId="5D1797A6">
                  <w:pPr>
                    <w:pStyle w:val="24"/>
                    <w:rPr>
                      <w:b/>
                      <w:bCs/>
                    </w:rPr>
                  </w:pPr>
                  <w:r>
                    <w:rPr>
                      <w:b/>
                      <w:bCs/>
                    </w:rPr>
                    <w:t>后果</w:t>
                  </w:r>
                </w:p>
              </w:tc>
            </w:tr>
            <w:tr w14:paraId="5C67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dxa"/>
                  <w:tcBorders>
                    <w:tl2br w:val="nil"/>
                    <w:tr2bl w:val="nil"/>
                  </w:tcBorders>
                  <w:vAlign w:val="center"/>
                </w:tcPr>
                <w:p w14:paraId="3D2CC372">
                  <w:pPr>
                    <w:pStyle w:val="24"/>
                  </w:pPr>
                  <w:r>
                    <w:t>1</w:t>
                  </w:r>
                </w:p>
              </w:tc>
              <w:tc>
                <w:tcPr>
                  <w:tcW w:w="978" w:type="dxa"/>
                  <w:tcBorders>
                    <w:tl2br w:val="nil"/>
                    <w:tr2bl w:val="nil"/>
                  </w:tcBorders>
                  <w:vAlign w:val="center"/>
                </w:tcPr>
                <w:p w14:paraId="7952D370">
                  <w:pPr>
                    <w:pStyle w:val="24"/>
                  </w:pPr>
                  <w:r>
                    <w:t>泄漏</w:t>
                  </w:r>
                </w:p>
              </w:tc>
              <w:tc>
                <w:tcPr>
                  <w:tcW w:w="718" w:type="dxa"/>
                  <w:tcBorders>
                    <w:tl2br w:val="nil"/>
                    <w:tr2bl w:val="nil"/>
                  </w:tcBorders>
                  <w:vAlign w:val="center"/>
                </w:tcPr>
                <w:p w14:paraId="79866685">
                  <w:pPr>
                    <w:pStyle w:val="24"/>
                  </w:pPr>
                  <w:r>
                    <w:t>汽油、柴油</w:t>
                  </w:r>
                </w:p>
              </w:tc>
              <w:tc>
                <w:tcPr>
                  <w:tcW w:w="3300" w:type="dxa"/>
                  <w:tcBorders>
                    <w:tl2br w:val="nil"/>
                    <w:tr2bl w:val="nil"/>
                  </w:tcBorders>
                  <w:vAlign w:val="center"/>
                </w:tcPr>
                <w:p w14:paraId="3417FFD1">
                  <w:pPr>
                    <w:pStyle w:val="24"/>
                    <w:jc w:val="left"/>
                  </w:pPr>
                  <w:r>
                    <w:t>①输油管道腐蚀致使油类泄漏；</w:t>
                  </w:r>
                </w:p>
                <w:p w14:paraId="17BDC660">
                  <w:pPr>
                    <w:pStyle w:val="24"/>
                    <w:jc w:val="left"/>
                  </w:pPr>
                  <w:r>
                    <w:t>②由于施工或自然灾害而破坏输管道；</w:t>
                  </w:r>
                </w:p>
                <w:p w14:paraId="6670155C">
                  <w:pPr>
                    <w:pStyle w:val="24"/>
                    <w:jc w:val="left"/>
                  </w:pPr>
                  <w:r>
                    <w:t>③收发过程中，由于操作失误，致使油类</w:t>
                  </w:r>
                  <w:r>
                    <w:rPr>
                      <w:rFonts w:hint="eastAsia"/>
                    </w:rPr>
                    <w:t>、天然气</w:t>
                  </w:r>
                  <w:r>
                    <w:t>泄漏；</w:t>
                  </w:r>
                </w:p>
                <w:p w14:paraId="74F04502">
                  <w:pPr>
                    <w:pStyle w:val="24"/>
                    <w:jc w:val="left"/>
                  </w:pPr>
                  <w:r>
                    <w:t>④管道解接口不严，致使跑冒滴漏。</w:t>
                  </w:r>
                </w:p>
              </w:tc>
              <w:tc>
                <w:tcPr>
                  <w:tcW w:w="1989" w:type="dxa"/>
                  <w:vMerge w:val="restart"/>
                  <w:tcBorders>
                    <w:tl2br w:val="nil"/>
                    <w:tr2bl w:val="nil"/>
                  </w:tcBorders>
                  <w:vAlign w:val="center"/>
                </w:tcPr>
                <w:p w14:paraId="40944EB8">
                  <w:pPr>
                    <w:pStyle w:val="24"/>
                  </w:pPr>
                  <w:r>
                    <w:rPr>
                      <w:rFonts w:hint="eastAsia"/>
                    </w:rPr>
                    <w:t>废气：汽油、柴油挥发造成周边空气污染；火灾、爆炸释放有毒有害物质，造成空气污染。</w:t>
                  </w:r>
                </w:p>
                <w:p w14:paraId="149CBF64">
                  <w:pPr>
                    <w:pStyle w:val="24"/>
                  </w:pPr>
                  <w:r>
                    <w:rPr>
                      <w:rFonts w:hint="eastAsia"/>
                    </w:rPr>
                    <w:t>废水：火灾事故等状态下，消防废水等未经有效收集处理，直接排放，造成周边地表水污染土壤及地下水。</w:t>
                  </w:r>
                </w:p>
              </w:tc>
            </w:tr>
            <w:tr w14:paraId="06DD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dxa"/>
                  <w:tcBorders>
                    <w:tl2br w:val="nil"/>
                    <w:tr2bl w:val="nil"/>
                  </w:tcBorders>
                  <w:vAlign w:val="center"/>
                </w:tcPr>
                <w:p w14:paraId="781B6815">
                  <w:pPr>
                    <w:pStyle w:val="24"/>
                  </w:pPr>
                  <w:r>
                    <w:t>2</w:t>
                  </w:r>
                </w:p>
              </w:tc>
              <w:tc>
                <w:tcPr>
                  <w:tcW w:w="978" w:type="dxa"/>
                  <w:tcBorders>
                    <w:tl2br w:val="nil"/>
                    <w:tr2bl w:val="nil"/>
                  </w:tcBorders>
                  <w:vAlign w:val="center"/>
                </w:tcPr>
                <w:p w14:paraId="4E74F819">
                  <w:pPr>
                    <w:pStyle w:val="24"/>
                  </w:pPr>
                  <w:r>
                    <w:t>火灾爆炸</w:t>
                  </w:r>
                </w:p>
              </w:tc>
              <w:tc>
                <w:tcPr>
                  <w:tcW w:w="718" w:type="dxa"/>
                  <w:tcBorders>
                    <w:tl2br w:val="nil"/>
                    <w:tr2bl w:val="nil"/>
                  </w:tcBorders>
                  <w:vAlign w:val="center"/>
                </w:tcPr>
                <w:p w14:paraId="785EA454">
                  <w:pPr>
                    <w:pStyle w:val="24"/>
                  </w:pPr>
                  <w:r>
                    <w:t>汽油、柴油</w:t>
                  </w:r>
                </w:p>
              </w:tc>
              <w:tc>
                <w:tcPr>
                  <w:tcW w:w="3300" w:type="dxa"/>
                  <w:tcBorders>
                    <w:tl2br w:val="nil"/>
                    <w:tr2bl w:val="nil"/>
                  </w:tcBorders>
                  <w:vAlign w:val="center"/>
                </w:tcPr>
                <w:p w14:paraId="61D33522">
                  <w:pPr>
                    <w:pStyle w:val="24"/>
                    <w:jc w:val="left"/>
                  </w:pPr>
                  <w:r>
                    <w:t>①油品泄漏或油气蒸发；</w:t>
                  </w:r>
                </w:p>
                <w:p w14:paraId="7EAA34B0">
                  <w:pPr>
                    <w:pStyle w:val="24"/>
                    <w:jc w:val="left"/>
                  </w:pPr>
                  <w:r>
                    <w:t>②足够空气助燃；</w:t>
                  </w:r>
                </w:p>
                <w:p w14:paraId="62B42DE2">
                  <w:pPr>
                    <w:pStyle w:val="24"/>
                    <w:jc w:val="left"/>
                  </w:pPr>
                  <w:r>
                    <w:t>③油气与空气混合，达到一定浓</w:t>
                  </w:r>
                  <w:r>
                    <w:rPr>
                      <w:rFonts w:hint="eastAsia"/>
                    </w:rPr>
                    <w:t>度。</w:t>
                  </w:r>
                </w:p>
              </w:tc>
              <w:tc>
                <w:tcPr>
                  <w:tcW w:w="1989" w:type="dxa"/>
                  <w:vMerge w:val="continue"/>
                  <w:tcBorders>
                    <w:tl2br w:val="nil"/>
                    <w:tr2bl w:val="nil"/>
                  </w:tcBorders>
                  <w:vAlign w:val="center"/>
                </w:tcPr>
                <w:p w14:paraId="35513150">
                  <w:pPr>
                    <w:pStyle w:val="24"/>
                  </w:pPr>
                </w:p>
              </w:tc>
            </w:tr>
          </w:tbl>
          <w:p w14:paraId="7B9E77DC">
            <w:pPr>
              <w:widowControl/>
              <w:snapToGrid w:val="0"/>
              <w:ind w:firstLine="480" w:firstLineChars="200"/>
              <w:jc w:val="left"/>
              <w:rPr>
                <w:bCs/>
              </w:rPr>
            </w:pPr>
            <w:r>
              <w:rPr>
                <w:rFonts w:hint="eastAsia"/>
                <w:bCs/>
              </w:rPr>
              <w:t>本项目按</w:t>
            </w:r>
            <w:r>
              <w:t>《汽车加油加气</w:t>
            </w:r>
            <w:r>
              <w:rPr>
                <w:rFonts w:hint="eastAsia"/>
              </w:rPr>
              <w:t>加氢</w:t>
            </w:r>
            <w:r>
              <w:t>站</w:t>
            </w:r>
            <w:r>
              <w:rPr>
                <w:rFonts w:hint="eastAsia"/>
              </w:rPr>
              <w:t>技术标准</w:t>
            </w:r>
            <w:r>
              <w:t>》（GB50156-2021）</w:t>
            </w:r>
            <w:r>
              <w:rPr>
                <w:rFonts w:hint="eastAsia"/>
                <w:bCs/>
              </w:rPr>
              <w:t>进行设计，对站区的消防设施，电气、报警和紧急切断系统采取了必要的防范措施和控制手段。另外，本项目油品储罐采用埋地卧式双层储罐，根据规范，该类埋地卧式储罐比较安全，发生火灾及爆炸的概率较低。但由于储罐破裂，接管不良，或操作不当，容易造成汽（柴）油泄漏，污染环境。</w:t>
            </w:r>
          </w:p>
          <w:p w14:paraId="09692FE8">
            <w:pPr>
              <w:widowControl/>
              <w:snapToGrid w:val="0"/>
              <w:ind w:firstLine="480" w:firstLineChars="200"/>
              <w:jc w:val="left"/>
              <w:rPr>
                <w:bCs/>
              </w:rPr>
            </w:pPr>
            <w:r>
              <w:rPr>
                <w:rFonts w:hint="eastAsia"/>
                <w:bCs/>
              </w:rPr>
              <w:t>综上所述，本项目最大可能事故为油品储罐或输油输气管线发生泄漏，以及可能由此引发的火灾爆炸事故。</w:t>
            </w:r>
          </w:p>
          <w:p w14:paraId="235F89DC">
            <w:pPr>
              <w:widowControl/>
              <w:snapToGrid w:val="0"/>
              <w:ind w:firstLine="240" w:firstLineChars="100"/>
              <w:jc w:val="left"/>
              <w:rPr>
                <w:bCs/>
              </w:rPr>
            </w:pPr>
            <w:r>
              <w:rPr>
                <w:rFonts w:hint="eastAsia"/>
                <w:bCs/>
              </w:rPr>
              <w:t>3、</w:t>
            </w:r>
            <w:r>
              <w:rPr>
                <w:bCs/>
              </w:rPr>
              <w:t>风险识别内容</w:t>
            </w:r>
          </w:p>
          <w:p w14:paraId="233887B4">
            <w:pPr>
              <w:widowControl/>
              <w:snapToGrid w:val="0"/>
              <w:ind w:firstLine="480" w:firstLineChars="200"/>
              <w:jc w:val="left"/>
              <w:rPr>
                <w:bCs/>
              </w:rPr>
            </w:pPr>
            <w:r>
              <w:rPr>
                <w:bCs/>
              </w:rPr>
              <w:t>建设项目在事故或者在非正常工况下对周边环境产生影响主要为：</w:t>
            </w:r>
            <w:r>
              <w:rPr>
                <w:rFonts w:hint="eastAsia"/>
                <w:bCs/>
              </w:rPr>
              <w:t>油品发生泄漏，以及可能由此引发的火灾爆炸事故。</w:t>
            </w:r>
          </w:p>
          <w:p w14:paraId="4ABAC281">
            <w:pPr>
              <w:widowControl/>
              <w:snapToGrid w:val="0"/>
              <w:ind w:firstLine="240" w:firstLineChars="100"/>
              <w:jc w:val="left"/>
              <w:rPr>
                <w:bCs/>
              </w:rPr>
            </w:pPr>
            <w:r>
              <w:rPr>
                <w:rFonts w:hint="eastAsia"/>
                <w:bCs/>
              </w:rPr>
              <w:t>4、</w:t>
            </w:r>
            <w:r>
              <w:rPr>
                <w:bCs/>
              </w:rPr>
              <w:t>环境风险分析</w:t>
            </w:r>
          </w:p>
          <w:p w14:paraId="79C4BEF4">
            <w:pPr>
              <w:widowControl/>
              <w:snapToGrid w:val="0"/>
              <w:ind w:firstLine="480" w:firstLineChars="200"/>
              <w:jc w:val="left"/>
              <w:rPr>
                <w:bCs/>
              </w:rPr>
            </w:pPr>
            <w:r>
              <w:rPr>
                <w:rFonts w:hint="eastAsia"/>
                <w:bCs/>
              </w:rPr>
              <w:t>（1）</w:t>
            </w:r>
            <w:r>
              <w:rPr>
                <w:bCs/>
              </w:rPr>
              <w:t>对大气环境的影响</w:t>
            </w:r>
          </w:p>
          <w:p w14:paraId="0BDE8CA8">
            <w:pPr>
              <w:widowControl/>
              <w:snapToGrid w:val="0"/>
              <w:ind w:firstLine="480" w:firstLineChars="200"/>
              <w:jc w:val="left"/>
              <w:rPr>
                <w:bCs/>
              </w:rPr>
            </w:pPr>
            <w:r>
              <w:rPr>
                <w:bCs/>
              </w:rPr>
              <w:t>①泄漏影响分析</w:t>
            </w:r>
          </w:p>
          <w:p w14:paraId="73C6BFCD">
            <w:pPr>
              <w:widowControl/>
              <w:snapToGrid w:val="0"/>
              <w:ind w:firstLine="480" w:firstLineChars="200"/>
              <w:jc w:val="left"/>
              <w:rPr>
                <w:bCs/>
              </w:rPr>
            </w:pPr>
            <w:r>
              <w:rPr>
                <w:bCs/>
              </w:rPr>
              <w:t>根据国内外的研究，对于突发性的事故溢油，油品溢出后在地面呈不规则的面源分布，油品的挥发速度重要影响因素为油品蒸汽压、现场风速、油品溢出面积、油品蒸汽分子平均重度。本项目储油罐采用埋地式储油罐工艺，加油站一旦发生渗漏与溢出事故，由于项目采取了防渗漏观察井等渗漏溢出检测设施，因此可及时发现储油罐渗漏，油品渗漏量较小，此外，油罐区内的油罐为双层油罐，故在油罐发生泄漏时，经通过罐体之间的空隙进行收集，不会造成大面积的扩散，对大气环境影响小。</w:t>
            </w:r>
          </w:p>
          <w:p w14:paraId="2AB91336">
            <w:pPr>
              <w:widowControl/>
              <w:snapToGrid w:val="0"/>
              <w:ind w:firstLine="480" w:firstLineChars="200"/>
              <w:jc w:val="left"/>
              <w:rPr>
                <w:bCs/>
              </w:rPr>
            </w:pPr>
            <w:r>
              <w:rPr>
                <w:bCs/>
              </w:rPr>
              <w:t>②火灾、爆炸影响分析</w:t>
            </w:r>
          </w:p>
          <w:p w14:paraId="1922BC49">
            <w:pPr>
              <w:widowControl/>
              <w:snapToGrid w:val="0"/>
              <w:ind w:firstLine="480" w:firstLineChars="200"/>
              <w:jc w:val="left"/>
              <w:rPr>
                <w:bCs/>
              </w:rPr>
            </w:pPr>
            <w:r>
              <w:rPr>
                <w:bCs/>
              </w:rPr>
              <w:t>汽油、柴油为碳氢化合物，分解产物为一氧化碳CO、CO</w:t>
            </w:r>
            <w:r>
              <w:rPr>
                <w:bCs/>
                <w:vertAlign w:val="subscript"/>
              </w:rPr>
              <w:t>2</w:t>
            </w:r>
            <w:r>
              <w:rPr>
                <w:bCs/>
              </w:rPr>
              <w:t>及水，其中完全燃烧时产生CO</w:t>
            </w:r>
            <w:r>
              <w:rPr>
                <w:bCs/>
                <w:vertAlign w:val="subscript"/>
              </w:rPr>
              <w:t>2</w:t>
            </w:r>
            <w:r>
              <w:rPr>
                <w:bCs/>
              </w:rPr>
              <w:t>，不完全燃烧时产生CO。CO在大气中比较稳定，不易与其他物质产生化学反应，但当CO浓度过高时，人在这种环境下待的时间较长，就会出现晕眩、头痛、怠倦的现象，CO对人的主要危害就是引起组织缺氧，导致急性或者慢性中毒甚至有死亡的威胁。此外，CO还可能造成听力与视力的损害，比如视野的减小或者听力的丧失。二氧化碳对环境影响主要为温室效应。根据前面分析，加油站出现火灾、爆炸事故概率较小，排放CO、CO</w:t>
            </w:r>
            <w:r>
              <w:rPr>
                <w:bCs/>
                <w:vertAlign w:val="subscript"/>
              </w:rPr>
              <w:t>2</w:t>
            </w:r>
            <w:r>
              <w:rPr>
                <w:bCs/>
              </w:rPr>
              <w:t>经大气稀释、扩散后对周边大气环境影响较小</w:t>
            </w:r>
            <w:r>
              <w:rPr>
                <w:rFonts w:hint="eastAsia"/>
                <w:bCs/>
              </w:rPr>
              <w:t>。</w:t>
            </w:r>
          </w:p>
          <w:p w14:paraId="649E02CD">
            <w:pPr>
              <w:widowControl/>
              <w:snapToGrid w:val="0"/>
              <w:ind w:firstLine="480" w:firstLineChars="200"/>
              <w:jc w:val="left"/>
              <w:rPr>
                <w:bCs/>
              </w:rPr>
            </w:pPr>
            <w:r>
              <w:rPr>
                <w:rFonts w:hint="eastAsia"/>
                <w:bCs/>
              </w:rPr>
              <w:t>（2）</w:t>
            </w:r>
            <w:r>
              <w:rPr>
                <w:bCs/>
              </w:rPr>
              <w:t>对</w:t>
            </w:r>
            <w:r>
              <w:rPr>
                <w:rFonts w:hint="eastAsia"/>
                <w:bCs/>
              </w:rPr>
              <w:t>地表水</w:t>
            </w:r>
            <w:r>
              <w:rPr>
                <w:bCs/>
              </w:rPr>
              <w:t>环境的影响</w:t>
            </w:r>
          </w:p>
          <w:p w14:paraId="1CDE5ADA">
            <w:pPr>
              <w:widowControl/>
              <w:snapToGrid w:val="0"/>
              <w:ind w:firstLine="480" w:firstLineChars="200"/>
              <w:jc w:val="left"/>
              <w:rPr>
                <w:bCs/>
              </w:rPr>
            </w:pPr>
            <w:r>
              <w:rPr>
                <w:bCs/>
              </w:rPr>
              <w:t>①泄漏影响分析</w:t>
            </w:r>
          </w:p>
          <w:p w14:paraId="195011A6">
            <w:pPr>
              <w:widowControl/>
              <w:snapToGrid w:val="0"/>
              <w:ind w:firstLine="480" w:firstLineChars="200"/>
              <w:jc w:val="left"/>
              <w:rPr>
                <w:bCs/>
              </w:rPr>
            </w:pPr>
            <w:r>
              <w:rPr>
                <w:bCs/>
              </w:rPr>
              <w:t>泄漏或渗漏的成品油一旦进入地表河流，将造成地表河流的污染，影响范围小到几公里大到几十公里。污染首先将造成</w:t>
            </w:r>
            <w:r>
              <w:rPr>
                <w:rFonts w:hint="eastAsia"/>
                <w:bCs/>
              </w:rPr>
              <w:t>最近的</w:t>
            </w:r>
            <w:r>
              <w:rPr>
                <w:bCs/>
              </w:rPr>
              <w:t>地表河流的破坏，产生严重的刺鼻气味；其次，由于有机烃类物质难溶于水，大部分上浮在水层表面，形成一层油膜使空气与水隔离，造成水中溶解氧浓度降低，逐渐形成死水，致使水中生物死亡；再次，成品油的主要成分是C</w:t>
            </w:r>
            <w:r>
              <w:rPr>
                <w:bCs/>
                <w:vertAlign w:val="subscript"/>
              </w:rPr>
              <w:t>4</w:t>
            </w:r>
            <w:r>
              <w:rPr>
                <w:bCs/>
              </w:rPr>
              <w:t>～C</w:t>
            </w:r>
            <w:r>
              <w:rPr>
                <w:bCs/>
                <w:vertAlign w:val="subscript"/>
              </w:rPr>
              <w:t>9</w:t>
            </w:r>
            <w:r>
              <w:rPr>
                <w:bCs/>
              </w:rPr>
              <w:t>烃类、芳烃类、醇酮类以卤代烃类有机物，一旦破坏水环境，由于可生化性较差，造成被污染水体长时间得不到净化，完全恢复则需要十几年，甚至几十年的时间。项目油罐区内油罐内采用双层油罐，并安装双层罐泄漏检测仪，对各个油罐进行24小时连续监控，一旦发生泄漏，就会发现，并及时采取措施，不会进入地表水体，对地表水环境产生影响小。</w:t>
            </w:r>
          </w:p>
          <w:p w14:paraId="2FC1C67A">
            <w:pPr>
              <w:widowControl/>
              <w:snapToGrid w:val="0"/>
              <w:ind w:firstLine="480" w:firstLineChars="200"/>
              <w:jc w:val="left"/>
              <w:rPr>
                <w:bCs/>
              </w:rPr>
            </w:pPr>
            <w:r>
              <w:rPr>
                <w:bCs/>
              </w:rPr>
              <w:t>②火灾、爆炸次生环境影响分析</w:t>
            </w:r>
          </w:p>
          <w:p w14:paraId="37E80080">
            <w:pPr>
              <w:widowControl/>
              <w:snapToGrid w:val="0"/>
              <w:ind w:firstLine="480" w:firstLineChars="200"/>
              <w:jc w:val="left"/>
              <w:rPr>
                <w:bCs/>
              </w:rPr>
            </w:pPr>
            <w:r>
              <w:rPr>
                <w:bCs/>
              </w:rPr>
              <w:t>汽油</w:t>
            </w:r>
            <w:r>
              <w:rPr>
                <w:rFonts w:hint="eastAsia"/>
                <w:bCs/>
              </w:rPr>
              <w:t>、</w:t>
            </w:r>
            <w:r>
              <w:rPr>
                <w:bCs/>
              </w:rPr>
              <w:t>柴油燃烧、爆炸产生污染物主要为CO和CO</w:t>
            </w:r>
            <w:r>
              <w:rPr>
                <w:bCs/>
                <w:vertAlign w:val="subscript"/>
              </w:rPr>
              <w:t>2</w:t>
            </w:r>
            <w:r>
              <w:rPr>
                <w:bCs/>
              </w:rPr>
              <w:t>，两种物质均不溶于水。项目站内布设灭火器均为干粉灭火器及消防沙箱，发生火灾及灭火过程中项目内不会产生废水。但灭火后的地面清洗废水中含有大量污染物，若不采取有效措施，泄漏物、事故伴生、次生废水未经有效处理通过雨水收集排放系统直接流入周边水体，严重影响地表水体水质。因此，环评要求建设单位灭火后的地面清洗通过控制用水的方式来降低废水产生量，清洗废水经现有雨水沟收集后排入</w:t>
            </w:r>
            <w:r>
              <w:rPr>
                <w:rFonts w:hint="eastAsia"/>
                <w:bCs/>
              </w:rPr>
              <w:t>三级油水分离池</w:t>
            </w:r>
            <w:r>
              <w:rPr>
                <w:bCs/>
              </w:rPr>
              <w:t>，经</w:t>
            </w:r>
            <w:r>
              <w:rPr>
                <w:rFonts w:hint="eastAsia"/>
                <w:bCs/>
              </w:rPr>
              <w:t>隔油</w:t>
            </w:r>
            <w:r>
              <w:rPr>
                <w:bCs/>
              </w:rPr>
              <w:t>处理后方可外排。采取上述措施后，项目发生火灾、爆炸事故后对周围水环境影响不大</w:t>
            </w:r>
            <w:r>
              <w:rPr>
                <w:rFonts w:hint="eastAsia"/>
                <w:bCs/>
              </w:rPr>
              <w:t>。</w:t>
            </w:r>
          </w:p>
          <w:p w14:paraId="5A680198">
            <w:pPr>
              <w:widowControl/>
              <w:snapToGrid w:val="0"/>
              <w:ind w:firstLine="480" w:firstLineChars="200"/>
              <w:jc w:val="left"/>
              <w:rPr>
                <w:bCs/>
              </w:rPr>
            </w:pPr>
            <w:r>
              <w:rPr>
                <w:rFonts w:hint="eastAsia"/>
                <w:bCs/>
              </w:rPr>
              <w:t>（3）</w:t>
            </w:r>
            <w:r>
              <w:rPr>
                <w:bCs/>
              </w:rPr>
              <w:t>对地下水环境影响</w:t>
            </w:r>
          </w:p>
          <w:p w14:paraId="63120EEA">
            <w:pPr>
              <w:widowControl/>
              <w:snapToGrid w:val="0"/>
              <w:ind w:firstLine="480" w:firstLineChars="200"/>
              <w:jc w:val="left"/>
              <w:rPr>
                <w:bCs/>
                <w:color w:val="0000FF"/>
              </w:rPr>
            </w:pPr>
            <w:r>
              <w:rPr>
                <w:rFonts w:hint="eastAsia"/>
                <w:kern w:val="0"/>
                <w:szCs w:val="22"/>
              </w:rPr>
              <w:t>类比同类型综合能源站项目对非正常状况下的地下水环境影响预测分析，由于油类物质具有滞留性质，部分污染物还会较长时间残存素填土中，经过一段时间的径流后，会对地下水产生一定程度的污染，但由于素填土的渗透系数较小，石油类污染物的渗透、径流速度较慢，对地下水的迳流、排泄速度也较慢，对地下水的影响较小。上层孔隙水水受污染后，由于存在土壤的吸附等作用，加之地下水的循环交替速度较慢，石油类污染物对地下水的影响是长期持久而且难于彻底治理、恢复，其对地下水迳流方向的下游地下水环境将造成一定程度的长期环境污染。</w:t>
            </w:r>
          </w:p>
          <w:p w14:paraId="46D31A06">
            <w:pPr>
              <w:widowControl/>
              <w:snapToGrid w:val="0"/>
              <w:ind w:firstLine="240" w:firstLineChars="100"/>
              <w:jc w:val="left"/>
              <w:rPr>
                <w:bCs/>
              </w:rPr>
            </w:pPr>
            <w:r>
              <w:rPr>
                <w:rFonts w:hint="eastAsia"/>
                <w:bCs/>
              </w:rPr>
              <w:t>5、</w:t>
            </w:r>
            <w:r>
              <w:rPr>
                <w:bCs/>
              </w:rPr>
              <w:t>环境风险防范措施</w:t>
            </w:r>
          </w:p>
          <w:p w14:paraId="2B9A2B0D">
            <w:pPr>
              <w:widowControl/>
              <w:snapToGrid w:val="0"/>
              <w:ind w:firstLine="480" w:firstLineChars="200"/>
              <w:jc w:val="left"/>
              <w:rPr>
                <w:bCs/>
              </w:rPr>
            </w:pPr>
            <w:r>
              <w:rPr>
                <w:rFonts w:hint="eastAsia"/>
                <w:bCs/>
              </w:rPr>
              <w:t>（1）</w:t>
            </w:r>
            <w:r>
              <w:rPr>
                <w:bCs/>
              </w:rPr>
              <w:t>站区总体风险防范措施</w:t>
            </w:r>
          </w:p>
          <w:p w14:paraId="54726784">
            <w:pPr>
              <w:widowControl/>
              <w:snapToGrid w:val="0"/>
              <w:ind w:firstLine="480" w:firstLineChars="200"/>
              <w:jc w:val="left"/>
              <w:rPr>
                <w:bCs/>
              </w:rPr>
            </w:pPr>
            <w:r>
              <w:rPr>
                <w:bCs/>
              </w:rPr>
              <w:t>①建立事故管理和应急计划，设立站内急救指挥小组，并和当地有关化学事故急救部门建立正常的定期联系。</w:t>
            </w:r>
          </w:p>
          <w:p w14:paraId="43FA0BF8">
            <w:pPr>
              <w:widowControl/>
              <w:snapToGrid w:val="0"/>
              <w:ind w:firstLine="480" w:firstLineChars="200"/>
              <w:jc w:val="left"/>
              <w:rPr>
                <w:bCs/>
              </w:rPr>
            </w:pPr>
            <w:r>
              <w:rPr>
                <w:bCs/>
              </w:rPr>
              <w:t>②应建立各类事故的处理预案，一旦事故发生可迅速进行处理。当事故发生后，疏散人员至安全区，禁止无关人员进入污染区，应急处理人员穿化学防护服，确保安全条件下处理。</w:t>
            </w:r>
          </w:p>
          <w:p w14:paraId="6AA9FAD7">
            <w:pPr>
              <w:widowControl/>
              <w:snapToGrid w:val="0"/>
              <w:ind w:firstLine="480" w:firstLineChars="200"/>
              <w:jc w:val="left"/>
              <w:rPr>
                <w:bCs/>
              </w:rPr>
            </w:pPr>
            <w:r>
              <w:rPr>
                <w:bCs/>
              </w:rPr>
              <w:t>③罐区严禁存放火种和油脂、易燃易爆物，远离热源，设置</w:t>
            </w:r>
            <w:r>
              <w:rPr>
                <w:rFonts w:hint="eastAsia"/>
                <w:bCs/>
              </w:rPr>
              <w:t>“</w:t>
            </w:r>
            <w:r>
              <w:rPr>
                <w:bCs/>
              </w:rPr>
              <w:t>危险、禁止烟火</w:t>
            </w:r>
            <w:r>
              <w:rPr>
                <w:rFonts w:hint="eastAsia"/>
                <w:bCs/>
              </w:rPr>
              <w:t>”</w:t>
            </w:r>
            <w:r>
              <w:rPr>
                <w:bCs/>
              </w:rPr>
              <w:t>等标志。</w:t>
            </w:r>
          </w:p>
          <w:p w14:paraId="1608EA77">
            <w:pPr>
              <w:widowControl/>
              <w:snapToGrid w:val="0"/>
              <w:ind w:firstLine="480" w:firstLineChars="200"/>
              <w:jc w:val="left"/>
              <w:rPr>
                <w:bCs/>
              </w:rPr>
            </w:pPr>
            <w:r>
              <w:rPr>
                <w:bCs/>
              </w:rPr>
              <w:t>④备有一定数量灭火器材并保持有效状态以及防毒面具等气防设备。</w:t>
            </w:r>
          </w:p>
          <w:p w14:paraId="6F17A155">
            <w:pPr>
              <w:widowControl/>
              <w:snapToGrid w:val="0"/>
              <w:ind w:firstLine="480" w:firstLineChars="200"/>
              <w:jc w:val="left"/>
              <w:rPr>
                <w:bCs/>
              </w:rPr>
            </w:pPr>
            <w:r>
              <w:rPr>
                <w:rFonts w:hint="eastAsia" w:ascii="宋体" w:hAnsi="宋体" w:cs="宋体"/>
                <w:bCs/>
              </w:rPr>
              <w:t>⑤</w:t>
            </w:r>
            <w:r>
              <w:rPr>
                <w:bCs/>
              </w:rPr>
              <w:t>严格按照我国有关劳动安全、环保与卫生的规范和标准，在设计、施工和运行过程中必须针对可能存在的不安全、不卫生而采取相应的安全防卫措施，消除事故隐患。</w:t>
            </w:r>
          </w:p>
          <w:p w14:paraId="78952C5E">
            <w:pPr>
              <w:widowControl/>
              <w:snapToGrid w:val="0"/>
              <w:ind w:firstLine="480" w:firstLineChars="200"/>
              <w:jc w:val="left"/>
              <w:rPr>
                <w:bCs/>
              </w:rPr>
            </w:pPr>
            <w:r>
              <w:rPr>
                <w:rFonts w:hint="eastAsia" w:ascii="宋体" w:hAnsi="宋体" w:cs="宋体"/>
                <w:bCs/>
              </w:rPr>
              <w:t>⑥</w:t>
            </w:r>
            <w:r>
              <w:rPr>
                <w:bCs/>
              </w:rPr>
              <w:t>加强设备（包括各种安全仪表）的维修、保养，杜绝由于设备劳损、折旧带来的事故隐患。</w:t>
            </w:r>
          </w:p>
          <w:p w14:paraId="0DD400F9">
            <w:pPr>
              <w:widowControl/>
              <w:snapToGrid w:val="0"/>
              <w:ind w:firstLine="480" w:firstLineChars="200"/>
              <w:jc w:val="left"/>
              <w:rPr>
                <w:bCs/>
              </w:rPr>
            </w:pPr>
            <w:r>
              <w:rPr>
                <w:rFonts w:hint="eastAsia" w:ascii="宋体" w:hAnsi="宋体" w:cs="宋体"/>
                <w:bCs/>
              </w:rPr>
              <w:t>⑦</w:t>
            </w:r>
            <w:r>
              <w:rPr>
                <w:bCs/>
              </w:rPr>
              <w:t>加强对职工的教育培训，实行上岗证制度，增强职工风险意识，提高事故自救能力，制定和强化各种安全管理、安全生产的规程，减少人为风险事故（如误操作）的发生。</w:t>
            </w:r>
          </w:p>
          <w:p w14:paraId="1935F673">
            <w:pPr>
              <w:widowControl/>
              <w:snapToGrid w:val="0"/>
              <w:ind w:firstLine="480" w:firstLineChars="200"/>
              <w:jc w:val="left"/>
              <w:rPr>
                <w:bCs/>
              </w:rPr>
            </w:pPr>
            <w:r>
              <w:rPr>
                <w:rFonts w:hint="eastAsia"/>
                <w:bCs/>
              </w:rPr>
              <w:t>（2）</w:t>
            </w:r>
            <w:r>
              <w:rPr>
                <w:bCs/>
              </w:rPr>
              <w:t xml:space="preserve">油料储存及使用过程中事故防范措施 </w:t>
            </w:r>
          </w:p>
          <w:p w14:paraId="463C50C6">
            <w:pPr>
              <w:widowControl/>
              <w:snapToGrid w:val="0"/>
              <w:ind w:firstLine="480" w:firstLineChars="200"/>
              <w:jc w:val="left"/>
              <w:rPr>
                <w:bCs/>
              </w:rPr>
            </w:pPr>
            <w:r>
              <w:rPr>
                <w:bCs/>
              </w:rPr>
              <w:t>①建立健全并严格执行防火防爆的规章制度，严格遵守各项操作规程。</w:t>
            </w:r>
          </w:p>
          <w:p w14:paraId="12F3A236">
            <w:pPr>
              <w:widowControl/>
              <w:snapToGrid w:val="0"/>
              <w:ind w:firstLine="480" w:firstLineChars="200"/>
              <w:jc w:val="left"/>
              <w:rPr>
                <w:bCs/>
              </w:rPr>
            </w:pPr>
            <w:r>
              <w:rPr>
                <w:bCs/>
              </w:rPr>
              <w:t>②消防系统安全防范措施。</w:t>
            </w:r>
          </w:p>
          <w:p w14:paraId="27A2A2C6">
            <w:pPr>
              <w:widowControl/>
              <w:snapToGrid w:val="0"/>
              <w:ind w:firstLine="480" w:firstLineChars="200"/>
              <w:jc w:val="left"/>
              <w:rPr>
                <w:bCs/>
              </w:rPr>
            </w:pPr>
            <w:r>
              <w:rPr>
                <w:bCs/>
              </w:rPr>
              <w:t>③加油站的灭火器材配置：干粉灭火器、手提式泡沫灭火器、推车式干粉灭火器、沙池和灭火毯均严格执行</w:t>
            </w:r>
            <w:r>
              <w:t>《汽车加油加气</w:t>
            </w:r>
            <w:r>
              <w:rPr>
                <w:rFonts w:hint="eastAsia"/>
              </w:rPr>
              <w:t>加氢</w:t>
            </w:r>
            <w:r>
              <w:t>站</w:t>
            </w:r>
            <w:r>
              <w:rPr>
                <w:rFonts w:hint="eastAsia"/>
              </w:rPr>
              <w:t>技术标准</w:t>
            </w:r>
            <w:r>
              <w:t>》（GB50156-2021）</w:t>
            </w:r>
            <w:r>
              <w:rPr>
                <w:bCs/>
              </w:rPr>
              <w:t>和《建筑灭火器配置设计规范》（GB50140-2005）的规定。</w:t>
            </w:r>
          </w:p>
          <w:p w14:paraId="254B3F67">
            <w:pPr>
              <w:widowControl/>
              <w:snapToGrid w:val="0"/>
              <w:ind w:firstLine="480" w:firstLineChars="200"/>
              <w:jc w:val="left"/>
              <w:rPr>
                <w:bCs/>
              </w:rPr>
            </w:pPr>
            <w:r>
              <w:rPr>
                <w:bCs/>
              </w:rPr>
              <w:t>④防火围堰：要求项目工作区和油罐区四周设置防火堤，内设分隔堤，罐区地表铺设防渗材料。堤内容积可将储罐一旦破裂流出泄漏液和消防水截留在堤内，可避免贮液流失和火灾蔓延。</w:t>
            </w:r>
          </w:p>
          <w:p w14:paraId="52CC121B">
            <w:pPr>
              <w:ind w:firstLine="480" w:firstLineChars="200"/>
            </w:pPr>
            <w:r>
              <w:rPr>
                <w:rFonts w:hint="eastAsia" w:ascii="宋体" w:hAnsi="宋体" w:cs="宋体"/>
                <w:bCs/>
              </w:rPr>
              <w:t>⑤</w:t>
            </w:r>
            <w:r>
              <w:rPr>
                <w:bCs/>
              </w:rPr>
              <w:t>工艺技术、电气安全防范措施：管道的法兰、阀门密封处、油泵轴封处，汽车装车栈台和装卸臂等处应采取措施防止发生跑冒滴漏，易燃品禁止带入库区。电气设备均有保护接零和接地所有设备和管道均作可靠静电接地。考虑直</w:t>
            </w:r>
            <w:r>
              <w:t>接雷击和感应雷击，设置必要的避雷装置并可靠接地。为防止静电积聚和放电，除设备管道有良好的静电接地外，操作人员必要时穿防静电工作服和鞋，罐区入口处设置消除人体静电装置。</w:t>
            </w:r>
          </w:p>
          <w:p w14:paraId="79DF7EC8">
            <w:pPr>
              <w:ind w:firstLine="480" w:firstLineChars="200"/>
            </w:pPr>
            <w:r>
              <w:rPr>
                <w:rFonts w:hint="eastAsia"/>
              </w:rPr>
              <w:t>（3）消防、电气安全防范措施</w:t>
            </w:r>
          </w:p>
          <w:p w14:paraId="0E0FAADB">
            <w:pPr>
              <w:ind w:firstLine="480" w:firstLineChars="200"/>
            </w:pPr>
            <w:r>
              <w:rPr>
                <w:rFonts w:hint="eastAsia"/>
              </w:rPr>
              <w:t>①油品储罐按要求进行设计并通过验收；</w:t>
            </w:r>
          </w:p>
          <w:p w14:paraId="0A1A5221">
            <w:pPr>
              <w:ind w:firstLine="480" w:firstLineChars="200"/>
            </w:pPr>
            <w:r>
              <w:rPr>
                <w:rFonts w:hint="eastAsia"/>
              </w:rPr>
              <w:t>②站区按要求进行设计和建设并通过消防验收；</w:t>
            </w:r>
          </w:p>
          <w:p w14:paraId="2ECD62CD">
            <w:pPr>
              <w:ind w:firstLine="480" w:firstLineChars="200"/>
            </w:pPr>
            <w:r>
              <w:rPr>
                <w:rFonts w:hint="eastAsia"/>
              </w:rPr>
              <w:t>③站区内的所有电气设备、照明灯具均应选用隔爆型；</w:t>
            </w:r>
          </w:p>
          <w:p w14:paraId="18542FC3">
            <w:pPr>
              <w:ind w:firstLine="480" w:firstLineChars="200"/>
            </w:pPr>
            <w:r>
              <w:rPr>
                <w:rFonts w:hint="eastAsia"/>
              </w:rPr>
              <w:t>④管道及设备采用可靠接地；</w:t>
            </w:r>
          </w:p>
          <w:p w14:paraId="70B904C8">
            <w:pPr>
              <w:ind w:firstLine="480" w:firstLineChars="200"/>
            </w:pPr>
            <w:r>
              <w:rPr>
                <w:rFonts w:hint="eastAsia"/>
              </w:rPr>
              <w:t>⑤按规范配置足够的灭火器材，消防器材应由专业人员管理，并定期组织检验、维修，确保消防设施和器材的完好、有效并能随时取用，防雨防晒；</w:t>
            </w:r>
          </w:p>
          <w:p w14:paraId="04F96EA9">
            <w:pPr>
              <w:ind w:firstLine="480" w:firstLineChars="200"/>
            </w:pPr>
            <w:r>
              <w:rPr>
                <w:rFonts w:hint="eastAsia"/>
              </w:rPr>
              <w:t>⑥按规定接入消防水管网；</w:t>
            </w:r>
          </w:p>
          <w:p w14:paraId="70170290">
            <w:pPr>
              <w:ind w:firstLine="480" w:firstLineChars="200"/>
            </w:pPr>
            <w:r>
              <w:rPr>
                <w:rFonts w:hint="eastAsia"/>
              </w:rPr>
              <w:t>⑦储罐上应装设避雷设施，防雷引下线与接地系统可靠焊接；</w:t>
            </w:r>
          </w:p>
          <w:p w14:paraId="3DCA3EDB">
            <w:r>
              <w:rPr>
                <w:rFonts w:hint="eastAsia"/>
              </w:rPr>
              <w:t>⑧应制订消防安全管理制度、消防安全操作规程；确定单位和所属各部门、岗位的消防安全责任人，定期组织防火检查，及时消除火灾隐患，建立防火档案，确定消防安全重点部位，设置防火标志，实行严格管理，对职工进行消防安全培训，制定灭火和应急疏散预案，定期组织消防演练。</w:t>
            </w:r>
          </w:p>
          <w:p w14:paraId="12DA2ACF">
            <w:pPr>
              <w:widowControl/>
              <w:snapToGrid w:val="0"/>
              <w:ind w:firstLine="240" w:firstLineChars="100"/>
              <w:jc w:val="left"/>
              <w:rPr>
                <w:bCs/>
              </w:rPr>
            </w:pPr>
            <w:r>
              <w:rPr>
                <w:rFonts w:hint="eastAsia"/>
                <w:bCs/>
              </w:rPr>
              <w:t>7、</w:t>
            </w:r>
            <w:r>
              <w:rPr>
                <w:bCs/>
              </w:rPr>
              <w:t>突发环境事故应急预案</w:t>
            </w:r>
          </w:p>
          <w:p w14:paraId="56A8F31B">
            <w:pPr>
              <w:widowControl/>
              <w:snapToGrid w:val="0"/>
              <w:ind w:firstLine="480" w:firstLineChars="200"/>
              <w:jc w:val="left"/>
              <w:rPr>
                <w:bCs/>
              </w:rPr>
            </w:pPr>
            <w:r>
              <w:rPr>
                <w:bCs/>
              </w:rPr>
              <w:t>为预防事故发生，规范项目应急管理和应急响应程序，迅速有效地控制和处置可能发生的事故，降低事故造成人员伤亡和财产损失，根据国家有关规定，工程运行前，建设单位应编制环境风险的应急预案，并备案。明确风险管理体系、风险防范措施以及应急物资的储备。对操作人员，生产管理人员进行安全教育，制定必要的安全操作规程和管理制度。同时应当与当地公安，企业消防队，当地消防及安全卫生管理，医疗机构密切配合，制定完善的重大事故应急措施计划。工程实施后，适当时候应组织事故演习，以检查重大事故应急措施计划的可操作性及可行性。应急预案内容见</w:t>
            </w:r>
            <w:r>
              <w:rPr>
                <w:rFonts w:hint="eastAsia"/>
                <w:bCs/>
              </w:rPr>
              <w:t>下表。</w:t>
            </w:r>
          </w:p>
          <w:p w14:paraId="2A833D95">
            <w:pPr>
              <w:pStyle w:val="6"/>
            </w:pPr>
            <w:r>
              <w:t xml:space="preserve">表 </w:t>
            </w:r>
            <w:r>
              <w:rPr>
                <w:rFonts w:hint="eastAsia"/>
              </w:rPr>
              <w:t>4-</w:t>
            </w:r>
            <w:r>
              <w:fldChar w:fldCharType="begin"/>
            </w:r>
            <w:r>
              <w:instrText xml:space="preserve"> SEQ 表 \* ARABIC \s 1 </w:instrText>
            </w:r>
            <w:r>
              <w:fldChar w:fldCharType="separate"/>
            </w:r>
            <w:r>
              <w:t>18</w:t>
            </w:r>
            <w:r>
              <w:fldChar w:fldCharType="end"/>
            </w:r>
            <w:r>
              <w:rPr>
                <w:rFonts w:hint="eastAsia"/>
              </w:rPr>
              <w:t xml:space="preserve"> 应急预案内容一览表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2458"/>
              <w:gridCol w:w="4475"/>
            </w:tblGrid>
            <w:tr w14:paraId="6E20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07DE50C1">
                  <w:pPr>
                    <w:pStyle w:val="24"/>
                    <w:rPr>
                      <w:b/>
                      <w:bCs/>
                    </w:rPr>
                  </w:pPr>
                  <w:r>
                    <w:rPr>
                      <w:b/>
                      <w:bCs/>
                    </w:rPr>
                    <w:t>序号</w:t>
                  </w:r>
                </w:p>
              </w:tc>
              <w:tc>
                <w:tcPr>
                  <w:tcW w:w="2716" w:type="dxa"/>
                  <w:tcBorders>
                    <w:tl2br w:val="nil"/>
                    <w:tr2bl w:val="nil"/>
                  </w:tcBorders>
                  <w:vAlign w:val="center"/>
                </w:tcPr>
                <w:p w14:paraId="76CCA47F">
                  <w:pPr>
                    <w:pStyle w:val="24"/>
                    <w:rPr>
                      <w:b/>
                      <w:bCs/>
                    </w:rPr>
                  </w:pPr>
                  <w:r>
                    <w:rPr>
                      <w:b/>
                      <w:bCs/>
                    </w:rPr>
                    <w:t>项目</w:t>
                  </w:r>
                </w:p>
              </w:tc>
              <w:tc>
                <w:tcPr>
                  <w:tcW w:w="5010" w:type="dxa"/>
                  <w:tcBorders>
                    <w:tl2br w:val="nil"/>
                    <w:tr2bl w:val="nil"/>
                  </w:tcBorders>
                  <w:vAlign w:val="center"/>
                </w:tcPr>
                <w:p w14:paraId="23CF98AB">
                  <w:pPr>
                    <w:pStyle w:val="24"/>
                    <w:rPr>
                      <w:b/>
                      <w:bCs/>
                    </w:rPr>
                  </w:pPr>
                  <w:r>
                    <w:rPr>
                      <w:b/>
                      <w:bCs/>
                    </w:rPr>
                    <w:t>内容及要求</w:t>
                  </w:r>
                </w:p>
              </w:tc>
            </w:tr>
            <w:tr w14:paraId="63C0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76B70347">
                  <w:pPr>
                    <w:pStyle w:val="24"/>
                  </w:pPr>
                  <w:r>
                    <w:t>1</w:t>
                  </w:r>
                </w:p>
              </w:tc>
              <w:tc>
                <w:tcPr>
                  <w:tcW w:w="2716" w:type="dxa"/>
                  <w:tcBorders>
                    <w:tl2br w:val="nil"/>
                    <w:tr2bl w:val="nil"/>
                  </w:tcBorders>
                  <w:vAlign w:val="center"/>
                </w:tcPr>
                <w:p w14:paraId="6605BB4B">
                  <w:pPr>
                    <w:pStyle w:val="24"/>
                  </w:pPr>
                  <w:r>
                    <w:t>应急计划区</w:t>
                  </w:r>
                </w:p>
              </w:tc>
              <w:tc>
                <w:tcPr>
                  <w:tcW w:w="5010" w:type="dxa"/>
                  <w:tcBorders>
                    <w:tl2br w:val="nil"/>
                    <w:tr2bl w:val="nil"/>
                  </w:tcBorders>
                  <w:vAlign w:val="center"/>
                </w:tcPr>
                <w:p w14:paraId="04EF19DF">
                  <w:pPr>
                    <w:pStyle w:val="24"/>
                  </w:pPr>
                  <w:r>
                    <w:t>危险</w:t>
                  </w:r>
                  <w:r>
                    <w:rPr>
                      <w:rFonts w:hint="eastAsia"/>
                    </w:rPr>
                    <w:t>源</w:t>
                  </w:r>
                  <w:r>
                    <w:t>：</w:t>
                  </w:r>
                  <w:r>
                    <w:rPr>
                      <w:rFonts w:hint="eastAsia"/>
                    </w:rPr>
                    <w:t>油品</w:t>
                  </w:r>
                  <w:r>
                    <w:t>储罐区、</w:t>
                  </w:r>
                  <w:r>
                    <w:rPr>
                      <w:rFonts w:hint="eastAsia"/>
                    </w:rPr>
                    <w:t>加油站站区</w:t>
                  </w:r>
                </w:p>
              </w:tc>
            </w:tr>
            <w:tr w14:paraId="5985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5E05C548">
                  <w:pPr>
                    <w:pStyle w:val="24"/>
                  </w:pPr>
                  <w:r>
                    <w:t>2</w:t>
                  </w:r>
                </w:p>
              </w:tc>
              <w:tc>
                <w:tcPr>
                  <w:tcW w:w="2716" w:type="dxa"/>
                  <w:tcBorders>
                    <w:tl2br w:val="nil"/>
                    <w:tr2bl w:val="nil"/>
                  </w:tcBorders>
                  <w:vAlign w:val="center"/>
                </w:tcPr>
                <w:p w14:paraId="1E6E3F90">
                  <w:pPr>
                    <w:pStyle w:val="24"/>
                  </w:pPr>
                  <w:r>
                    <w:t>应急组织机构、人员</w:t>
                  </w:r>
                </w:p>
              </w:tc>
              <w:tc>
                <w:tcPr>
                  <w:tcW w:w="5010" w:type="dxa"/>
                  <w:tcBorders>
                    <w:tl2br w:val="nil"/>
                    <w:tr2bl w:val="nil"/>
                  </w:tcBorders>
                  <w:vAlign w:val="center"/>
                </w:tcPr>
                <w:p w14:paraId="06893A14">
                  <w:pPr>
                    <w:pStyle w:val="24"/>
                  </w:pPr>
                  <w:r>
                    <w:t>企业、地区应急组织机构、人员</w:t>
                  </w:r>
                </w:p>
              </w:tc>
            </w:tr>
            <w:tr w14:paraId="368E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7AF0A92B">
                  <w:pPr>
                    <w:pStyle w:val="24"/>
                  </w:pPr>
                  <w:r>
                    <w:t>3</w:t>
                  </w:r>
                </w:p>
              </w:tc>
              <w:tc>
                <w:tcPr>
                  <w:tcW w:w="2716" w:type="dxa"/>
                  <w:tcBorders>
                    <w:tl2br w:val="nil"/>
                    <w:tr2bl w:val="nil"/>
                  </w:tcBorders>
                  <w:vAlign w:val="center"/>
                </w:tcPr>
                <w:p w14:paraId="7D96CAE8">
                  <w:pPr>
                    <w:pStyle w:val="24"/>
                  </w:pPr>
                  <w:r>
                    <w:t>预案分级响应条件</w:t>
                  </w:r>
                </w:p>
              </w:tc>
              <w:tc>
                <w:tcPr>
                  <w:tcW w:w="5010" w:type="dxa"/>
                  <w:tcBorders>
                    <w:tl2br w:val="nil"/>
                    <w:tr2bl w:val="nil"/>
                  </w:tcBorders>
                  <w:vAlign w:val="center"/>
                </w:tcPr>
                <w:p w14:paraId="1CF322E4">
                  <w:pPr>
                    <w:pStyle w:val="24"/>
                  </w:pPr>
                  <w:r>
                    <w:t>规定预案的级别及分级响应程序</w:t>
                  </w:r>
                </w:p>
              </w:tc>
            </w:tr>
            <w:tr w14:paraId="5275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097A555B">
                  <w:pPr>
                    <w:pStyle w:val="24"/>
                  </w:pPr>
                  <w:r>
                    <w:t>4</w:t>
                  </w:r>
                </w:p>
              </w:tc>
              <w:tc>
                <w:tcPr>
                  <w:tcW w:w="2716" w:type="dxa"/>
                  <w:tcBorders>
                    <w:tl2br w:val="nil"/>
                    <w:tr2bl w:val="nil"/>
                  </w:tcBorders>
                  <w:vAlign w:val="center"/>
                </w:tcPr>
                <w:p w14:paraId="35293C2E">
                  <w:pPr>
                    <w:pStyle w:val="24"/>
                  </w:pPr>
                  <w:r>
                    <w:t>应急救援保障</w:t>
                  </w:r>
                </w:p>
              </w:tc>
              <w:tc>
                <w:tcPr>
                  <w:tcW w:w="5010" w:type="dxa"/>
                  <w:tcBorders>
                    <w:tl2br w:val="nil"/>
                    <w:tr2bl w:val="nil"/>
                  </w:tcBorders>
                  <w:vAlign w:val="center"/>
                </w:tcPr>
                <w:p w14:paraId="09F68C6D">
                  <w:pPr>
                    <w:pStyle w:val="24"/>
                  </w:pPr>
                  <w:r>
                    <w:t>应急设施、设备与器材等</w:t>
                  </w:r>
                </w:p>
              </w:tc>
            </w:tr>
            <w:tr w14:paraId="2F2C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11C4C5DA">
                  <w:pPr>
                    <w:pStyle w:val="24"/>
                    <w:rPr>
                      <w:lang w:eastAsia="en-US"/>
                    </w:rPr>
                  </w:pPr>
                  <w:r>
                    <w:t>5</w:t>
                  </w:r>
                </w:p>
              </w:tc>
              <w:tc>
                <w:tcPr>
                  <w:tcW w:w="2716" w:type="dxa"/>
                  <w:tcBorders>
                    <w:tl2br w:val="nil"/>
                    <w:tr2bl w:val="nil"/>
                  </w:tcBorders>
                  <w:vAlign w:val="center"/>
                </w:tcPr>
                <w:p w14:paraId="44E6ED6C">
                  <w:pPr>
                    <w:pStyle w:val="24"/>
                    <w:rPr>
                      <w:lang w:eastAsia="en-US"/>
                    </w:rPr>
                  </w:pPr>
                  <w:r>
                    <w:t>报警、通讯联络方式</w:t>
                  </w:r>
                </w:p>
              </w:tc>
              <w:tc>
                <w:tcPr>
                  <w:tcW w:w="5010" w:type="dxa"/>
                  <w:tcBorders>
                    <w:tl2br w:val="nil"/>
                    <w:tr2bl w:val="nil"/>
                  </w:tcBorders>
                  <w:vAlign w:val="center"/>
                </w:tcPr>
                <w:p w14:paraId="6A2F2F09">
                  <w:pPr>
                    <w:pStyle w:val="24"/>
                  </w:pPr>
                  <w:r>
                    <w:t>规定应急状态下的报警通讯方式、通知方式和交通保障、管制</w:t>
                  </w:r>
                </w:p>
              </w:tc>
            </w:tr>
            <w:tr w14:paraId="3109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51C0E3E0">
                  <w:pPr>
                    <w:pStyle w:val="24"/>
                    <w:rPr>
                      <w:lang w:eastAsia="en-US"/>
                    </w:rPr>
                  </w:pPr>
                  <w:r>
                    <w:t>6</w:t>
                  </w:r>
                </w:p>
              </w:tc>
              <w:tc>
                <w:tcPr>
                  <w:tcW w:w="2716" w:type="dxa"/>
                  <w:tcBorders>
                    <w:tl2br w:val="nil"/>
                    <w:tr2bl w:val="nil"/>
                  </w:tcBorders>
                  <w:vAlign w:val="center"/>
                </w:tcPr>
                <w:p w14:paraId="6FF2F10C">
                  <w:pPr>
                    <w:pStyle w:val="24"/>
                  </w:pPr>
                  <w:r>
                    <w:t>应急环境监测、抢险、救援及控制措施</w:t>
                  </w:r>
                </w:p>
              </w:tc>
              <w:tc>
                <w:tcPr>
                  <w:tcW w:w="5010" w:type="dxa"/>
                  <w:tcBorders>
                    <w:tl2br w:val="nil"/>
                    <w:tr2bl w:val="nil"/>
                  </w:tcBorders>
                  <w:vAlign w:val="center"/>
                </w:tcPr>
                <w:p w14:paraId="5616500B">
                  <w:pPr>
                    <w:pStyle w:val="24"/>
                  </w:pPr>
                  <w:r>
                    <w:t>由专业队伍负责对事故现场进行侦查监测，对事故性质、参数与后果进行评估，为指挥部门提供决策依据</w:t>
                  </w:r>
                </w:p>
              </w:tc>
            </w:tr>
            <w:tr w14:paraId="7EF7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5B01A6D2">
                  <w:pPr>
                    <w:pStyle w:val="24"/>
                    <w:rPr>
                      <w:lang w:eastAsia="en-US"/>
                    </w:rPr>
                  </w:pPr>
                  <w:r>
                    <w:t>7</w:t>
                  </w:r>
                </w:p>
              </w:tc>
              <w:tc>
                <w:tcPr>
                  <w:tcW w:w="2716" w:type="dxa"/>
                  <w:tcBorders>
                    <w:tl2br w:val="nil"/>
                    <w:tr2bl w:val="nil"/>
                  </w:tcBorders>
                  <w:vAlign w:val="center"/>
                </w:tcPr>
                <w:p w14:paraId="6969B1A9">
                  <w:pPr>
                    <w:pStyle w:val="24"/>
                  </w:pPr>
                  <w:r>
                    <w:t>应急检测、防护措施、清除泄漏措施和器材</w:t>
                  </w:r>
                </w:p>
              </w:tc>
              <w:tc>
                <w:tcPr>
                  <w:tcW w:w="5010" w:type="dxa"/>
                  <w:tcBorders>
                    <w:tl2br w:val="nil"/>
                    <w:tr2bl w:val="nil"/>
                  </w:tcBorders>
                  <w:vAlign w:val="center"/>
                </w:tcPr>
                <w:p w14:paraId="16D18567">
                  <w:pPr>
                    <w:pStyle w:val="24"/>
                  </w:pPr>
                  <w:r>
                    <w:t>事故现场、邻近区域、控制防火区域，控制和清除污染措施及相应设备</w:t>
                  </w:r>
                </w:p>
              </w:tc>
            </w:tr>
            <w:tr w14:paraId="23EA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754B73B0">
                  <w:pPr>
                    <w:pStyle w:val="24"/>
                    <w:rPr>
                      <w:lang w:eastAsia="en-US"/>
                    </w:rPr>
                  </w:pPr>
                  <w:r>
                    <w:t>8</w:t>
                  </w:r>
                </w:p>
              </w:tc>
              <w:tc>
                <w:tcPr>
                  <w:tcW w:w="2716" w:type="dxa"/>
                  <w:tcBorders>
                    <w:tl2br w:val="nil"/>
                    <w:tr2bl w:val="nil"/>
                  </w:tcBorders>
                  <w:vAlign w:val="center"/>
                </w:tcPr>
                <w:p w14:paraId="6AA22D22">
                  <w:pPr>
                    <w:pStyle w:val="24"/>
                  </w:pPr>
                  <w:r>
                    <w:t>人员紧急撤离、疏散，应急剂量控制、撤离组织计划</w:t>
                  </w:r>
                </w:p>
              </w:tc>
              <w:tc>
                <w:tcPr>
                  <w:tcW w:w="5010" w:type="dxa"/>
                  <w:tcBorders>
                    <w:tl2br w:val="nil"/>
                    <w:tr2bl w:val="nil"/>
                  </w:tcBorders>
                  <w:vAlign w:val="center"/>
                </w:tcPr>
                <w:p w14:paraId="6AAA577A">
                  <w:pPr>
                    <w:pStyle w:val="24"/>
                  </w:pPr>
                  <w:r>
                    <w:t>事故现场、企业邻近区、受事故影响的区域人员及公众对毒物应急剂量控制规定，撤离组织计划及救护，医疗救护与公众健康</w:t>
                  </w:r>
                </w:p>
              </w:tc>
            </w:tr>
            <w:tr w14:paraId="1A0C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02B7996B">
                  <w:pPr>
                    <w:pStyle w:val="24"/>
                    <w:rPr>
                      <w:lang w:eastAsia="en-US"/>
                    </w:rPr>
                  </w:pPr>
                  <w:r>
                    <w:t>9</w:t>
                  </w:r>
                </w:p>
              </w:tc>
              <w:tc>
                <w:tcPr>
                  <w:tcW w:w="2716" w:type="dxa"/>
                  <w:tcBorders>
                    <w:tl2br w:val="nil"/>
                    <w:tr2bl w:val="nil"/>
                  </w:tcBorders>
                  <w:vAlign w:val="center"/>
                </w:tcPr>
                <w:p w14:paraId="58855CCF">
                  <w:pPr>
                    <w:pStyle w:val="24"/>
                  </w:pPr>
                  <w:r>
                    <w:t>事故应急救援关闭程序与恢复措施</w:t>
                  </w:r>
                </w:p>
              </w:tc>
              <w:tc>
                <w:tcPr>
                  <w:tcW w:w="5010" w:type="dxa"/>
                  <w:tcBorders>
                    <w:tl2br w:val="nil"/>
                    <w:tr2bl w:val="nil"/>
                  </w:tcBorders>
                  <w:vAlign w:val="center"/>
                </w:tcPr>
                <w:p w14:paraId="0F466139">
                  <w:pPr>
                    <w:pStyle w:val="24"/>
                  </w:pPr>
                  <w:r>
                    <w:t>规定应急状态终止程序；事故现场善后处理，恢复措施；邻近区域解除事故警戒及善后恢复措施</w:t>
                  </w:r>
                </w:p>
              </w:tc>
            </w:tr>
            <w:tr w14:paraId="54794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6CBEC1A8">
                  <w:pPr>
                    <w:pStyle w:val="24"/>
                  </w:pPr>
                  <w:r>
                    <w:rPr>
                      <w:rFonts w:hint="eastAsia"/>
                    </w:rPr>
                    <w:t>10</w:t>
                  </w:r>
                </w:p>
              </w:tc>
              <w:tc>
                <w:tcPr>
                  <w:tcW w:w="2716" w:type="dxa"/>
                  <w:tcBorders>
                    <w:tl2br w:val="nil"/>
                    <w:tr2bl w:val="nil"/>
                  </w:tcBorders>
                  <w:vAlign w:val="center"/>
                </w:tcPr>
                <w:p w14:paraId="6D183B3F">
                  <w:pPr>
                    <w:pStyle w:val="24"/>
                    <w:rPr>
                      <w:lang w:eastAsia="en-US"/>
                    </w:rPr>
                  </w:pPr>
                  <w:r>
                    <w:t>应急培训计划</w:t>
                  </w:r>
                </w:p>
              </w:tc>
              <w:tc>
                <w:tcPr>
                  <w:tcW w:w="5010" w:type="dxa"/>
                  <w:tcBorders>
                    <w:tl2br w:val="nil"/>
                    <w:tr2bl w:val="nil"/>
                  </w:tcBorders>
                  <w:vAlign w:val="center"/>
                </w:tcPr>
                <w:p w14:paraId="55A5CB68">
                  <w:pPr>
                    <w:pStyle w:val="24"/>
                  </w:pPr>
                  <w:r>
                    <w:t>应急计划制定后，平时安排人员培训与演练</w:t>
                  </w:r>
                </w:p>
              </w:tc>
            </w:tr>
            <w:tr w14:paraId="1780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4BC42FFB">
                  <w:pPr>
                    <w:pStyle w:val="24"/>
                  </w:pPr>
                  <w:r>
                    <w:rPr>
                      <w:rFonts w:hint="eastAsia"/>
                    </w:rPr>
                    <w:t>11</w:t>
                  </w:r>
                </w:p>
              </w:tc>
              <w:tc>
                <w:tcPr>
                  <w:tcW w:w="2716" w:type="dxa"/>
                  <w:tcBorders>
                    <w:tl2br w:val="nil"/>
                    <w:tr2bl w:val="nil"/>
                  </w:tcBorders>
                  <w:vAlign w:val="center"/>
                </w:tcPr>
                <w:p w14:paraId="407185FA">
                  <w:pPr>
                    <w:pStyle w:val="24"/>
                    <w:rPr>
                      <w:lang w:eastAsia="en-US"/>
                    </w:rPr>
                  </w:pPr>
                  <w:r>
                    <w:t>公众教育和信息</w:t>
                  </w:r>
                </w:p>
              </w:tc>
              <w:tc>
                <w:tcPr>
                  <w:tcW w:w="5010" w:type="dxa"/>
                  <w:tcBorders>
                    <w:tl2br w:val="nil"/>
                    <w:tr2bl w:val="nil"/>
                  </w:tcBorders>
                  <w:vAlign w:val="center"/>
                </w:tcPr>
                <w:p w14:paraId="5E2DA0D5">
                  <w:pPr>
                    <w:pStyle w:val="24"/>
                  </w:pPr>
                  <w:r>
                    <w:t>对企业邻近地区开展公众教育、培训和发布有关信息</w:t>
                  </w:r>
                </w:p>
              </w:tc>
            </w:tr>
          </w:tbl>
          <w:p w14:paraId="2512B2C5">
            <w:pPr>
              <w:ind w:firstLine="240" w:firstLineChars="100"/>
            </w:pPr>
            <w:r>
              <w:rPr>
                <w:rFonts w:hint="eastAsia"/>
              </w:rPr>
              <w:t>8、分析结论</w:t>
            </w:r>
          </w:p>
          <w:p w14:paraId="5960F9AB">
            <w:pPr>
              <w:widowControl/>
              <w:snapToGrid w:val="0"/>
              <w:ind w:firstLine="480" w:firstLineChars="200"/>
              <w:jc w:val="left"/>
              <w:rPr>
                <w:bCs/>
              </w:rPr>
            </w:pPr>
            <w:r>
              <w:rPr>
                <w:rFonts w:hint="eastAsia"/>
                <w:bCs/>
              </w:rPr>
              <w:t>项目为新建项目，通过调查分析，只要建设单位严格遵照国家有关规定建设、生产、操作，发生危害事故的几率很小。发生事故时如能严格落实报告提出的各项防止环境污染的措施和要求，采取紧急应急措施，事故产生的影响是可以控制的。</w:t>
            </w:r>
          </w:p>
          <w:p w14:paraId="7857079C">
            <w:pPr>
              <w:widowControl/>
              <w:snapToGrid w:val="0"/>
              <w:ind w:firstLine="480" w:firstLineChars="200"/>
              <w:jc w:val="left"/>
              <w:rPr>
                <w:rFonts w:cs="宋体"/>
                <w:bCs/>
                <w:spacing w:val="-10"/>
              </w:rPr>
            </w:pPr>
            <w:r>
              <w:rPr>
                <w:rFonts w:hint="eastAsia"/>
                <w:bCs/>
              </w:rPr>
              <w:t>项目可能发生事故的类型主要有泄漏、爆炸和火灾。在采取相应的预防措施，并加强管理后预计项目发生各类事故的机率很小，环境风险影响属可接受水平。</w:t>
            </w:r>
          </w:p>
          <w:p w14:paraId="3DCBDA7E">
            <w:pPr>
              <w:ind w:firstLine="480" w:firstLineChars="200"/>
            </w:pPr>
            <w:r>
              <w:rPr>
                <w:rFonts w:hint="eastAsia"/>
              </w:rPr>
              <w:t>综上所述，本项目中物质可能产生的风险，通过采取以上的防范措施和制定相应的应急预案，项目风险程度可以降到最低，不会危害周边环境和人体健康，</w:t>
            </w:r>
            <w:r>
              <w:t>可满足环境风险的</w:t>
            </w:r>
            <w:r>
              <w:rPr>
                <w:rFonts w:hint="eastAsia"/>
              </w:rPr>
              <w:t>防范</w:t>
            </w:r>
            <w:r>
              <w:t>要求。</w:t>
            </w:r>
          </w:p>
          <w:p w14:paraId="5089E020">
            <w:pPr>
              <w:rPr>
                <w:b/>
                <w:bCs/>
                <w:lang w:val="zh-CN"/>
              </w:rPr>
            </w:pPr>
            <w:r>
              <w:rPr>
                <w:b/>
                <w:bCs/>
                <w:lang w:val="zh-CN"/>
              </w:rPr>
              <w:t>六、地下水、土壤环境影响分析</w:t>
            </w:r>
          </w:p>
          <w:p w14:paraId="546808FC">
            <w:pPr>
              <w:ind w:firstLine="480" w:firstLineChars="200"/>
            </w:pPr>
            <w:r>
              <w:t>1、污染源、污染物类型和污染途径</w:t>
            </w:r>
          </w:p>
          <w:p w14:paraId="362D91D3">
            <w:pPr>
              <w:ind w:firstLine="480" w:firstLineChars="200"/>
            </w:pPr>
            <w:r>
              <w:t>项目污染地下水和土壤的污染源主要是固体废物迁移、油品泄露等，固体废物在运输、贮存等过程中可能引起污染物质的散落、迁移，危害地下水和土壤环境。</w:t>
            </w:r>
          </w:p>
          <w:p w14:paraId="0D40232C">
            <w:pPr>
              <w:ind w:firstLine="480" w:firstLineChars="200"/>
            </w:pPr>
            <w:r>
              <w:t>2、污染防控措施</w:t>
            </w:r>
          </w:p>
          <w:p w14:paraId="70920874">
            <w:pPr>
              <w:ind w:firstLine="480" w:firstLineChars="200"/>
            </w:pPr>
            <w:r>
              <w:t>①加强日常环境管理，管网维护、日常巡查、对易腐蚀的管网及附属设施等采取防腐蚀措施，严格控制设备和管道的跑、冒、滴、漏现象；</w:t>
            </w:r>
          </w:p>
          <w:p w14:paraId="2D5B3032">
            <w:pPr>
              <w:ind w:firstLine="480" w:firstLineChars="200"/>
            </w:pPr>
            <w:r>
              <w:t>②各类固体废物进行分类收集后存放于专门的储存场所内，对危废暂存间采取防雨、防渗、防腐等措施，站内采用混凝土硬化；危险废物应暂存于危废暂存间内，不设置露天堆场，并采取水泥硬化，危废暂存间地面采取防腐防渗措施，按《危险废物贮存污染控制标准》（GB18597-2023）进行设计；</w:t>
            </w:r>
          </w:p>
          <w:p w14:paraId="1E54B0ED">
            <w:pPr>
              <w:adjustRightInd w:val="0"/>
              <w:snapToGrid w:val="0"/>
              <w:ind w:firstLine="480"/>
            </w:pPr>
            <w:r>
              <w:t>③厂房内严格落实各项防渗、防雨、防晒等措施；</w:t>
            </w:r>
          </w:p>
          <w:p w14:paraId="321447DE">
            <w:pPr>
              <w:adjustRightInd w:val="0"/>
              <w:snapToGrid w:val="0"/>
              <w:ind w:firstLine="480"/>
            </w:pPr>
            <w:r>
              <w:t>④对项目所在区域划分为重点防渗区、一般防渗区等。</w:t>
            </w:r>
          </w:p>
          <w:p w14:paraId="4F15EC56">
            <w:pPr>
              <w:adjustRightInd w:val="0"/>
              <w:snapToGrid w:val="0"/>
              <w:ind w:firstLine="480"/>
            </w:pPr>
            <w:r>
              <w:t>⑤加油站埋地油罐应采用双层油罐或者防渗罐池（单层油罐）油罐（本项目选择双层油罐）。双层油罐、防渗罐池渗漏检测宜采用在线监测系统。采用液体传感器检测时，传感器的检测精度不应大于3.5mm。</w:t>
            </w:r>
          </w:p>
          <w:p w14:paraId="17186D2C">
            <w:pPr>
              <w:adjustRightInd w:val="0"/>
              <w:snapToGrid w:val="0"/>
              <w:ind w:firstLine="480"/>
            </w:pPr>
            <w:r>
              <w:t>⑥埋地加油管道应采用双层管道；采用双层非金属管道时，外层管应满足耐油、耐腐蚀、耐老化和系统试验压力的要求；采用双层钢质管道时，外层管的壁厚不应小于5mm；双层管道系统的内层管和外层管之间的缝隙应贯通；双层管道系统的最低点应设置检漏点；双层管道坡向检漏点的坡度，不应小于5‰，并应保证内层管和外层管任何部位出现渗漏均能在检漏点处被发现；管道系统的渗漏检测宜采用在线监测系统（本项目采用油罐泄露检测仪报警仪监控）。</w:t>
            </w:r>
          </w:p>
          <w:p w14:paraId="1F20E0DE">
            <w:pPr>
              <w:pStyle w:val="6"/>
            </w:pPr>
            <w:r>
              <w:t xml:space="preserve">表 </w:t>
            </w:r>
            <w:r>
              <w:rPr>
                <w:rFonts w:hint="eastAsia"/>
              </w:rPr>
              <w:t>4-</w:t>
            </w:r>
            <w:r>
              <w:fldChar w:fldCharType="begin"/>
            </w:r>
            <w:r>
              <w:instrText xml:space="preserve"> SEQ 表 \* ARABIC \s 1 </w:instrText>
            </w:r>
            <w:r>
              <w:fldChar w:fldCharType="separate"/>
            </w:r>
            <w:r>
              <w:t>19</w:t>
            </w:r>
            <w:r>
              <w:fldChar w:fldCharType="end"/>
            </w:r>
            <w:r>
              <w:rPr>
                <w:rFonts w:hint="eastAsia"/>
              </w:rPr>
              <w:t xml:space="preserve"> </w:t>
            </w:r>
            <w:r>
              <w:t>项目防渗分区划分表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470"/>
              <w:gridCol w:w="1013"/>
              <w:gridCol w:w="1013"/>
              <w:gridCol w:w="3095"/>
            </w:tblGrid>
            <w:tr w14:paraId="1513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vAlign w:val="center"/>
                </w:tcPr>
                <w:p w14:paraId="4B5F5ABF">
                  <w:pPr>
                    <w:pStyle w:val="24"/>
                    <w:rPr>
                      <w:b/>
                      <w:bCs/>
                    </w:rPr>
                  </w:pPr>
                  <w:r>
                    <w:rPr>
                      <w:rFonts w:hint="eastAsia"/>
                      <w:b/>
                      <w:bCs/>
                    </w:rPr>
                    <w:t>项目</w:t>
                  </w:r>
                </w:p>
              </w:tc>
              <w:tc>
                <w:tcPr>
                  <w:tcW w:w="340" w:type="dxa"/>
                  <w:vAlign w:val="center"/>
                </w:tcPr>
                <w:p w14:paraId="242930C6">
                  <w:pPr>
                    <w:pStyle w:val="24"/>
                    <w:rPr>
                      <w:b/>
                      <w:bCs/>
                    </w:rPr>
                  </w:pPr>
                  <w:r>
                    <w:rPr>
                      <w:b/>
                      <w:bCs/>
                    </w:rPr>
                    <w:t>工序或区域名称</w:t>
                  </w:r>
                </w:p>
              </w:tc>
              <w:tc>
                <w:tcPr>
                  <w:tcW w:w="340" w:type="dxa"/>
                  <w:vAlign w:val="center"/>
                </w:tcPr>
                <w:p w14:paraId="5B40D82C">
                  <w:pPr>
                    <w:pStyle w:val="24"/>
                    <w:rPr>
                      <w:b/>
                      <w:bCs/>
                    </w:rPr>
                  </w:pPr>
                  <w:r>
                    <w:rPr>
                      <w:b/>
                      <w:bCs/>
                    </w:rPr>
                    <w:t>防渗区域或部位</w:t>
                  </w:r>
                </w:p>
              </w:tc>
              <w:tc>
                <w:tcPr>
                  <w:tcW w:w="340" w:type="dxa"/>
                  <w:vAlign w:val="center"/>
                </w:tcPr>
                <w:p w14:paraId="61B1EB52">
                  <w:pPr>
                    <w:pStyle w:val="24"/>
                    <w:rPr>
                      <w:b/>
                      <w:bCs/>
                    </w:rPr>
                  </w:pPr>
                  <w:r>
                    <w:rPr>
                      <w:b/>
                      <w:bCs/>
                    </w:rPr>
                    <w:t>防渗等级</w:t>
                  </w:r>
                </w:p>
              </w:tc>
              <w:tc>
                <w:tcPr>
                  <w:tcW w:w="340" w:type="dxa"/>
                  <w:vAlign w:val="center"/>
                </w:tcPr>
                <w:p w14:paraId="019D92BE">
                  <w:pPr>
                    <w:pStyle w:val="24"/>
                    <w:rPr>
                      <w:b/>
                      <w:bCs/>
                    </w:rPr>
                  </w:pPr>
                  <w:r>
                    <w:rPr>
                      <w:b/>
                      <w:bCs/>
                    </w:rPr>
                    <w:t>防渗技术要求</w:t>
                  </w:r>
                </w:p>
              </w:tc>
            </w:tr>
            <w:tr w14:paraId="7D23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restart"/>
                  <w:vAlign w:val="center"/>
                </w:tcPr>
                <w:p w14:paraId="1C32E8C8">
                  <w:pPr>
                    <w:pStyle w:val="24"/>
                  </w:pPr>
                  <w:r>
                    <w:rPr>
                      <w:rFonts w:hint="eastAsia"/>
                    </w:rPr>
                    <w:t>城市交通驿站</w:t>
                  </w:r>
                </w:p>
              </w:tc>
              <w:tc>
                <w:tcPr>
                  <w:tcW w:w="340" w:type="dxa"/>
                  <w:vAlign w:val="center"/>
                </w:tcPr>
                <w:p w14:paraId="6818F7D7">
                  <w:pPr>
                    <w:pStyle w:val="24"/>
                  </w:pPr>
                  <w:r>
                    <w:t>危废暂存间、储罐</w:t>
                  </w:r>
                  <w:r>
                    <w:rPr>
                      <w:rFonts w:hint="eastAsia"/>
                    </w:rPr>
                    <w:t>区</w:t>
                  </w:r>
                </w:p>
              </w:tc>
              <w:tc>
                <w:tcPr>
                  <w:tcW w:w="340" w:type="dxa"/>
                  <w:vAlign w:val="center"/>
                </w:tcPr>
                <w:p w14:paraId="20E8D7A0">
                  <w:pPr>
                    <w:pStyle w:val="24"/>
                  </w:pPr>
                  <w:r>
                    <w:t>地面及裙角</w:t>
                  </w:r>
                </w:p>
              </w:tc>
              <w:tc>
                <w:tcPr>
                  <w:tcW w:w="340" w:type="dxa"/>
                  <w:vMerge w:val="restart"/>
                  <w:vAlign w:val="center"/>
                </w:tcPr>
                <w:p w14:paraId="1FA4CF1F">
                  <w:pPr>
                    <w:pStyle w:val="24"/>
                  </w:pPr>
                  <w:r>
                    <w:t>重点防渗区</w:t>
                  </w:r>
                </w:p>
              </w:tc>
              <w:tc>
                <w:tcPr>
                  <w:tcW w:w="340" w:type="dxa"/>
                  <w:vMerge w:val="restart"/>
                  <w:vAlign w:val="center"/>
                </w:tcPr>
                <w:p w14:paraId="10AAA25E">
                  <w:pPr>
                    <w:pStyle w:val="24"/>
                  </w:pPr>
                  <w:r>
                    <w:t>等效黏土防渗层Mb≥6.0m，k≤1×10</w:t>
                  </w:r>
                  <w:r>
                    <w:rPr>
                      <w:vertAlign w:val="superscript"/>
                    </w:rPr>
                    <w:t>-7</w:t>
                  </w:r>
                  <w:r>
                    <w:t>cm/s</w:t>
                  </w:r>
                </w:p>
              </w:tc>
            </w:tr>
            <w:tr w14:paraId="0FAB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vAlign w:val="center"/>
                </w:tcPr>
                <w:p w14:paraId="5EFAB83F">
                  <w:pPr>
                    <w:pStyle w:val="24"/>
                  </w:pPr>
                </w:p>
              </w:tc>
              <w:tc>
                <w:tcPr>
                  <w:tcW w:w="340" w:type="dxa"/>
                  <w:vAlign w:val="center"/>
                </w:tcPr>
                <w:p w14:paraId="537B3B9A">
                  <w:pPr>
                    <w:pStyle w:val="24"/>
                  </w:pPr>
                  <w:r>
                    <w:rPr>
                      <w:rFonts w:hint="eastAsia"/>
                    </w:rPr>
                    <w:t>三级油水分离池、隔油沉淀池</w:t>
                  </w:r>
                </w:p>
              </w:tc>
              <w:tc>
                <w:tcPr>
                  <w:tcW w:w="340" w:type="dxa"/>
                  <w:vAlign w:val="center"/>
                </w:tcPr>
                <w:p w14:paraId="39AA604F">
                  <w:pPr>
                    <w:pStyle w:val="24"/>
                  </w:pPr>
                  <w:r>
                    <w:t>底部和四周</w:t>
                  </w:r>
                </w:p>
              </w:tc>
              <w:tc>
                <w:tcPr>
                  <w:tcW w:w="340" w:type="dxa"/>
                  <w:vMerge w:val="continue"/>
                  <w:vAlign w:val="center"/>
                </w:tcPr>
                <w:p w14:paraId="583D769D">
                  <w:pPr>
                    <w:pStyle w:val="24"/>
                  </w:pPr>
                </w:p>
              </w:tc>
              <w:tc>
                <w:tcPr>
                  <w:tcW w:w="340" w:type="dxa"/>
                  <w:vMerge w:val="continue"/>
                  <w:vAlign w:val="center"/>
                </w:tcPr>
                <w:p w14:paraId="48FC3C8D">
                  <w:pPr>
                    <w:pStyle w:val="24"/>
                  </w:pPr>
                </w:p>
              </w:tc>
            </w:tr>
            <w:tr w14:paraId="6722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vAlign w:val="center"/>
                </w:tcPr>
                <w:p w14:paraId="4CE67823">
                  <w:pPr>
                    <w:pStyle w:val="24"/>
                  </w:pPr>
                </w:p>
              </w:tc>
              <w:tc>
                <w:tcPr>
                  <w:tcW w:w="340" w:type="dxa"/>
                  <w:vAlign w:val="center"/>
                </w:tcPr>
                <w:p w14:paraId="409BBFB1">
                  <w:pPr>
                    <w:pStyle w:val="24"/>
                  </w:pPr>
                  <w:r>
                    <w:rPr>
                      <w:rFonts w:hint="eastAsia"/>
                    </w:rPr>
                    <w:t>货车应急维修中心</w:t>
                  </w:r>
                </w:p>
              </w:tc>
              <w:tc>
                <w:tcPr>
                  <w:tcW w:w="340" w:type="dxa"/>
                  <w:vAlign w:val="center"/>
                </w:tcPr>
                <w:p w14:paraId="3215AF23">
                  <w:pPr>
                    <w:pStyle w:val="24"/>
                  </w:pPr>
                  <w:r>
                    <w:rPr>
                      <w:rFonts w:hint="eastAsia"/>
                    </w:rPr>
                    <w:t>地面</w:t>
                  </w:r>
                </w:p>
              </w:tc>
              <w:tc>
                <w:tcPr>
                  <w:tcW w:w="340" w:type="dxa"/>
                  <w:vMerge w:val="continue"/>
                  <w:vAlign w:val="center"/>
                </w:tcPr>
                <w:p w14:paraId="04EC9049">
                  <w:pPr>
                    <w:pStyle w:val="24"/>
                  </w:pPr>
                </w:p>
              </w:tc>
              <w:tc>
                <w:tcPr>
                  <w:tcW w:w="340" w:type="dxa"/>
                  <w:vMerge w:val="continue"/>
                  <w:vAlign w:val="center"/>
                </w:tcPr>
                <w:p w14:paraId="0267E756">
                  <w:pPr>
                    <w:pStyle w:val="24"/>
                  </w:pPr>
                </w:p>
              </w:tc>
            </w:tr>
            <w:tr w14:paraId="4B15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vMerge w:val="continue"/>
                  <w:vAlign w:val="center"/>
                </w:tcPr>
                <w:p w14:paraId="325B7B92">
                  <w:pPr>
                    <w:pStyle w:val="24"/>
                  </w:pPr>
                </w:p>
              </w:tc>
              <w:tc>
                <w:tcPr>
                  <w:tcW w:w="340" w:type="dxa"/>
                  <w:vAlign w:val="center"/>
                </w:tcPr>
                <w:p w14:paraId="7AA05C50">
                  <w:pPr>
                    <w:pStyle w:val="24"/>
                  </w:pPr>
                  <w:r>
                    <w:t>加油区</w:t>
                  </w:r>
                </w:p>
              </w:tc>
              <w:tc>
                <w:tcPr>
                  <w:tcW w:w="340" w:type="dxa"/>
                  <w:vAlign w:val="center"/>
                </w:tcPr>
                <w:p w14:paraId="750265D1">
                  <w:pPr>
                    <w:pStyle w:val="24"/>
                  </w:pPr>
                  <w:r>
                    <w:t>地面</w:t>
                  </w:r>
                </w:p>
              </w:tc>
              <w:tc>
                <w:tcPr>
                  <w:tcW w:w="340" w:type="dxa"/>
                  <w:vMerge w:val="continue"/>
                  <w:vAlign w:val="center"/>
                </w:tcPr>
                <w:p w14:paraId="7808ED65">
                  <w:pPr>
                    <w:pStyle w:val="24"/>
                  </w:pPr>
                </w:p>
              </w:tc>
              <w:tc>
                <w:tcPr>
                  <w:tcW w:w="340" w:type="dxa"/>
                  <w:vMerge w:val="continue"/>
                  <w:vAlign w:val="center"/>
                </w:tcPr>
                <w:p w14:paraId="0988403E">
                  <w:pPr>
                    <w:pStyle w:val="24"/>
                  </w:pPr>
                </w:p>
              </w:tc>
            </w:tr>
            <w:tr w14:paraId="48BA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vMerge w:val="continue"/>
                  <w:vAlign w:val="center"/>
                </w:tcPr>
                <w:p w14:paraId="0AD58235">
                  <w:pPr>
                    <w:pStyle w:val="24"/>
                  </w:pPr>
                </w:p>
              </w:tc>
              <w:tc>
                <w:tcPr>
                  <w:tcW w:w="340" w:type="dxa"/>
                  <w:shd w:val="clear" w:color="auto" w:fill="auto"/>
                  <w:vAlign w:val="center"/>
                </w:tcPr>
                <w:p w14:paraId="3BF0E4B9">
                  <w:pPr>
                    <w:pStyle w:val="24"/>
                  </w:pPr>
                  <w:r>
                    <w:rPr>
                      <w:rFonts w:hint="eastAsia"/>
                    </w:rPr>
                    <w:t>隔油池、化粪池</w:t>
                  </w:r>
                </w:p>
              </w:tc>
              <w:tc>
                <w:tcPr>
                  <w:tcW w:w="340" w:type="dxa"/>
                  <w:shd w:val="clear" w:color="auto" w:fill="auto"/>
                  <w:vAlign w:val="center"/>
                </w:tcPr>
                <w:p w14:paraId="23837343">
                  <w:pPr>
                    <w:pStyle w:val="24"/>
                  </w:pPr>
                  <w:r>
                    <w:t>底部和四周</w:t>
                  </w:r>
                </w:p>
              </w:tc>
              <w:tc>
                <w:tcPr>
                  <w:tcW w:w="340" w:type="dxa"/>
                  <w:vMerge w:val="restart"/>
                  <w:vAlign w:val="center"/>
                </w:tcPr>
                <w:p w14:paraId="04E993F4">
                  <w:pPr>
                    <w:pStyle w:val="24"/>
                  </w:pPr>
                  <w:r>
                    <w:t>一般防渗区</w:t>
                  </w:r>
                </w:p>
              </w:tc>
              <w:tc>
                <w:tcPr>
                  <w:tcW w:w="340" w:type="dxa"/>
                  <w:vMerge w:val="restart"/>
                  <w:vAlign w:val="center"/>
                </w:tcPr>
                <w:p w14:paraId="0FDDBD7A">
                  <w:pPr>
                    <w:pStyle w:val="24"/>
                  </w:pPr>
                  <w:r>
                    <w:t>等效黏土防渗层Mb≥1.5m，k≤1×10</w:t>
                  </w:r>
                  <w:r>
                    <w:rPr>
                      <w:vertAlign w:val="superscript"/>
                    </w:rPr>
                    <w:t>-7</w:t>
                  </w:r>
                  <w:r>
                    <w:t>cm/s</w:t>
                  </w:r>
                </w:p>
              </w:tc>
            </w:tr>
            <w:tr w14:paraId="41ED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40" w:type="dxa"/>
                  <w:vMerge w:val="continue"/>
                  <w:vAlign w:val="center"/>
                </w:tcPr>
                <w:p w14:paraId="3CFA64A4">
                  <w:pPr>
                    <w:pStyle w:val="24"/>
                  </w:pPr>
                </w:p>
              </w:tc>
              <w:tc>
                <w:tcPr>
                  <w:tcW w:w="340" w:type="dxa"/>
                  <w:shd w:val="clear" w:color="auto" w:fill="auto"/>
                  <w:vAlign w:val="center"/>
                </w:tcPr>
                <w:p w14:paraId="6CF3C4DD">
                  <w:pPr>
                    <w:pStyle w:val="24"/>
                  </w:pPr>
                  <w:r>
                    <w:rPr>
                      <w:rFonts w:hint="eastAsia"/>
                    </w:rPr>
                    <w:t>一般固废间</w:t>
                  </w:r>
                </w:p>
              </w:tc>
              <w:tc>
                <w:tcPr>
                  <w:tcW w:w="340" w:type="dxa"/>
                  <w:shd w:val="clear" w:color="auto" w:fill="auto"/>
                  <w:vAlign w:val="center"/>
                </w:tcPr>
                <w:p w14:paraId="5ED43198">
                  <w:pPr>
                    <w:pStyle w:val="24"/>
                  </w:pPr>
                  <w:r>
                    <w:t>地面</w:t>
                  </w:r>
                </w:p>
              </w:tc>
              <w:tc>
                <w:tcPr>
                  <w:tcW w:w="340" w:type="dxa"/>
                  <w:vMerge w:val="continue"/>
                  <w:vAlign w:val="center"/>
                </w:tcPr>
                <w:p w14:paraId="0D7F6FDC">
                  <w:pPr>
                    <w:pStyle w:val="24"/>
                  </w:pPr>
                </w:p>
              </w:tc>
              <w:tc>
                <w:tcPr>
                  <w:tcW w:w="340" w:type="dxa"/>
                  <w:vMerge w:val="continue"/>
                  <w:vAlign w:val="center"/>
                </w:tcPr>
                <w:p w14:paraId="6CF30404">
                  <w:pPr>
                    <w:pStyle w:val="24"/>
                  </w:pPr>
                </w:p>
              </w:tc>
            </w:tr>
            <w:tr w14:paraId="155E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Merge w:val="continue"/>
                  <w:vAlign w:val="center"/>
                </w:tcPr>
                <w:p w14:paraId="612A9ED5">
                  <w:pPr>
                    <w:pStyle w:val="24"/>
                  </w:pPr>
                </w:p>
              </w:tc>
              <w:tc>
                <w:tcPr>
                  <w:tcW w:w="340" w:type="dxa"/>
                  <w:vAlign w:val="center"/>
                </w:tcPr>
                <w:p w14:paraId="3B1C42AC">
                  <w:pPr>
                    <w:pStyle w:val="24"/>
                  </w:pPr>
                  <w:r>
                    <w:rPr>
                      <w:rFonts w:hint="eastAsia"/>
                    </w:rPr>
                    <w:t>除重点防渗、一般防渗外的</w:t>
                  </w:r>
                  <w:r>
                    <w:t>其他区域</w:t>
                  </w:r>
                </w:p>
              </w:tc>
              <w:tc>
                <w:tcPr>
                  <w:tcW w:w="340" w:type="dxa"/>
                  <w:vAlign w:val="center"/>
                </w:tcPr>
                <w:p w14:paraId="46368C89">
                  <w:pPr>
                    <w:pStyle w:val="24"/>
                  </w:pPr>
                  <w:r>
                    <w:t>地面</w:t>
                  </w:r>
                </w:p>
              </w:tc>
              <w:tc>
                <w:tcPr>
                  <w:tcW w:w="340" w:type="dxa"/>
                  <w:vAlign w:val="center"/>
                </w:tcPr>
                <w:p w14:paraId="35BA4B9F">
                  <w:pPr>
                    <w:pStyle w:val="24"/>
                  </w:pPr>
                  <w:r>
                    <w:t>简单防渗区</w:t>
                  </w:r>
                </w:p>
              </w:tc>
              <w:tc>
                <w:tcPr>
                  <w:tcW w:w="340" w:type="dxa"/>
                  <w:vAlign w:val="center"/>
                </w:tcPr>
                <w:p w14:paraId="46F3E329">
                  <w:pPr>
                    <w:pStyle w:val="24"/>
                  </w:pPr>
                  <w:r>
                    <w:t>一般地面硬化</w:t>
                  </w:r>
                </w:p>
              </w:tc>
            </w:tr>
          </w:tbl>
          <w:p w14:paraId="6344E590">
            <w:pPr>
              <w:ind w:firstLine="480" w:firstLineChars="200"/>
            </w:pPr>
            <w:r>
              <w:t>采取上述相应措施后，可有效防止控制地下水和土壤污染，因此项目生产时较少与地下水发生直接水力联系，可有效防止地下水污染事故。</w:t>
            </w:r>
          </w:p>
          <w:p w14:paraId="6527B10F">
            <w:pPr>
              <w:ind w:firstLine="480" w:firstLineChars="200"/>
            </w:pPr>
            <w:r>
              <w:rPr>
                <w:rFonts w:hint="eastAsia"/>
              </w:rPr>
              <w:t>根据</w:t>
            </w:r>
            <w:r>
              <w:t>《加油站地下水污染防治技术指南（试行）</w:t>
            </w:r>
            <w:r>
              <w:rPr>
                <w:rFonts w:hint="eastAsia"/>
              </w:rPr>
              <w:t>》，地下水监测计划如下：</w:t>
            </w:r>
          </w:p>
          <w:p w14:paraId="3EC06DEE">
            <w:pPr>
              <w:pStyle w:val="6"/>
              <w:ind w:left="-240" w:leftChars="-100"/>
            </w:pPr>
            <w:r>
              <w:t xml:space="preserve">表 </w:t>
            </w:r>
            <w:r>
              <w:rPr>
                <w:rFonts w:hint="eastAsia"/>
              </w:rPr>
              <w:t>4-</w:t>
            </w:r>
            <w:r>
              <w:fldChar w:fldCharType="begin"/>
            </w:r>
            <w:r>
              <w:instrText xml:space="preserve"> SEQ 表 \* ARABIC \s 1 </w:instrText>
            </w:r>
            <w:r>
              <w:fldChar w:fldCharType="separate"/>
            </w:r>
            <w:r>
              <w:t>20</w:t>
            </w:r>
            <w:r>
              <w:fldChar w:fldCharType="end"/>
            </w:r>
            <w:r>
              <w:rPr>
                <w:rFonts w:hint="eastAsia"/>
              </w:rPr>
              <w:t xml:space="preserve"> 地下水监测计划表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792"/>
              <w:gridCol w:w="1513"/>
              <w:gridCol w:w="792"/>
              <w:gridCol w:w="3715"/>
            </w:tblGrid>
            <w:tr w14:paraId="49C1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Align w:val="center"/>
                </w:tcPr>
                <w:p w14:paraId="7746295C">
                  <w:pPr>
                    <w:pStyle w:val="24"/>
                  </w:pPr>
                  <w:r>
                    <w:rPr>
                      <w:rFonts w:hint="eastAsia"/>
                    </w:rPr>
                    <w:t>监测方法</w:t>
                  </w:r>
                </w:p>
              </w:tc>
              <w:tc>
                <w:tcPr>
                  <w:tcW w:w="340" w:type="dxa"/>
                  <w:vAlign w:val="center"/>
                </w:tcPr>
                <w:p w14:paraId="59ADAFD2">
                  <w:pPr>
                    <w:pStyle w:val="24"/>
                  </w:pPr>
                  <w:r>
                    <w:t>监测点位</w:t>
                  </w:r>
                </w:p>
              </w:tc>
              <w:tc>
                <w:tcPr>
                  <w:tcW w:w="340" w:type="dxa"/>
                  <w:vAlign w:val="center"/>
                </w:tcPr>
                <w:p w14:paraId="773EFFCD">
                  <w:pPr>
                    <w:pStyle w:val="24"/>
                  </w:pPr>
                  <w:r>
                    <w:t>监测指标</w:t>
                  </w:r>
                </w:p>
              </w:tc>
              <w:tc>
                <w:tcPr>
                  <w:tcW w:w="340" w:type="dxa"/>
                  <w:vAlign w:val="center"/>
                </w:tcPr>
                <w:p w14:paraId="46E8469F">
                  <w:pPr>
                    <w:pStyle w:val="24"/>
                  </w:pPr>
                  <w:r>
                    <w:t>监测频次</w:t>
                  </w:r>
                </w:p>
              </w:tc>
              <w:tc>
                <w:tcPr>
                  <w:tcW w:w="340" w:type="dxa"/>
                  <w:vAlign w:val="center"/>
                </w:tcPr>
                <w:p w14:paraId="57EA1202">
                  <w:pPr>
                    <w:pStyle w:val="24"/>
                  </w:pPr>
                  <w:r>
                    <w:t>执行排放标准</w:t>
                  </w:r>
                </w:p>
              </w:tc>
            </w:tr>
            <w:tr w14:paraId="3DD8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dxa"/>
                  <w:vAlign w:val="center"/>
                </w:tcPr>
                <w:p w14:paraId="29B5F8C9">
                  <w:pPr>
                    <w:pStyle w:val="24"/>
                  </w:pPr>
                  <w:r>
                    <w:t>定量监测</w:t>
                  </w:r>
                </w:p>
              </w:tc>
              <w:tc>
                <w:tcPr>
                  <w:tcW w:w="340" w:type="dxa"/>
                  <w:vAlign w:val="center"/>
                </w:tcPr>
                <w:p w14:paraId="4515FBA7">
                  <w:pPr>
                    <w:pStyle w:val="24"/>
                  </w:pPr>
                  <w:r>
                    <w:rPr>
                      <w:rFonts w:hint="eastAsia"/>
                    </w:rPr>
                    <w:t>厂区地下监控井</w:t>
                  </w:r>
                </w:p>
              </w:tc>
              <w:tc>
                <w:tcPr>
                  <w:tcW w:w="340" w:type="dxa"/>
                  <w:vAlign w:val="center"/>
                </w:tcPr>
                <w:p w14:paraId="77641E31">
                  <w:pPr>
                    <w:pStyle w:val="24"/>
                  </w:pPr>
                  <w:r>
                    <w:rPr>
                      <w:rFonts w:hint="eastAsia"/>
                    </w:rPr>
                    <w:t>萘、苯、甲苯、乙苯、邻二甲苯、间（对）二甲苯、甲基叔丁基醚</w:t>
                  </w:r>
                </w:p>
              </w:tc>
              <w:tc>
                <w:tcPr>
                  <w:tcW w:w="340" w:type="dxa"/>
                  <w:vAlign w:val="center"/>
                </w:tcPr>
                <w:p w14:paraId="56E7268D">
                  <w:pPr>
                    <w:pStyle w:val="24"/>
                  </w:pPr>
                  <w:r>
                    <w:t>1次/</w:t>
                  </w:r>
                  <w:r>
                    <w:rPr>
                      <w:rFonts w:hint="eastAsia"/>
                    </w:rPr>
                    <w:t>季度</w:t>
                  </w:r>
                </w:p>
              </w:tc>
              <w:tc>
                <w:tcPr>
                  <w:tcW w:w="340" w:type="dxa"/>
                  <w:vAlign w:val="center"/>
                </w:tcPr>
                <w:p w14:paraId="7CBEC6A9">
                  <w:pPr>
                    <w:pStyle w:val="24"/>
                  </w:pPr>
                  <w:r>
                    <w:rPr>
                      <w:rFonts w:hint="eastAsia"/>
                    </w:rPr>
                    <w:t>《地下水环境质量标准》（GB/T14848-2017）中Ⅲ类标准</w:t>
                  </w:r>
                </w:p>
              </w:tc>
            </w:tr>
          </w:tbl>
          <w:p w14:paraId="2C33FE16">
            <w:pPr>
              <w:rPr>
                <w:b/>
              </w:rPr>
            </w:pPr>
            <w:r>
              <w:rPr>
                <w:rFonts w:hint="eastAsia"/>
                <w:b/>
              </w:rPr>
              <w:t>七、环保投资</w:t>
            </w:r>
          </w:p>
          <w:p w14:paraId="61A7622A">
            <w:pPr>
              <w:ind w:firstLine="480" w:firstLineChars="200"/>
            </w:pPr>
            <w:r>
              <w:rPr>
                <w:rFonts w:hint="eastAsia"/>
              </w:rPr>
              <w:t>本</w:t>
            </w:r>
            <w:r>
              <w:t>项目总投资</w:t>
            </w:r>
            <w:r>
              <w:rPr>
                <w:rFonts w:hint="eastAsia"/>
              </w:rPr>
              <w:t>10800</w:t>
            </w:r>
            <w:r>
              <w:t>万元，其中环保投资</w:t>
            </w:r>
            <w:r>
              <w:rPr>
                <w:rFonts w:hint="eastAsia"/>
              </w:rPr>
              <w:t>195</w:t>
            </w:r>
            <w:r>
              <w:t>万元，占总投资的</w:t>
            </w:r>
            <w:r>
              <w:rPr>
                <w:rFonts w:hint="eastAsia"/>
              </w:rPr>
              <w:t>1.8</w:t>
            </w:r>
            <w:r>
              <w:t>%，主要用于废气、废水、固体废物、噪声的治理处置等费用。环保投资估算详见下表。</w:t>
            </w:r>
          </w:p>
          <w:p w14:paraId="6D6DCCBB">
            <w:pPr>
              <w:pStyle w:val="6"/>
            </w:pPr>
            <w:r>
              <w:t xml:space="preserve">表 </w:t>
            </w:r>
            <w:r>
              <w:rPr>
                <w:rFonts w:hint="eastAsia"/>
              </w:rPr>
              <w:t>4-</w:t>
            </w:r>
            <w:r>
              <w:fldChar w:fldCharType="begin"/>
            </w:r>
            <w:r>
              <w:instrText xml:space="preserve"> SEQ 表 \* ARABIC \s 1 </w:instrText>
            </w:r>
            <w:r>
              <w:fldChar w:fldCharType="separate"/>
            </w:r>
            <w:r>
              <w:t>21</w:t>
            </w:r>
            <w:r>
              <w:fldChar w:fldCharType="end"/>
            </w:r>
            <w:r>
              <w:rPr>
                <w:rFonts w:hint="eastAsia"/>
              </w:rPr>
              <w:t>建设项目环保措施投资一览表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013"/>
              <w:gridCol w:w="2337"/>
              <w:gridCol w:w="2896"/>
              <w:gridCol w:w="1355"/>
            </w:tblGrid>
            <w:tr w14:paraId="78FDCC1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tcBorders>
                    <w:bottom w:val="single" w:color="auto" w:sz="4" w:space="0"/>
                    <w:right w:val="single" w:color="auto" w:sz="4" w:space="0"/>
                    <w:tl2br w:val="nil"/>
                    <w:tr2bl w:val="nil"/>
                  </w:tcBorders>
                  <w:vAlign w:val="center"/>
                </w:tcPr>
                <w:p w14:paraId="28541C38">
                  <w:pPr>
                    <w:pStyle w:val="24"/>
                    <w:rPr>
                      <w:b/>
                      <w:bCs/>
                    </w:rPr>
                  </w:pPr>
                  <w:r>
                    <w:rPr>
                      <w:b/>
                      <w:bCs/>
                    </w:rPr>
                    <w:t>项目</w:t>
                  </w:r>
                </w:p>
              </w:tc>
              <w:tc>
                <w:tcPr>
                  <w:tcW w:w="340" w:type="dxa"/>
                  <w:tcBorders>
                    <w:left w:val="single" w:color="auto" w:sz="4" w:space="0"/>
                    <w:bottom w:val="single" w:color="auto" w:sz="4" w:space="0"/>
                    <w:right w:val="single" w:color="auto" w:sz="4" w:space="0"/>
                    <w:tl2br w:val="nil"/>
                    <w:tr2bl w:val="nil"/>
                  </w:tcBorders>
                  <w:vAlign w:val="center"/>
                </w:tcPr>
                <w:p w14:paraId="3DCB549B">
                  <w:pPr>
                    <w:pStyle w:val="24"/>
                    <w:rPr>
                      <w:b/>
                      <w:bCs/>
                    </w:rPr>
                  </w:pPr>
                  <w:r>
                    <w:rPr>
                      <w:b/>
                      <w:bCs/>
                    </w:rPr>
                    <w:t>污染物</w:t>
                  </w:r>
                </w:p>
              </w:tc>
              <w:tc>
                <w:tcPr>
                  <w:tcW w:w="340" w:type="dxa"/>
                  <w:tcBorders>
                    <w:left w:val="single" w:color="auto" w:sz="4" w:space="0"/>
                    <w:bottom w:val="single" w:color="auto" w:sz="4" w:space="0"/>
                    <w:right w:val="single" w:color="auto" w:sz="4" w:space="0"/>
                    <w:tl2br w:val="nil"/>
                    <w:tr2bl w:val="nil"/>
                  </w:tcBorders>
                  <w:vAlign w:val="center"/>
                </w:tcPr>
                <w:p w14:paraId="3C7983FE">
                  <w:pPr>
                    <w:pStyle w:val="24"/>
                    <w:rPr>
                      <w:b/>
                      <w:bCs/>
                    </w:rPr>
                  </w:pPr>
                  <w:r>
                    <w:rPr>
                      <w:b/>
                      <w:bCs/>
                    </w:rPr>
                    <w:t>内容</w:t>
                  </w:r>
                </w:p>
              </w:tc>
              <w:tc>
                <w:tcPr>
                  <w:tcW w:w="340" w:type="dxa"/>
                  <w:tcBorders>
                    <w:left w:val="single" w:color="auto" w:sz="4" w:space="0"/>
                    <w:bottom w:val="single" w:color="auto" w:sz="4" w:space="0"/>
                    <w:tl2br w:val="nil"/>
                    <w:tr2bl w:val="nil"/>
                  </w:tcBorders>
                  <w:vAlign w:val="center"/>
                </w:tcPr>
                <w:p w14:paraId="1CC97E45">
                  <w:pPr>
                    <w:pStyle w:val="24"/>
                    <w:rPr>
                      <w:b/>
                      <w:bCs/>
                    </w:rPr>
                  </w:pPr>
                  <w:r>
                    <w:rPr>
                      <w:b/>
                      <w:bCs/>
                    </w:rPr>
                    <w:t>投资(万元)</w:t>
                  </w:r>
                </w:p>
              </w:tc>
            </w:tr>
            <w:tr w14:paraId="22B0FE6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tcBorders>
                    <w:top w:val="single" w:color="auto" w:sz="4" w:space="0"/>
                    <w:bottom w:val="single" w:color="auto" w:sz="4" w:space="0"/>
                    <w:right w:val="single" w:color="auto" w:sz="4" w:space="0"/>
                    <w:tl2br w:val="nil"/>
                    <w:tr2bl w:val="nil"/>
                  </w:tcBorders>
                  <w:vAlign w:val="center"/>
                </w:tcPr>
                <w:p w14:paraId="3B8C9DCC">
                  <w:pPr>
                    <w:pStyle w:val="24"/>
                  </w:pPr>
                  <w:r>
                    <w:t>废水治理</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1C8E818A">
                  <w:pPr>
                    <w:pStyle w:val="24"/>
                  </w:pPr>
                  <w:r>
                    <w:rPr>
                      <w:rFonts w:hint="eastAsia"/>
                    </w:rPr>
                    <w:t>CODcr、BOD</w:t>
                  </w:r>
                  <w:r>
                    <w:rPr>
                      <w:rFonts w:hint="eastAsia"/>
                      <w:vertAlign w:val="subscript"/>
                    </w:rPr>
                    <w:t>5</w:t>
                  </w:r>
                  <w:r>
                    <w:rPr>
                      <w:rFonts w:hint="eastAsia"/>
                    </w:rPr>
                    <w:t>、SS、NH</w:t>
                  </w:r>
                  <w:r>
                    <w:rPr>
                      <w:rFonts w:hint="eastAsia"/>
                      <w:vertAlign w:val="subscript"/>
                    </w:rPr>
                    <w:t>3</w:t>
                  </w:r>
                  <w:r>
                    <w:rPr>
                      <w:rFonts w:hint="eastAsia"/>
                    </w:rPr>
                    <w:t>-N、石油类、动植物油、LAS</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220C4A39">
                  <w:pPr>
                    <w:pStyle w:val="24"/>
                  </w:pPr>
                  <w:r>
                    <w:t>设置</w:t>
                  </w:r>
                  <w:r>
                    <w:rPr>
                      <w:rFonts w:hint="eastAsia"/>
                    </w:rPr>
                    <w:t>1座三级油水分离池（15m</w:t>
                  </w:r>
                  <w:r>
                    <w:rPr>
                      <w:rFonts w:hint="eastAsia"/>
                      <w:vertAlign w:val="superscript"/>
                    </w:rPr>
                    <w:t>3</w:t>
                  </w:r>
                  <w:r>
                    <w:rPr>
                      <w:rFonts w:hint="eastAsia"/>
                    </w:rPr>
                    <w:t>）、</w:t>
                  </w:r>
                  <w:bookmarkStart w:id="39" w:name="OLE_LINK38"/>
                  <w:r>
                    <w:rPr>
                      <w:rFonts w:hint="eastAsia"/>
                    </w:rPr>
                    <w:t>1座隔油池（</w:t>
                  </w:r>
                  <w:bookmarkStart w:id="40" w:name="OLE_LINK40"/>
                  <w:r>
                    <w:rPr>
                      <w:rFonts w:hint="eastAsia"/>
                    </w:rPr>
                    <w:t>10m</w:t>
                  </w:r>
                  <w:r>
                    <w:rPr>
                      <w:rFonts w:hint="eastAsia"/>
                      <w:vertAlign w:val="superscript"/>
                    </w:rPr>
                    <w:t>3</w:t>
                  </w:r>
                  <w:bookmarkEnd w:id="40"/>
                  <w:r>
                    <w:rPr>
                      <w:rFonts w:hint="eastAsia"/>
                    </w:rPr>
                    <w:t>）</w:t>
                  </w:r>
                  <w:bookmarkEnd w:id="39"/>
                  <w:r>
                    <w:rPr>
                      <w:rFonts w:hint="eastAsia"/>
                    </w:rPr>
                    <w:t>、1座化粪池（20m</w:t>
                  </w:r>
                  <w:r>
                    <w:rPr>
                      <w:rFonts w:hint="eastAsia"/>
                      <w:vertAlign w:val="superscript"/>
                    </w:rPr>
                    <w:t>3</w:t>
                  </w:r>
                  <w:r>
                    <w:rPr>
                      <w:rFonts w:hint="eastAsia"/>
                    </w:rPr>
                    <w:t>）、1座隔油沉淀池（15m</w:t>
                  </w:r>
                  <w:r>
                    <w:rPr>
                      <w:rFonts w:hint="eastAsia"/>
                      <w:vertAlign w:val="superscript"/>
                    </w:rPr>
                    <w:t>3</w:t>
                  </w:r>
                  <w:r>
                    <w:rPr>
                      <w:rFonts w:hint="eastAsia"/>
                    </w:rPr>
                    <w:t>）</w:t>
                  </w:r>
                </w:p>
              </w:tc>
              <w:tc>
                <w:tcPr>
                  <w:tcW w:w="340" w:type="dxa"/>
                  <w:tcBorders>
                    <w:top w:val="single" w:color="auto" w:sz="4" w:space="0"/>
                    <w:left w:val="single" w:color="auto" w:sz="4" w:space="0"/>
                    <w:bottom w:val="single" w:color="auto" w:sz="4" w:space="0"/>
                    <w:tl2br w:val="nil"/>
                    <w:tr2bl w:val="nil"/>
                  </w:tcBorders>
                  <w:vAlign w:val="center"/>
                </w:tcPr>
                <w:p w14:paraId="4C88444C">
                  <w:pPr>
                    <w:pStyle w:val="24"/>
                  </w:pPr>
                  <w:r>
                    <w:rPr>
                      <w:rFonts w:hint="eastAsia"/>
                    </w:rPr>
                    <w:t>25</w:t>
                  </w:r>
                  <w:r>
                    <w:t>.0</w:t>
                  </w:r>
                </w:p>
              </w:tc>
            </w:tr>
            <w:tr w14:paraId="054DFB12">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66" w:hRule="atLeast"/>
              </w:trPr>
              <w:tc>
                <w:tcPr>
                  <w:tcW w:w="340" w:type="dxa"/>
                  <w:vMerge w:val="restart"/>
                  <w:tcBorders>
                    <w:top w:val="single" w:color="auto" w:sz="4" w:space="0"/>
                    <w:right w:val="single" w:color="auto" w:sz="4" w:space="0"/>
                    <w:tl2br w:val="nil"/>
                    <w:tr2bl w:val="nil"/>
                  </w:tcBorders>
                  <w:vAlign w:val="center"/>
                </w:tcPr>
                <w:p w14:paraId="7B1CE413">
                  <w:pPr>
                    <w:pStyle w:val="24"/>
                  </w:pPr>
                  <w:r>
                    <w:t>废气治理</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1E669641">
                  <w:pPr>
                    <w:pStyle w:val="24"/>
                  </w:pPr>
                  <w:r>
                    <w:t>非甲烷总烃</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609EFE13">
                  <w:pPr>
                    <w:pStyle w:val="24"/>
                  </w:pPr>
                  <w:r>
                    <w:t>自封式加油枪及密闭卸油、油罐埋地，</w:t>
                  </w:r>
                  <w:r>
                    <w:rPr>
                      <w:rFonts w:hint="eastAsia"/>
                    </w:rPr>
                    <w:t>1套</w:t>
                  </w:r>
                  <w:r>
                    <w:t>汽油安装油气回收装置</w:t>
                  </w:r>
                </w:p>
              </w:tc>
              <w:tc>
                <w:tcPr>
                  <w:tcW w:w="340" w:type="dxa"/>
                  <w:vMerge w:val="restart"/>
                  <w:tcBorders>
                    <w:top w:val="single" w:color="auto" w:sz="4" w:space="0"/>
                    <w:left w:val="single" w:color="auto" w:sz="4" w:space="0"/>
                    <w:tl2br w:val="nil"/>
                    <w:tr2bl w:val="nil"/>
                  </w:tcBorders>
                  <w:vAlign w:val="center"/>
                </w:tcPr>
                <w:p w14:paraId="4E85FD29">
                  <w:pPr>
                    <w:pStyle w:val="24"/>
                  </w:pPr>
                  <w:r>
                    <w:rPr>
                      <w:rFonts w:hint="eastAsia"/>
                    </w:rPr>
                    <w:t>50</w:t>
                  </w:r>
                  <w:r>
                    <w:t>.0</w:t>
                  </w:r>
                </w:p>
              </w:tc>
            </w:tr>
            <w:tr w14:paraId="3180FBFD">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10" w:hRule="atLeast"/>
              </w:trPr>
              <w:tc>
                <w:tcPr>
                  <w:tcW w:w="340" w:type="dxa"/>
                  <w:vMerge w:val="continue"/>
                  <w:tcBorders>
                    <w:bottom w:val="single" w:color="auto" w:sz="4" w:space="0"/>
                    <w:right w:val="single" w:color="auto" w:sz="4" w:space="0"/>
                    <w:tl2br w:val="nil"/>
                    <w:tr2bl w:val="nil"/>
                  </w:tcBorders>
                  <w:vAlign w:val="center"/>
                </w:tcPr>
                <w:p w14:paraId="1BA5879B">
                  <w:pPr>
                    <w:pStyle w:val="24"/>
                  </w:pP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38500346">
                  <w:pPr>
                    <w:pStyle w:val="24"/>
                  </w:pPr>
                  <w:r>
                    <w:rPr>
                      <w:rFonts w:hint="eastAsia"/>
                    </w:rPr>
                    <w:t>焊接烟尘</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709A7695">
                  <w:pPr>
                    <w:pStyle w:val="24"/>
                  </w:pPr>
                  <w:r>
                    <w:rPr>
                      <w:rFonts w:hint="eastAsia"/>
                    </w:rPr>
                    <w:t>2套移动式焊烟净化器</w:t>
                  </w:r>
                </w:p>
              </w:tc>
              <w:tc>
                <w:tcPr>
                  <w:tcW w:w="340" w:type="dxa"/>
                  <w:vMerge w:val="continue"/>
                  <w:tcBorders>
                    <w:left w:val="single" w:color="auto" w:sz="4" w:space="0"/>
                    <w:bottom w:val="single" w:color="auto" w:sz="4" w:space="0"/>
                    <w:tl2br w:val="nil"/>
                    <w:tr2bl w:val="nil"/>
                  </w:tcBorders>
                  <w:vAlign w:val="center"/>
                </w:tcPr>
                <w:p w14:paraId="70C43061">
                  <w:pPr>
                    <w:pStyle w:val="24"/>
                  </w:pPr>
                </w:p>
              </w:tc>
            </w:tr>
            <w:tr w14:paraId="48F598CE">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tcBorders>
                    <w:top w:val="single" w:color="auto" w:sz="4" w:space="0"/>
                    <w:bottom w:val="single" w:color="auto" w:sz="4" w:space="0"/>
                    <w:right w:val="single" w:color="auto" w:sz="4" w:space="0"/>
                    <w:tl2br w:val="nil"/>
                    <w:tr2bl w:val="nil"/>
                  </w:tcBorders>
                  <w:vAlign w:val="center"/>
                </w:tcPr>
                <w:p w14:paraId="3C4FF167">
                  <w:pPr>
                    <w:pStyle w:val="24"/>
                  </w:pPr>
                  <w:r>
                    <w:t>噪声治理</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61ECC3BF">
                  <w:pPr>
                    <w:pStyle w:val="24"/>
                  </w:pPr>
                  <w:r>
                    <w:t>噪声</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531E7397">
                  <w:pPr>
                    <w:pStyle w:val="24"/>
                  </w:pPr>
                  <w:r>
                    <w:rPr>
                      <w:rFonts w:hint="eastAsia"/>
                    </w:rPr>
                    <w:t>优化平面布局，</w:t>
                  </w:r>
                  <w:r>
                    <w:t>设备隔声降噪措施</w:t>
                  </w:r>
                </w:p>
              </w:tc>
              <w:tc>
                <w:tcPr>
                  <w:tcW w:w="340" w:type="dxa"/>
                  <w:tcBorders>
                    <w:top w:val="single" w:color="auto" w:sz="4" w:space="0"/>
                    <w:left w:val="single" w:color="auto" w:sz="4" w:space="0"/>
                    <w:bottom w:val="single" w:color="auto" w:sz="4" w:space="0"/>
                    <w:tl2br w:val="nil"/>
                    <w:tr2bl w:val="nil"/>
                  </w:tcBorders>
                  <w:vAlign w:val="center"/>
                </w:tcPr>
                <w:p w14:paraId="524555B3">
                  <w:pPr>
                    <w:pStyle w:val="24"/>
                  </w:pPr>
                  <w:r>
                    <w:rPr>
                      <w:rFonts w:hint="eastAsia"/>
                    </w:rPr>
                    <w:t>15</w:t>
                  </w:r>
                  <w:r>
                    <w:t>.0</w:t>
                  </w:r>
                </w:p>
              </w:tc>
            </w:tr>
            <w:tr w14:paraId="521B3B9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vMerge w:val="restart"/>
                  <w:tcBorders>
                    <w:top w:val="single" w:color="auto" w:sz="4" w:space="0"/>
                    <w:bottom w:val="single" w:color="auto" w:sz="4" w:space="0"/>
                    <w:right w:val="single" w:color="auto" w:sz="4" w:space="0"/>
                    <w:tl2br w:val="nil"/>
                    <w:tr2bl w:val="nil"/>
                  </w:tcBorders>
                  <w:vAlign w:val="center"/>
                </w:tcPr>
                <w:p w14:paraId="10F3FC71">
                  <w:pPr>
                    <w:pStyle w:val="24"/>
                  </w:pPr>
                  <w:r>
                    <w:t>固废治理</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7B283A36">
                  <w:pPr>
                    <w:pStyle w:val="24"/>
                  </w:pPr>
                  <w:r>
                    <w:t>生活垃圾</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514E2E8A">
                  <w:pPr>
                    <w:pStyle w:val="24"/>
                  </w:pPr>
                  <w:r>
                    <w:t>由厂内垃圾桶收集，定期由环卫部门清运</w:t>
                  </w:r>
                </w:p>
              </w:tc>
              <w:tc>
                <w:tcPr>
                  <w:tcW w:w="340" w:type="dxa"/>
                  <w:vMerge w:val="restart"/>
                  <w:tcBorders>
                    <w:top w:val="single" w:color="auto" w:sz="4" w:space="0"/>
                    <w:left w:val="single" w:color="auto" w:sz="4" w:space="0"/>
                    <w:bottom w:val="single" w:color="auto" w:sz="4" w:space="0"/>
                    <w:tl2br w:val="nil"/>
                    <w:tr2bl w:val="nil"/>
                  </w:tcBorders>
                  <w:vAlign w:val="center"/>
                </w:tcPr>
                <w:p w14:paraId="3F5C46F7">
                  <w:pPr>
                    <w:pStyle w:val="24"/>
                  </w:pPr>
                  <w:r>
                    <w:rPr>
                      <w:rFonts w:hint="eastAsia"/>
                    </w:rPr>
                    <w:t>55</w:t>
                  </w:r>
                  <w:r>
                    <w:t>.0</w:t>
                  </w:r>
                </w:p>
              </w:tc>
            </w:tr>
            <w:tr w14:paraId="1E4957F8">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vMerge w:val="continue"/>
                  <w:tcBorders>
                    <w:top w:val="single" w:color="auto" w:sz="4" w:space="0"/>
                    <w:bottom w:val="single" w:color="auto" w:sz="4" w:space="0"/>
                    <w:right w:val="single" w:color="auto" w:sz="4" w:space="0"/>
                    <w:tl2br w:val="nil"/>
                    <w:tr2bl w:val="nil"/>
                  </w:tcBorders>
                  <w:vAlign w:val="center"/>
                </w:tcPr>
                <w:p w14:paraId="79CAAD41">
                  <w:pPr>
                    <w:pStyle w:val="24"/>
                  </w:pP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6F6591CB">
                  <w:pPr>
                    <w:pStyle w:val="24"/>
                  </w:pPr>
                  <w:r>
                    <w:t>废含油抹布</w:t>
                  </w:r>
                  <w:r>
                    <w:rPr>
                      <w:rFonts w:hint="eastAsia"/>
                    </w:rPr>
                    <w:t>或</w:t>
                  </w:r>
                  <w:r>
                    <w:t>手套</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26970A44">
                  <w:pPr>
                    <w:pStyle w:val="24"/>
                  </w:pPr>
                  <w:r>
                    <w:rPr>
                      <w:rFonts w:hint="eastAsia"/>
                    </w:rPr>
                    <w:t>暂存于危废暂存间，定期交由有资质单位处理</w:t>
                  </w:r>
                </w:p>
              </w:tc>
              <w:tc>
                <w:tcPr>
                  <w:tcW w:w="340" w:type="dxa"/>
                  <w:vMerge w:val="continue"/>
                  <w:tcBorders>
                    <w:top w:val="single" w:color="auto" w:sz="4" w:space="0"/>
                    <w:left w:val="single" w:color="auto" w:sz="4" w:space="0"/>
                    <w:bottom w:val="single" w:color="auto" w:sz="4" w:space="0"/>
                    <w:tl2br w:val="nil"/>
                    <w:tr2bl w:val="nil"/>
                  </w:tcBorders>
                  <w:vAlign w:val="center"/>
                </w:tcPr>
                <w:p w14:paraId="0B718D60">
                  <w:pPr>
                    <w:pStyle w:val="24"/>
                  </w:pPr>
                </w:p>
              </w:tc>
            </w:tr>
            <w:tr w14:paraId="0C9C9192">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vMerge w:val="continue"/>
                  <w:tcBorders>
                    <w:top w:val="single" w:color="auto" w:sz="4" w:space="0"/>
                    <w:bottom w:val="single" w:color="auto" w:sz="4" w:space="0"/>
                    <w:right w:val="single" w:color="auto" w:sz="4" w:space="0"/>
                    <w:tl2br w:val="nil"/>
                    <w:tr2bl w:val="nil"/>
                  </w:tcBorders>
                  <w:vAlign w:val="center"/>
                </w:tcPr>
                <w:p w14:paraId="7EC0927E">
                  <w:pPr>
                    <w:pStyle w:val="24"/>
                  </w:pP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3CC0DDF7">
                  <w:pPr>
                    <w:pStyle w:val="24"/>
                  </w:pPr>
                  <w:r>
                    <w:t>清罐油泥、</w:t>
                  </w:r>
                  <w:r>
                    <w:rPr>
                      <w:rFonts w:hint="eastAsia"/>
                    </w:rPr>
                    <w:t>清罐废液、</w:t>
                  </w:r>
                  <w:r>
                    <w:t>油渣</w:t>
                  </w:r>
                  <w:r>
                    <w:rPr>
                      <w:rFonts w:hint="eastAsia"/>
                    </w:rPr>
                    <w:t>、三级油水分离池油泥</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4E101FAD">
                  <w:pPr>
                    <w:pStyle w:val="24"/>
                  </w:pPr>
                  <w:r>
                    <w:t>储油罐、</w:t>
                  </w:r>
                  <w:r>
                    <w:rPr>
                      <w:rFonts w:hint="eastAsia"/>
                    </w:rPr>
                    <w:t>隔油沉淀池</w:t>
                  </w:r>
                  <w:r>
                    <w:t>委托有资质单位定期进行清理，并将清罐油泥、油渣</w:t>
                  </w:r>
                  <w:r>
                    <w:rPr>
                      <w:rFonts w:hint="eastAsia"/>
                    </w:rPr>
                    <w:t>、清罐废液</w:t>
                  </w:r>
                  <w:r>
                    <w:t>带回处置，不在厂区暂存</w:t>
                  </w:r>
                </w:p>
              </w:tc>
              <w:tc>
                <w:tcPr>
                  <w:tcW w:w="340" w:type="dxa"/>
                  <w:vMerge w:val="continue"/>
                  <w:tcBorders>
                    <w:top w:val="single" w:color="auto" w:sz="4" w:space="0"/>
                    <w:left w:val="single" w:color="auto" w:sz="4" w:space="0"/>
                    <w:bottom w:val="single" w:color="auto" w:sz="4" w:space="0"/>
                    <w:tl2br w:val="nil"/>
                    <w:tr2bl w:val="nil"/>
                  </w:tcBorders>
                  <w:vAlign w:val="center"/>
                </w:tcPr>
                <w:p w14:paraId="5B9C0C9C">
                  <w:pPr>
                    <w:pStyle w:val="24"/>
                  </w:pPr>
                </w:p>
              </w:tc>
            </w:tr>
            <w:tr w14:paraId="5CCEAA59">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vMerge w:val="continue"/>
                  <w:tcBorders>
                    <w:top w:val="single" w:color="auto" w:sz="4" w:space="0"/>
                    <w:bottom w:val="single" w:color="auto" w:sz="4" w:space="0"/>
                    <w:right w:val="single" w:color="auto" w:sz="4" w:space="0"/>
                    <w:tl2br w:val="nil"/>
                    <w:tr2bl w:val="nil"/>
                  </w:tcBorders>
                  <w:vAlign w:val="center"/>
                </w:tcPr>
                <w:p w14:paraId="6D8939CB">
                  <w:pPr>
                    <w:pStyle w:val="24"/>
                  </w:pP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447B23F2">
                  <w:pPr>
                    <w:pStyle w:val="24"/>
                  </w:pPr>
                  <w:r>
                    <w:rPr>
                      <w:rFonts w:hint="eastAsia"/>
                    </w:rPr>
                    <w:t>废零部件</w:t>
                  </w:r>
                </w:p>
              </w:tc>
              <w:tc>
                <w:tcPr>
                  <w:tcW w:w="340"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431ED6DA">
                  <w:pPr>
                    <w:pStyle w:val="24"/>
                  </w:pPr>
                  <w:r>
                    <w:rPr>
                      <w:rFonts w:hint="eastAsia"/>
                    </w:rPr>
                    <w:t>外售给物资回收单位</w:t>
                  </w:r>
                </w:p>
              </w:tc>
              <w:tc>
                <w:tcPr>
                  <w:tcW w:w="340" w:type="dxa"/>
                  <w:vMerge w:val="continue"/>
                  <w:tcBorders>
                    <w:top w:val="single" w:color="auto" w:sz="4" w:space="0"/>
                    <w:left w:val="single" w:color="auto" w:sz="4" w:space="0"/>
                    <w:bottom w:val="single" w:color="auto" w:sz="4" w:space="0"/>
                    <w:tl2br w:val="nil"/>
                    <w:tr2bl w:val="nil"/>
                  </w:tcBorders>
                  <w:vAlign w:val="center"/>
                </w:tcPr>
                <w:p w14:paraId="11253E2B">
                  <w:pPr>
                    <w:pStyle w:val="24"/>
                  </w:pPr>
                </w:p>
              </w:tc>
            </w:tr>
            <w:tr w14:paraId="4C9C83F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vMerge w:val="continue"/>
                  <w:tcBorders>
                    <w:top w:val="single" w:color="auto" w:sz="4" w:space="0"/>
                    <w:bottom w:val="single" w:color="auto" w:sz="4" w:space="0"/>
                    <w:right w:val="single" w:color="auto" w:sz="4" w:space="0"/>
                    <w:tl2br w:val="nil"/>
                    <w:tr2bl w:val="nil"/>
                  </w:tcBorders>
                  <w:vAlign w:val="center"/>
                </w:tcPr>
                <w:p w14:paraId="7F69F10B">
                  <w:pPr>
                    <w:pStyle w:val="24"/>
                  </w:pP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1E513599">
                  <w:pPr>
                    <w:pStyle w:val="24"/>
                  </w:pPr>
                  <w:r>
                    <w:rPr>
                      <w:rFonts w:hint="eastAsia"/>
                    </w:rPr>
                    <w:t>废焊丝</w:t>
                  </w:r>
                </w:p>
              </w:tc>
              <w:tc>
                <w:tcPr>
                  <w:tcW w:w="340"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2C81F923">
                  <w:pPr>
                    <w:pStyle w:val="24"/>
                  </w:pPr>
                </w:p>
              </w:tc>
              <w:tc>
                <w:tcPr>
                  <w:tcW w:w="340" w:type="dxa"/>
                  <w:vMerge w:val="continue"/>
                  <w:tcBorders>
                    <w:top w:val="single" w:color="auto" w:sz="4" w:space="0"/>
                    <w:left w:val="single" w:color="auto" w:sz="4" w:space="0"/>
                    <w:bottom w:val="single" w:color="auto" w:sz="4" w:space="0"/>
                    <w:tl2br w:val="nil"/>
                    <w:tr2bl w:val="nil"/>
                  </w:tcBorders>
                  <w:vAlign w:val="center"/>
                </w:tcPr>
                <w:p w14:paraId="113F834B">
                  <w:pPr>
                    <w:pStyle w:val="24"/>
                  </w:pPr>
                </w:p>
              </w:tc>
            </w:tr>
            <w:tr w14:paraId="52B665F4">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vMerge w:val="continue"/>
                  <w:tcBorders>
                    <w:top w:val="single" w:color="auto" w:sz="4" w:space="0"/>
                    <w:bottom w:val="single" w:color="auto" w:sz="4" w:space="0"/>
                    <w:right w:val="single" w:color="auto" w:sz="4" w:space="0"/>
                    <w:tl2br w:val="nil"/>
                    <w:tr2bl w:val="nil"/>
                  </w:tcBorders>
                  <w:vAlign w:val="center"/>
                </w:tcPr>
                <w:p w14:paraId="2B7FDC59">
                  <w:pPr>
                    <w:pStyle w:val="24"/>
                  </w:pP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63350398">
                  <w:pPr>
                    <w:pStyle w:val="24"/>
                    <w:rPr>
                      <w:rFonts w:hint="eastAsia" w:eastAsia="宋体"/>
                      <w:lang w:eastAsia="zh-CN"/>
                    </w:rPr>
                  </w:pPr>
                  <w:r>
                    <w:rPr>
                      <w:rFonts w:hint="eastAsia"/>
                    </w:rPr>
                    <w:t>废机油、废机油桶、</w:t>
                  </w:r>
                  <w:r>
                    <w:rPr>
                      <w:rFonts w:hint="eastAsia"/>
                      <w:lang w:eastAsia="zh-CN"/>
                    </w:rPr>
                    <w:t>废电池</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03D7C014">
                  <w:pPr>
                    <w:pStyle w:val="24"/>
                  </w:pPr>
                  <w:r>
                    <w:rPr>
                      <w:rFonts w:hint="eastAsia"/>
                    </w:rPr>
                    <w:t>暂存于危废暂存间，定期交由有资质单位处理</w:t>
                  </w:r>
                </w:p>
              </w:tc>
              <w:tc>
                <w:tcPr>
                  <w:tcW w:w="340" w:type="dxa"/>
                  <w:vMerge w:val="continue"/>
                  <w:tcBorders>
                    <w:top w:val="single" w:color="auto" w:sz="4" w:space="0"/>
                    <w:left w:val="single" w:color="auto" w:sz="4" w:space="0"/>
                    <w:bottom w:val="single" w:color="auto" w:sz="4" w:space="0"/>
                    <w:tl2br w:val="nil"/>
                    <w:tr2bl w:val="nil"/>
                  </w:tcBorders>
                  <w:vAlign w:val="center"/>
                </w:tcPr>
                <w:p w14:paraId="06F07B49">
                  <w:pPr>
                    <w:pStyle w:val="24"/>
                  </w:pPr>
                </w:p>
              </w:tc>
            </w:tr>
            <w:tr w14:paraId="0A7C2E6A">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tcBorders>
                    <w:top w:val="single" w:color="auto" w:sz="4" w:space="0"/>
                    <w:bottom w:val="single" w:color="auto" w:sz="4" w:space="0"/>
                    <w:right w:val="single" w:color="auto" w:sz="4" w:space="0"/>
                    <w:tl2br w:val="nil"/>
                    <w:tr2bl w:val="nil"/>
                  </w:tcBorders>
                  <w:vAlign w:val="center"/>
                </w:tcPr>
                <w:p w14:paraId="3A721197">
                  <w:pPr>
                    <w:pStyle w:val="24"/>
                  </w:pPr>
                  <w:r>
                    <w:t>地下水</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4519A06D">
                  <w:pPr>
                    <w:pStyle w:val="24"/>
                  </w:pPr>
                  <w:r>
                    <w:rPr>
                      <w:rFonts w:hint="eastAsia"/>
                    </w:rPr>
                    <w:t>柴油、</w:t>
                  </w:r>
                  <w:r>
                    <w:t>汽油</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032C55E2">
                  <w:pPr>
                    <w:pStyle w:val="24"/>
                  </w:pPr>
                  <w:r>
                    <w:t>分区防渗，油罐采用双层罐、输油管线采取双层管道等</w:t>
                  </w:r>
                </w:p>
              </w:tc>
              <w:tc>
                <w:tcPr>
                  <w:tcW w:w="340" w:type="dxa"/>
                  <w:tcBorders>
                    <w:top w:val="single" w:color="auto" w:sz="4" w:space="0"/>
                    <w:left w:val="single" w:color="auto" w:sz="4" w:space="0"/>
                    <w:bottom w:val="single" w:color="auto" w:sz="4" w:space="0"/>
                    <w:tl2br w:val="nil"/>
                    <w:tr2bl w:val="nil"/>
                  </w:tcBorders>
                  <w:vAlign w:val="center"/>
                </w:tcPr>
                <w:p w14:paraId="56E7823C">
                  <w:pPr>
                    <w:pStyle w:val="24"/>
                  </w:pPr>
                  <w:r>
                    <w:rPr>
                      <w:rFonts w:hint="eastAsia"/>
                    </w:rPr>
                    <w:t>3</w:t>
                  </w:r>
                  <w:r>
                    <w:t>0.0</w:t>
                  </w:r>
                </w:p>
              </w:tc>
            </w:tr>
            <w:tr w14:paraId="1B3F7F23">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tcBorders>
                    <w:top w:val="single" w:color="auto" w:sz="4" w:space="0"/>
                    <w:bottom w:val="single" w:color="auto" w:sz="4" w:space="0"/>
                    <w:right w:val="single" w:color="auto" w:sz="4" w:space="0"/>
                    <w:tl2br w:val="nil"/>
                    <w:tr2bl w:val="nil"/>
                  </w:tcBorders>
                  <w:vAlign w:val="center"/>
                </w:tcPr>
                <w:p w14:paraId="590D513A">
                  <w:pPr>
                    <w:pStyle w:val="24"/>
                  </w:pPr>
                  <w:r>
                    <w:t>环境风险</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6EF20B2A">
                  <w:pPr>
                    <w:pStyle w:val="24"/>
                  </w:pPr>
                  <w:r>
                    <w:t>环境风险防范</w:t>
                  </w:r>
                </w:p>
              </w:tc>
              <w:tc>
                <w:tcPr>
                  <w:tcW w:w="340" w:type="dxa"/>
                  <w:tcBorders>
                    <w:top w:val="single" w:color="auto" w:sz="4" w:space="0"/>
                    <w:left w:val="single" w:color="auto" w:sz="4" w:space="0"/>
                    <w:bottom w:val="single" w:color="auto" w:sz="4" w:space="0"/>
                    <w:right w:val="single" w:color="auto" w:sz="4" w:space="0"/>
                    <w:tl2br w:val="nil"/>
                    <w:tr2bl w:val="nil"/>
                  </w:tcBorders>
                  <w:vAlign w:val="center"/>
                </w:tcPr>
                <w:p w14:paraId="56A33614">
                  <w:pPr>
                    <w:pStyle w:val="24"/>
                  </w:pPr>
                  <w:r>
                    <w:rPr>
                      <w:rFonts w:hint="eastAsia"/>
                    </w:rPr>
                    <w:t>地下储油罐周围设计防渗漏检查孔或检查通道；主要工艺设备和管道均设有安全泄放装置；加油站内的电气设备严格按照防爆区划分配置，设置警告牌及灭火器材；在防爆区内，电气设备和仪表均选用防爆型产品，严格执行防火、防爆、防雷击、防毒害等各项要求等。</w:t>
                  </w:r>
                </w:p>
              </w:tc>
              <w:tc>
                <w:tcPr>
                  <w:tcW w:w="340" w:type="dxa"/>
                  <w:tcBorders>
                    <w:top w:val="single" w:color="auto" w:sz="4" w:space="0"/>
                    <w:left w:val="single" w:color="auto" w:sz="4" w:space="0"/>
                    <w:bottom w:val="single" w:color="auto" w:sz="4" w:space="0"/>
                    <w:tl2br w:val="nil"/>
                    <w:tr2bl w:val="nil"/>
                  </w:tcBorders>
                  <w:vAlign w:val="center"/>
                </w:tcPr>
                <w:p w14:paraId="4E5E85CA">
                  <w:pPr>
                    <w:pStyle w:val="24"/>
                  </w:pPr>
                  <w:r>
                    <w:rPr>
                      <w:rFonts w:hint="eastAsia"/>
                    </w:rPr>
                    <w:t>20</w:t>
                  </w:r>
                  <w:r>
                    <w:t>.0</w:t>
                  </w:r>
                </w:p>
              </w:tc>
            </w:tr>
            <w:tr w14:paraId="29644D11">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340" w:type="dxa"/>
                  <w:gridSpan w:val="2"/>
                  <w:tcBorders>
                    <w:top w:val="single" w:color="auto" w:sz="4" w:space="0"/>
                    <w:bottom w:val="single" w:color="auto" w:sz="4" w:space="0"/>
                    <w:right w:val="single" w:color="auto" w:sz="4" w:space="0"/>
                    <w:tl2br w:val="nil"/>
                    <w:tr2bl w:val="nil"/>
                  </w:tcBorders>
                  <w:vAlign w:val="center"/>
                </w:tcPr>
                <w:p w14:paraId="6DFD12A4">
                  <w:pPr>
                    <w:pStyle w:val="24"/>
                  </w:pPr>
                  <w:r>
                    <w:t>合计</w:t>
                  </w:r>
                </w:p>
              </w:tc>
              <w:tc>
                <w:tcPr>
                  <w:tcW w:w="340" w:type="dxa"/>
                  <w:gridSpan w:val="2"/>
                  <w:tcBorders>
                    <w:top w:val="single" w:color="auto" w:sz="4" w:space="0"/>
                    <w:left w:val="single" w:color="auto" w:sz="4" w:space="0"/>
                    <w:bottom w:val="single" w:color="auto" w:sz="4" w:space="0"/>
                    <w:tl2br w:val="nil"/>
                    <w:tr2bl w:val="nil"/>
                  </w:tcBorders>
                  <w:vAlign w:val="center"/>
                </w:tcPr>
                <w:p w14:paraId="20C10EDF">
                  <w:pPr>
                    <w:pStyle w:val="24"/>
                  </w:pPr>
                  <w:r>
                    <w:rPr>
                      <w:rFonts w:hint="eastAsia"/>
                    </w:rPr>
                    <w:t>195.0</w:t>
                  </w:r>
                </w:p>
              </w:tc>
            </w:tr>
          </w:tbl>
          <w:p w14:paraId="07ED46AB">
            <w:pPr>
              <w:numPr>
                <w:ilvl w:val="0"/>
                <w:numId w:val="9"/>
              </w:numPr>
              <w:rPr>
                <w:b/>
                <w:bCs/>
              </w:rPr>
            </w:pPr>
            <w:r>
              <w:rPr>
                <w:rFonts w:hint="eastAsia"/>
                <w:b/>
                <w:bCs/>
              </w:rPr>
              <w:t>排污许可管理类别</w:t>
            </w:r>
          </w:p>
          <w:p w14:paraId="34BCB828">
            <w:pPr>
              <w:ind w:firstLine="480" w:firstLineChars="200"/>
            </w:pPr>
            <w: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w:t>
            </w:r>
            <w:r>
              <w:rPr>
                <w:rFonts w:hint="eastAsia"/>
              </w:rPr>
              <w:t>“</w:t>
            </w:r>
            <w:r>
              <w:t>建设项目环境影响评价与排污许可联动内容</w:t>
            </w:r>
            <w:r>
              <w:rPr>
                <w:rFonts w:hint="eastAsia"/>
              </w:rPr>
              <w:t>”</w:t>
            </w:r>
            <w:r>
              <w:t>。</w:t>
            </w:r>
          </w:p>
          <w:p w14:paraId="46F1AC8D">
            <w:pPr>
              <w:ind w:firstLine="480" w:firstLineChars="200"/>
            </w:pPr>
            <w:r>
              <w:t>（1）排污许可管理类别判定</w:t>
            </w:r>
          </w:p>
          <w:p w14:paraId="407564C8">
            <w:pPr>
              <w:ind w:firstLine="480" w:firstLineChars="200"/>
            </w:pPr>
            <w:r>
              <w:t>根据《国民经济行业分类》（GB4754-2017），本项目行业类别为：G5449其他道路运输和辅助活动、F5265机动车燃油零售；对照《固定污染源排污许可分类管理名录》（2019年版），本项目属于《名录》中：</w:t>
            </w:r>
            <w:r>
              <w:rPr>
                <w:rFonts w:hint="eastAsia"/>
              </w:rPr>
              <w:t>四十二、零售业52-100汽车、摩托车、零配件和燃料及其他动力销售526中“位于城市建成区的加油站”，属简化管理。</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1947"/>
              <w:gridCol w:w="1338"/>
              <w:gridCol w:w="1338"/>
              <w:gridCol w:w="1339"/>
            </w:tblGrid>
            <w:tr w14:paraId="36DD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72A81209">
                  <w:pPr>
                    <w:pStyle w:val="24"/>
                  </w:pPr>
                  <w:r>
                    <w:rPr>
                      <w:rFonts w:hint="eastAsia"/>
                    </w:rPr>
                    <w:t>序号</w:t>
                  </w:r>
                </w:p>
              </w:tc>
              <w:tc>
                <w:tcPr>
                  <w:tcW w:w="340" w:type="dxa"/>
                  <w:vAlign w:val="center"/>
                </w:tcPr>
                <w:p w14:paraId="34C8EB1E">
                  <w:pPr>
                    <w:pStyle w:val="24"/>
                  </w:pPr>
                  <w:r>
                    <w:rPr>
                      <w:rFonts w:hint="eastAsia"/>
                    </w:rPr>
                    <w:t>行业类别</w:t>
                  </w:r>
                </w:p>
              </w:tc>
              <w:tc>
                <w:tcPr>
                  <w:tcW w:w="340" w:type="dxa"/>
                  <w:vAlign w:val="center"/>
                </w:tcPr>
                <w:p w14:paraId="1AF09D84">
                  <w:pPr>
                    <w:pStyle w:val="24"/>
                  </w:pPr>
                  <w:r>
                    <w:rPr>
                      <w:rFonts w:hint="eastAsia"/>
                    </w:rPr>
                    <w:t>重点管理</w:t>
                  </w:r>
                </w:p>
              </w:tc>
              <w:tc>
                <w:tcPr>
                  <w:tcW w:w="340" w:type="dxa"/>
                  <w:vAlign w:val="center"/>
                </w:tcPr>
                <w:p w14:paraId="1BD78C99">
                  <w:pPr>
                    <w:pStyle w:val="24"/>
                  </w:pPr>
                  <w:r>
                    <w:rPr>
                      <w:rFonts w:hint="eastAsia"/>
                    </w:rPr>
                    <w:t>简化管理</w:t>
                  </w:r>
                </w:p>
              </w:tc>
              <w:tc>
                <w:tcPr>
                  <w:tcW w:w="340" w:type="dxa"/>
                  <w:vAlign w:val="center"/>
                </w:tcPr>
                <w:p w14:paraId="3739938A">
                  <w:pPr>
                    <w:pStyle w:val="24"/>
                  </w:pPr>
                  <w:r>
                    <w:rPr>
                      <w:rFonts w:hint="eastAsia"/>
                    </w:rPr>
                    <w:t>登记管理</w:t>
                  </w:r>
                </w:p>
              </w:tc>
            </w:tr>
            <w:tr w14:paraId="78CB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gridSpan w:val="5"/>
                  <w:vAlign w:val="center"/>
                </w:tcPr>
                <w:p w14:paraId="7700E7D9">
                  <w:pPr>
                    <w:pStyle w:val="24"/>
                    <w:jc w:val="both"/>
                  </w:pPr>
                  <w:r>
                    <w:rPr>
                      <w:rFonts w:hint="eastAsia"/>
                    </w:rPr>
                    <w:t>四十二、零售业52</w:t>
                  </w:r>
                </w:p>
              </w:tc>
            </w:tr>
            <w:tr w14:paraId="558D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dxa"/>
                  <w:vAlign w:val="center"/>
                </w:tcPr>
                <w:p w14:paraId="2D70D3A5">
                  <w:pPr>
                    <w:pStyle w:val="24"/>
                  </w:pPr>
                  <w:r>
                    <w:rPr>
                      <w:rFonts w:hint="eastAsia"/>
                    </w:rPr>
                    <w:t>100</w:t>
                  </w:r>
                </w:p>
              </w:tc>
              <w:tc>
                <w:tcPr>
                  <w:tcW w:w="340" w:type="dxa"/>
                  <w:vAlign w:val="center"/>
                </w:tcPr>
                <w:p w14:paraId="5C7427E6">
                  <w:pPr>
                    <w:pStyle w:val="24"/>
                  </w:pPr>
                  <w:r>
                    <w:rPr>
                      <w:rFonts w:hint="eastAsia"/>
                    </w:rPr>
                    <w:t>汽车、摩托车、零配件和燃料及其他动力销售526</w:t>
                  </w:r>
                </w:p>
              </w:tc>
              <w:tc>
                <w:tcPr>
                  <w:tcW w:w="340" w:type="dxa"/>
                  <w:vAlign w:val="center"/>
                </w:tcPr>
                <w:p w14:paraId="6F2B7CEA">
                  <w:pPr>
                    <w:pStyle w:val="24"/>
                  </w:pPr>
                  <w:r>
                    <w:rPr>
                      <w:rFonts w:hint="eastAsia"/>
                    </w:rPr>
                    <w:t>/</w:t>
                  </w:r>
                </w:p>
              </w:tc>
              <w:tc>
                <w:tcPr>
                  <w:tcW w:w="340" w:type="dxa"/>
                  <w:vAlign w:val="center"/>
                </w:tcPr>
                <w:p w14:paraId="72641F75">
                  <w:pPr>
                    <w:pStyle w:val="24"/>
                  </w:pPr>
                  <w:r>
                    <w:rPr>
                      <w:rFonts w:hint="eastAsia"/>
                    </w:rPr>
                    <w:t>位于城市建成区的加油站</w:t>
                  </w:r>
                </w:p>
              </w:tc>
              <w:tc>
                <w:tcPr>
                  <w:tcW w:w="340" w:type="dxa"/>
                  <w:vAlign w:val="center"/>
                </w:tcPr>
                <w:p w14:paraId="0617AE7D">
                  <w:pPr>
                    <w:pStyle w:val="24"/>
                  </w:pPr>
                  <w:r>
                    <w:rPr>
                      <w:rFonts w:hint="eastAsia"/>
                    </w:rPr>
                    <w:t>其他加油站</w:t>
                  </w:r>
                </w:p>
              </w:tc>
            </w:tr>
          </w:tbl>
          <w:p w14:paraId="35B0AD80">
            <w:pPr>
              <w:ind w:firstLine="482" w:firstLineChars="200"/>
              <w:rPr>
                <w:b/>
                <w:bCs/>
                <w:color w:val="0000FF"/>
              </w:rPr>
            </w:pPr>
          </w:p>
        </w:tc>
        <w:tc>
          <w:tcPr>
            <w:tcW w:w="240" w:type="dxa"/>
          </w:tcPr>
          <w:p w14:paraId="55FCD8F2">
            <w:pPr>
              <w:ind w:firstLine="482" w:firstLineChars="200"/>
              <w:rPr>
                <w:b/>
                <w:bCs/>
                <w:color w:val="0000FF"/>
              </w:rPr>
            </w:pPr>
          </w:p>
        </w:tc>
      </w:tr>
    </w:tbl>
    <w:p w14:paraId="1FD9616E">
      <w:pPr>
        <w:rPr>
          <w:color w:val="0000FF"/>
        </w:rPr>
      </w:pPr>
    </w:p>
    <w:p w14:paraId="2BB0D70D">
      <w:pPr>
        <w:pStyle w:val="3"/>
        <w:rPr>
          <w:color w:val="0000FF"/>
        </w:rPr>
        <w:sectPr>
          <w:pgSz w:w="11906" w:h="16838"/>
          <w:pgMar w:top="1440" w:right="1800" w:bottom="1440" w:left="1800" w:header="851" w:footer="992" w:gutter="0"/>
          <w:cols w:space="425" w:num="1"/>
          <w:docGrid w:type="lines" w:linePitch="312" w:charSpace="0"/>
        </w:sectPr>
      </w:pPr>
    </w:p>
    <w:p w14:paraId="2A740E66">
      <w:pPr>
        <w:pStyle w:val="2"/>
      </w:pPr>
      <w:bookmarkStart w:id="41" w:name="_Toc23601"/>
      <w:r>
        <w:rPr>
          <w:rFonts w:hint="eastAsia"/>
        </w:rPr>
        <w:t>五、环境保护措施监督检查清单</w:t>
      </w:r>
      <w:bookmarkEnd w:id="41"/>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2"/>
        <w:gridCol w:w="712"/>
        <w:gridCol w:w="786"/>
        <w:gridCol w:w="1060"/>
        <w:gridCol w:w="1899"/>
        <w:gridCol w:w="1831"/>
        <w:gridCol w:w="1832"/>
      </w:tblGrid>
      <w:tr w14:paraId="164E9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gridSpan w:val="2"/>
            <w:tcBorders>
              <w:tl2br w:val="single" w:color="auto" w:sz="4" w:space="0"/>
            </w:tcBorders>
            <w:vAlign w:val="center"/>
          </w:tcPr>
          <w:p w14:paraId="4159311A">
            <w:pPr>
              <w:pStyle w:val="24"/>
              <w:jc w:val="right"/>
            </w:pPr>
            <w:r>
              <w:rPr>
                <w:rFonts w:hint="eastAsia"/>
              </w:rPr>
              <w:t>内容</w:t>
            </w:r>
          </w:p>
          <w:p w14:paraId="15BD8851">
            <w:pPr>
              <w:pStyle w:val="24"/>
              <w:jc w:val="both"/>
            </w:pPr>
            <w:r>
              <w:rPr>
                <w:rFonts w:hint="eastAsia"/>
              </w:rPr>
              <w:t>要素</w:t>
            </w:r>
          </w:p>
        </w:tc>
        <w:tc>
          <w:tcPr>
            <w:tcW w:w="1083" w:type="pct"/>
            <w:gridSpan w:val="2"/>
            <w:vAlign w:val="center"/>
          </w:tcPr>
          <w:p w14:paraId="2323450C">
            <w:pPr>
              <w:pStyle w:val="24"/>
            </w:pPr>
            <w:r>
              <w:rPr>
                <w:rFonts w:hint="eastAsia"/>
              </w:rPr>
              <w:t>排放口（编号、名称）/污染源</w:t>
            </w:r>
          </w:p>
        </w:tc>
        <w:tc>
          <w:tcPr>
            <w:tcW w:w="1114" w:type="pct"/>
            <w:vAlign w:val="center"/>
          </w:tcPr>
          <w:p w14:paraId="1B1CAAFD">
            <w:pPr>
              <w:pStyle w:val="24"/>
            </w:pPr>
            <w:r>
              <w:rPr>
                <w:rFonts w:hint="eastAsia"/>
              </w:rPr>
              <w:t>污染物项目</w:t>
            </w:r>
          </w:p>
        </w:tc>
        <w:tc>
          <w:tcPr>
            <w:tcW w:w="1074" w:type="pct"/>
            <w:vAlign w:val="center"/>
          </w:tcPr>
          <w:p w14:paraId="35D86648">
            <w:pPr>
              <w:pStyle w:val="24"/>
            </w:pPr>
            <w:r>
              <w:rPr>
                <w:rFonts w:hint="eastAsia"/>
              </w:rPr>
              <w:t>环境保护措施</w:t>
            </w:r>
          </w:p>
        </w:tc>
        <w:tc>
          <w:tcPr>
            <w:tcW w:w="1074" w:type="pct"/>
            <w:vAlign w:val="center"/>
          </w:tcPr>
          <w:p w14:paraId="49D89EBD">
            <w:pPr>
              <w:pStyle w:val="24"/>
            </w:pPr>
            <w:r>
              <w:rPr>
                <w:rFonts w:hint="eastAsia"/>
              </w:rPr>
              <w:t>执行标准</w:t>
            </w:r>
          </w:p>
        </w:tc>
      </w:tr>
      <w:tr w14:paraId="097EC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5" w:type="pct"/>
            <w:vMerge w:val="restart"/>
            <w:vAlign w:val="center"/>
          </w:tcPr>
          <w:p w14:paraId="5FF24330">
            <w:pPr>
              <w:pStyle w:val="24"/>
            </w:pPr>
            <w:r>
              <w:t>大气环境</w:t>
            </w:r>
          </w:p>
        </w:tc>
        <w:tc>
          <w:tcPr>
            <w:tcW w:w="418" w:type="pct"/>
            <w:vMerge w:val="restart"/>
            <w:vAlign w:val="center"/>
          </w:tcPr>
          <w:p w14:paraId="6C086978">
            <w:pPr>
              <w:pStyle w:val="24"/>
            </w:pPr>
            <w:r>
              <w:rPr>
                <w:rFonts w:hint="eastAsia"/>
              </w:rPr>
              <w:t>无组织</w:t>
            </w:r>
          </w:p>
        </w:tc>
        <w:tc>
          <w:tcPr>
            <w:tcW w:w="1083" w:type="pct"/>
            <w:gridSpan w:val="2"/>
            <w:shd w:val="clear" w:color="auto" w:fill="auto"/>
            <w:vAlign w:val="center"/>
          </w:tcPr>
          <w:p w14:paraId="19C3030D">
            <w:pPr>
              <w:pStyle w:val="24"/>
            </w:pPr>
            <w:r>
              <w:rPr>
                <w:rFonts w:hint="eastAsia"/>
              </w:rPr>
              <w:t>项目厂界</w:t>
            </w:r>
          </w:p>
        </w:tc>
        <w:tc>
          <w:tcPr>
            <w:tcW w:w="1114" w:type="pct"/>
            <w:shd w:val="clear" w:color="auto" w:fill="auto"/>
            <w:vAlign w:val="center"/>
          </w:tcPr>
          <w:p w14:paraId="6958D745">
            <w:pPr>
              <w:pStyle w:val="24"/>
            </w:pPr>
            <w:r>
              <w:rPr>
                <w:rFonts w:hint="eastAsia"/>
              </w:rPr>
              <w:t>颗粒物</w:t>
            </w:r>
          </w:p>
        </w:tc>
        <w:tc>
          <w:tcPr>
            <w:tcW w:w="1074" w:type="pct"/>
            <w:shd w:val="clear" w:color="auto" w:fill="auto"/>
            <w:vAlign w:val="center"/>
          </w:tcPr>
          <w:p w14:paraId="10477232">
            <w:pPr>
              <w:pStyle w:val="24"/>
            </w:pPr>
            <w:r>
              <w:rPr>
                <w:rFonts w:hint="eastAsia"/>
              </w:rPr>
              <w:t>2台移动式焊接烟尘净化器，加强车间通风</w:t>
            </w:r>
          </w:p>
        </w:tc>
        <w:tc>
          <w:tcPr>
            <w:tcW w:w="1074" w:type="pct"/>
            <w:shd w:val="clear" w:color="auto" w:fill="auto"/>
            <w:vAlign w:val="center"/>
          </w:tcPr>
          <w:p w14:paraId="1FF4B2DF">
            <w:pPr>
              <w:pStyle w:val="24"/>
            </w:pPr>
            <w:r>
              <w:rPr>
                <w:rFonts w:hint="eastAsia"/>
              </w:rPr>
              <w:t>《大气污染物综合排放标准》（GB16297-1996）中无组织排放监控浓度限值</w:t>
            </w:r>
          </w:p>
        </w:tc>
      </w:tr>
      <w:tr w14:paraId="62B54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5" w:type="pct"/>
            <w:vMerge w:val="continue"/>
            <w:vAlign w:val="center"/>
          </w:tcPr>
          <w:p w14:paraId="606B0EBE">
            <w:pPr>
              <w:pStyle w:val="24"/>
            </w:pPr>
          </w:p>
        </w:tc>
        <w:tc>
          <w:tcPr>
            <w:tcW w:w="418" w:type="pct"/>
            <w:vMerge w:val="continue"/>
            <w:vAlign w:val="center"/>
          </w:tcPr>
          <w:p w14:paraId="062184AA">
            <w:pPr>
              <w:pStyle w:val="24"/>
            </w:pPr>
          </w:p>
        </w:tc>
        <w:tc>
          <w:tcPr>
            <w:tcW w:w="1083" w:type="pct"/>
            <w:gridSpan w:val="2"/>
            <w:vAlign w:val="center"/>
          </w:tcPr>
          <w:p w14:paraId="4EEB27FA">
            <w:pPr>
              <w:pStyle w:val="24"/>
            </w:pPr>
            <w:r>
              <w:rPr>
                <w:rFonts w:hint="eastAsia"/>
              </w:rPr>
              <w:t>加油站边界</w:t>
            </w:r>
          </w:p>
        </w:tc>
        <w:tc>
          <w:tcPr>
            <w:tcW w:w="1114" w:type="pct"/>
            <w:vAlign w:val="center"/>
          </w:tcPr>
          <w:p w14:paraId="2E6980D5">
            <w:pPr>
              <w:pStyle w:val="24"/>
            </w:pPr>
            <w:r>
              <w:t>非甲烷总烃</w:t>
            </w:r>
          </w:p>
        </w:tc>
        <w:tc>
          <w:tcPr>
            <w:tcW w:w="1074" w:type="pct"/>
            <w:vAlign w:val="center"/>
          </w:tcPr>
          <w:p w14:paraId="20802B25">
            <w:pPr>
              <w:pStyle w:val="24"/>
            </w:pPr>
            <w:r>
              <w:rPr>
                <w:rFonts w:hint="eastAsia"/>
              </w:rPr>
              <w:t>一套</w:t>
            </w:r>
            <w:r>
              <w:t>油气回收（回收率95%）、油气平衡</w:t>
            </w:r>
          </w:p>
        </w:tc>
        <w:tc>
          <w:tcPr>
            <w:tcW w:w="1074" w:type="pct"/>
            <w:vAlign w:val="center"/>
          </w:tcPr>
          <w:p w14:paraId="7003F405">
            <w:pPr>
              <w:pStyle w:val="24"/>
            </w:pPr>
            <w:r>
              <w:t>《加油站大气污染物排放标准》（GB20952-2020）</w:t>
            </w:r>
          </w:p>
        </w:tc>
      </w:tr>
      <w:tr w14:paraId="2A18F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35" w:type="pct"/>
            <w:vMerge w:val="continue"/>
            <w:vAlign w:val="center"/>
          </w:tcPr>
          <w:p w14:paraId="602D4F34">
            <w:pPr>
              <w:pStyle w:val="24"/>
            </w:pPr>
          </w:p>
        </w:tc>
        <w:tc>
          <w:tcPr>
            <w:tcW w:w="418" w:type="pct"/>
            <w:vMerge w:val="continue"/>
            <w:vAlign w:val="center"/>
          </w:tcPr>
          <w:p w14:paraId="454474E0">
            <w:pPr>
              <w:pStyle w:val="24"/>
            </w:pPr>
          </w:p>
        </w:tc>
        <w:tc>
          <w:tcPr>
            <w:tcW w:w="1083" w:type="pct"/>
            <w:gridSpan w:val="2"/>
            <w:vAlign w:val="center"/>
          </w:tcPr>
          <w:p w14:paraId="6E44A04C">
            <w:pPr>
              <w:pStyle w:val="24"/>
            </w:pPr>
            <w:r>
              <w:rPr>
                <w:rFonts w:hint="eastAsia"/>
              </w:rPr>
              <w:t>餐饮油烟废气排放口</w:t>
            </w:r>
          </w:p>
        </w:tc>
        <w:tc>
          <w:tcPr>
            <w:tcW w:w="1114" w:type="pct"/>
            <w:vAlign w:val="center"/>
          </w:tcPr>
          <w:p w14:paraId="59C6652A">
            <w:pPr>
              <w:pStyle w:val="24"/>
            </w:pPr>
            <w:r>
              <w:rPr>
                <w:rFonts w:hint="eastAsia"/>
              </w:rPr>
              <w:t>油烟</w:t>
            </w:r>
          </w:p>
        </w:tc>
        <w:tc>
          <w:tcPr>
            <w:tcW w:w="1074" w:type="pct"/>
            <w:shd w:val="clear" w:color="auto" w:fill="auto"/>
            <w:vAlign w:val="center"/>
          </w:tcPr>
          <w:p w14:paraId="2B23E948">
            <w:pPr>
              <w:pStyle w:val="24"/>
            </w:pPr>
            <w:r>
              <w:t>经</w:t>
            </w:r>
            <w:r>
              <w:rPr>
                <w:rFonts w:hint="eastAsia"/>
              </w:rPr>
              <w:t>1台</w:t>
            </w:r>
            <w:r>
              <w:t>油烟净化器（处理效率</w:t>
            </w:r>
            <w:r>
              <w:rPr>
                <w:rFonts w:hint="eastAsia"/>
              </w:rPr>
              <w:t>85</w:t>
            </w:r>
            <w:r>
              <w:t>%）处理后由烟道引至楼顶排放</w:t>
            </w:r>
          </w:p>
        </w:tc>
        <w:tc>
          <w:tcPr>
            <w:tcW w:w="1074" w:type="pct"/>
            <w:shd w:val="clear" w:color="auto" w:fill="auto"/>
            <w:vAlign w:val="center"/>
          </w:tcPr>
          <w:p w14:paraId="1BB92DA6">
            <w:pPr>
              <w:pStyle w:val="24"/>
            </w:pPr>
            <w:r>
              <w:t>《饮食业油烟排放标准》（GB18483-2001）</w:t>
            </w:r>
            <w:r>
              <w:rPr>
                <w:rFonts w:hint="eastAsia"/>
              </w:rPr>
              <w:t>大</w:t>
            </w:r>
            <w:r>
              <w:t>型标准</w:t>
            </w:r>
          </w:p>
        </w:tc>
      </w:tr>
      <w:tr w14:paraId="1ED04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gridSpan w:val="2"/>
            <w:vMerge w:val="restart"/>
            <w:vAlign w:val="center"/>
          </w:tcPr>
          <w:p w14:paraId="1C0F2600">
            <w:pPr>
              <w:pStyle w:val="24"/>
            </w:pPr>
            <w:r>
              <w:rPr>
                <w:rFonts w:hint="eastAsia"/>
              </w:rPr>
              <w:t>地表水环境</w:t>
            </w:r>
          </w:p>
        </w:tc>
        <w:tc>
          <w:tcPr>
            <w:tcW w:w="1083" w:type="pct"/>
            <w:gridSpan w:val="2"/>
            <w:vAlign w:val="center"/>
          </w:tcPr>
          <w:p w14:paraId="0C318693">
            <w:pPr>
              <w:pStyle w:val="24"/>
            </w:pPr>
            <w:r>
              <w:rPr>
                <w:rFonts w:hint="eastAsia"/>
              </w:rPr>
              <w:t>生活污水</w:t>
            </w:r>
          </w:p>
        </w:tc>
        <w:tc>
          <w:tcPr>
            <w:tcW w:w="1114" w:type="pct"/>
            <w:vAlign w:val="center"/>
          </w:tcPr>
          <w:p w14:paraId="63046E32">
            <w:pPr>
              <w:pStyle w:val="24"/>
            </w:pPr>
            <w:r>
              <w:rPr>
                <w:rFonts w:hint="eastAsia"/>
              </w:rPr>
              <w:t>pH、CODcr、BOD</w:t>
            </w:r>
            <w:r>
              <w:rPr>
                <w:rFonts w:hint="eastAsia"/>
                <w:vertAlign w:val="subscript"/>
              </w:rPr>
              <w:t>5</w:t>
            </w:r>
            <w:r>
              <w:rPr>
                <w:rFonts w:hint="eastAsia"/>
              </w:rPr>
              <w:t>、SS、NH</w:t>
            </w:r>
            <w:r>
              <w:rPr>
                <w:rFonts w:hint="eastAsia"/>
                <w:vertAlign w:val="subscript"/>
              </w:rPr>
              <w:t>3</w:t>
            </w:r>
            <w:r>
              <w:rPr>
                <w:rFonts w:hint="eastAsia"/>
              </w:rPr>
              <w:t>-N等</w:t>
            </w:r>
          </w:p>
        </w:tc>
        <w:tc>
          <w:tcPr>
            <w:tcW w:w="1074" w:type="pct"/>
            <w:vMerge w:val="restart"/>
            <w:vAlign w:val="center"/>
          </w:tcPr>
          <w:p w14:paraId="3C04683B">
            <w:pPr>
              <w:pStyle w:val="24"/>
              <w:rPr>
                <w:color w:val="0000FF"/>
              </w:rPr>
            </w:pPr>
            <w:r>
              <w:rPr>
                <w:rFonts w:hint="eastAsia"/>
              </w:rPr>
              <w:t>1座隔油池（10m</w:t>
            </w:r>
            <w:r>
              <w:rPr>
                <w:rFonts w:hint="eastAsia"/>
                <w:vertAlign w:val="superscript"/>
              </w:rPr>
              <w:t>3</w:t>
            </w:r>
            <w:r>
              <w:rPr>
                <w:rFonts w:hint="eastAsia"/>
              </w:rPr>
              <w:t>）+化粪池（20m</w:t>
            </w:r>
            <w:r>
              <w:rPr>
                <w:rFonts w:hint="eastAsia"/>
                <w:vertAlign w:val="superscript"/>
              </w:rPr>
              <w:t>3</w:t>
            </w:r>
            <w:r>
              <w:rPr>
                <w:rFonts w:hint="eastAsia"/>
              </w:rPr>
              <w:t>）</w:t>
            </w:r>
          </w:p>
        </w:tc>
        <w:tc>
          <w:tcPr>
            <w:tcW w:w="1074" w:type="pct"/>
            <w:vMerge w:val="restart"/>
            <w:vAlign w:val="center"/>
          </w:tcPr>
          <w:p w14:paraId="101F60C6">
            <w:pPr>
              <w:pStyle w:val="24"/>
              <w:jc w:val="both"/>
              <w:rPr>
                <w:color w:val="0000FF"/>
              </w:rPr>
            </w:pPr>
            <w:r>
              <w:rPr>
                <w:rFonts w:hint="eastAsia"/>
              </w:rPr>
              <w:t>从严执行淮南经济技术开发区工业污水处理厂接管标准、</w:t>
            </w:r>
            <w:r>
              <w:t>《</w:t>
            </w:r>
            <w:r>
              <w:rPr>
                <w:rFonts w:hint="eastAsia"/>
              </w:rPr>
              <w:t>污水综合排放标准》（</w:t>
            </w:r>
            <w:r>
              <w:t>GB8978-1996</w:t>
            </w:r>
            <w:r>
              <w:rPr>
                <w:rFonts w:hint="eastAsia"/>
              </w:rPr>
              <w:t>）中的三级标准</w:t>
            </w:r>
          </w:p>
        </w:tc>
      </w:tr>
      <w:tr w14:paraId="5AEBD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gridSpan w:val="2"/>
            <w:vMerge w:val="continue"/>
            <w:vAlign w:val="center"/>
          </w:tcPr>
          <w:p w14:paraId="385C3097">
            <w:pPr>
              <w:pStyle w:val="24"/>
            </w:pPr>
          </w:p>
        </w:tc>
        <w:tc>
          <w:tcPr>
            <w:tcW w:w="1083" w:type="pct"/>
            <w:gridSpan w:val="2"/>
            <w:vAlign w:val="center"/>
          </w:tcPr>
          <w:p w14:paraId="43C0D7AA">
            <w:pPr>
              <w:pStyle w:val="24"/>
            </w:pPr>
            <w:r>
              <w:rPr>
                <w:rFonts w:hint="eastAsia"/>
              </w:rPr>
              <w:t>餐饮废水</w:t>
            </w:r>
          </w:p>
        </w:tc>
        <w:tc>
          <w:tcPr>
            <w:tcW w:w="1114" w:type="pct"/>
            <w:vAlign w:val="center"/>
          </w:tcPr>
          <w:p w14:paraId="581E612F">
            <w:pPr>
              <w:pStyle w:val="24"/>
            </w:pPr>
            <w:r>
              <w:rPr>
                <w:rFonts w:hint="eastAsia"/>
              </w:rPr>
              <w:t>CODcr、BOD</w:t>
            </w:r>
            <w:r>
              <w:rPr>
                <w:rFonts w:hint="eastAsia"/>
                <w:vertAlign w:val="subscript"/>
              </w:rPr>
              <w:t>5</w:t>
            </w:r>
            <w:r>
              <w:rPr>
                <w:rFonts w:hint="eastAsia"/>
              </w:rPr>
              <w:t>、SS、NH</w:t>
            </w:r>
            <w:r>
              <w:rPr>
                <w:rFonts w:hint="eastAsia"/>
                <w:vertAlign w:val="subscript"/>
              </w:rPr>
              <w:t>3</w:t>
            </w:r>
            <w:r>
              <w:rPr>
                <w:rFonts w:hint="eastAsia"/>
              </w:rPr>
              <w:t>-N、动植物油</w:t>
            </w:r>
          </w:p>
        </w:tc>
        <w:tc>
          <w:tcPr>
            <w:tcW w:w="1074" w:type="pct"/>
            <w:vMerge w:val="continue"/>
            <w:vAlign w:val="center"/>
          </w:tcPr>
          <w:p w14:paraId="20832C68">
            <w:pPr>
              <w:pStyle w:val="24"/>
              <w:rPr>
                <w:color w:val="0000FF"/>
              </w:rPr>
            </w:pPr>
          </w:p>
        </w:tc>
        <w:tc>
          <w:tcPr>
            <w:tcW w:w="1074" w:type="pct"/>
            <w:vMerge w:val="continue"/>
            <w:vAlign w:val="center"/>
          </w:tcPr>
          <w:p w14:paraId="634B4D92">
            <w:pPr>
              <w:pStyle w:val="24"/>
              <w:rPr>
                <w:color w:val="0000FF"/>
              </w:rPr>
            </w:pPr>
          </w:p>
        </w:tc>
      </w:tr>
      <w:tr w14:paraId="050AA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53" w:type="pct"/>
            <w:gridSpan w:val="2"/>
            <w:vMerge w:val="continue"/>
            <w:vAlign w:val="center"/>
          </w:tcPr>
          <w:p w14:paraId="24D5918F">
            <w:pPr>
              <w:pStyle w:val="24"/>
            </w:pPr>
          </w:p>
        </w:tc>
        <w:tc>
          <w:tcPr>
            <w:tcW w:w="461" w:type="pct"/>
            <w:vMerge w:val="restart"/>
            <w:vAlign w:val="center"/>
          </w:tcPr>
          <w:p w14:paraId="303DEC66">
            <w:pPr>
              <w:pStyle w:val="24"/>
            </w:pPr>
            <w:r>
              <w:rPr>
                <w:rFonts w:hint="eastAsia"/>
              </w:rPr>
              <w:t>综合能源站</w:t>
            </w:r>
          </w:p>
        </w:tc>
        <w:tc>
          <w:tcPr>
            <w:tcW w:w="621" w:type="pct"/>
            <w:shd w:val="clear" w:color="auto" w:fill="auto"/>
            <w:vAlign w:val="center"/>
          </w:tcPr>
          <w:p w14:paraId="52A2C98A">
            <w:pPr>
              <w:pStyle w:val="24"/>
            </w:pPr>
            <w:r>
              <w:t>地面冲洗废水</w:t>
            </w:r>
          </w:p>
        </w:tc>
        <w:tc>
          <w:tcPr>
            <w:tcW w:w="1114" w:type="pct"/>
            <w:vAlign w:val="center"/>
          </w:tcPr>
          <w:p w14:paraId="4A1A8DB9">
            <w:pPr>
              <w:pStyle w:val="24"/>
            </w:pPr>
            <w:r>
              <w:rPr>
                <w:rFonts w:hint="eastAsia"/>
              </w:rPr>
              <w:t>CODcr、</w:t>
            </w:r>
            <w:r>
              <w:t>SS、石油类</w:t>
            </w:r>
          </w:p>
        </w:tc>
        <w:tc>
          <w:tcPr>
            <w:tcW w:w="1074" w:type="pct"/>
            <w:vMerge w:val="restart"/>
            <w:vAlign w:val="center"/>
          </w:tcPr>
          <w:p w14:paraId="77BBBCD5">
            <w:pPr>
              <w:pStyle w:val="24"/>
              <w:rPr>
                <w:color w:val="0000FF"/>
              </w:rPr>
            </w:pPr>
            <w:r>
              <w:rPr>
                <w:rFonts w:hint="eastAsia"/>
              </w:rPr>
              <w:t>1座三级油水分离池（15m</w:t>
            </w:r>
            <w:r>
              <w:rPr>
                <w:rFonts w:hint="eastAsia"/>
                <w:vertAlign w:val="superscript"/>
              </w:rPr>
              <w:t>3</w:t>
            </w:r>
            <w:r>
              <w:rPr>
                <w:rFonts w:hint="eastAsia"/>
              </w:rPr>
              <w:t>）</w:t>
            </w:r>
          </w:p>
        </w:tc>
        <w:tc>
          <w:tcPr>
            <w:tcW w:w="1074" w:type="pct"/>
            <w:vMerge w:val="continue"/>
            <w:vAlign w:val="center"/>
          </w:tcPr>
          <w:p w14:paraId="78483448">
            <w:pPr>
              <w:pStyle w:val="24"/>
              <w:rPr>
                <w:color w:val="0000FF"/>
              </w:rPr>
            </w:pPr>
          </w:p>
        </w:tc>
      </w:tr>
      <w:tr w14:paraId="76583E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653" w:type="pct"/>
            <w:gridSpan w:val="2"/>
            <w:vMerge w:val="continue"/>
            <w:vAlign w:val="center"/>
          </w:tcPr>
          <w:p w14:paraId="04A4DE9F">
            <w:pPr>
              <w:pStyle w:val="24"/>
            </w:pPr>
          </w:p>
        </w:tc>
        <w:tc>
          <w:tcPr>
            <w:tcW w:w="461" w:type="pct"/>
            <w:vMerge w:val="continue"/>
            <w:vAlign w:val="center"/>
          </w:tcPr>
          <w:p w14:paraId="43FD3A5A">
            <w:pPr>
              <w:pStyle w:val="24"/>
            </w:pPr>
          </w:p>
        </w:tc>
        <w:tc>
          <w:tcPr>
            <w:tcW w:w="621" w:type="pct"/>
            <w:shd w:val="clear" w:color="auto" w:fill="auto"/>
            <w:vAlign w:val="center"/>
          </w:tcPr>
          <w:p w14:paraId="64B45833">
            <w:pPr>
              <w:pStyle w:val="24"/>
            </w:pPr>
            <w:r>
              <w:t>初期雨水</w:t>
            </w:r>
          </w:p>
        </w:tc>
        <w:tc>
          <w:tcPr>
            <w:tcW w:w="1114" w:type="pct"/>
            <w:vAlign w:val="center"/>
          </w:tcPr>
          <w:p w14:paraId="75A87DA2">
            <w:pPr>
              <w:pStyle w:val="24"/>
            </w:pPr>
            <w:r>
              <w:rPr>
                <w:rFonts w:hint="eastAsia"/>
              </w:rPr>
              <w:t>CODcr、SS、石油类</w:t>
            </w:r>
          </w:p>
        </w:tc>
        <w:tc>
          <w:tcPr>
            <w:tcW w:w="1074" w:type="pct"/>
            <w:vMerge w:val="continue"/>
            <w:vAlign w:val="center"/>
          </w:tcPr>
          <w:p w14:paraId="5BE89946">
            <w:pPr>
              <w:pStyle w:val="24"/>
              <w:rPr>
                <w:color w:val="0000FF"/>
              </w:rPr>
            </w:pPr>
          </w:p>
        </w:tc>
        <w:tc>
          <w:tcPr>
            <w:tcW w:w="1074" w:type="pct"/>
            <w:vMerge w:val="continue"/>
            <w:vAlign w:val="center"/>
          </w:tcPr>
          <w:p w14:paraId="054D0227">
            <w:pPr>
              <w:pStyle w:val="24"/>
              <w:rPr>
                <w:color w:val="0000FF"/>
              </w:rPr>
            </w:pPr>
          </w:p>
        </w:tc>
      </w:tr>
      <w:tr w14:paraId="3C1EF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53" w:type="pct"/>
            <w:gridSpan w:val="2"/>
            <w:vMerge w:val="continue"/>
            <w:vAlign w:val="center"/>
          </w:tcPr>
          <w:p w14:paraId="3274C820">
            <w:pPr>
              <w:pStyle w:val="24"/>
            </w:pPr>
          </w:p>
        </w:tc>
        <w:tc>
          <w:tcPr>
            <w:tcW w:w="461" w:type="pct"/>
            <w:vMerge w:val="restart"/>
            <w:vAlign w:val="center"/>
          </w:tcPr>
          <w:p w14:paraId="452E3C3B">
            <w:pPr>
              <w:pStyle w:val="24"/>
            </w:pPr>
            <w:r>
              <w:rPr>
                <w:rFonts w:hint="eastAsia"/>
              </w:rPr>
              <w:t>货车应急维修中心</w:t>
            </w:r>
          </w:p>
        </w:tc>
        <w:tc>
          <w:tcPr>
            <w:tcW w:w="621" w:type="pct"/>
            <w:shd w:val="clear" w:color="auto" w:fill="auto"/>
            <w:vAlign w:val="center"/>
          </w:tcPr>
          <w:p w14:paraId="19C97DA6">
            <w:pPr>
              <w:pStyle w:val="24"/>
            </w:pPr>
            <w:r>
              <w:t>地面冲洗废水</w:t>
            </w:r>
          </w:p>
        </w:tc>
        <w:tc>
          <w:tcPr>
            <w:tcW w:w="1114" w:type="pct"/>
            <w:vAlign w:val="center"/>
          </w:tcPr>
          <w:p w14:paraId="61E61774">
            <w:pPr>
              <w:pStyle w:val="24"/>
            </w:pPr>
            <w:r>
              <w:rPr>
                <w:rFonts w:hint="eastAsia"/>
              </w:rPr>
              <w:t>CODcr、SS、石油类、</w:t>
            </w:r>
          </w:p>
        </w:tc>
        <w:tc>
          <w:tcPr>
            <w:tcW w:w="1074" w:type="pct"/>
            <w:vMerge w:val="restart"/>
            <w:vAlign w:val="center"/>
          </w:tcPr>
          <w:p w14:paraId="531EA84A">
            <w:pPr>
              <w:pStyle w:val="24"/>
              <w:rPr>
                <w:color w:val="0000FF"/>
              </w:rPr>
            </w:pPr>
            <w:r>
              <w:rPr>
                <w:rFonts w:hint="eastAsia"/>
              </w:rPr>
              <w:t>1座隔油沉淀池（15m</w:t>
            </w:r>
            <w:r>
              <w:rPr>
                <w:rFonts w:hint="eastAsia"/>
                <w:vertAlign w:val="superscript"/>
              </w:rPr>
              <w:t>3</w:t>
            </w:r>
            <w:r>
              <w:rPr>
                <w:rFonts w:hint="eastAsia"/>
              </w:rPr>
              <w:t>）</w:t>
            </w:r>
          </w:p>
        </w:tc>
        <w:tc>
          <w:tcPr>
            <w:tcW w:w="1074" w:type="pct"/>
            <w:vMerge w:val="restart"/>
            <w:vAlign w:val="center"/>
          </w:tcPr>
          <w:p w14:paraId="5A2AEEFB">
            <w:pPr>
              <w:pStyle w:val="24"/>
              <w:rPr>
                <w:color w:val="0000FF"/>
              </w:rPr>
            </w:pPr>
            <w:r>
              <w:t>《汽车维修业水污染物排放标准》（GB26877－2011）表2间接排放标准</w:t>
            </w:r>
          </w:p>
        </w:tc>
      </w:tr>
      <w:tr w14:paraId="65119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53" w:type="pct"/>
            <w:gridSpan w:val="2"/>
            <w:vMerge w:val="continue"/>
            <w:vAlign w:val="center"/>
          </w:tcPr>
          <w:p w14:paraId="0A77A558">
            <w:pPr>
              <w:pStyle w:val="24"/>
            </w:pPr>
          </w:p>
        </w:tc>
        <w:tc>
          <w:tcPr>
            <w:tcW w:w="461" w:type="pct"/>
            <w:vMerge w:val="continue"/>
            <w:shd w:val="clear" w:color="auto" w:fill="auto"/>
            <w:vAlign w:val="center"/>
          </w:tcPr>
          <w:p w14:paraId="2B0EE4DB">
            <w:pPr>
              <w:pStyle w:val="24"/>
            </w:pPr>
          </w:p>
        </w:tc>
        <w:tc>
          <w:tcPr>
            <w:tcW w:w="621" w:type="pct"/>
            <w:shd w:val="clear" w:color="auto" w:fill="auto"/>
            <w:vAlign w:val="center"/>
          </w:tcPr>
          <w:p w14:paraId="756E6EC3">
            <w:pPr>
              <w:pStyle w:val="24"/>
            </w:pPr>
            <w:r>
              <w:rPr>
                <w:rFonts w:hint="eastAsia"/>
              </w:rPr>
              <w:t>洗车废水</w:t>
            </w:r>
          </w:p>
        </w:tc>
        <w:tc>
          <w:tcPr>
            <w:tcW w:w="1114" w:type="pct"/>
            <w:shd w:val="clear" w:color="auto" w:fill="auto"/>
            <w:vAlign w:val="center"/>
          </w:tcPr>
          <w:p w14:paraId="289C1A70">
            <w:pPr>
              <w:pStyle w:val="24"/>
            </w:pPr>
            <w:r>
              <w:rPr>
                <w:rFonts w:hint="eastAsia"/>
              </w:rPr>
              <w:t>CODcr、SS、石油类、LAS</w:t>
            </w:r>
          </w:p>
        </w:tc>
        <w:tc>
          <w:tcPr>
            <w:tcW w:w="1074" w:type="pct"/>
            <w:vMerge w:val="continue"/>
            <w:vAlign w:val="center"/>
          </w:tcPr>
          <w:p w14:paraId="07AF0E3C">
            <w:pPr>
              <w:pStyle w:val="24"/>
              <w:rPr>
                <w:color w:val="0000FF"/>
              </w:rPr>
            </w:pPr>
          </w:p>
        </w:tc>
        <w:tc>
          <w:tcPr>
            <w:tcW w:w="1074" w:type="pct"/>
            <w:vMerge w:val="continue"/>
            <w:vAlign w:val="center"/>
          </w:tcPr>
          <w:p w14:paraId="61C1DB94">
            <w:pPr>
              <w:pStyle w:val="24"/>
              <w:rPr>
                <w:color w:val="0000FF"/>
              </w:rPr>
            </w:pPr>
          </w:p>
        </w:tc>
      </w:tr>
      <w:tr w14:paraId="7D387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gridSpan w:val="2"/>
            <w:vAlign w:val="center"/>
          </w:tcPr>
          <w:p w14:paraId="6EDCC934">
            <w:pPr>
              <w:pStyle w:val="24"/>
            </w:pPr>
            <w:r>
              <w:rPr>
                <w:rFonts w:hint="eastAsia"/>
              </w:rPr>
              <w:t>声环境</w:t>
            </w:r>
          </w:p>
        </w:tc>
        <w:tc>
          <w:tcPr>
            <w:tcW w:w="1083" w:type="pct"/>
            <w:gridSpan w:val="2"/>
            <w:vAlign w:val="center"/>
          </w:tcPr>
          <w:p w14:paraId="271FB6EB">
            <w:pPr>
              <w:pStyle w:val="24"/>
            </w:pPr>
            <w:r>
              <w:t>厂界四周</w:t>
            </w:r>
          </w:p>
        </w:tc>
        <w:tc>
          <w:tcPr>
            <w:tcW w:w="1114" w:type="pct"/>
            <w:vAlign w:val="center"/>
          </w:tcPr>
          <w:p w14:paraId="06B925EC">
            <w:pPr>
              <w:pStyle w:val="24"/>
            </w:pPr>
            <w:r>
              <w:rPr>
                <w:rFonts w:hint="eastAsia"/>
              </w:rPr>
              <w:t>LAeq</w:t>
            </w:r>
          </w:p>
        </w:tc>
        <w:tc>
          <w:tcPr>
            <w:tcW w:w="1074" w:type="pct"/>
            <w:vAlign w:val="center"/>
          </w:tcPr>
          <w:p w14:paraId="07F08C54">
            <w:pPr>
              <w:pStyle w:val="24"/>
            </w:pPr>
            <w:r>
              <w:t>距离衰减、绿化、优化平面布置</w:t>
            </w:r>
          </w:p>
        </w:tc>
        <w:tc>
          <w:tcPr>
            <w:tcW w:w="1074" w:type="pct"/>
            <w:vAlign w:val="center"/>
          </w:tcPr>
          <w:p w14:paraId="324431D5">
            <w:pPr>
              <w:pStyle w:val="24"/>
            </w:pPr>
            <w:r>
              <w:rPr>
                <w:rFonts w:hint="eastAsia"/>
              </w:rPr>
              <w:t>东、北侧执行</w:t>
            </w:r>
            <w:r>
              <w:t>《工业企业厂界环境噪声排放标准》（GB12348-2008）中</w:t>
            </w:r>
            <w:r>
              <w:rPr>
                <w:rFonts w:hint="eastAsia"/>
              </w:rPr>
              <w:t>4</w:t>
            </w:r>
            <w:r>
              <w:t>类标准</w:t>
            </w:r>
            <w:r>
              <w:rPr>
                <w:rFonts w:hint="eastAsia"/>
              </w:rPr>
              <w:t>；西、南侧执行</w:t>
            </w:r>
            <w:r>
              <w:t>《工业企业厂界环境噪声排放标准》（GB12348-2008）中</w:t>
            </w:r>
            <w:r>
              <w:rPr>
                <w:rFonts w:hint="eastAsia"/>
              </w:rPr>
              <w:t>2</w:t>
            </w:r>
            <w:r>
              <w:t>类标准</w:t>
            </w:r>
          </w:p>
        </w:tc>
      </w:tr>
      <w:tr w14:paraId="3B485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3" w:type="pct"/>
            <w:gridSpan w:val="2"/>
            <w:vAlign w:val="center"/>
          </w:tcPr>
          <w:p w14:paraId="7B5A4206">
            <w:pPr>
              <w:pStyle w:val="24"/>
            </w:pPr>
            <w:r>
              <w:rPr>
                <w:rFonts w:hint="eastAsia"/>
              </w:rPr>
              <w:t>电磁辐射</w:t>
            </w:r>
          </w:p>
        </w:tc>
        <w:tc>
          <w:tcPr>
            <w:tcW w:w="4346" w:type="pct"/>
            <w:gridSpan w:val="5"/>
            <w:vAlign w:val="center"/>
          </w:tcPr>
          <w:p w14:paraId="50A3E9AC">
            <w:pPr>
              <w:pStyle w:val="24"/>
            </w:pPr>
            <w:r>
              <w:rPr>
                <w:rFonts w:hint="eastAsia"/>
              </w:rPr>
              <w:t>不涉及</w:t>
            </w:r>
          </w:p>
        </w:tc>
      </w:tr>
      <w:tr w14:paraId="0BDA8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53" w:type="pct"/>
            <w:gridSpan w:val="2"/>
            <w:vAlign w:val="center"/>
          </w:tcPr>
          <w:p w14:paraId="60643E21">
            <w:pPr>
              <w:pStyle w:val="24"/>
            </w:pPr>
            <w:r>
              <w:rPr>
                <w:rFonts w:hint="eastAsia"/>
              </w:rPr>
              <w:t>固体废物</w:t>
            </w:r>
          </w:p>
        </w:tc>
        <w:tc>
          <w:tcPr>
            <w:tcW w:w="4346" w:type="pct"/>
            <w:gridSpan w:val="5"/>
            <w:vAlign w:val="center"/>
          </w:tcPr>
          <w:p w14:paraId="00B0708D">
            <w:pPr>
              <w:pStyle w:val="24"/>
              <w:jc w:val="left"/>
            </w:pPr>
            <w:r>
              <w:rPr>
                <w:rFonts w:hint="eastAsia"/>
              </w:rPr>
              <w:t>生活垃圾委托环卫部门清运；危险废</w:t>
            </w:r>
            <w:r>
              <w:t>物设置10m</w:t>
            </w:r>
            <w:r>
              <w:rPr>
                <w:vertAlign w:val="superscript"/>
              </w:rPr>
              <w:t>2</w:t>
            </w:r>
            <w:r>
              <w:t>危废暂存间暂存，并委托有危废处理资质的单位处置；一般固废暂存固废间（10m</w:t>
            </w:r>
            <w:r>
              <w:rPr>
                <w:vertAlign w:val="superscript"/>
              </w:rPr>
              <w:t>2</w:t>
            </w:r>
            <w:r>
              <w:t>）</w:t>
            </w:r>
            <w:r>
              <w:rPr>
                <w:rFonts w:hint="eastAsia"/>
              </w:rPr>
              <w:t>定期外售给物资回收单位。</w:t>
            </w:r>
          </w:p>
        </w:tc>
      </w:tr>
      <w:tr w14:paraId="2B75E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gridSpan w:val="2"/>
            <w:vAlign w:val="center"/>
          </w:tcPr>
          <w:p w14:paraId="5A9FE780">
            <w:pPr>
              <w:pStyle w:val="24"/>
            </w:pPr>
            <w:r>
              <w:rPr>
                <w:rFonts w:hint="eastAsia"/>
              </w:rPr>
              <w:t>土壤及地下水污染防治措施</w:t>
            </w:r>
          </w:p>
        </w:tc>
        <w:tc>
          <w:tcPr>
            <w:tcW w:w="4346" w:type="pct"/>
            <w:gridSpan w:val="5"/>
            <w:vAlign w:val="center"/>
          </w:tcPr>
          <w:p w14:paraId="4380F360">
            <w:pPr>
              <w:pStyle w:val="24"/>
              <w:jc w:val="left"/>
            </w:pPr>
            <w:r>
              <w:rPr>
                <w:rFonts w:hint="eastAsia"/>
              </w:rPr>
              <w:t>①项目实施后，建立和完善污、雨水的收集设施，废水通过化粪池处理，在废水收集设施的设计施工中严格执行高标准防渗措施，防止废水泄漏；</w:t>
            </w:r>
          </w:p>
          <w:p w14:paraId="4505922D">
            <w:pPr>
              <w:pStyle w:val="24"/>
              <w:jc w:val="left"/>
            </w:pPr>
            <w:r>
              <w:rPr>
                <w:rFonts w:hint="eastAsia"/>
              </w:rPr>
              <w:t>②加强日常环境管理，管网维护、日常巡查、对易腐蚀的管网及附属设施等采取防腐蚀措施，严格控制设备和管道的跑、冒、滴、漏现象；</w:t>
            </w:r>
          </w:p>
          <w:p w14:paraId="01C59C32">
            <w:pPr>
              <w:pStyle w:val="24"/>
              <w:jc w:val="left"/>
            </w:pPr>
            <w:r>
              <w:rPr>
                <w:rFonts w:hint="eastAsia"/>
              </w:rPr>
              <w:t>③危废暂存间地面采取防腐防渗措施，按《危险废物贮存污染控制标准》（GB18597-2023）进行设计，一般工业固体废物贮存过程应满足相应防渗漏、防雨淋、防扬尘等环境保护要求。</w:t>
            </w:r>
          </w:p>
          <w:p w14:paraId="1505E775">
            <w:pPr>
              <w:pStyle w:val="24"/>
              <w:jc w:val="left"/>
            </w:pPr>
            <w:r>
              <w:rPr>
                <w:rFonts w:hint="eastAsia"/>
              </w:rPr>
              <w:t>④厂区内严格落实各项防渗、防雨、防晒等措施；</w:t>
            </w:r>
          </w:p>
          <w:p w14:paraId="1E8D3D50">
            <w:pPr>
              <w:pStyle w:val="24"/>
              <w:jc w:val="left"/>
            </w:pPr>
            <w:r>
              <w:rPr>
                <w:rFonts w:hint="eastAsia"/>
              </w:rPr>
              <w:t>⑤对项目所在区域划分为重点防渗区、一般防渗区、简单防渗等。</w:t>
            </w:r>
          </w:p>
        </w:tc>
      </w:tr>
      <w:tr w14:paraId="6CDF0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gridSpan w:val="2"/>
            <w:vAlign w:val="center"/>
          </w:tcPr>
          <w:p w14:paraId="661E32A9">
            <w:pPr>
              <w:pStyle w:val="24"/>
            </w:pPr>
            <w:r>
              <w:rPr>
                <w:rFonts w:hint="eastAsia"/>
              </w:rPr>
              <w:t>生态保护措施</w:t>
            </w:r>
          </w:p>
        </w:tc>
        <w:tc>
          <w:tcPr>
            <w:tcW w:w="4346" w:type="pct"/>
            <w:gridSpan w:val="5"/>
            <w:vAlign w:val="center"/>
          </w:tcPr>
          <w:p w14:paraId="2F8A6F5D">
            <w:pPr>
              <w:pStyle w:val="24"/>
              <w:jc w:val="both"/>
              <w:rPr>
                <w:lang w:val="en-GB"/>
              </w:rPr>
            </w:pPr>
            <w:r>
              <w:rPr>
                <w:rFonts w:hint="eastAsia"/>
              </w:rPr>
              <w:t>本项目位于淮南经济技术开发区G206与朝阳路交叉口西南角，</w:t>
            </w:r>
            <w:r>
              <w:t>根据淮南市生态红线图，项目不在自然保护区、风景名胜区、文化自然遗产地等生态红线内，不属于生态保护红线管控的区域</w:t>
            </w:r>
            <w:r>
              <w:rPr>
                <w:rFonts w:hint="eastAsia"/>
              </w:rPr>
              <w:t>。</w:t>
            </w:r>
          </w:p>
        </w:tc>
      </w:tr>
      <w:tr w14:paraId="7674A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gridSpan w:val="2"/>
            <w:vAlign w:val="center"/>
          </w:tcPr>
          <w:p w14:paraId="422F87C7">
            <w:pPr>
              <w:pStyle w:val="24"/>
            </w:pPr>
            <w:r>
              <w:rPr>
                <w:rFonts w:hint="eastAsia"/>
              </w:rPr>
              <w:t>环境风险</w:t>
            </w:r>
          </w:p>
          <w:p w14:paraId="3478B124">
            <w:pPr>
              <w:pStyle w:val="24"/>
            </w:pPr>
            <w:r>
              <w:rPr>
                <w:rFonts w:hint="eastAsia"/>
              </w:rPr>
              <w:t>防范措施</w:t>
            </w:r>
          </w:p>
        </w:tc>
        <w:tc>
          <w:tcPr>
            <w:tcW w:w="4346" w:type="pct"/>
            <w:gridSpan w:val="5"/>
            <w:vAlign w:val="center"/>
          </w:tcPr>
          <w:p w14:paraId="15306F5F">
            <w:pPr>
              <w:pStyle w:val="24"/>
              <w:jc w:val="left"/>
            </w:pPr>
            <w:r>
              <w:t>严格执行危废转移联单制度，加强管理，预防事故发生。</w:t>
            </w:r>
          </w:p>
          <w:p w14:paraId="7E2D5950">
            <w:pPr>
              <w:pStyle w:val="24"/>
              <w:jc w:val="left"/>
            </w:pPr>
            <w:r>
              <w:t>1、地下储油罐周围设计防渗漏检查孔或检查通道；</w:t>
            </w:r>
          </w:p>
          <w:p w14:paraId="2CC84F0B">
            <w:pPr>
              <w:pStyle w:val="24"/>
              <w:jc w:val="left"/>
            </w:pPr>
            <w:r>
              <w:t>2、主要工艺设备和管道均设有安全泄放装置；</w:t>
            </w:r>
          </w:p>
          <w:p w14:paraId="1B8D31F0">
            <w:pPr>
              <w:pStyle w:val="24"/>
              <w:jc w:val="left"/>
              <w:rPr>
                <w:lang w:val="en-GB"/>
              </w:rPr>
            </w:pPr>
            <w:r>
              <w:rPr>
                <w:lang w:val="en-GB"/>
              </w:rPr>
              <w:t>3、</w:t>
            </w:r>
            <w:r>
              <w:rPr>
                <w:rFonts w:hint="eastAsia"/>
              </w:rPr>
              <w:t>综合能源站</w:t>
            </w:r>
            <w:r>
              <w:t>内的电气设备严格按照防爆区划分配置，设置警告牌及灭火器材；</w:t>
            </w:r>
          </w:p>
          <w:p w14:paraId="12C18EF8">
            <w:pPr>
              <w:pStyle w:val="24"/>
              <w:jc w:val="left"/>
              <w:rPr>
                <w:lang w:val="en-GB"/>
              </w:rPr>
            </w:pPr>
            <w:r>
              <w:rPr>
                <w:lang w:val="en-GB"/>
              </w:rPr>
              <w:t>4、</w:t>
            </w:r>
            <w:r>
              <w:t>在防爆区内，电气设备和仪表均选用防爆型产品，严格执行防火、防爆、防雷击、防毒害等各项要求；</w:t>
            </w:r>
          </w:p>
          <w:p w14:paraId="26967E36">
            <w:pPr>
              <w:pStyle w:val="24"/>
              <w:jc w:val="left"/>
              <w:rPr>
                <w:lang w:val="en-GB"/>
              </w:rPr>
            </w:pPr>
            <w:r>
              <w:rPr>
                <w:lang w:val="en-GB"/>
              </w:rPr>
              <w:t>5、</w:t>
            </w:r>
            <w:r>
              <w:t>加强职工的安全教育，提高安全防范风险的意识。</w:t>
            </w:r>
          </w:p>
        </w:tc>
      </w:tr>
      <w:tr w14:paraId="31ADC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3" w:type="pct"/>
            <w:gridSpan w:val="2"/>
            <w:vAlign w:val="center"/>
          </w:tcPr>
          <w:p w14:paraId="7444D0FA">
            <w:pPr>
              <w:pStyle w:val="24"/>
            </w:pPr>
            <w:r>
              <w:rPr>
                <w:rFonts w:hint="eastAsia"/>
              </w:rPr>
              <w:t>其他环境</w:t>
            </w:r>
          </w:p>
          <w:p w14:paraId="0F120A53">
            <w:pPr>
              <w:pStyle w:val="24"/>
            </w:pPr>
            <w:r>
              <w:rPr>
                <w:rFonts w:hint="eastAsia"/>
              </w:rPr>
              <w:t>管理要求</w:t>
            </w:r>
          </w:p>
        </w:tc>
        <w:tc>
          <w:tcPr>
            <w:tcW w:w="4346" w:type="pct"/>
            <w:gridSpan w:val="5"/>
            <w:vAlign w:val="center"/>
          </w:tcPr>
          <w:p w14:paraId="4222BD3C">
            <w:pPr>
              <w:pStyle w:val="24"/>
              <w:widowControl/>
              <w:adjustRightInd/>
              <w:snapToGrid/>
              <w:ind w:firstLine="360" w:firstLineChars="200"/>
              <w:jc w:val="left"/>
            </w:pPr>
            <w:r>
              <w:rPr>
                <w:rFonts w:hint="eastAsia"/>
              </w:rPr>
              <w:t>《中华人民共和国环境保护法》明确指出，我国环境保护的任务是保证在社会主义现代化建设中，合理利用自然资源，防止环境污染和生态破坏，为人民创造清洁适宜的生活和劳动环境，保护人民健康，促进经济发展。</w:t>
            </w:r>
          </w:p>
          <w:p w14:paraId="49C291A5">
            <w:pPr>
              <w:pStyle w:val="24"/>
              <w:widowControl/>
              <w:adjustRightInd/>
              <w:snapToGrid/>
              <w:ind w:firstLine="360" w:firstLineChars="200"/>
              <w:jc w:val="left"/>
              <w:rPr>
                <w:highlight w:val="yellow"/>
              </w:rPr>
            </w:pPr>
            <w:r>
              <w:rPr>
                <w:rFonts w:hint="eastAsia"/>
              </w:rPr>
              <w:t>因此，本建设单位设立环境管理机构，负责项目运营期的环境管理工作，其主要的职责与功能如下：</w:t>
            </w:r>
          </w:p>
          <w:p w14:paraId="485A4188">
            <w:pPr>
              <w:pStyle w:val="24"/>
              <w:widowControl/>
              <w:adjustRightInd/>
              <w:snapToGrid/>
              <w:ind w:firstLine="360" w:firstLineChars="200"/>
              <w:jc w:val="left"/>
            </w:pPr>
            <w:r>
              <w:t>本项目属于</w:t>
            </w:r>
            <w:r>
              <w:rPr>
                <w:rFonts w:hint="eastAsia"/>
              </w:rPr>
              <w:t>G5449其他道路运输和辅助活动、F5265机动车燃油零售；对照《固定污染源排污许可分类管理名录》（2019年版），本项目属于《名录》中：三十七、废弃资源综合利用业42—93非金属废料和碎屑加工处理422中“其他”，实行登记管理；四十二、零售业52-100汽车、摩托车、零配件和燃料及其他动力销售526中“位于城市建成区的加油站”，属简化管理。</w:t>
            </w:r>
            <w:r>
              <w:t>故本项目的排污许可填报</w:t>
            </w:r>
            <w:r>
              <w:rPr>
                <w:rFonts w:hint="eastAsia"/>
              </w:rPr>
              <w:t>“</w:t>
            </w:r>
            <w:r>
              <w:t>管理类别</w:t>
            </w:r>
            <w:r>
              <w:rPr>
                <w:rFonts w:hint="eastAsia"/>
              </w:rPr>
              <w:t>”</w:t>
            </w:r>
            <w:r>
              <w:t>应为</w:t>
            </w:r>
            <w:r>
              <w:rPr>
                <w:rFonts w:hint="eastAsia"/>
              </w:rPr>
              <w:t>“</w:t>
            </w:r>
            <w:r>
              <w:t>简化管理</w:t>
            </w:r>
            <w:r>
              <w:rPr>
                <w:rFonts w:hint="eastAsia"/>
              </w:rPr>
              <w:t>”</w:t>
            </w:r>
            <w:r>
              <w:t>。</w:t>
            </w:r>
            <w:r>
              <w:rPr>
                <w:rFonts w:hint="eastAsia"/>
              </w:rPr>
              <w:t>规</w:t>
            </w:r>
            <w:r>
              <w:t>范化设置排污口；按照《安徽省生态环境厅关于统筹做好固定污染源排污许可日常监管工作的通知》（皖环发〔2021〕7号）等要求</w:t>
            </w:r>
            <w:r>
              <w:rPr>
                <w:rFonts w:hint="eastAsia"/>
              </w:rPr>
              <w:t>，</w:t>
            </w:r>
            <w:r>
              <w:t>企业应在实际排污前申领排污许可证。</w:t>
            </w:r>
          </w:p>
          <w:p w14:paraId="4990C909">
            <w:pPr>
              <w:pStyle w:val="24"/>
              <w:widowControl/>
              <w:adjustRightInd/>
              <w:snapToGrid/>
              <w:ind w:firstLine="360" w:firstLineChars="200"/>
              <w:jc w:val="left"/>
            </w:pPr>
            <w:r>
              <w:rPr>
                <w:rFonts w:hint="eastAsia"/>
              </w:rPr>
              <w:t>（1）</w:t>
            </w:r>
            <w:r>
              <w:t>排污口管理：</w:t>
            </w:r>
          </w:p>
          <w:p w14:paraId="527D34D0">
            <w:pPr>
              <w:pStyle w:val="24"/>
              <w:widowControl/>
              <w:adjustRightInd/>
              <w:snapToGrid/>
              <w:ind w:firstLine="360" w:firstLineChars="200"/>
              <w:jc w:val="left"/>
            </w:pPr>
            <w:r>
              <w:t>建设单位应在各排污口处设立较明显的排污口标志牌，其上应注明主要排放污染物的名称以警示周围群众；</w:t>
            </w:r>
          </w:p>
          <w:p w14:paraId="285FE189">
            <w:pPr>
              <w:pStyle w:val="24"/>
              <w:widowControl/>
              <w:adjustRightInd/>
              <w:snapToGrid/>
              <w:ind w:firstLine="360" w:firstLineChars="200"/>
              <w:jc w:val="left"/>
            </w:pPr>
            <w:r>
              <w:t>建设单位应如实填写《中华人民共和国规范化排污口标志登记证》的有关内容，由环保主管部门签发登记证；</w:t>
            </w:r>
          </w:p>
          <w:p w14:paraId="015C13AC">
            <w:pPr>
              <w:pStyle w:val="24"/>
              <w:widowControl/>
              <w:adjustRightInd/>
              <w:snapToGrid/>
              <w:ind w:firstLine="360" w:firstLineChars="200"/>
              <w:jc w:val="left"/>
            </w:pPr>
            <w:r>
              <w:t>规范化排污口的有关设置属环保设施，建设单位必须负责日常的维护保养，任何单位和个人不得擅自拆除，如果需要变更的必须报环境监察部门同意并办理变更手续；</w:t>
            </w:r>
          </w:p>
          <w:p w14:paraId="446B6B3A">
            <w:pPr>
              <w:pStyle w:val="24"/>
              <w:widowControl/>
              <w:adjustRightInd/>
              <w:snapToGrid/>
              <w:ind w:firstLine="360" w:firstLineChars="200"/>
              <w:jc w:val="left"/>
            </w:pPr>
            <w:r>
              <w:t>建设单位应将有关排污口的情况，如：排污口的性质、编号，排污口的位置；主要排放的污染物种类、数量、浓度、排放规律、排放去向；污染治理设施的运行情况等进行建档管理，并报送环保主管部门备案。</w:t>
            </w:r>
          </w:p>
          <w:p w14:paraId="67FD5D52">
            <w:pPr>
              <w:pStyle w:val="24"/>
              <w:widowControl/>
              <w:adjustRightInd/>
              <w:snapToGrid/>
              <w:ind w:firstLine="360" w:firstLineChars="200"/>
              <w:jc w:val="left"/>
            </w:pPr>
            <w:r>
              <w:t>（2）台账的管理：</w:t>
            </w:r>
          </w:p>
          <w:p w14:paraId="7DF20281">
            <w:pPr>
              <w:pStyle w:val="24"/>
              <w:widowControl/>
              <w:adjustRightInd/>
              <w:snapToGrid/>
              <w:ind w:firstLine="360" w:firstLineChars="200"/>
              <w:jc w:val="left"/>
            </w:pPr>
            <w:r>
              <w:t>根据生产特点和污染物排放特点，按照排污口和有组织排放源进行记录。台账记录保存期限不少于五年。</w:t>
            </w:r>
          </w:p>
          <w:p w14:paraId="48570866">
            <w:pPr>
              <w:pStyle w:val="24"/>
              <w:widowControl/>
              <w:adjustRightInd/>
              <w:snapToGrid/>
              <w:ind w:firstLine="360" w:firstLineChars="200"/>
              <w:jc w:val="left"/>
            </w:pPr>
            <w:r>
              <w:t>（3）严格执行各项环境管理制度，保证各排污口的正常运行；</w:t>
            </w:r>
          </w:p>
          <w:p w14:paraId="4DE9FC82">
            <w:pPr>
              <w:pStyle w:val="24"/>
              <w:widowControl/>
              <w:adjustRightInd/>
              <w:snapToGrid/>
              <w:ind w:firstLine="360" w:firstLineChars="200"/>
              <w:jc w:val="left"/>
            </w:pPr>
            <w:r>
              <w:t>（4）对各项环保设施操作、维护定量考核，建立环保设施运行档案；</w:t>
            </w:r>
          </w:p>
          <w:p w14:paraId="2488DDB2">
            <w:pPr>
              <w:pStyle w:val="24"/>
              <w:widowControl/>
              <w:adjustRightInd/>
              <w:snapToGrid/>
              <w:ind w:firstLine="360" w:firstLineChars="200"/>
              <w:jc w:val="left"/>
            </w:pPr>
            <w:r>
              <w:t>（5）按规定程序实施竣工环境保护验收，验收合格方可投入生产。</w:t>
            </w:r>
          </w:p>
        </w:tc>
      </w:tr>
    </w:tbl>
    <w:p w14:paraId="71C53324">
      <w:pPr>
        <w:rPr>
          <w:color w:val="0000FF"/>
        </w:rPr>
      </w:pPr>
    </w:p>
    <w:p w14:paraId="098C0CA3">
      <w:pPr>
        <w:rPr>
          <w:color w:val="0000FF"/>
        </w:rPr>
        <w:sectPr>
          <w:pgSz w:w="11906" w:h="16838"/>
          <w:pgMar w:top="1440" w:right="1800" w:bottom="1440" w:left="1800" w:header="851" w:footer="992" w:gutter="0"/>
          <w:cols w:space="425" w:num="1"/>
          <w:docGrid w:type="lines" w:linePitch="312" w:charSpace="0"/>
        </w:sectPr>
      </w:pPr>
    </w:p>
    <w:p w14:paraId="1EFC090D">
      <w:pPr>
        <w:pStyle w:val="2"/>
      </w:pPr>
      <w:bookmarkStart w:id="42" w:name="_Toc18008"/>
      <w:r>
        <w:rPr>
          <w:rFonts w:hint="eastAsia"/>
        </w:rPr>
        <w:t>六、结论</w:t>
      </w:r>
      <w:bookmarkEnd w:id="42"/>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984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8" w:hRule="atLeast"/>
        </w:trPr>
        <w:tc>
          <w:tcPr>
            <w:tcW w:w="8522" w:type="dxa"/>
            <w:vAlign w:val="center"/>
          </w:tcPr>
          <w:p w14:paraId="45F3EAD3">
            <w:pPr>
              <w:ind w:firstLine="480" w:firstLineChars="200"/>
            </w:pPr>
            <w:r>
              <w:rPr>
                <w:rFonts w:hint="eastAsia"/>
              </w:rPr>
              <w:t>综上所述，通过对项目所在地区的环境质量现状以及项目产生的环境影响进行分析，本项目所在区域属于环境空气质量、声环境达标区域。项目建设符合国家产业政策及相关规划，选址合理，布局合理可行，项目产生的污染源包括废气、废水、噪声、固体废弃物等，在采取环评提出的防治措施后，废气、废水、噪声的环境影响可以得到有效控制，可达标排放，固废按相关规定贮存与处置，不会对周围环境产生显著的影响。在认真执行三同时、设计方案及环评中提出的污染防治措施后，在方案不变的情况下，产生的污染物对环境的影响可接受，不会降低项目区域环境功能，从环境保护的角度分析，该项目的建设是可行的。</w:t>
            </w:r>
          </w:p>
        </w:tc>
      </w:tr>
    </w:tbl>
    <w:p w14:paraId="46866372">
      <w:pPr>
        <w:numPr>
          <w:ilvl w:val="0"/>
          <w:numId w:val="10"/>
        </w:numPr>
        <w:rPr>
          <w:color w:val="0000FF"/>
        </w:rPr>
        <w:sectPr>
          <w:pgSz w:w="11906" w:h="16838"/>
          <w:pgMar w:top="1440" w:right="1800" w:bottom="1440" w:left="1800" w:header="851" w:footer="992" w:gutter="0"/>
          <w:cols w:space="425" w:num="1"/>
          <w:docGrid w:type="lines" w:linePitch="312" w:charSpace="0"/>
        </w:sectPr>
      </w:pPr>
    </w:p>
    <w:p w14:paraId="723C1A94">
      <w:pPr>
        <w:widowControl/>
        <w:adjustRightInd w:val="0"/>
        <w:snapToGrid w:val="0"/>
        <w:spacing w:line="300" w:lineRule="exact"/>
        <w:outlineLvl w:val="0"/>
        <w:rPr>
          <w:rFonts w:hint="eastAsia" w:ascii="黑体" w:hAnsi="黑体" w:eastAsia="黑体"/>
          <w:snapToGrid w:val="0"/>
          <w:sz w:val="32"/>
          <w:szCs w:val="32"/>
        </w:rPr>
      </w:pPr>
      <w:bookmarkStart w:id="43" w:name="_Toc28698"/>
      <w:r>
        <w:rPr>
          <w:rFonts w:hint="eastAsia" w:ascii="黑体" w:hAnsi="黑体" w:eastAsia="黑体"/>
          <w:snapToGrid w:val="0"/>
          <w:sz w:val="32"/>
          <w:szCs w:val="32"/>
        </w:rPr>
        <w:t>附表</w:t>
      </w:r>
      <w:bookmarkEnd w:id="43"/>
    </w:p>
    <w:p w14:paraId="06D4A37E">
      <w:pPr>
        <w:pStyle w:val="6"/>
      </w:pPr>
      <w:r>
        <w:rPr>
          <w:rFonts w:hint="eastAsia"/>
        </w:rPr>
        <w:t>建设项目污染物排放量汇总表t/a</w:t>
      </w:r>
    </w:p>
    <w:tbl>
      <w:tblPr>
        <w:tblStyle w:val="18"/>
        <w:tblW w:w="499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1789"/>
        <w:gridCol w:w="1474"/>
        <w:gridCol w:w="1634"/>
        <w:gridCol w:w="1634"/>
        <w:gridCol w:w="1634"/>
        <w:gridCol w:w="1634"/>
        <w:gridCol w:w="1954"/>
        <w:gridCol w:w="1319"/>
      </w:tblGrid>
      <w:tr w14:paraId="07230D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tcBorders>
              <w:tl2br w:val="single" w:color="auto" w:sz="4" w:space="0"/>
            </w:tcBorders>
            <w:tcMar>
              <w:left w:w="28" w:type="dxa"/>
              <w:right w:w="28" w:type="dxa"/>
            </w:tcMar>
            <w:vAlign w:val="center"/>
          </w:tcPr>
          <w:p w14:paraId="2690D8D7">
            <w:pPr>
              <w:pStyle w:val="24"/>
              <w:rPr>
                <w:b/>
                <w:bCs/>
              </w:rPr>
            </w:pPr>
          </w:p>
          <w:p w14:paraId="1DDB6F33">
            <w:pPr>
              <w:pStyle w:val="24"/>
              <w:rPr>
                <w:b/>
                <w:bCs/>
              </w:rPr>
            </w:pPr>
            <w:r>
              <w:rPr>
                <w:rFonts w:hint="eastAsia"/>
                <w:b/>
                <w:bCs/>
              </w:rPr>
              <w:t>分类</w:t>
            </w:r>
          </w:p>
          <w:p w14:paraId="0645A8C2">
            <w:pPr>
              <w:pStyle w:val="24"/>
              <w:rPr>
                <w:b/>
                <w:bCs/>
              </w:rPr>
            </w:pPr>
            <w:r>
              <w:rPr>
                <w:rFonts w:hint="eastAsia"/>
                <w:b/>
                <w:bCs/>
              </w:rPr>
              <w:t>分类</w:t>
            </w:r>
          </w:p>
          <w:p w14:paraId="3967DAEA">
            <w:pPr>
              <w:pStyle w:val="24"/>
              <w:rPr>
                <w:b/>
                <w:bCs/>
              </w:rPr>
            </w:pPr>
            <w:r>
              <w:rPr>
                <w:rFonts w:hint="eastAsia"/>
                <w:b/>
                <w:bCs/>
              </w:rPr>
              <w:t>项目</w:t>
            </w:r>
          </w:p>
        </w:tc>
        <w:tc>
          <w:tcPr>
            <w:tcW w:w="608" w:type="pct"/>
            <w:tcMar>
              <w:left w:w="28" w:type="dxa"/>
              <w:right w:w="28" w:type="dxa"/>
            </w:tcMar>
            <w:vAlign w:val="center"/>
          </w:tcPr>
          <w:p w14:paraId="604624F0">
            <w:pPr>
              <w:pStyle w:val="24"/>
              <w:rPr>
                <w:b/>
                <w:bCs/>
              </w:rPr>
            </w:pPr>
            <w:r>
              <w:rPr>
                <w:b/>
                <w:bCs/>
              </w:rPr>
              <w:t>污染物名称</w:t>
            </w:r>
          </w:p>
        </w:tc>
        <w:tc>
          <w:tcPr>
            <w:tcW w:w="501" w:type="pct"/>
            <w:tcMar>
              <w:left w:w="28" w:type="dxa"/>
              <w:right w:w="28" w:type="dxa"/>
            </w:tcMar>
            <w:vAlign w:val="center"/>
          </w:tcPr>
          <w:p w14:paraId="7E03F489">
            <w:pPr>
              <w:pStyle w:val="24"/>
              <w:rPr>
                <w:b/>
                <w:bCs/>
              </w:rPr>
            </w:pPr>
            <w:r>
              <w:rPr>
                <w:b/>
                <w:bCs/>
              </w:rPr>
              <w:t>现有工程排放量（固体废物产生量）</w:t>
            </w:r>
            <w:r>
              <w:rPr>
                <w:b/>
                <w:bCs/>
              </w:rPr>
              <w:fldChar w:fldCharType="begin"/>
            </w:r>
            <w:r>
              <w:rPr>
                <w:b/>
                <w:bCs/>
              </w:rPr>
              <w:instrText xml:space="preserve"> = 1 \* GB3 \* MERGEFORMAT </w:instrText>
            </w:r>
            <w:r>
              <w:rPr>
                <w:b/>
                <w:bCs/>
              </w:rPr>
              <w:fldChar w:fldCharType="separate"/>
            </w:r>
            <w:r>
              <w:rPr>
                <w:b/>
                <w:bCs/>
              </w:rPr>
              <w:t>①</w:t>
            </w:r>
            <w:r>
              <w:rPr>
                <w:b/>
                <w:bCs/>
              </w:rPr>
              <w:fldChar w:fldCharType="end"/>
            </w:r>
          </w:p>
        </w:tc>
        <w:tc>
          <w:tcPr>
            <w:tcW w:w="555" w:type="pct"/>
            <w:tcMar>
              <w:left w:w="28" w:type="dxa"/>
              <w:right w:w="28" w:type="dxa"/>
            </w:tcMar>
            <w:vAlign w:val="center"/>
          </w:tcPr>
          <w:p w14:paraId="78C91471">
            <w:pPr>
              <w:pStyle w:val="24"/>
              <w:rPr>
                <w:b/>
                <w:bCs/>
              </w:rPr>
            </w:pPr>
            <w:r>
              <w:rPr>
                <w:b/>
                <w:bCs/>
              </w:rPr>
              <w:t>现有工程许可排放量</w:t>
            </w:r>
            <w:r>
              <w:rPr>
                <w:b/>
                <w:bCs/>
              </w:rPr>
              <w:fldChar w:fldCharType="begin"/>
            </w:r>
            <w:r>
              <w:rPr>
                <w:b/>
                <w:bCs/>
              </w:rPr>
              <w:instrText xml:space="preserve"> = 2 \* GB3 \* MERGEFORMAT </w:instrText>
            </w:r>
            <w:r>
              <w:rPr>
                <w:b/>
                <w:bCs/>
              </w:rPr>
              <w:fldChar w:fldCharType="separate"/>
            </w:r>
            <w:r>
              <w:rPr>
                <w:b/>
                <w:bCs/>
              </w:rPr>
              <w:t>②</w:t>
            </w:r>
            <w:r>
              <w:rPr>
                <w:b/>
                <w:bCs/>
              </w:rPr>
              <w:fldChar w:fldCharType="end"/>
            </w:r>
          </w:p>
        </w:tc>
        <w:tc>
          <w:tcPr>
            <w:tcW w:w="555" w:type="pct"/>
            <w:tcMar>
              <w:left w:w="28" w:type="dxa"/>
              <w:right w:w="28" w:type="dxa"/>
            </w:tcMar>
            <w:vAlign w:val="center"/>
          </w:tcPr>
          <w:p w14:paraId="552229D0">
            <w:pPr>
              <w:pStyle w:val="24"/>
              <w:rPr>
                <w:b/>
                <w:bCs/>
              </w:rPr>
            </w:pPr>
            <w:r>
              <w:rPr>
                <w:b/>
                <w:bCs/>
              </w:rPr>
              <w:t>在建工程排放量（固体废物产生量）</w:t>
            </w:r>
            <w:r>
              <w:rPr>
                <w:b/>
                <w:bCs/>
              </w:rPr>
              <w:fldChar w:fldCharType="begin"/>
            </w:r>
            <w:r>
              <w:rPr>
                <w:b/>
                <w:bCs/>
              </w:rPr>
              <w:instrText xml:space="preserve"> = 3 \* GB3 \* MERGEFORMAT </w:instrText>
            </w:r>
            <w:r>
              <w:rPr>
                <w:b/>
                <w:bCs/>
              </w:rPr>
              <w:fldChar w:fldCharType="separate"/>
            </w:r>
            <w:r>
              <w:rPr>
                <w:b/>
                <w:bCs/>
              </w:rPr>
              <w:t>③</w:t>
            </w:r>
            <w:r>
              <w:rPr>
                <w:b/>
                <w:bCs/>
              </w:rPr>
              <w:fldChar w:fldCharType="end"/>
            </w:r>
          </w:p>
        </w:tc>
        <w:tc>
          <w:tcPr>
            <w:tcW w:w="555" w:type="pct"/>
            <w:tcMar>
              <w:left w:w="28" w:type="dxa"/>
              <w:right w:w="28" w:type="dxa"/>
            </w:tcMar>
            <w:vAlign w:val="center"/>
          </w:tcPr>
          <w:p w14:paraId="1AAAE6A8">
            <w:pPr>
              <w:pStyle w:val="24"/>
              <w:rPr>
                <w:b/>
                <w:bCs/>
              </w:rPr>
            </w:pPr>
            <w:r>
              <w:rPr>
                <w:b/>
                <w:bCs/>
              </w:rPr>
              <w:t>本项目排放量（固体废物产生量）</w:t>
            </w:r>
            <w:r>
              <w:rPr>
                <w:b/>
                <w:bCs/>
              </w:rPr>
              <w:fldChar w:fldCharType="begin"/>
            </w:r>
            <w:r>
              <w:rPr>
                <w:b/>
                <w:bCs/>
              </w:rPr>
              <w:instrText xml:space="preserve"> = 4 \* GB3 \* MERGEFORMAT </w:instrText>
            </w:r>
            <w:r>
              <w:rPr>
                <w:b/>
                <w:bCs/>
              </w:rPr>
              <w:fldChar w:fldCharType="separate"/>
            </w:r>
            <w:r>
              <w:rPr>
                <w:b/>
                <w:bCs/>
              </w:rPr>
              <w:t>④</w:t>
            </w:r>
            <w:r>
              <w:rPr>
                <w:b/>
                <w:bCs/>
              </w:rPr>
              <w:fldChar w:fldCharType="end"/>
            </w:r>
          </w:p>
        </w:tc>
        <w:tc>
          <w:tcPr>
            <w:tcW w:w="555" w:type="pct"/>
            <w:tcMar>
              <w:left w:w="28" w:type="dxa"/>
              <w:right w:w="28" w:type="dxa"/>
            </w:tcMar>
            <w:vAlign w:val="center"/>
          </w:tcPr>
          <w:p w14:paraId="295F898F">
            <w:pPr>
              <w:pStyle w:val="24"/>
              <w:rPr>
                <w:b/>
                <w:bCs/>
              </w:rPr>
            </w:pPr>
            <w:r>
              <w:rPr>
                <w:b/>
                <w:bCs/>
              </w:rPr>
              <w:t>以新带老削减量（新建项目不填）</w:t>
            </w:r>
            <w:r>
              <w:rPr>
                <w:b/>
                <w:bCs/>
              </w:rPr>
              <w:fldChar w:fldCharType="begin"/>
            </w:r>
            <w:r>
              <w:rPr>
                <w:b/>
                <w:bCs/>
              </w:rPr>
              <w:instrText xml:space="preserve"> = 5 \* GB3 \* MERGEFORMAT </w:instrText>
            </w:r>
            <w:r>
              <w:rPr>
                <w:b/>
                <w:bCs/>
              </w:rPr>
              <w:fldChar w:fldCharType="separate"/>
            </w:r>
            <w:r>
              <w:rPr>
                <w:b/>
                <w:bCs/>
              </w:rPr>
              <w:t>⑤</w:t>
            </w:r>
            <w:r>
              <w:rPr>
                <w:b/>
                <w:bCs/>
              </w:rPr>
              <w:fldChar w:fldCharType="end"/>
            </w:r>
          </w:p>
        </w:tc>
        <w:tc>
          <w:tcPr>
            <w:tcW w:w="664" w:type="pct"/>
            <w:tcMar>
              <w:left w:w="28" w:type="dxa"/>
              <w:right w:w="28" w:type="dxa"/>
            </w:tcMar>
            <w:vAlign w:val="center"/>
          </w:tcPr>
          <w:p w14:paraId="512CF436">
            <w:pPr>
              <w:pStyle w:val="24"/>
              <w:rPr>
                <w:b/>
                <w:bCs/>
              </w:rPr>
            </w:pPr>
            <w:r>
              <w:rPr>
                <w:b/>
                <w:bCs/>
              </w:rPr>
              <w:t>本项目建成后全厂排放量（固体废物产生量）</w:t>
            </w:r>
            <w:r>
              <w:rPr>
                <w:b/>
                <w:bCs/>
              </w:rPr>
              <w:fldChar w:fldCharType="begin"/>
            </w:r>
            <w:r>
              <w:rPr>
                <w:b/>
                <w:bCs/>
              </w:rPr>
              <w:instrText xml:space="preserve"> = 6 \* GB3 \* MERGEFORMAT </w:instrText>
            </w:r>
            <w:r>
              <w:rPr>
                <w:b/>
                <w:bCs/>
              </w:rPr>
              <w:fldChar w:fldCharType="separate"/>
            </w:r>
            <w:r>
              <w:rPr>
                <w:b/>
                <w:bCs/>
              </w:rPr>
              <w:t>⑥</w:t>
            </w:r>
            <w:r>
              <w:rPr>
                <w:b/>
                <w:bCs/>
              </w:rPr>
              <w:fldChar w:fldCharType="end"/>
            </w:r>
          </w:p>
        </w:tc>
        <w:tc>
          <w:tcPr>
            <w:tcW w:w="448" w:type="pct"/>
            <w:tcMar>
              <w:left w:w="28" w:type="dxa"/>
              <w:right w:w="28" w:type="dxa"/>
            </w:tcMar>
            <w:vAlign w:val="center"/>
          </w:tcPr>
          <w:p w14:paraId="44A19D79">
            <w:pPr>
              <w:pStyle w:val="24"/>
              <w:rPr>
                <w:b/>
                <w:bCs/>
              </w:rPr>
            </w:pPr>
            <w:r>
              <w:rPr>
                <w:b/>
                <w:bCs/>
              </w:rPr>
              <w:t>变化量</w:t>
            </w:r>
            <w:r>
              <w:rPr>
                <w:b/>
                <w:bCs/>
              </w:rPr>
              <w:fldChar w:fldCharType="begin"/>
            </w:r>
            <w:r>
              <w:rPr>
                <w:b/>
                <w:bCs/>
              </w:rPr>
              <w:instrText xml:space="preserve"> = 7 \* GB3 \* MERGEFORMAT </w:instrText>
            </w:r>
            <w:r>
              <w:rPr>
                <w:b/>
                <w:bCs/>
              </w:rPr>
              <w:fldChar w:fldCharType="separate"/>
            </w:r>
            <w:r>
              <w:rPr>
                <w:b/>
                <w:bCs/>
              </w:rPr>
              <w:t>⑦</w:t>
            </w:r>
            <w:r>
              <w:rPr>
                <w:b/>
                <w:bCs/>
              </w:rPr>
              <w:fldChar w:fldCharType="end"/>
            </w:r>
          </w:p>
        </w:tc>
      </w:tr>
      <w:tr w14:paraId="23015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restart"/>
            <w:vAlign w:val="center"/>
          </w:tcPr>
          <w:p w14:paraId="66C38909">
            <w:pPr>
              <w:pStyle w:val="24"/>
            </w:pPr>
            <w:r>
              <w:t>废气</w:t>
            </w:r>
          </w:p>
        </w:tc>
        <w:tc>
          <w:tcPr>
            <w:tcW w:w="608" w:type="pct"/>
            <w:vAlign w:val="center"/>
          </w:tcPr>
          <w:p w14:paraId="766D1494">
            <w:pPr>
              <w:pStyle w:val="24"/>
            </w:pPr>
            <w:r>
              <w:rPr>
                <w:rFonts w:hint="eastAsia"/>
              </w:rPr>
              <w:t>非甲烷总烃</w:t>
            </w:r>
          </w:p>
        </w:tc>
        <w:tc>
          <w:tcPr>
            <w:tcW w:w="501" w:type="pct"/>
            <w:vAlign w:val="center"/>
          </w:tcPr>
          <w:p w14:paraId="51BB6AB3">
            <w:pPr>
              <w:pStyle w:val="24"/>
            </w:pPr>
            <w:r>
              <w:rPr>
                <w:rFonts w:hint="eastAsia"/>
              </w:rPr>
              <w:t>0</w:t>
            </w:r>
          </w:p>
        </w:tc>
        <w:tc>
          <w:tcPr>
            <w:tcW w:w="555" w:type="pct"/>
            <w:vAlign w:val="center"/>
          </w:tcPr>
          <w:p w14:paraId="1DF93576">
            <w:pPr>
              <w:pStyle w:val="24"/>
            </w:pPr>
            <w:r>
              <w:rPr>
                <w:rFonts w:hint="eastAsia"/>
              </w:rPr>
              <w:t>0</w:t>
            </w:r>
          </w:p>
        </w:tc>
        <w:tc>
          <w:tcPr>
            <w:tcW w:w="555" w:type="pct"/>
            <w:vAlign w:val="center"/>
          </w:tcPr>
          <w:p w14:paraId="7C84C0F0">
            <w:pPr>
              <w:pStyle w:val="24"/>
            </w:pPr>
            <w:r>
              <w:rPr>
                <w:rFonts w:hint="eastAsia"/>
              </w:rPr>
              <w:t>0</w:t>
            </w:r>
          </w:p>
        </w:tc>
        <w:tc>
          <w:tcPr>
            <w:tcW w:w="555" w:type="pct"/>
            <w:vAlign w:val="center"/>
          </w:tcPr>
          <w:p w14:paraId="0BEAA58F">
            <w:pPr>
              <w:pStyle w:val="24"/>
            </w:pPr>
            <w:r>
              <w:rPr>
                <w:rFonts w:hint="eastAsia"/>
              </w:rPr>
              <w:t>1.14</w:t>
            </w:r>
          </w:p>
        </w:tc>
        <w:tc>
          <w:tcPr>
            <w:tcW w:w="555" w:type="pct"/>
            <w:vAlign w:val="center"/>
          </w:tcPr>
          <w:p w14:paraId="43DE27DB">
            <w:pPr>
              <w:pStyle w:val="24"/>
            </w:pPr>
            <w:r>
              <w:rPr>
                <w:rFonts w:hint="eastAsia"/>
              </w:rPr>
              <w:t>0</w:t>
            </w:r>
          </w:p>
        </w:tc>
        <w:tc>
          <w:tcPr>
            <w:tcW w:w="664" w:type="pct"/>
            <w:vAlign w:val="center"/>
          </w:tcPr>
          <w:p w14:paraId="3CABCC48">
            <w:pPr>
              <w:pStyle w:val="24"/>
            </w:pPr>
            <w:r>
              <w:rPr>
                <w:rFonts w:hint="eastAsia"/>
              </w:rPr>
              <w:t>1.14</w:t>
            </w:r>
          </w:p>
        </w:tc>
        <w:tc>
          <w:tcPr>
            <w:tcW w:w="448" w:type="pct"/>
            <w:vAlign w:val="center"/>
          </w:tcPr>
          <w:p w14:paraId="25C8CA30">
            <w:pPr>
              <w:pStyle w:val="24"/>
            </w:pPr>
            <w:r>
              <w:rPr>
                <w:rFonts w:hint="eastAsia"/>
              </w:rPr>
              <w:t>+1.14</w:t>
            </w:r>
          </w:p>
        </w:tc>
      </w:tr>
      <w:tr w14:paraId="45629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05DBD039">
            <w:pPr>
              <w:pStyle w:val="24"/>
            </w:pPr>
          </w:p>
        </w:tc>
        <w:tc>
          <w:tcPr>
            <w:tcW w:w="608" w:type="pct"/>
            <w:vAlign w:val="center"/>
          </w:tcPr>
          <w:p w14:paraId="5CCFCF28">
            <w:pPr>
              <w:pStyle w:val="24"/>
            </w:pPr>
            <w:r>
              <w:rPr>
                <w:rFonts w:hint="eastAsia"/>
              </w:rPr>
              <w:t>餐饮油烟</w:t>
            </w:r>
          </w:p>
        </w:tc>
        <w:tc>
          <w:tcPr>
            <w:tcW w:w="501" w:type="pct"/>
            <w:vAlign w:val="center"/>
          </w:tcPr>
          <w:p w14:paraId="2B4B1111">
            <w:pPr>
              <w:pStyle w:val="24"/>
            </w:pPr>
            <w:r>
              <w:rPr>
                <w:rFonts w:hint="eastAsia"/>
              </w:rPr>
              <w:t>0</w:t>
            </w:r>
          </w:p>
        </w:tc>
        <w:tc>
          <w:tcPr>
            <w:tcW w:w="555" w:type="pct"/>
            <w:vAlign w:val="center"/>
          </w:tcPr>
          <w:p w14:paraId="79DA835A">
            <w:pPr>
              <w:pStyle w:val="24"/>
            </w:pPr>
            <w:r>
              <w:rPr>
                <w:rFonts w:hint="eastAsia"/>
              </w:rPr>
              <w:t>0</w:t>
            </w:r>
          </w:p>
        </w:tc>
        <w:tc>
          <w:tcPr>
            <w:tcW w:w="555" w:type="pct"/>
            <w:vAlign w:val="center"/>
          </w:tcPr>
          <w:p w14:paraId="4EEE0D27">
            <w:pPr>
              <w:pStyle w:val="24"/>
            </w:pPr>
            <w:r>
              <w:rPr>
                <w:rFonts w:hint="eastAsia"/>
              </w:rPr>
              <w:t>0</w:t>
            </w:r>
          </w:p>
        </w:tc>
        <w:tc>
          <w:tcPr>
            <w:tcW w:w="555" w:type="pct"/>
            <w:vAlign w:val="center"/>
          </w:tcPr>
          <w:p w14:paraId="1D7B7BF1">
            <w:pPr>
              <w:pStyle w:val="24"/>
              <w:rPr>
                <w:rFonts w:hint="default" w:eastAsia="宋体"/>
                <w:lang w:val="en-US" w:eastAsia="zh-CN"/>
              </w:rPr>
            </w:pPr>
            <w:r>
              <w:rPr>
                <w:rFonts w:hint="eastAsia"/>
                <w:lang w:val="en-US" w:eastAsia="zh-CN"/>
              </w:rPr>
              <w:t>11.5</w:t>
            </w:r>
          </w:p>
        </w:tc>
        <w:tc>
          <w:tcPr>
            <w:tcW w:w="555" w:type="pct"/>
            <w:vAlign w:val="center"/>
          </w:tcPr>
          <w:p w14:paraId="254EA02C">
            <w:pPr>
              <w:pStyle w:val="24"/>
            </w:pPr>
            <w:r>
              <w:rPr>
                <w:rFonts w:hint="eastAsia"/>
              </w:rPr>
              <w:t>0</w:t>
            </w:r>
          </w:p>
        </w:tc>
        <w:tc>
          <w:tcPr>
            <w:tcW w:w="664" w:type="pct"/>
            <w:vAlign w:val="center"/>
          </w:tcPr>
          <w:p w14:paraId="546386BC">
            <w:pPr>
              <w:pStyle w:val="24"/>
              <w:rPr>
                <w:rFonts w:hint="default" w:eastAsia="宋体"/>
                <w:lang w:val="en-US" w:eastAsia="zh-CN"/>
              </w:rPr>
            </w:pPr>
            <w:r>
              <w:rPr>
                <w:rFonts w:hint="eastAsia"/>
                <w:lang w:val="en-US" w:eastAsia="zh-CN"/>
              </w:rPr>
              <w:t>11.5</w:t>
            </w:r>
          </w:p>
        </w:tc>
        <w:tc>
          <w:tcPr>
            <w:tcW w:w="448" w:type="pct"/>
            <w:vAlign w:val="center"/>
          </w:tcPr>
          <w:p w14:paraId="0934B078">
            <w:pPr>
              <w:pStyle w:val="24"/>
              <w:rPr>
                <w:rFonts w:hint="default" w:eastAsia="宋体"/>
                <w:lang w:val="en-US" w:eastAsia="zh-CN"/>
              </w:rPr>
            </w:pPr>
            <w:r>
              <w:rPr>
                <w:rFonts w:hint="eastAsia"/>
              </w:rPr>
              <w:t>+</w:t>
            </w:r>
            <w:r>
              <w:rPr>
                <w:rFonts w:hint="eastAsia"/>
                <w:lang w:val="en-US" w:eastAsia="zh-CN"/>
              </w:rPr>
              <w:t>11.5</w:t>
            </w:r>
          </w:p>
        </w:tc>
      </w:tr>
      <w:tr w14:paraId="39FEA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72D68EB6">
            <w:pPr>
              <w:pStyle w:val="24"/>
            </w:pPr>
          </w:p>
        </w:tc>
        <w:tc>
          <w:tcPr>
            <w:tcW w:w="608" w:type="pct"/>
            <w:vAlign w:val="center"/>
          </w:tcPr>
          <w:p w14:paraId="2C2DBE5A">
            <w:pPr>
              <w:pStyle w:val="24"/>
            </w:pPr>
            <w:r>
              <w:rPr>
                <w:rFonts w:hint="eastAsia"/>
              </w:rPr>
              <w:t>焊接烟尘</w:t>
            </w:r>
          </w:p>
        </w:tc>
        <w:tc>
          <w:tcPr>
            <w:tcW w:w="501" w:type="pct"/>
            <w:vAlign w:val="center"/>
          </w:tcPr>
          <w:p w14:paraId="71EC3B43">
            <w:pPr>
              <w:pStyle w:val="24"/>
            </w:pPr>
            <w:r>
              <w:rPr>
                <w:rFonts w:hint="eastAsia"/>
              </w:rPr>
              <w:t>0</w:t>
            </w:r>
          </w:p>
        </w:tc>
        <w:tc>
          <w:tcPr>
            <w:tcW w:w="555" w:type="pct"/>
            <w:vAlign w:val="center"/>
          </w:tcPr>
          <w:p w14:paraId="0EAA7EDE">
            <w:pPr>
              <w:pStyle w:val="24"/>
            </w:pPr>
            <w:r>
              <w:rPr>
                <w:rFonts w:hint="eastAsia"/>
              </w:rPr>
              <w:t>0</w:t>
            </w:r>
          </w:p>
        </w:tc>
        <w:tc>
          <w:tcPr>
            <w:tcW w:w="555" w:type="pct"/>
            <w:vAlign w:val="center"/>
          </w:tcPr>
          <w:p w14:paraId="3DD1B223">
            <w:pPr>
              <w:pStyle w:val="24"/>
            </w:pPr>
            <w:r>
              <w:rPr>
                <w:rFonts w:hint="eastAsia"/>
              </w:rPr>
              <w:t>0</w:t>
            </w:r>
          </w:p>
        </w:tc>
        <w:tc>
          <w:tcPr>
            <w:tcW w:w="555" w:type="pct"/>
            <w:vAlign w:val="center"/>
          </w:tcPr>
          <w:p w14:paraId="30ABB7FE">
            <w:pPr>
              <w:pStyle w:val="24"/>
            </w:pPr>
            <w:r>
              <w:rPr>
                <w:rFonts w:hint="eastAsia"/>
              </w:rPr>
              <w:t>0.023kg/a</w:t>
            </w:r>
          </w:p>
        </w:tc>
        <w:tc>
          <w:tcPr>
            <w:tcW w:w="555" w:type="pct"/>
            <w:vAlign w:val="center"/>
          </w:tcPr>
          <w:p w14:paraId="46BE457E">
            <w:pPr>
              <w:pStyle w:val="24"/>
            </w:pPr>
            <w:r>
              <w:rPr>
                <w:rFonts w:hint="eastAsia"/>
              </w:rPr>
              <w:t>0</w:t>
            </w:r>
          </w:p>
        </w:tc>
        <w:tc>
          <w:tcPr>
            <w:tcW w:w="664" w:type="pct"/>
            <w:vAlign w:val="center"/>
          </w:tcPr>
          <w:p w14:paraId="0C7CD1C9">
            <w:pPr>
              <w:pStyle w:val="24"/>
            </w:pPr>
            <w:r>
              <w:rPr>
                <w:rFonts w:hint="eastAsia"/>
              </w:rPr>
              <w:t>0.023kg/a</w:t>
            </w:r>
          </w:p>
        </w:tc>
        <w:tc>
          <w:tcPr>
            <w:tcW w:w="448" w:type="pct"/>
            <w:vAlign w:val="center"/>
          </w:tcPr>
          <w:p w14:paraId="2B88CBC9">
            <w:pPr>
              <w:pStyle w:val="24"/>
            </w:pPr>
            <w:r>
              <w:rPr>
                <w:rFonts w:hint="eastAsia"/>
              </w:rPr>
              <w:t>+0.023kg/a</w:t>
            </w:r>
          </w:p>
        </w:tc>
      </w:tr>
      <w:tr w14:paraId="1DD0D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restart"/>
            <w:vAlign w:val="center"/>
          </w:tcPr>
          <w:p w14:paraId="797080A7">
            <w:pPr>
              <w:pStyle w:val="24"/>
            </w:pPr>
            <w:bookmarkStart w:id="44" w:name="OLE_LINK39"/>
            <w:r>
              <w:t>废水</w:t>
            </w:r>
          </w:p>
        </w:tc>
        <w:tc>
          <w:tcPr>
            <w:tcW w:w="608" w:type="pct"/>
            <w:vAlign w:val="center"/>
          </w:tcPr>
          <w:p w14:paraId="6C049255">
            <w:pPr>
              <w:pStyle w:val="24"/>
            </w:pPr>
            <w:r>
              <w:rPr>
                <w:rFonts w:hint="eastAsia"/>
              </w:rPr>
              <w:t>废水量</w:t>
            </w:r>
          </w:p>
        </w:tc>
        <w:tc>
          <w:tcPr>
            <w:tcW w:w="501" w:type="pct"/>
            <w:vAlign w:val="center"/>
          </w:tcPr>
          <w:p w14:paraId="066EB6E7">
            <w:pPr>
              <w:pStyle w:val="24"/>
            </w:pPr>
            <w:r>
              <w:rPr>
                <w:rFonts w:hint="eastAsia"/>
              </w:rPr>
              <w:t>0</w:t>
            </w:r>
          </w:p>
        </w:tc>
        <w:tc>
          <w:tcPr>
            <w:tcW w:w="555" w:type="pct"/>
            <w:vAlign w:val="center"/>
          </w:tcPr>
          <w:p w14:paraId="606B5E4F">
            <w:pPr>
              <w:pStyle w:val="24"/>
            </w:pPr>
            <w:r>
              <w:rPr>
                <w:rFonts w:hint="eastAsia"/>
              </w:rPr>
              <w:t>0</w:t>
            </w:r>
          </w:p>
        </w:tc>
        <w:tc>
          <w:tcPr>
            <w:tcW w:w="555" w:type="pct"/>
            <w:vAlign w:val="center"/>
          </w:tcPr>
          <w:p w14:paraId="120DE4DA">
            <w:pPr>
              <w:pStyle w:val="24"/>
            </w:pPr>
            <w:r>
              <w:rPr>
                <w:rFonts w:hint="eastAsia"/>
              </w:rPr>
              <w:t>0</w:t>
            </w:r>
          </w:p>
        </w:tc>
        <w:tc>
          <w:tcPr>
            <w:tcW w:w="555" w:type="pct"/>
            <w:vAlign w:val="center"/>
          </w:tcPr>
          <w:p w14:paraId="3A11451B">
            <w:pPr>
              <w:pStyle w:val="24"/>
            </w:pPr>
            <w:r>
              <w:rPr>
                <w:rFonts w:hint="eastAsia"/>
              </w:rPr>
              <w:t>4952</w:t>
            </w:r>
          </w:p>
        </w:tc>
        <w:tc>
          <w:tcPr>
            <w:tcW w:w="555" w:type="pct"/>
            <w:vAlign w:val="center"/>
          </w:tcPr>
          <w:p w14:paraId="4394E258">
            <w:pPr>
              <w:pStyle w:val="24"/>
            </w:pPr>
            <w:r>
              <w:rPr>
                <w:rFonts w:hint="eastAsia"/>
              </w:rPr>
              <w:t>0</w:t>
            </w:r>
          </w:p>
        </w:tc>
        <w:tc>
          <w:tcPr>
            <w:tcW w:w="664" w:type="pct"/>
            <w:vAlign w:val="center"/>
          </w:tcPr>
          <w:p w14:paraId="41BC1306">
            <w:pPr>
              <w:pStyle w:val="24"/>
            </w:pPr>
            <w:r>
              <w:rPr>
                <w:rFonts w:hint="eastAsia"/>
              </w:rPr>
              <w:t>4952</w:t>
            </w:r>
          </w:p>
        </w:tc>
        <w:tc>
          <w:tcPr>
            <w:tcW w:w="448" w:type="pct"/>
            <w:vAlign w:val="center"/>
          </w:tcPr>
          <w:p w14:paraId="6732AAD7">
            <w:pPr>
              <w:pStyle w:val="24"/>
            </w:pPr>
            <w:r>
              <w:rPr>
                <w:rFonts w:hint="eastAsia"/>
              </w:rPr>
              <w:t>+4952</w:t>
            </w:r>
          </w:p>
        </w:tc>
      </w:tr>
      <w:bookmarkEnd w:id="44"/>
      <w:tr w14:paraId="2FEAA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6FAA7939">
            <w:pPr>
              <w:pStyle w:val="24"/>
            </w:pPr>
          </w:p>
        </w:tc>
        <w:tc>
          <w:tcPr>
            <w:tcW w:w="608" w:type="pct"/>
            <w:vAlign w:val="center"/>
          </w:tcPr>
          <w:p w14:paraId="79F96109">
            <w:pPr>
              <w:pStyle w:val="24"/>
            </w:pPr>
            <w:r>
              <w:t>COD</w:t>
            </w:r>
            <w:r>
              <w:rPr>
                <w:rFonts w:hint="eastAsia"/>
              </w:rPr>
              <w:t>cr</w:t>
            </w:r>
          </w:p>
        </w:tc>
        <w:tc>
          <w:tcPr>
            <w:tcW w:w="501" w:type="pct"/>
            <w:vAlign w:val="center"/>
          </w:tcPr>
          <w:p w14:paraId="6F0C94AC">
            <w:pPr>
              <w:pStyle w:val="24"/>
            </w:pPr>
            <w:r>
              <w:rPr>
                <w:rFonts w:hint="eastAsia"/>
              </w:rPr>
              <w:t>0</w:t>
            </w:r>
          </w:p>
        </w:tc>
        <w:tc>
          <w:tcPr>
            <w:tcW w:w="555" w:type="pct"/>
            <w:vAlign w:val="center"/>
          </w:tcPr>
          <w:p w14:paraId="50B074CF">
            <w:pPr>
              <w:pStyle w:val="24"/>
            </w:pPr>
            <w:r>
              <w:rPr>
                <w:rFonts w:hint="eastAsia"/>
              </w:rPr>
              <w:t>0</w:t>
            </w:r>
          </w:p>
        </w:tc>
        <w:tc>
          <w:tcPr>
            <w:tcW w:w="555" w:type="pct"/>
            <w:vAlign w:val="center"/>
          </w:tcPr>
          <w:p w14:paraId="1C7DF973">
            <w:pPr>
              <w:pStyle w:val="24"/>
            </w:pPr>
            <w:r>
              <w:rPr>
                <w:rFonts w:hint="eastAsia"/>
              </w:rPr>
              <w:t>0</w:t>
            </w:r>
          </w:p>
        </w:tc>
        <w:tc>
          <w:tcPr>
            <w:tcW w:w="555" w:type="pct"/>
            <w:vAlign w:val="center"/>
          </w:tcPr>
          <w:p w14:paraId="27D778DC">
            <w:pPr>
              <w:pStyle w:val="24"/>
            </w:pPr>
            <w:r>
              <w:rPr>
                <w:rFonts w:hint="eastAsia"/>
              </w:rPr>
              <w:t>1.357</w:t>
            </w:r>
          </w:p>
        </w:tc>
        <w:tc>
          <w:tcPr>
            <w:tcW w:w="555" w:type="pct"/>
            <w:vAlign w:val="center"/>
          </w:tcPr>
          <w:p w14:paraId="10445FB9">
            <w:pPr>
              <w:pStyle w:val="24"/>
            </w:pPr>
            <w:r>
              <w:rPr>
                <w:rFonts w:hint="eastAsia"/>
              </w:rPr>
              <w:t>0</w:t>
            </w:r>
          </w:p>
        </w:tc>
        <w:tc>
          <w:tcPr>
            <w:tcW w:w="664" w:type="pct"/>
            <w:vAlign w:val="center"/>
          </w:tcPr>
          <w:p w14:paraId="2A1900D8">
            <w:pPr>
              <w:pStyle w:val="24"/>
            </w:pPr>
            <w:r>
              <w:rPr>
                <w:rFonts w:hint="eastAsia"/>
              </w:rPr>
              <w:t>1.357</w:t>
            </w:r>
          </w:p>
        </w:tc>
        <w:tc>
          <w:tcPr>
            <w:tcW w:w="448" w:type="pct"/>
            <w:vAlign w:val="center"/>
          </w:tcPr>
          <w:p w14:paraId="1C4220A2">
            <w:pPr>
              <w:pStyle w:val="24"/>
            </w:pPr>
            <w:r>
              <w:rPr>
                <w:rFonts w:hint="eastAsia"/>
              </w:rPr>
              <w:t>+1.357</w:t>
            </w:r>
          </w:p>
        </w:tc>
      </w:tr>
      <w:tr w14:paraId="5B248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586B6073">
            <w:pPr>
              <w:pStyle w:val="24"/>
            </w:pPr>
          </w:p>
        </w:tc>
        <w:tc>
          <w:tcPr>
            <w:tcW w:w="608" w:type="pct"/>
            <w:vAlign w:val="center"/>
          </w:tcPr>
          <w:p w14:paraId="2A600D12">
            <w:pPr>
              <w:pStyle w:val="24"/>
            </w:pPr>
            <w:r>
              <w:t>BOD</w:t>
            </w:r>
            <w:r>
              <w:rPr>
                <w:vertAlign w:val="subscript"/>
              </w:rPr>
              <w:t>5</w:t>
            </w:r>
          </w:p>
        </w:tc>
        <w:tc>
          <w:tcPr>
            <w:tcW w:w="501" w:type="pct"/>
            <w:vAlign w:val="center"/>
          </w:tcPr>
          <w:p w14:paraId="41E23797">
            <w:pPr>
              <w:pStyle w:val="24"/>
            </w:pPr>
            <w:r>
              <w:rPr>
                <w:rFonts w:hint="eastAsia"/>
              </w:rPr>
              <w:t>0</w:t>
            </w:r>
          </w:p>
        </w:tc>
        <w:tc>
          <w:tcPr>
            <w:tcW w:w="555" w:type="pct"/>
            <w:vAlign w:val="center"/>
          </w:tcPr>
          <w:p w14:paraId="1E7B83B5">
            <w:pPr>
              <w:pStyle w:val="24"/>
            </w:pPr>
            <w:r>
              <w:rPr>
                <w:rFonts w:hint="eastAsia"/>
              </w:rPr>
              <w:t>0</w:t>
            </w:r>
          </w:p>
        </w:tc>
        <w:tc>
          <w:tcPr>
            <w:tcW w:w="555" w:type="pct"/>
            <w:vAlign w:val="center"/>
          </w:tcPr>
          <w:p w14:paraId="03788728">
            <w:pPr>
              <w:pStyle w:val="24"/>
            </w:pPr>
            <w:r>
              <w:rPr>
                <w:rFonts w:hint="eastAsia"/>
              </w:rPr>
              <w:t>0</w:t>
            </w:r>
          </w:p>
        </w:tc>
        <w:tc>
          <w:tcPr>
            <w:tcW w:w="555" w:type="pct"/>
            <w:vAlign w:val="center"/>
          </w:tcPr>
          <w:p w14:paraId="41E5B930">
            <w:pPr>
              <w:pStyle w:val="24"/>
            </w:pPr>
            <w:r>
              <w:rPr>
                <w:rFonts w:hint="eastAsia"/>
              </w:rPr>
              <w:t>0.556</w:t>
            </w:r>
          </w:p>
        </w:tc>
        <w:tc>
          <w:tcPr>
            <w:tcW w:w="555" w:type="pct"/>
            <w:vAlign w:val="center"/>
          </w:tcPr>
          <w:p w14:paraId="24FE2DFF">
            <w:pPr>
              <w:pStyle w:val="24"/>
            </w:pPr>
            <w:r>
              <w:rPr>
                <w:rFonts w:hint="eastAsia"/>
              </w:rPr>
              <w:t>0</w:t>
            </w:r>
          </w:p>
        </w:tc>
        <w:tc>
          <w:tcPr>
            <w:tcW w:w="664" w:type="pct"/>
            <w:vAlign w:val="center"/>
          </w:tcPr>
          <w:p w14:paraId="46375505">
            <w:pPr>
              <w:pStyle w:val="24"/>
            </w:pPr>
            <w:r>
              <w:rPr>
                <w:rFonts w:hint="eastAsia"/>
              </w:rPr>
              <w:t>0.556</w:t>
            </w:r>
          </w:p>
        </w:tc>
        <w:tc>
          <w:tcPr>
            <w:tcW w:w="448" w:type="pct"/>
            <w:vAlign w:val="center"/>
          </w:tcPr>
          <w:p w14:paraId="53C5824C">
            <w:pPr>
              <w:pStyle w:val="24"/>
            </w:pPr>
            <w:r>
              <w:rPr>
                <w:rFonts w:hint="eastAsia"/>
              </w:rPr>
              <w:t>+0.556</w:t>
            </w:r>
          </w:p>
        </w:tc>
      </w:tr>
      <w:tr w14:paraId="2B2BC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22D613A1">
            <w:pPr>
              <w:pStyle w:val="24"/>
            </w:pPr>
          </w:p>
        </w:tc>
        <w:tc>
          <w:tcPr>
            <w:tcW w:w="608" w:type="pct"/>
            <w:vAlign w:val="center"/>
          </w:tcPr>
          <w:p w14:paraId="09BBD591">
            <w:pPr>
              <w:pStyle w:val="24"/>
            </w:pPr>
            <w:r>
              <w:t>NH</w:t>
            </w:r>
            <w:r>
              <w:rPr>
                <w:vertAlign w:val="subscript"/>
              </w:rPr>
              <w:t>3</w:t>
            </w:r>
            <w:r>
              <w:t>-N</w:t>
            </w:r>
          </w:p>
        </w:tc>
        <w:tc>
          <w:tcPr>
            <w:tcW w:w="501" w:type="pct"/>
            <w:vAlign w:val="center"/>
          </w:tcPr>
          <w:p w14:paraId="05FCD97F">
            <w:pPr>
              <w:pStyle w:val="24"/>
            </w:pPr>
            <w:r>
              <w:rPr>
                <w:rFonts w:hint="eastAsia"/>
              </w:rPr>
              <w:t>0</w:t>
            </w:r>
          </w:p>
        </w:tc>
        <w:tc>
          <w:tcPr>
            <w:tcW w:w="555" w:type="pct"/>
            <w:vAlign w:val="center"/>
          </w:tcPr>
          <w:p w14:paraId="50308AFE">
            <w:pPr>
              <w:pStyle w:val="24"/>
            </w:pPr>
            <w:r>
              <w:rPr>
                <w:rFonts w:hint="eastAsia"/>
              </w:rPr>
              <w:t>0</w:t>
            </w:r>
          </w:p>
        </w:tc>
        <w:tc>
          <w:tcPr>
            <w:tcW w:w="555" w:type="pct"/>
            <w:vAlign w:val="center"/>
          </w:tcPr>
          <w:p w14:paraId="71511267">
            <w:pPr>
              <w:pStyle w:val="24"/>
            </w:pPr>
            <w:r>
              <w:rPr>
                <w:rFonts w:hint="eastAsia"/>
              </w:rPr>
              <w:t>0</w:t>
            </w:r>
          </w:p>
        </w:tc>
        <w:tc>
          <w:tcPr>
            <w:tcW w:w="555" w:type="pct"/>
            <w:vAlign w:val="center"/>
          </w:tcPr>
          <w:p w14:paraId="4E3BFB58">
            <w:pPr>
              <w:pStyle w:val="24"/>
            </w:pPr>
            <w:r>
              <w:rPr>
                <w:rFonts w:hint="eastAsia"/>
              </w:rPr>
              <w:t>0.074</w:t>
            </w:r>
          </w:p>
        </w:tc>
        <w:tc>
          <w:tcPr>
            <w:tcW w:w="555" w:type="pct"/>
            <w:vAlign w:val="center"/>
          </w:tcPr>
          <w:p w14:paraId="6E26379B">
            <w:pPr>
              <w:pStyle w:val="24"/>
            </w:pPr>
            <w:r>
              <w:rPr>
                <w:rFonts w:hint="eastAsia"/>
              </w:rPr>
              <w:t>0</w:t>
            </w:r>
          </w:p>
        </w:tc>
        <w:tc>
          <w:tcPr>
            <w:tcW w:w="664" w:type="pct"/>
            <w:vAlign w:val="center"/>
          </w:tcPr>
          <w:p w14:paraId="4B3030F1">
            <w:pPr>
              <w:pStyle w:val="24"/>
            </w:pPr>
            <w:r>
              <w:rPr>
                <w:rFonts w:hint="eastAsia"/>
              </w:rPr>
              <w:t>0.074</w:t>
            </w:r>
          </w:p>
        </w:tc>
        <w:tc>
          <w:tcPr>
            <w:tcW w:w="448" w:type="pct"/>
            <w:vAlign w:val="center"/>
          </w:tcPr>
          <w:p w14:paraId="12D25C4E">
            <w:pPr>
              <w:pStyle w:val="24"/>
            </w:pPr>
            <w:r>
              <w:rPr>
                <w:rFonts w:hint="eastAsia"/>
              </w:rPr>
              <w:t>+0.074</w:t>
            </w:r>
          </w:p>
        </w:tc>
      </w:tr>
      <w:tr w14:paraId="3A89E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4A435692">
            <w:pPr>
              <w:pStyle w:val="24"/>
            </w:pPr>
          </w:p>
        </w:tc>
        <w:tc>
          <w:tcPr>
            <w:tcW w:w="608" w:type="pct"/>
            <w:vAlign w:val="center"/>
          </w:tcPr>
          <w:p w14:paraId="145D028C">
            <w:pPr>
              <w:pStyle w:val="24"/>
            </w:pPr>
            <w:r>
              <w:t>SS</w:t>
            </w:r>
          </w:p>
        </w:tc>
        <w:tc>
          <w:tcPr>
            <w:tcW w:w="501" w:type="pct"/>
            <w:vAlign w:val="center"/>
          </w:tcPr>
          <w:p w14:paraId="4F3770BA">
            <w:pPr>
              <w:pStyle w:val="24"/>
            </w:pPr>
            <w:r>
              <w:rPr>
                <w:rFonts w:hint="eastAsia"/>
              </w:rPr>
              <w:t>0</w:t>
            </w:r>
          </w:p>
        </w:tc>
        <w:tc>
          <w:tcPr>
            <w:tcW w:w="555" w:type="pct"/>
            <w:vAlign w:val="center"/>
          </w:tcPr>
          <w:p w14:paraId="1CEC6E6F">
            <w:pPr>
              <w:pStyle w:val="24"/>
            </w:pPr>
            <w:r>
              <w:rPr>
                <w:rFonts w:hint="eastAsia"/>
              </w:rPr>
              <w:t>0</w:t>
            </w:r>
          </w:p>
        </w:tc>
        <w:tc>
          <w:tcPr>
            <w:tcW w:w="555" w:type="pct"/>
            <w:vAlign w:val="center"/>
          </w:tcPr>
          <w:p w14:paraId="35554A27">
            <w:pPr>
              <w:pStyle w:val="24"/>
            </w:pPr>
            <w:r>
              <w:rPr>
                <w:rFonts w:hint="eastAsia"/>
              </w:rPr>
              <w:t>0</w:t>
            </w:r>
          </w:p>
        </w:tc>
        <w:tc>
          <w:tcPr>
            <w:tcW w:w="555" w:type="pct"/>
            <w:vAlign w:val="center"/>
          </w:tcPr>
          <w:p w14:paraId="240A8BFE">
            <w:pPr>
              <w:pStyle w:val="24"/>
            </w:pPr>
            <w:r>
              <w:rPr>
                <w:rFonts w:hint="eastAsia"/>
              </w:rPr>
              <w:t>0.453</w:t>
            </w:r>
          </w:p>
        </w:tc>
        <w:tc>
          <w:tcPr>
            <w:tcW w:w="555" w:type="pct"/>
            <w:vAlign w:val="center"/>
          </w:tcPr>
          <w:p w14:paraId="43A9503D">
            <w:pPr>
              <w:pStyle w:val="24"/>
            </w:pPr>
            <w:r>
              <w:rPr>
                <w:rFonts w:hint="eastAsia"/>
              </w:rPr>
              <w:t>0</w:t>
            </w:r>
          </w:p>
        </w:tc>
        <w:tc>
          <w:tcPr>
            <w:tcW w:w="664" w:type="pct"/>
            <w:vAlign w:val="center"/>
          </w:tcPr>
          <w:p w14:paraId="5177FA24">
            <w:pPr>
              <w:pStyle w:val="24"/>
            </w:pPr>
            <w:r>
              <w:rPr>
                <w:rFonts w:hint="eastAsia"/>
              </w:rPr>
              <w:t>0.453</w:t>
            </w:r>
          </w:p>
        </w:tc>
        <w:tc>
          <w:tcPr>
            <w:tcW w:w="448" w:type="pct"/>
            <w:vAlign w:val="center"/>
          </w:tcPr>
          <w:p w14:paraId="02C429F2">
            <w:pPr>
              <w:pStyle w:val="24"/>
            </w:pPr>
            <w:r>
              <w:rPr>
                <w:rFonts w:hint="eastAsia"/>
              </w:rPr>
              <w:t>+0.453</w:t>
            </w:r>
          </w:p>
        </w:tc>
      </w:tr>
      <w:tr w14:paraId="77E532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58767BDE">
            <w:pPr>
              <w:pStyle w:val="24"/>
            </w:pPr>
          </w:p>
        </w:tc>
        <w:tc>
          <w:tcPr>
            <w:tcW w:w="608" w:type="pct"/>
            <w:vAlign w:val="center"/>
          </w:tcPr>
          <w:p w14:paraId="547AE2EB">
            <w:pPr>
              <w:pStyle w:val="24"/>
            </w:pPr>
            <w:r>
              <w:rPr>
                <w:rFonts w:hint="eastAsia"/>
              </w:rPr>
              <w:t>动植物油</w:t>
            </w:r>
          </w:p>
        </w:tc>
        <w:tc>
          <w:tcPr>
            <w:tcW w:w="501" w:type="pct"/>
            <w:vAlign w:val="center"/>
          </w:tcPr>
          <w:p w14:paraId="09602119">
            <w:pPr>
              <w:pStyle w:val="24"/>
            </w:pPr>
            <w:r>
              <w:rPr>
                <w:rFonts w:hint="eastAsia"/>
              </w:rPr>
              <w:t>0</w:t>
            </w:r>
          </w:p>
        </w:tc>
        <w:tc>
          <w:tcPr>
            <w:tcW w:w="555" w:type="pct"/>
            <w:vAlign w:val="center"/>
          </w:tcPr>
          <w:p w14:paraId="47E279BF">
            <w:pPr>
              <w:pStyle w:val="24"/>
            </w:pPr>
            <w:r>
              <w:rPr>
                <w:rFonts w:hint="eastAsia"/>
              </w:rPr>
              <w:t>0</w:t>
            </w:r>
          </w:p>
        </w:tc>
        <w:tc>
          <w:tcPr>
            <w:tcW w:w="555" w:type="pct"/>
            <w:vAlign w:val="center"/>
          </w:tcPr>
          <w:p w14:paraId="56658108">
            <w:pPr>
              <w:pStyle w:val="24"/>
            </w:pPr>
            <w:r>
              <w:rPr>
                <w:rFonts w:hint="eastAsia"/>
              </w:rPr>
              <w:t>0</w:t>
            </w:r>
          </w:p>
        </w:tc>
        <w:tc>
          <w:tcPr>
            <w:tcW w:w="555" w:type="pct"/>
            <w:vAlign w:val="center"/>
          </w:tcPr>
          <w:p w14:paraId="0F13F849">
            <w:pPr>
              <w:pStyle w:val="24"/>
            </w:pPr>
            <w:r>
              <w:rPr>
                <w:rFonts w:hint="eastAsia"/>
              </w:rPr>
              <w:t>0.051</w:t>
            </w:r>
          </w:p>
        </w:tc>
        <w:tc>
          <w:tcPr>
            <w:tcW w:w="555" w:type="pct"/>
            <w:vAlign w:val="center"/>
          </w:tcPr>
          <w:p w14:paraId="0C28BCF9">
            <w:pPr>
              <w:pStyle w:val="24"/>
            </w:pPr>
            <w:r>
              <w:rPr>
                <w:rFonts w:hint="eastAsia"/>
              </w:rPr>
              <w:t>0</w:t>
            </w:r>
          </w:p>
        </w:tc>
        <w:tc>
          <w:tcPr>
            <w:tcW w:w="664" w:type="pct"/>
            <w:vAlign w:val="center"/>
          </w:tcPr>
          <w:p w14:paraId="11E655A1">
            <w:pPr>
              <w:pStyle w:val="24"/>
            </w:pPr>
            <w:r>
              <w:rPr>
                <w:rFonts w:hint="eastAsia"/>
              </w:rPr>
              <w:t>0.051</w:t>
            </w:r>
          </w:p>
        </w:tc>
        <w:tc>
          <w:tcPr>
            <w:tcW w:w="448" w:type="pct"/>
            <w:vAlign w:val="center"/>
          </w:tcPr>
          <w:p w14:paraId="4C6FCBAB">
            <w:pPr>
              <w:pStyle w:val="24"/>
            </w:pPr>
            <w:r>
              <w:rPr>
                <w:rFonts w:hint="eastAsia"/>
              </w:rPr>
              <w:t>+0.051</w:t>
            </w:r>
          </w:p>
        </w:tc>
      </w:tr>
      <w:tr w14:paraId="744E9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2EC452AE">
            <w:pPr>
              <w:pStyle w:val="24"/>
            </w:pPr>
          </w:p>
        </w:tc>
        <w:tc>
          <w:tcPr>
            <w:tcW w:w="608" w:type="pct"/>
            <w:vAlign w:val="center"/>
          </w:tcPr>
          <w:p w14:paraId="3CA4A9DD">
            <w:pPr>
              <w:pStyle w:val="24"/>
            </w:pPr>
            <w:r>
              <w:rPr>
                <w:rFonts w:hint="eastAsia"/>
              </w:rPr>
              <w:t>石油类</w:t>
            </w:r>
          </w:p>
        </w:tc>
        <w:tc>
          <w:tcPr>
            <w:tcW w:w="501" w:type="pct"/>
            <w:vAlign w:val="center"/>
          </w:tcPr>
          <w:p w14:paraId="14155629">
            <w:pPr>
              <w:pStyle w:val="24"/>
            </w:pPr>
            <w:r>
              <w:rPr>
                <w:rFonts w:hint="eastAsia"/>
              </w:rPr>
              <w:t>0</w:t>
            </w:r>
          </w:p>
        </w:tc>
        <w:tc>
          <w:tcPr>
            <w:tcW w:w="555" w:type="pct"/>
            <w:vAlign w:val="center"/>
          </w:tcPr>
          <w:p w14:paraId="11971254">
            <w:pPr>
              <w:pStyle w:val="24"/>
            </w:pPr>
            <w:r>
              <w:rPr>
                <w:rFonts w:hint="eastAsia"/>
              </w:rPr>
              <w:t>0</w:t>
            </w:r>
          </w:p>
        </w:tc>
        <w:tc>
          <w:tcPr>
            <w:tcW w:w="555" w:type="pct"/>
            <w:vAlign w:val="center"/>
          </w:tcPr>
          <w:p w14:paraId="6BA6D32A">
            <w:pPr>
              <w:pStyle w:val="24"/>
            </w:pPr>
            <w:r>
              <w:rPr>
                <w:rFonts w:hint="eastAsia"/>
              </w:rPr>
              <w:t>0</w:t>
            </w:r>
          </w:p>
        </w:tc>
        <w:tc>
          <w:tcPr>
            <w:tcW w:w="555" w:type="pct"/>
            <w:vAlign w:val="center"/>
          </w:tcPr>
          <w:p w14:paraId="79FFEA5D">
            <w:pPr>
              <w:pStyle w:val="24"/>
              <w:tabs>
                <w:tab w:val="center" w:pos="1027"/>
                <w:tab w:val="right" w:pos="1846"/>
              </w:tabs>
            </w:pPr>
            <w:r>
              <w:rPr>
                <w:rFonts w:hint="eastAsia"/>
              </w:rPr>
              <w:t>0.007</w:t>
            </w:r>
          </w:p>
        </w:tc>
        <w:tc>
          <w:tcPr>
            <w:tcW w:w="555" w:type="pct"/>
            <w:vAlign w:val="center"/>
          </w:tcPr>
          <w:p w14:paraId="69CEF894">
            <w:pPr>
              <w:pStyle w:val="24"/>
            </w:pPr>
            <w:r>
              <w:rPr>
                <w:rFonts w:hint="eastAsia"/>
              </w:rPr>
              <w:t>0</w:t>
            </w:r>
          </w:p>
        </w:tc>
        <w:tc>
          <w:tcPr>
            <w:tcW w:w="664" w:type="pct"/>
            <w:vAlign w:val="center"/>
          </w:tcPr>
          <w:p w14:paraId="44233D47">
            <w:pPr>
              <w:pStyle w:val="24"/>
              <w:tabs>
                <w:tab w:val="center" w:pos="1027"/>
                <w:tab w:val="right" w:pos="1846"/>
              </w:tabs>
            </w:pPr>
            <w:r>
              <w:rPr>
                <w:rFonts w:hint="eastAsia"/>
              </w:rPr>
              <w:t>0.007</w:t>
            </w:r>
          </w:p>
        </w:tc>
        <w:tc>
          <w:tcPr>
            <w:tcW w:w="448" w:type="pct"/>
            <w:vAlign w:val="center"/>
          </w:tcPr>
          <w:p w14:paraId="16F29BC5">
            <w:pPr>
              <w:pStyle w:val="24"/>
              <w:tabs>
                <w:tab w:val="center" w:pos="1027"/>
                <w:tab w:val="right" w:pos="1846"/>
              </w:tabs>
            </w:pPr>
            <w:r>
              <w:rPr>
                <w:rFonts w:hint="eastAsia"/>
              </w:rPr>
              <w:t>+0.007</w:t>
            </w:r>
          </w:p>
        </w:tc>
      </w:tr>
      <w:tr w14:paraId="6DCF00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065B01ED">
            <w:pPr>
              <w:pStyle w:val="24"/>
            </w:pPr>
          </w:p>
        </w:tc>
        <w:tc>
          <w:tcPr>
            <w:tcW w:w="608" w:type="pct"/>
            <w:vAlign w:val="center"/>
          </w:tcPr>
          <w:p w14:paraId="6C659F5C">
            <w:pPr>
              <w:pStyle w:val="24"/>
            </w:pPr>
            <w:r>
              <w:rPr>
                <w:rFonts w:hint="eastAsia"/>
              </w:rPr>
              <w:t>LAS</w:t>
            </w:r>
          </w:p>
        </w:tc>
        <w:tc>
          <w:tcPr>
            <w:tcW w:w="501" w:type="pct"/>
            <w:vAlign w:val="center"/>
          </w:tcPr>
          <w:p w14:paraId="119F8A74">
            <w:pPr>
              <w:pStyle w:val="24"/>
            </w:pPr>
            <w:r>
              <w:rPr>
                <w:rFonts w:hint="eastAsia"/>
              </w:rPr>
              <w:t>0</w:t>
            </w:r>
          </w:p>
        </w:tc>
        <w:tc>
          <w:tcPr>
            <w:tcW w:w="555" w:type="pct"/>
            <w:vAlign w:val="center"/>
          </w:tcPr>
          <w:p w14:paraId="308F4BB3">
            <w:pPr>
              <w:pStyle w:val="24"/>
            </w:pPr>
            <w:r>
              <w:rPr>
                <w:rFonts w:hint="eastAsia"/>
              </w:rPr>
              <w:t>0</w:t>
            </w:r>
          </w:p>
        </w:tc>
        <w:tc>
          <w:tcPr>
            <w:tcW w:w="555" w:type="pct"/>
            <w:vAlign w:val="center"/>
          </w:tcPr>
          <w:p w14:paraId="0457D76A">
            <w:pPr>
              <w:pStyle w:val="24"/>
            </w:pPr>
            <w:r>
              <w:rPr>
                <w:rFonts w:hint="eastAsia"/>
              </w:rPr>
              <w:t>0</w:t>
            </w:r>
          </w:p>
        </w:tc>
        <w:tc>
          <w:tcPr>
            <w:tcW w:w="555" w:type="pct"/>
            <w:vAlign w:val="center"/>
          </w:tcPr>
          <w:p w14:paraId="38EFB8A1">
            <w:pPr>
              <w:pStyle w:val="24"/>
              <w:tabs>
                <w:tab w:val="center" w:pos="1027"/>
                <w:tab w:val="right" w:pos="1846"/>
              </w:tabs>
            </w:pPr>
            <w:r>
              <w:rPr>
                <w:rFonts w:hint="eastAsia"/>
              </w:rPr>
              <w:t>0.002</w:t>
            </w:r>
          </w:p>
        </w:tc>
        <w:tc>
          <w:tcPr>
            <w:tcW w:w="555" w:type="pct"/>
            <w:vAlign w:val="center"/>
          </w:tcPr>
          <w:p w14:paraId="5F8AB807">
            <w:pPr>
              <w:pStyle w:val="24"/>
            </w:pPr>
            <w:r>
              <w:rPr>
                <w:rFonts w:hint="eastAsia"/>
              </w:rPr>
              <w:t>0</w:t>
            </w:r>
          </w:p>
        </w:tc>
        <w:tc>
          <w:tcPr>
            <w:tcW w:w="664" w:type="pct"/>
            <w:vAlign w:val="center"/>
          </w:tcPr>
          <w:p w14:paraId="67C2BF94">
            <w:pPr>
              <w:pStyle w:val="24"/>
              <w:tabs>
                <w:tab w:val="center" w:pos="1027"/>
                <w:tab w:val="right" w:pos="1846"/>
              </w:tabs>
            </w:pPr>
            <w:r>
              <w:rPr>
                <w:rFonts w:hint="eastAsia"/>
              </w:rPr>
              <w:t>0.002</w:t>
            </w:r>
          </w:p>
        </w:tc>
        <w:tc>
          <w:tcPr>
            <w:tcW w:w="448" w:type="pct"/>
            <w:vAlign w:val="center"/>
          </w:tcPr>
          <w:p w14:paraId="353C8535">
            <w:pPr>
              <w:pStyle w:val="24"/>
              <w:tabs>
                <w:tab w:val="center" w:pos="1027"/>
                <w:tab w:val="right" w:pos="1846"/>
              </w:tabs>
            </w:pPr>
            <w:r>
              <w:rPr>
                <w:rFonts w:hint="eastAsia"/>
              </w:rPr>
              <w:t>+0.002</w:t>
            </w:r>
          </w:p>
        </w:tc>
      </w:tr>
      <w:tr w14:paraId="0F7C9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restart"/>
            <w:vAlign w:val="center"/>
          </w:tcPr>
          <w:p w14:paraId="394286C2">
            <w:pPr>
              <w:pStyle w:val="24"/>
            </w:pPr>
            <w:r>
              <w:t>一般固废</w:t>
            </w:r>
          </w:p>
        </w:tc>
        <w:tc>
          <w:tcPr>
            <w:tcW w:w="608" w:type="pct"/>
            <w:vAlign w:val="center"/>
          </w:tcPr>
          <w:p w14:paraId="4838A09C">
            <w:pPr>
              <w:pStyle w:val="24"/>
            </w:pPr>
            <w:r>
              <w:t>生活垃圾</w:t>
            </w:r>
          </w:p>
        </w:tc>
        <w:tc>
          <w:tcPr>
            <w:tcW w:w="501" w:type="pct"/>
            <w:vAlign w:val="center"/>
          </w:tcPr>
          <w:p w14:paraId="3F765C3C">
            <w:pPr>
              <w:pStyle w:val="24"/>
            </w:pPr>
            <w:r>
              <w:rPr>
                <w:rFonts w:hint="eastAsia"/>
              </w:rPr>
              <w:t>0</w:t>
            </w:r>
          </w:p>
        </w:tc>
        <w:tc>
          <w:tcPr>
            <w:tcW w:w="555" w:type="pct"/>
            <w:vAlign w:val="center"/>
          </w:tcPr>
          <w:p w14:paraId="3ABD424A">
            <w:pPr>
              <w:pStyle w:val="24"/>
            </w:pPr>
            <w:r>
              <w:rPr>
                <w:rFonts w:hint="eastAsia"/>
              </w:rPr>
              <w:t>0</w:t>
            </w:r>
          </w:p>
        </w:tc>
        <w:tc>
          <w:tcPr>
            <w:tcW w:w="555" w:type="pct"/>
            <w:vAlign w:val="center"/>
          </w:tcPr>
          <w:p w14:paraId="09A4D838">
            <w:pPr>
              <w:pStyle w:val="24"/>
            </w:pPr>
            <w:r>
              <w:rPr>
                <w:rFonts w:hint="eastAsia"/>
              </w:rPr>
              <w:t>0</w:t>
            </w:r>
          </w:p>
        </w:tc>
        <w:tc>
          <w:tcPr>
            <w:tcW w:w="555" w:type="pct"/>
            <w:vAlign w:val="center"/>
          </w:tcPr>
          <w:p w14:paraId="14078CD3">
            <w:pPr>
              <w:pStyle w:val="24"/>
            </w:pPr>
            <w:r>
              <w:rPr>
                <w:rFonts w:hint="eastAsia"/>
              </w:rPr>
              <w:t>124.1</w:t>
            </w:r>
          </w:p>
        </w:tc>
        <w:tc>
          <w:tcPr>
            <w:tcW w:w="555" w:type="pct"/>
            <w:vAlign w:val="center"/>
          </w:tcPr>
          <w:p w14:paraId="00B24223">
            <w:pPr>
              <w:pStyle w:val="24"/>
            </w:pPr>
            <w:r>
              <w:rPr>
                <w:rFonts w:hint="eastAsia"/>
              </w:rPr>
              <w:t>0</w:t>
            </w:r>
          </w:p>
        </w:tc>
        <w:tc>
          <w:tcPr>
            <w:tcW w:w="664" w:type="pct"/>
            <w:vAlign w:val="center"/>
          </w:tcPr>
          <w:p w14:paraId="519FF721">
            <w:pPr>
              <w:pStyle w:val="24"/>
            </w:pPr>
            <w:r>
              <w:rPr>
                <w:rFonts w:hint="eastAsia"/>
              </w:rPr>
              <w:t>124.1</w:t>
            </w:r>
          </w:p>
        </w:tc>
        <w:tc>
          <w:tcPr>
            <w:tcW w:w="448" w:type="pct"/>
            <w:vAlign w:val="center"/>
          </w:tcPr>
          <w:p w14:paraId="00D89299">
            <w:pPr>
              <w:pStyle w:val="24"/>
            </w:pPr>
            <w:r>
              <w:rPr>
                <w:rFonts w:hint="eastAsia"/>
              </w:rPr>
              <w:t>+124.1</w:t>
            </w:r>
          </w:p>
        </w:tc>
      </w:tr>
      <w:tr w14:paraId="3869B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3A73AA60">
            <w:pPr>
              <w:pStyle w:val="24"/>
            </w:pPr>
          </w:p>
        </w:tc>
        <w:tc>
          <w:tcPr>
            <w:tcW w:w="608" w:type="pct"/>
            <w:vAlign w:val="center"/>
          </w:tcPr>
          <w:p w14:paraId="025C025A">
            <w:pPr>
              <w:pStyle w:val="24"/>
            </w:pPr>
            <w:r>
              <w:rPr>
                <w:rFonts w:hint="eastAsia"/>
              </w:rPr>
              <w:t>废零部件</w:t>
            </w:r>
          </w:p>
        </w:tc>
        <w:tc>
          <w:tcPr>
            <w:tcW w:w="501" w:type="pct"/>
            <w:vAlign w:val="center"/>
          </w:tcPr>
          <w:p w14:paraId="1ED2EDD8">
            <w:pPr>
              <w:pStyle w:val="24"/>
            </w:pPr>
            <w:r>
              <w:rPr>
                <w:rFonts w:hint="eastAsia"/>
              </w:rPr>
              <w:t>0</w:t>
            </w:r>
          </w:p>
        </w:tc>
        <w:tc>
          <w:tcPr>
            <w:tcW w:w="555" w:type="pct"/>
            <w:vAlign w:val="center"/>
          </w:tcPr>
          <w:p w14:paraId="1CFB4553">
            <w:pPr>
              <w:pStyle w:val="24"/>
            </w:pPr>
            <w:r>
              <w:rPr>
                <w:rFonts w:hint="eastAsia"/>
              </w:rPr>
              <w:t>0</w:t>
            </w:r>
          </w:p>
        </w:tc>
        <w:tc>
          <w:tcPr>
            <w:tcW w:w="555" w:type="pct"/>
            <w:vAlign w:val="center"/>
          </w:tcPr>
          <w:p w14:paraId="6E9F4110">
            <w:pPr>
              <w:pStyle w:val="24"/>
            </w:pPr>
            <w:r>
              <w:rPr>
                <w:rFonts w:hint="eastAsia"/>
              </w:rPr>
              <w:t>0</w:t>
            </w:r>
          </w:p>
        </w:tc>
        <w:tc>
          <w:tcPr>
            <w:tcW w:w="555" w:type="pct"/>
            <w:vAlign w:val="center"/>
          </w:tcPr>
          <w:p w14:paraId="6E9000B1">
            <w:pPr>
              <w:pStyle w:val="24"/>
            </w:pPr>
            <w:r>
              <w:rPr>
                <w:rFonts w:hint="eastAsia"/>
              </w:rPr>
              <w:t>5</w:t>
            </w:r>
          </w:p>
        </w:tc>
        <w:tc>
          <w:tcPr>
            <w:tcW w:w="555" w:type="pct"/>
            <w:vAlign w:val="center"/>
          </w:tcPr>
          <w:p w14:paraId="25776623">
            <w:pPr>
              <w:pStyle w:val="24"/>
            </w:pPr>
            <w:r>
              <w:rPr>
                <w:rFonts w:hint="eastAsia"/>
              </w:rPr>
              <w:t>0</w:t>
            </w:r>
          </w:p>
        </w:tc>
        <w:tc>
          <w:tcPr>
            <w:tcW w:w="664" w:type="pct"/>
            <w:vAlign w:val="center"/>
          </w:tcPr>
          <w:p w14:paraId="70960C7A">
            <w:pPr>
              <w:pStyle w:val="24"/>
            </w:pPr>
            <w:r>
              <w:rPr>
                <w:rFonts w:hint="eastAsia"/>
              </w:rPr>
              <w:t>5</w:t>
            </w:r>
          </w:p>
        </w:tc>
        <w:tc>
          <w:tcPr>
            <w:tcW w:w="448" w:type="pct"/>
            <w:vAlign w:val="center"/>
          </w:tcPr>
          <w:p w14:paraId="47699443">
            <w:pPr>
              <w:pStyle w:val="24"/>
            </w:pPr>
            <w:r>
              <w:rPr>
                <w:rFonts w:hint="eastAsia"/>
              </w:rPr>
              <w:t>+5</w:t>
            </w:r>
          </w:p>
        </w:tc>
      </w:tr>
      <w:tr w14:paraId="71BC0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4A8DA58D">
            <w:pPr>
              <w:pStyle w:val="24"/>
            </w:pPr>
          </w:p>
        </w:tc>
        <w:tc>
          <w:tcPr>
            <w:tcW w:w="608" w:type="pct"/>
            <w:vAlign w:val="center"/>
          </w:tcPr>
          <w:p w14:paraId="3714FA00">
            <w:pPr>
              <w:pStyle w:val="24"/>
            </w:pPr>
            <w:r>
              <w:rPr>
                <w:rFonts w:hint="eastAsia"/>
              </w:rPr>
              <w:t>废焊丝</w:t>
            </w:r>
          </w:p>
        </w:tc>
        <w:tc>
          <w:tcPr>
            <w:tcW w:w="501" w:type="pct"/>
            <w:vAlign w:val="center"/>
          </w:tcPr>
          <w:p w14:paraId="3AC79B6E">
            <w:pPr>
              <w:pStyle w:val="24"/>
            </w:pPr>
            <w:r>
              <w:rPr>
                <w:rFonts w:hint="eastAsia"/>
              </w:rPr>
              <w:t>0</w:t>
            </w:r>
          </w:p>
        </w:tc>
        <w:tc>
          <w:tcPr>
            <w:tcW w:w="555" w:type="pct"/>
            <w:vAlign w:val="center"/>
          </w:tcPr>
          <w:p w14:paraId="16A2A51A">
            <w:pPr>
              <w:pStyle w:val="24"/>
            </w:pPr>
            <w:r>
              <w:rPr>
                <w:rFonts w:hint="eastAsia"/>
              </w:rPr>
              <w:t>0</w:t>
            </w:r>
          </w:p>
        </w:tc>
        <w:tc>
          <w:tcPr>
            <w:tcW w:w="555" w:type="pct"/>
            <w:vAlign w:val="center"/>
          </w:tcPr>
          <w:p w14:paraId="78A49DA0">
            <w:pPr>
              <w:pStyle w:val="24"/>
            </w:pPr>
            <w:r>
              <w:rPr>
                <w:rFonts w:hint="eastAsia"/>
              </w:rPr>
              <w:t>0</w:t>
            </w:r>
          </w:p>
        </w:tc>
        <w:tc>
          <w:tcPr>
            <w:tcW w:w="555" w:type="pct"/>
            <w:vAlign w:val="center"/>
          </w:tcPr>
          <w:p w14:paraId="5E3FF264">
            <w:pPr>
              <w:pStyle w:val="24"/>
            </w:pPr>
            <w:r>
              <w:rPr>
                <w:rFonts w:hint="eastAsia"/>
              </w:rPr>
              <w:t>0.001</w:t>
            </w:r>
          </w:p>
        </w:tc>
        <w:tc>
          <w:tcPr>
            <w:tcW w:w="555" w:type="pct"/>
            <w:vAlign w:val="center"/>
          </w:tcPr>
          <w:p w14:paraId="5642DC7D">
            <w:pPr>
              <w:pStyle w:val="24"/>
            </w:pPr>
            <w:r>
              <w:rPr>
                <w:rFonts w:hint="eastAsia"/>
              </w:rPr>
              <w:t>0</w:t>
            </w:r>
          </w:p>
        </w:tc>
        <w:tc>
          <w:tcPr>
            <w:tcW w:w="664" w:type="pct"/>
            <w:vAlign w:val="center"/>
          </w:tcPr>
          <w:p w14:paraId="5E119268">
            <w:pPr>
              <w:pStyle w:val="24"/>
            </w:pPr>
            <w:r>
              <w:rPr>
                <w:rFonts w:hint="eastAsia"/>
              </w:rPr>
              <w:t>0.001</w:t>
            </w:r>
          </w:p>
        </w:tc>
        <w:tc>
          <w:tcPr>
            <w:tcW w:w="448" w:type="pct"/>
            <w:vAlign w:val="center"/>
          </w:tcPr>
          <w:p w14:paraId="632A884E">
            <w:pPr>
              <w:pStyle w:val="24"/>
            </w:pPr>
            <w:r>
              <w:rPr>
                <w:rFonts w:hint="eastAsia"/>
              </w:rPr>
              <w:t>+0.001</w:t>
            </w:r>
          </w:p>
        </w:tc>
      </w:tr>
      <w:tr w14:paraId="58AEB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54828048">
            <w:pPr>
              <w:pStyle w:val="24"/>
            </w:pPr>
          </w:p>
        </w:tc>
        <w:tc>
          <w:tcPr>
            <w:tcW w:w="608" w:type="pct"/>
            <w:vAlign w:val="center"/>
          </w:tcPr>
          <w:p w14:paraId="2D803B86">
            <w:pPr>
              <w:pStyle w:val="24"/>
            </w:pPr>
            <w:r>
              <w:rPr>
                <w:rFonts w:hint="eastAsia"/>
              </w:rPr>
              <w:t>废轮胎</w:t>
            </w:r>
          </w:p>
        </w:tc>
        <w:tc>
          <w:tcPr>
            <w:tcW w:w="501" w:type="pct"/>
            <w:vAlign w:val="center"/>
          </w:tcPr>
          <w:p w14:paraId="2B7856B4">
            <w:pPr>
              <w:pStyle w:val="24"/>
            </w:pPr>
            <w:r>
              <w:rPr>
                <w:rFonts w:hint="eastAsia"/>
              </w:rPr>
              <w:t>0</w:t>
            </w:r>
          </w:p>
        </w:tc>
        <w:tc>
          <w:tcPr>
            <w:tcW w:w="555" w:type="pct"/>
            <w:vAlign w:val="center"/>
          </w:tcPr>
          <w:p w14:paraId="42A2F4C2">
            <w:pPr>
              <w:pStyle w:val="24"/>
            </w:pPr>
            <w:r>
              <w:rPr>
                <w:rFonts w:hint="eastAsia"/>
              </w:rPr>
              <w:t>0</w:t>
            </w:r>
          </w:p>
        </w:tc>
        <w:tc>
          <w:tcPr>
            <w:tcW w:w="555" w:type="pct"/>
            <w:vAlign w:val="center"/>
          </w:tcPr>
          <w:p w14:paraId="00948741">
            <w:pPr>
              <w:pStyle w:val="24"/>
            </w:pPr>
            <w:r>
              <w:rPr>
                <w:rFonts w:hint="eastAsia"/>
              </w:rPr>
              <w:t>0</w:t>
            </w:r>
          </w:p>
        </w:tc>
        <w:tc>
          <w:tcPr>
            <w:tcW w:w="555" w:type="pct"/>
            <w:vAlign w:val="center"/>
          </w:tcPr>
          <w:p w14:paraId="5D1574BF">
            <w:pPr>
              <w:pStyle w:val="24"/>
            </w:pPr>
            <w:r>
              <w:rPr>
                <w:rFonts w:hint="eastAsia"/>
              </w:rPr>
              <w:t>8</w:t>
            </w:r>
          </w:p>
        </w:tc>
        <w:tc>
          <w:tcPr>
            <w:tcW w:w="555" w:type="pct"/>
            <w:vAlign w:val="center"/>
          </w:tcPr>
          <w:p w14:paraId="1B2C9CB4">
            <w:pPr>
              <w:pStyle w:val="24"/>
            </w:pPr>
            <w:r>
              <w:rPr>
                <w:rFonts w:hint="eastAsia"/>
              </w:rPr>
              <w:t>0</w:t>
            </w:r>
          </w:p>
        </w:tc>
        <w:tc>
          <w:tcPr>
            <w:tcW w:w="664" w:type="pct"/>
            <w:vAlign w:val="center"/>
          </w:tcPr>
          <w:p w14:paraId="1984781D">
            <w:pPr>
              <w:pStyle w:val="24"/>
            </w:pPr>
            <w:r>
              <w:rPr>
                <w:rFonts w:hint="eastAsia"/>
              </w:rPr>
              <w:t>8</w:t>
            </w:r>
          </w:p>
        </w:tc>
        <w:tc>
          <w:tcPr>
            <w:tcW w:w="448" w:type="pct"/>
            <w:vAlign w:val="center"/>
          </w:tcPr>
          <w:p w14:paraId="0A00B865">
            <w:pPr>
              <w:pStyle w:val="24"/>
            </w:pPr>
            <w:r>
              <w:rPr>
                <w:rFonts w:hint="eastAsia"/>
              </w:rPr>
              <w:t>+8</w:t>
            </w:r>
          </w:p>
        </w:tc>
      </w:tr>
      <w:tr w14:paraId="1FAD5A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restart"/>
            <w:vAlign w:val="center"/>
          </w:tcPr>
          <w:p w14:paraId="302BDD90">
            <w:pPr>
              <w:pStyle w:val="24"/>
            </w:pPr>
            <w:r>
              <w:t>危险废物</w:t>
            </w:r>
          </w:p>
        </w:tc>
        <w:tc>
          <w:tcPr>
            <w:tcW w:w="608" w:type="pct"/>
            <w:shd w:val="clear" w:color="auto" w:fill="auto"/>
            <w:vAlign w:val="center"/>
          </w:tcPr>
          <w:p w14:paraId="31112C9A">
            <w:pPr>
              <w:pStyle w:val="24"/>
              <w:rPr>
                <w:rFonts w:hint="eastAsia" w:ascii="Times New Roman" w:hAnsi="Times New Roman" w:eastAsia="宋体" w:cs="Times New Roman"/>
                <w:kern w:val="0"/>
                <w:sz w:val="18"/>
                <w:szCs w:val="18"/>
                <w:lang w:val="en-US" w:eastAsia="zh-CN" w:bidi="ar-SA"/>
              </w:rPr>
            </w:pPr>
            <w:r>
              <w:rPr>
                <w:rFonts w:hint="eastAsia"/>
              </w:rPr>
              <w:t>洗车污泥及泥沙</w:t>
            </w:r>
          </w:p>
        </w:tc>
        <w:tc>
          <w:tcPr>
            <w:tcW w:w="501" w:type="pct"/>
            <w:shd w:val="clear" w:color="auto" w:fill="auto"/>
            <w:vAlign w:val="center"/>
          </w:tcPr>
          <w:p w14:paraId="048F7992">
            <w:pPr>
              <w:pStyle w:val="24"/>
              <w:rPr>
                <w:rFonts w:hint="eastAsia" w:ascii="Times New Roman" w:hAnsi="Times New Roman" w:eastAsia="宋体" w:cs="Times New Roman"/>
                <w:kern w:val="0"/>
                <w:sz w:val="18"/>
                <w:szCs w:val="18"/>
                <w:lang w:val="en-US" w:eastAsia="zh-CN" w:bidi="ar-SA"/>
              </w:rPr>
            </w:pPr>
            <w:r>
              <w:rPr>
                <w:rFonts w:hint="eastAsia"/>
              </w:rPr>
              <w:t>0</w:t>
            </w:r>
          </w:p>
        </w:tc>
        <w:tc>
          <w:tcPr>
            <w:tcW w:w="555" w:type="pct"/>
            <w:shd w:val="clear" w:color="auto" w:fill="auto"/>
            <w:vAlign w:val="center"/>
          </w:tcPr>
          <w:p w14:paraId="5A586516">
            <w:pPr>
              <w:pStyle w:val="24"/>
              <w:rPr>
                <w:rFonts w:hint="eastAsia" w:ascii="Times New Roman" w:hAnsi="Times New Roman" w:eastAsia="宋体" w:cs="Times New Roman"/>
                <w:kern w:val="0"/>
                <w:sz w:val="18"/>
                <w:szCs w:val="18"/>
                <w:lang w:val="en-US" w:eastAsia="zh-CN" w:bidi="ar-SA"/>
              </w:rPr>
            </w:pPr>
            <w:r>
              <w:rPr>
                <w:rFonts w:hint="eastAsia"/>
              </w:rPr>
              <w:t>0</w:t>
            </w:r>
          </w:p>
        </w:tc>
        <w:tc>
          <w:tcPr>
            <w:tcW w:w="555" w:type="pct"/>
            <w:shd w:val="clear" w:color="auto" w:fill="auto"/>
            <w:vAlign w:val="center"/>
          </w:tcPr>
          <w:p w14:paraId="45ADF127">
            <w:pPr>
              <w:pStyle w:val="24"/>
              <w:rPr>
                <w:rFonts w:hint="eastAsia" w:ascii="Times New Roman" w:hAnsi="Times New Roman" w:eastAsia="宋体" w:cs="Times New Roman"/>
                <w:kern w:val="0"/>
                <w:sz w:val="18"/>
                <w:szCs w:val="18"/>
                <w:lang w:val="en-US" w:eastAsia="zh-CN" w:bidi="ar-SA"/>
              </w:rPr>
            </w:pPr>
            <w:r>
              <w:rPr>
                <w:rFonts w:hint="eastAsia"/>
              </w:rPr>
              <w:t>0</w:t>
            </w:r>
          </w:p>
        </w:tc>
        <w:tc>
          <w:tcPr>
            <w:tcW w:w="555" w:type="pct"/>
            <w:shd w:val="clear" w:color="auto" w:fill="auto"/>
            <w:vAlign w:val="center"/>
          </w:tcPr>
          <w:p w14:paraId="04D2620E">
            <w:pPr>
              <w:pStyle w:val="24"/>
              <w:rPr>
                <w:rFonts w:hint="eastAsia" w:ascii="Times New Roman" w:hAnsi="Times New Roman" w:eastAsia="宋体" w:cs="Times New Roman"/>
                <w:kern w:val="0"/>
                <w:sz w:val="18"/>
                <w:szCs w:val="18"/>
                <w:lang w:val="en-US" w:eastAsia="zh-CN" w:bidi="ar-SA"/>
              </w:rPr>
            </w:pPr>
            <w:r>
              <w:rPr>
                <w:rFonts w:hint="eastAsia"/>
              </w:rPr>
              <w:t>7</w:t>
            </w:r>
          </w:p>
        </w:tc>
        <w:tc>
          <w:tcPr>
            <w:tcW w:w="555" w:type="pct"/>
            <w:shd w:val="clear" w:color="auto" w:fill="auto"/>
            <w:vAlign w:val="center"/>
          </w:tcPr>
          <w:p w14:paraId="5316DFDA">
            <w:pPr>
              <w:pStyle w:val="24"/>
              <w:rPr>
                <w:rFonts w:hint="eastAsia" w:ascii="Times New Roman" w:hAnsi="Times New Roman" w:eastAsia="宋体" w:cs="Times New Roman"/>
                <w:kern w:val="0"/>
                <w:sz w:val="18"/>
                <w:szCs w:val="18"/>
                <w:lang w:val="en-US" w:eastAsia="zh-CN" w:bidi="ar-SA"/>
              </w:rPr>
            </w:pPr>
            <w:r>
              <w:rPr>
                <w:rFonts w:hint="eastAsia"/>
              </w:rPr>
              <w:t>0</w:t>
            </w:r>
          </w:p>
        </w:tc>
        <w:tc>
          <w:tcPr>
            <w:tcW w:w="664" w:type="pct"/>
            <w:shd w:val="clear" w:color="auto" w:fill="auto"/>
            <w:vAlign w:val="center"/>
          </w:tcPr>
          <w:p w14:paraId="2EE83868">
            <w:pPr>
              <w:pStyle w:val="24"/>
              <w:rPr>
                <w:rFonts w:hint="eastAsia" w:ascii="Times New Roman" w:hAnsi="Times New Roman" w:eastAsia="宋体" w:cs="Times New Roman"/>
                <w:kern w:val="0"/>
                <w:sz w:val="18"/>
                <w:szCs w:val="18"/>
                <w:lang w:val="en-US" w:eastAsia="zh-CN" w:bidi="ar-SA"/>
              </w:rPr>
            </w:pPr>
            <w:r>
              <w:rPr>
                <w:rFonts w:hint="eastAsia"/>
              </w:rPr>
              <w:t>7</w:t>
            </w:r>
          </w:p>
        </w:tc>
        <w:tc>
          <w:tcPr>
            <w:tcW w:w="448" w:type="pct"/>
            <w:shd w:val="clear" w:color="auto" w:fill="auto"/>
            <w:vAlign w:val="center"/>
          </w:tcPr>
          <w:p w14:paraId="33FA3A70">
            <w:pPr>
              <w:pStyle w:val="24"/>
              <w:rPr>
                <w:rFonts w:hint="eastAsia" w:ascii="Times New Roman" w:hAnsi="Times New Roman" w:eastAsia="宋体" w:cs="Times New Roman"/>
                <w:kern w:val="0"/>
                <w:sz w:val="18"/>
                <w:szCs w:val="18"/>
                <w:lang w:val="en-US" w:eastAsia="zh-CN" w:bidi="ar-SA"/>
              </w:rPr>
            </w:pPr>
            <w:r>
              <w:rPr>
                <w:rFonts w:hint="eastAsia"/>
              </w:rPr>
              <w:t>+7</w:t>
            </w:r>
          </w:p>
        </w:tc>
      </w:tr>
      <w:tr w14:paraId="3C585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0259B2FB">
            <w:pPr>
              <w:pStyle w:val="24"/>
            </w:pPr>
          </w:p>
        </w:tc>
        <w:tc>
          <w:tcPr>
            <w:tcW w:w="608" w:type="pct"/>
            <w:vAlign w:val="center"/>
          </w:tcPr>
          <w:p w14:paraId="4633EC33">
            <w:pPr>
              <w:pStyle w:val="24"/>
            </w:pPr>
            <w:r>
              <w:rPr>
                <w:rFonts w:hint="eastAsia"/>
              </w:rPr>
              <w:t>清罐油泥</w:t>
            </w:r>
          </w:p>
        </w:tc>
        <w:tc>
          <w:tcPr>
            <w:tcW w:w="501" w:type="pct"/>
            <w:vAlign w:val="center"/>
          </w:tcPr>
          <w:p w14:paraId="50F93007">
            <w:pPr>
              <w:pStyle w:val="24"/>
            </w:pPr>
            <w:r>
              <w:rPr>
                <w:rFonts w:hint="eastAsia"/>
              </w:rPr>
              <w:t>0</w:t>
            </w:r>
          </w:p>
        </w:tc>
        <w:tc>
          <w:tcPr>
            <w:tcW w:w="555" w:type="pct"/>
            <w:vAlign w:val="center"/>
          </w:tcPr>
          <w:p w14:paraId="02B462AD">
            <w:pPr>
              <w:pStyle w:val="24"/>
            </w:pPr>
            <w:r>
              <w:rPr>
                <w:rFonts w:hint="eastAsia"/>
              </w:rPr>
              <w:t>0</w:t>
            </w:r>
          </w:p>
        </w:tc>
        <w:tc>
          <w:tcPr>
            <w:tcW w:w="555" w:type="pct"/>
            <w:vAlign w:val="center"/>
          </w:tcPr>
          <w:p w14:paraId="5D3A2A10">
            <w:pPr>
              <w:pStyle w:val="24"/>
            </w:pPr>
            <w:r>
              <w:rPr>
                <w:rFonts w:hint="eastAsia"/>
              </w:rPr>
              <w:t>0</w:t>
            </w:r>
          </w:p>
        </w:tc>
        <w:tc>
          <w:tcPr>
            <w:tcW w:w="555" w:type="pct"/>
            <w:vAlign w:val="center"/>
          </w:tcPr>
          <w:p w14:paraId="1B6C8FE5">
            <w:pPr>
              <w:pStyle w:val="24"/>
            </w:pPr>
            <w:r>
              <w:rPr>
                <w:rFonts w:hint="eastAsia"/>
              </w:rPr>
              <w:t>0.63</w:t>
            </w:r>
          </w:p>
        </w:tc>
        <w:tc>
          <w:tcPr>
            <w:tcW w:w="555" w:type="pct"/>
            <w:vAlign w:val="center"/>
          </w:tcPr>
          <w:p w14:paraId="2ED8F3C6">
            <w:pPr>
              <w:pStyle w:val="24"/>
            </w:pPr>
            <w:r>
              <w:rPr>
                <w:rFonts w:hint="eastAsia"/>
              </w:rPr>
              <w:t>0</w:t>
            </w:r>
          </w:p>
        </w:tc>
        <w:tc>
          <w:tcPr>
            <w:tcW w:w="664" w:type="pct"/>
            <w:vAlign w:val="center"/>
          </w:tcPr>
          <w:p w14:paraId="540CB384">
            <w:pPr>
              <w:pStyle w:val="24"/>
            </w:pPr>
            <w:r>
              <w:rPr>
                <w:rFonts w:hint="eastAsia"/>
              </w:rPr>
              <w:t>0.63</w:t>
            </w:r>
          </w:p>
        </w:tc>
        <w:tc>
          <w:tcPr>
            <w:tcW w:w="448" w:type="pct"/>
            <w:vAlign w:val="center"/>
          </w:tcPr>
          <w:p w14:paraId="064FBED3">
            <w:pPr>
              <w:pStyle w:val="24"/>
            </w:pPr>
            <w:r>
              <w:rPr>
                <w:rFonts w:hint="eastAsia"/>
              </w:rPr>
              <w:t>+0.63</w:t>
            </w:r>
          </w:p>
        </w:tc>
      </w:tr>
      <w:tr w14:paraId="3D937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25508F1E">
            <w:pPr>
              <w:pStyle w:val="24"/>
            </w:pPr>
          </w:p>
        </w:tc>
        <w:tc>
          <w:tcPr>
            <w:tcW w:w="608" w:type="pct"/>
            <w:vAlign w:val="center"/>
          </w:tcPr>
          <w:p w14:paraId="1E8F3B2E">
            <w:pPr>
              <w:pStyle w:val="24"/>
            </w:pPr>
            <w:r>
              <w:rPr>
                <w:rFonts w:hint="eastAsia"/>
              </w:rPr>
              <w:t>清罐废液</w:t>
            </w:r>
          </w:p>
        </w:tc>
        <w:tc>
          <w:tcPr>
            <w:tcW w:w="501" w:type="pct"/>
            <w:vAlign w:val="center"/>
          </w:tcPr>
          <w:p w14:paraId="77DE1FE9">
            <w:pPr>
              <w:pStyle w:val="24"/>
            </w:pPr>
            <w:r>
              <w:rPr>
                <w:rFonts w:hint="eastAsia"/>
              </w:rPr>
              <w:t>0</w:t>
            </w:r>
          </w:p>
        </w:tc>
        <w:tc>
          <w:tcPr>
            <w:tcW w:w="555" w:type="pct"/>
            <w:vAlign w:val="center"/>
          </w:tcPr>
          <w:p w14:paraId="1F7B236F">
            <w:pPr>
              <w:pStyle w:val="24"/>
            </w:pPr>
            <w:r>
              <w:rPr>
                <w:rFonts w:hint="eastAsia"/>
              </w:rPr>
              <w:t>0</w:t>
            </w:r>
          </w:p>
        </w:tc>
        <w:tc>
          <w:tcPr>
            <w:tcW w:w="555" w:type="pct"/>
            <w:vAlign w:val="center"/>
          </w:tcPr>
          <w:p w14:paraId="520B217B">
            <w:pPr>
              <w:pStyle w:val="24"/>
            </w:pPr>
            <w:r>
              <w:rPr>
                <w:rFonts w:hint="eastAsia"/>
              </w:rPr>
              <w:t>0</w:t>
            </w:r>
          </w:p>
        </w:tc>
        <w:tc>
          <w:tcPr>
            <w:tcW w:w="555" w:type="pct"/>
            <w:vAlign w:val="center"/>
          </w:tcPr>
          <w:p w14:paraId="10104274">
            <w:pPr>
              <w:pStyle w:val="24"/>
            </w:pPr>
            <w:r>
              <w:rPr>
                <w:rFonts w:hint="eastAsia"/>
              </w:rPr>
              <w:t>3.167</w:t>
            </w:r>
          </w:p>
        </w:tc>
        <w:tc>
          <w:tcPr>
            <w:tcW w:w="555" w:type="pct"/>
            <w:vAlign w:val="center"/>
          </w:tcPr>
          <w:p w14:paraId="5AD21CA7">
            <w:pPr>
              <w:pStyle w:val="24"/>
            </w:pPr>
            <w:r>
              <w:rPr>
                <w:rFonts w:hint="eastAsia"/>
              </w:rPr>
              <w:t>0</w:t>
            </w:r>
          </w:p>
        </w:tc>
        <w:tc>
          <w:tcPr>
            <w:tcW w:w="664" w:type="pct"/>
            <w:vAlign w:val="center"/>
          </w:tcPr>
          <w:p w14:paraId="49A21B91">
            <w:pPr>
              <w:pStyle w:val="24"/>
            </w:pPr>
            <w:r>
              <w:rPr>
                <w:rFonts w:hint="eastAsia"/>
              </w:rPr>
              <w:t>3.167</w:t>
            </w:r>
          </w:p>
        </w:tc>
        <w:tc>
          <w:tcPr>
            <w:tcW w:w="448" w:type="pct"/>
            <w:vAlign w:val="center"/>
          </w:tcPr>
          <w:p w14:paraId="6B086EE7">
            <w:pPr>
              <w:pStyle w:val="24"/>
            </w:pPr>
            <w:r>
              <w:rPr>
                <w:rFonts w:hint="eastAsia"/>
              </w:rPr>
              <w:t>+3.167</w:t>
            </w:r>
          </w:p>
        </w:tc>
      </w:tr>
      <w:tr w14:paraId="4C824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5E2E030B">
            <w:pPr>
              <w:pStyle w:val="24"/>
            </w:pPr>
          </w:p>
        </w:tc>
        <w:tc>
          <w:tcPr>
            <w:tcW w:w="608" w:type="pct"/>
            <w:vAlign w:val="center"/>
          </w:tcPr>
          <w:p w14:paraId="2637ABBE">
            <w:pPr>
              <w:pStyle w:val="24"/>
            </w:pPr>
            <w:r>
              <w:rPr>
                <w:rFonts w:hint="eastAsia"/>
              </w:rPr>
              <w:t>废含油抹布或手套</w:t>
            </w:r>
          </w:p>
        </w:tc>
        <w:tc>
          <w:tcPr>
            <w:tcW w:w="501" w:type="pct"/>
            <w:vAlign w:val="center"/>
          </w:tcPr>
          <w:p w14:paraId="40C45D55">
            <w:pPr>
              <w:pStyle w:val="24"/>
            </w:pPr>
            <w:r>
              <w:rPr>
                <w:rFonts w:hint="eastAsia"/>
              </w:rPr>
              <w:t>0</w:t>
            </w:r>
          </w:p>
        </w:tc>
        <w:tc>
          <w:tcPr>
            <w:tcW w:w="555" w:type="pct"/>
            <w:vAlign w:val="center"/>
          </w:tcPr>
          <w:p w14:paraId="483D6064">
            <w:pPr>
              <w:pStyle w:val="24"/>
            </w:pPr>
            <w:r>
              <w:rPr>
                <w:rFonts w:hint="eastAsia"/>
              </w:rPr>
              <w:t>0</w:t>
            </w:r>
          </w:p>
        </w:tc>
        <w:tc>
          <w:tcPr>
            <w:tcW w:w="555" w:type="pct"/>
            <w:vAlign w:val="center"/>
          </w:tcPr>
          <w:p w14:paraId="75A7C659">
            <w:pPr>
              <w:pStyle w:val="24"/>
            </w:pPr>
            <w:r>
              <w:rPr>
                <w:rFonts w:hint="eastAsia"/>
              </w:rPr>
              <w:t>0</w:t>
            </w:r>
          </w:p>
        </w:tc>
        <w:tc>
          <w:tcPr>
            <w:tcW w:w="555" w:type="pct"/>
            <w:vAlign w:val="center"/>
          </w:tcPr>
          <w:p w14:paraId="4071455C">
            <w:pPr>
              <w:pStyle w:val="24"/>
            </w:pPr>
            <w:r>
              <w:rPr>
                <w:rFonts w:hint="eastAsia"/>
              </w:rPr>
              <w:t>0.05</w:t>
            </w:r>
          </w:p>
        </w:tc>
        <w:tc>
          <w:tcPr>
            <w:tcW w:w="555" w:type="pct"/>
            <w:vAlign w:val="center"/>
          </w:tcPr>
          <w:p w14:paraId="547EAC2B">
            <w:pPr>
              <w:pStyle w:val="24"/>
            </w:pPr>
            <w:r>
              <w:rPr>
                <w:rFonts w:hint="eastAsia"/>
              </w:rPr>
              <w:t>0</w:t>
            </w:r>
          </w:p>
        </w:tc>
        <w:tc>
          <w:tcPr>
            <w:tcW w:w="664" w:type="pct"/>
            <w:vAlign w:val="center"/>
          </w:tcPr>
          <w:p w14:paraId="1A9FCDFB">
            <w:pPr>
              <w:pStyle w:val="24"/>
            </w:pPr>
            <w:r>
              <w:rPr>
                <w:rFonts w:hint="eastAsia"/>
              </w:rPr>
              <w:t>0.05</w:t>
            </w:r>
          </w:p>
        </w:tc>
        <w:tc>
          <w:tcPr>
            <w:tcW w:w="448" w:type="pct"/>
            <w:vAlign w:val="center"/>
          </w:tcPr>
          <w:p w14:paraId="7FADE049">
            <w:pPr>
              <w:pStyle w:val="24"/>
            </w:pPr>
            <w:r>
              <w:rPr>
                <w:rFonts w:hint="eastAsia"/>
              </w:rPr>
              <w:t>+0.05</w:t>
            </w:r>
          </w:p>
        </w:tc>
      </w:tr>
      <w:tr w14:paraId="1E720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3C51928C">
            <w:pPr>
              <w:pStyle w:val="24"/>
            </w:pPr>
          </w:p>
        </w:tc>
        <w:tc>
          <w:tcPr>
            <w:tcW w:w="608" w:type="pct"/>
            <w:vAlign w:val="center"/>
          </w:tcPr>
          <w:p w14:paraId="206FD123">
            <w:pPr>
              <w:pStyle w:val="24"/>
            </w:pPr>
            <w:r>
              <w:rPr>
                <w:rFonts w:hint="eastAsia"/>
              </w:rPr>
              <w:t>含油废沙</w:t>
            </w:r>
          </w:p>
        </w:tc>
        <w:tc>
          <w:tcPr>
            <w:tcW w:w="501" w:type="pct"/>
            <w:vAlign w:val="center"/>
          </w:tcPr>
          <w:p w14:paraId="7CB7021B">
            <w:pPr>
              <w:pStyle w:val="24"/>
            </w:pPr>
            <w:r>
              <w:rPr>
                <w:rFonts w:hint="eastAsia"/>
              </w:rPr>
              <w:t>0</w:t>
            </w:r>
          </w:p>
        </w:tc>
        <w:tc>
          <w:tcPr>
            <w:tcW w:w="555" w:type="pct"/>
            <w:vAlign w:val="center"/>
          </w:tcPr>
          <w:p w14:paraId="13D8B036">
            <w:pPr>
              <w:pStyle w:val="24"/>
            </w:pPr>
            <w:r>
              <w:rPr>
                <w:rFonts w:hint="eastAsia"/>
              </w:rPr>
              <w:t>0</w:t>
            </w:r>
          </w:p>
        </w:tc>
        <w:tc>
          <w:tcPr>
            <w:tcW w:w="555" w:type="pct"/>
            <w:vAlign w:val="center"/>
          </w:tcPr>
          <w:p w14:paraId="7AECB864">
            <w:pPr>
              <w:pStyle w:val="24"/>
            </w:pPr>
            <w:r>
              <w:rPr>
                <w:rFonts w:hint="eastAsia"/>
              </w:rPr>
              <w:t>0</w:t>
            </w:r>
          </w:p>
        </w:tc>
        <w:tc>
          <w:tcPr>
            <w:tcW w:w="555" w:type="pct"/>
            <w:vAlign w:val="center"/>
          </w:tcPr>
          <w:p w14:paraId="666ADE0B">
            <w:pPr>
              <w:pStyle w:val="24"/>
            </w:pPr>
            <w:r>
              <w:rPr>
                <w:rFonts w:hint="eastAsia"/>
              </w:rPr>
              <w:t>0.1</w:t>
            </w:r>
          </w:p>
        </w:tc>
        <w:tc>
          <w:tcPr>
            <w:tcW w:w="555" w:type="pct"/>
            <w:vAlign w:val="center"/>
          </w:tcPr>
          <w:p w14:paraId="2CD546CE">
            <w:pPr>
              <w:pStyle w:val="24"/>
            </w:pPr>
            <w:r>
              <w:rPr>
                <w:rFonts w:hint="eastAsia"/>
              </w:rPr>
              <w:t>0</w:t>
            </w:r>
          </w:p>
        </w:tc>
        <w:tc>
          <w:tcPr>
            <w:tcW w:w="664" w:type="pct"/>
            <w:vAlign w:val="center"/>
          </w:tcPr>
          <w:p w14:paraId="0D0A1B84">
            <w:pPr>
              <w:pStyle w:val="24"/>
            </w:pPr>
            <w:r>
              <w:rPr>
                <w:rFonts w:hint="eastAsia"/>
              </w:rPr>
              <w:t>0.1</w:t>
            </w:r>
          </w:p>
        </w:tc>
        <w:tc>
          <w:tcPr>
            <w:tcW w:w="448" w:type="pct"/>
            <w:vAlign w:val="center"/>
          </w:tcPr>
          <w:p w14:paraId="57CE3FCA">
            <w:pPr>
              <w:pStyle w:val="24"/>
            </w:pPr>
            <w:r>
              <w:rPr>
                <w:rFonts w:hint="eastAsia"/>
              </w:rPr>
              <w:t>+0.1</w:t>
            </w:r>
          </w:p>
        </w:tc>
      </w:tr>
      <w:tr w14:paraId="21447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16C376C5">
            <w:pPr>
              <w:pStyle w:val="24"/>
            </w:pPr>
          </w:p>
        </w:tc>
        <w:tc>
          <w:tcPr>
            <w:tcW w:w="608" w:type="pct"/>
            <w:vAlign w:val="center"/>
          </w:tcPr>
          <w:p w14:paraId="63B022F4">
            <w:pPr>
              <w:pStyle w:val="24"/>
            </w:pPr>
            <w:r>
              <w:rPr>
                <w:rFonts w:hint="eastAsia"/>
              </w:rPr>
              <w:t>废机油</w:t>
            </w:r>
          </w:p>
        </w:tc>
        <w:tc>
          <w:tcPr>
            <w:tcW w:w="501" w:type="pct"/>
            <w:vAlign w:val="center"/>
          </w:tcPr>
          <w:p w14:paraId="7739DE1A">
            <w:pPr>
              <w:pStyle w:val="24"/>
            </w:pPr>
            <w:r>
              <w:rPr>
                <w:rFonts w:hint="eastAsia"/>
              </w:rPr>
              <w:t>0</w:t>
            </w:r>
          </w:p>
        </w:tc>
        <w:tc>
          <w:tcPr>
            <w:tcW w:w="555" w:type="pct"/>
            <w:vAlign w:val="center"/>
          </w:tcPr>
          <w:p w14:paraId="020A8821">
            <w:pPr>
              <w:pStyle w:val="24"/>
            </w:pPr>
            <w:r>
              <w:rPr>
                <w:rFonts w:hint="eastAsia"/>
              </w:rPr>
              <w:t>0</w:t>
            </w:r>
          </w:p>
        </w:tc>
        <w:tc>
          <w:tcPr>
            <w:tcW w:w="555" w:type="pct"/>
            <w:vAlign w:val="center"/>
          </w:tcPr>
          <w:p w14:paraId="6915170D">
            <w:pPr>
              <w:pStyle w:val="24"/>
            </w:pPr>
            <w:r>
              <w:rPr>
                <w:rFonts w:hint="eastAsia"/>
              </w:rPr>
              <w:t>0</w:t>
            </w:r>
          </w:p>
        </w:tc>
        <w:tc>
          <w:tcPr>
            <w:tcW w:w="555" w:type="pct"/>
            <w:vAlign w:val="center"/>
          </w:tcPr>
          <w:p w14:paraId="69224F59">
            <w:pPr>
              <w:pStyle w:val="24"/>
            </w:pPr>
            <w:r>
              <w:rPr>
                <w:rFonts w:hint="eastAsia"/>
              </w:rPr>
              <w:t>1.5</w:t>
            </w:r>
          </w:p>
        </w:tc>
        <w:tc>
          <w:tcPr>
            <w:tcW w:w="555" w:type="pct"/>
            <w:vAlign w:val="center"/>
          </w:tcPr>
          <w:p w14:paraId="644B0350">
            <w:pPr>
              <w:pStyle w:val="24"/>
            </w:pPr>
            <w:r>
              <w:rPr>
                <w:rFonts w:hint="eastAsia"/>
              </w:rPr>
              <w:t>0</w:t>
            </w:r>
          </w:p>
        </w:tc>
        <w:tc>
          <w:tcPr>
            <w:tcW w:w="664" w:type="pct"/>
            <w:vAlign w:val="center"/>
          </w:tcPr>
          <w:p w14:paraId="2CCB092D">
            <w:pPr>
              <w:pStyle w:val="24"/>
            </w:pPr>
            <w:r>
              <w:rPr>
                <w:rFonts w:hint="eastAsia"/>
              </w:rPr>
              <w:t>1.5</w:t>
            </w:r>
          </w:p>
        </w:tc>
        <w:tc>
          <w:tcPr>
            <w:tcW w:w="448" w:type="pct"/>
            <w:vAlign w:val="center"/>
          </w:tcPr>
          <w:p w14:paraId="042BD985">
            <w:pPr>
              <w:pStyle w:val="24"/>
            </w:pPr>
            <w:r>
              <w:rPr>
                <w:rFonts w:hint="eastAsia"/>
              </w:rPr>
              <w:t>+1.5</w:t>
            </w:r>
          </w:p>
        </w:tc>
      </w:tr>
      <w:tr w14:paraId="42608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59E762EB">
            <w:pPr>
              <w:pStyle w:val="24"/>
            </w:pPr>
          </w:p>
        </w:tc>
        <w:tc>
          <w:tcPr>
            <w:tcW w:w="608" w:type="pct"/>
            <w:vAlign w:val="center"/>
          </w:tcPr>
          <w:p w14:paraId="1CCAB39B">
            <w:pPr>
              <w:pStyle w:val="24"/>
            </w:pPr>
            <w:r>
              <w:rPr>
                <w:rFonts w:hint="eastAsia"/>
              </w:rPr>
              <w:t>废机油桶</w:t>
            </w:r>
          </w:p>
        </w:tc>
        <w:tc>
          <w:tcPr>
            <w:tcW w:w="501" w:type="pct"/>
            <w:vAlign w:val="center"/>
          </w:tcPr>
          <w:p w14:paraId="2758F9CE">
            <w:pPr>
              <w:pStyle w:val="24"/>
            </w:pPr>
            <w:r>
              <w:rPr>
                <w:rFonts w:hint="eastAsia"/>
              </w:rPr>
              <w:t>0</w:t>
            </w:r>
          </w:p>
        </w:tc>
        <w:tc>
          <w:tcPr>
            <w:tcW w:w="555" w:type="pct"/>
            <w:vAlign w:val="center"/>
          </w:tcPr>
          <w:p w14:paraId="1B742C07">
            <w:pPr>
              <w:pStyle w:val="24"/>
            </w:pPr>
            <w:r>
              <w:rPr>
                <w:rFonts w:hint="eastAsia"/>
              </w:rPr>
              <w:t>0</w:t>
            </w:r>
          </w:p>
        </w:tc>
        <w:tc>
          <w:tcPr>
            <w:tcW w:w="555" w:type="pct"/>
            <w:vAlign w:val="center"/>
          </w:tcPr>
          <w:p w14:paraId="52C9DA5D">
            <w:pPr>
              <w:pStyle w:val="24"/>
            </w:pPr>
            <w:r>
              <w:rPr>
                <w:rFonts w:hint="eastAsia"/>
              </w:rPr>
              <w:t>0</w:t>
            </w:r>
          </w:p>
        </w:tc>
        <w:tc>
          <w:tcPr>
            <w:tcW w:w="555" w:type="pct"/>
            <w:vAlign w:val="center"/>
          </w:tcPr>
          <w:p w14:paraId="24CB091D">
            <w:pPr>
              <w:pStyle w:val="24"/>
            </w:pPr>
            <w:r>
              <w:rPr>
                <w:rFonts w:hint="eastAsia"/>
              </w:rPr>
              <w:t>0.5</w:t>
            </w:r>
          </w:p>
        </w:tc>
        <w:tc>
          <w:tcPr>
            <w:tcW w:w="555" w:type="pct"/>
            <w:vAlign w:val="center"/>
          </w:tcPr>
          <w:p w14:paraId="1C296385">
            <w:pPr>
              <w:pStyle w:val="24"/>
            </w:pPr>
            <w:r>
              <w:rPr>
                <w:rFonts w:hint="eastAsia"/>
              </w:rPr>
              <w:t>0</w:t>
            </w:r>
          </w:p>
        </w:tc>
        <w:tc>
          <w:tcPr>
            <w:tcW w:w="664" w:type="pct"/>
            <w:vAlign w:val="center"/>
          </w:tcPr>
          <w:p w14:paraId="7ADBB1D1">
            <w:pPr>
              <w:pStyle w:val="24"/>
            </w:pPr>
            <w:r>
              <w:rPr>
                <w:rFonts w:hint="eastAsia"/>
              </w:rPr>
              <w:t>0.5</w:t>
            </w:r>
          </w:p>
        </w:tc>
        <w:tc>
          <w:tcPr>
            <w:tcW w:w="448" w:type="pct"/>
            <w:vAlign w:val="center"/>
          </w:tcPr>
          <w:p w14:paraId="59418A39">
            <w:pPr>
              <w:pStyle w:val="24"/>
            </w:pPr>
            <w:r>
              <w:rPr>
                <w:rFonts w:hint="eastAsia"/>
              </w:rPr>
              <w:t>+0.5</w:t>
            </w:r>
          </w:p>
        </w:tc>
      </w:tr>
      <w:tr w14:paraId="404CD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5" w:type="pct"/>
            <w:vMerge w:val="continue"/>
            <w:vAlign w:val="center"/>
          </w:tcPr>
          <w:p w14:paraId="0CB7734B">
            <w:pPr>
              <w:pStyle w:val="24"/>
            </w:pPr>
          </w:p>
        </w:tc>
        <w:tc>
          <w:tcPr>
            <w:tcW w:w="608" w:type="pct"/>
            <w:vAlign w:val="center"/>
          </w:tcPr>
          <w:p w14:paraId="74CEB6AC">
            <w:pPr>
              <w:pStyle w:val="24"/>
            </w:pPr>
            <w:r>
              <w:rPr>
                <w:rFonts w:hint="eastAsia"/>
              </w:rPr>
              <w:t>废电池</w:t>
            </w:r>
          </w:p>
        </w:tc>
        <w:tc>
          <w:tcPr>
            <w:tcW w:w="501" w:type="pct"/>
            <w:vAlign w:val="center"/>
          </w:tcPr>
          <w:p w14:paraId="3942C7B1">
            <w:pPr>
              <w:pStyle w:val="24"/>
            </w:pPr>
            <w:r>
              <w:rPr>
                <w:rFonts w:hint="eastAsia"/>
              </w:rPr>
              <w:t>0</w:t>
            </w:r>
          </w:p>
        </w:tc>
        <w:tc>
          <w:tcPr>
            <w:tcW w:w="555" w:type="pct"/>
            <w:vAlign w:val="center"/>
          </w:tcPr>
          <w:p w14:paraId="51F397A8">
            <w:pPr>
              <w:pStyle w:val="24"/>
            </w:pPr>
            <w:r>
              <w:rPr>
                <w:rFonts w:hint="eastAsia"/>
              </w:rPr>
              <w:t>0</w:t>
            </w:r>
          </w:p>
        </w:tc>
        <w:tc>
          <w:tcPr>
            <w:tcW w:w="555" w:type="pct"/>
            <w:vAlign w:val="center"/>
          </w:tcPr>
          <w:p w14:paraId="090DF761">
            <w:pPr>
              <w:pStyle w:val="24"/>
            </w:pPr>
            <w:r>
              <w:rPr>
                <w:rFonts w:hint="eastAsia"/>
              </w:rPr>
              <w:t>0</w:t>
            </w:r>
          </w:p>
        </w:tc>
        <w:tc>
          <w:tcPr>
            <w:tcW w:w="555" w:type="pct"/>
            <w:vAlign w:val="center"/>
          </w:tcPr>
          <w:p w14:paraId="77D7F490">
            <w:pPr>
              <w:pStyle w:val="24"/>
            </w:pPr>
            <w:r>
              <w:rPr>
                <w:rFonts w:hint="eastAsia"/>
              </w:rPr>
              <w:t>0.4</w:t>
            </w:r>
          </w:p>
        </w:tc>
        <w:tc>
          <w:tcPr>
            <w:tcW w:w="555" w:type="pct"/>
            <w:vAlign w:val="center"/>
          </w:tcPr>
          <w:p w14:paraId="32CE3E96">
            <w:pPr>
              <w:pStyle w:val="24"/>
            </w:pPr>
            <w:r>
              <w:rPr>
                <w:rFonts w:hint="eastAsia"/>
              </w:rPr>
              <w:t>0</w:t>
            </w:r>
          </w:p>
        </w:tc>
        <w:tc>
          <w:tcPr>
            <w:tcW w:w="664" w:type="pct"/>
            <w:vAlign w:val="center"/>
          </w:tcPr>
          <w:p w14:paraId="2D43C727">
            <w:pPr>
              <w:pStyle w:val="24"/>
            </w:pPr>
            <w:r>
              <w:rPr>
                <w:rFonts w:hint="eastAsia"/>
              </w:rPr>
              <w:t>0.4</w:t>
            </w:r>
          </w:p>
        </w:tc>
        <w:tc>
          <w:tcPr>
            <w:tcW w:w="448" w:type="pct"/>
            <w:vAlign w:val="center"/>
          </w:tcPr>
          <w:p w14:paraId="1C3BE1A9">
            <w:pPr>
              <w:pStyle w:val="24"/>
            </w:pPr>
            <w:r>
              <w:rPr>
                <w:rFonts w:hint="eastAsia"/>
              </w:rPr>
              <w:t>+0.4</w:t>
            </w:r>
          </w:p>
        </w:tc>
      </w:tr>
    </w:tbl>
    <w:p w14:paraId="5ED1B35A">
      <w:pPr>
        <w:pStyle w:val="24"/>
        <w:spacing w:before="192" w:beforeLines="80" w:after="24" w:line="220" w:lineRule="exact"/>
        <w:jc w:val="left"/>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14:paraId="2DDA62A2"/>
    <w:sectPr>
      <w:headerReference r:id="rId12" w:type="default"/>
      <w:footerReference r:id="rId13" w:type="default"/>
      <w:pgSz w:w="16838" w:h="11906" w:orient="landscape"/>
      <w:pgMar w:top="1440" w:right="1080" w:bottom="1440" w:left="1080"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0000000000000000000"/>
    <w:charset w:val="86"/>
    <w:family w:val="auto"/>
    <w:pitch w:val="default"/>
    <w:sig w:usb0="00000000" w:usb1="00000000" w:usb2="00082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80"/>
    <w:family w:val="auto"/>
    <w:pitch w:val="default"/>
    <w:sig w:usb0="00000000" w:usb1="00000000" w:usb2="00000000" w:usb3="00000000" w:csb0="00020000" w:csb1="00000000"/>
  </w:font>
  <w:font w:name="FZShuSong-Z01">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瀹嬩綋">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22879">
    <w:pPr>
      <w:tabs>
        <w:tab w:val="center" w:pos="4153"/>
        <w:tab w:val="right" w:pos="8306"/>
      </w:tabs>
      <w:ind w:right="360" w:firstLine="360"/>
      <w:jc w:val="center"/>
    </w:pPr>
  </w:p>
  <w:p w14:paraId="7DD798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D566C">
    <w:pPr>
      <w:framePr w:wrap="around" w:vAnchor="text" w:hAnchor="margin" w:xAlign="center" w:y="1"/>
      <w:tabs>
        <w:tab w:val="center" w:pos="4153"/>
        <w:tab w:val="right" w:pos="8306"/>
      </w:tabs>
    </w:pPr>
    <w:r>
      <w:fldChar w:fldCharType="begin"/>
    </w:r>
    <w:r>
      <w:instrText xml:space="preserve">PAGE  </w:instrText>
    </w:r>
    <w:r>
      <w:fldChar w:fldCharType="end"/>
    </w:r>
  </w:p>
  <w:p w14:paraId="75C955C2">
    <w:pPr>
      <w:tabs>
        <w:tab w:val="center" w:pos="4153"/>
        <w:tab w:val="right" w:pos="8306"/>
      </w:tabs>
      <w:ind w:right="360" w:firstLine="360"/>
    </w:pPr>
  </w:p>
  <w:p w14:paraId="47EBDC4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F70EE">
    <w:pPr>
      <w:tabs>
        <w:tab w:val="center" w:pos="4153"/>
        <w:tab w:val="right" w:pos="8306"/>
      </w:tabs>
    </w:pPr>
  </w:p>
  <w:p w14:paraId="427C31F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BE81E">
    <w:pPr>
      <w:tabs>
        <w:tab w:val="center" w:pos="4153"/>
        <w:tab w:val="right" w:pos="8306"/>
      </w:tabs>
      <w:ind w:right="360" w:firstLine="360"/>
      <w:jc w:val="center"/>
    </w:pPr>
  </w:p>
  <w:p w14:paraId="75B4D23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12A0E">
    <w:pPr>
      <w:tabs>
        <w:tab w:val="center" w:pos="4153"/>
        <w:tab w:val="right" w:pos="8306"/>
      </w:tabs>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578A1">
                          <w:pPr>
                            <w:pStyle w:val="11"/>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0578A1">
                    <w:pPr>
                      <w:pStyle w:val="11"/>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7CAEC">
    <w:pPr>
      <w:tabs>
        <w:tab w:val="center" w:pos="4153"/>
        <w:tab w:val="right" w:pos="8306"/>
      </w:tabs>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A3D9E0">
                          <w:pPr>
                            <w:tabs>
                              <w:tab w:val="center" w:pos="4153"/>
                              <w:tab w:val="right" w:pos="8306"/>
                            </w:tabs>
                          </w:pPr>
                          <w:r>
                            <w:fldChar w:fldCharType="begin"/>
                          </w:r>
                          <w:r>
                            <w:instrText xml:space="preserve"> PAGE  \* MERGEFORMAT </w:instrText>
                          </w:r>
                          <w:r>
                            <w:fldChar w:fldCharType="separate"/>
                          </w:r>
                          <w:r>
                            <w:t>70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46A3D9E0">
                    <w:pPr>
                      <w:tabs>
                        <w:tab w:val="center" w:pos="4153"/>
                        <w:tab w:val="right" w:pos="8306"/>
                      </w:tabs>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3A1A6">
    <w:pPr>
      <w:tabs>
        <w:tab w:val="center" w:pos="4153"/>
        <w:tab w:val="right" w:pos="8306"/>
      </w:tabs>
    </w:pPr>
  </w:p>
  <w:p w14:paraId="705D46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2A3B8">
    <w:pP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58D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58894D"/>
    <w:multiLevelType w:val="singleLevel"/>
    <w:tmpl w:val="C458894D"/>
    <w:lvl w:ilvl="0" w:tentative="0">
      <w:start w:val="2"/>
      <w:numFmt w:val="decimal"/>
      <w:suff w:val="nothing"/>
      <w:lvlText w:val="%1、"/>
      <w:lvlJc w:val="left"/>
    </w:lvl>
  </w:abstractNum>
  <w:abstractNum w:abstractNumId="1">
    <w:nsid w:val="CFD83C83"/>
    <w:multiLevelType w:val="singleLevel"/>
    <w:tmpl w:val="CFD83C83"/>
    <w:lvl w:ilvl="0" w:tentative="0">
      <w:start w:val="2"/>
      <w:numFmt w:val="chineseCounting"/>
      <w:suff w:val="nothing"/>
      <w:lvlText w:val="%1、"/>
      <w:lvlJc w:val="left"/>
      <w:rPr>
        <w:rFonts w:hint="eastAsia"/>
      </w:rPr>
    </w:lvl>
  </w:abstractNum>
  <w:abstractNum w:abstractNumId="2">
    <w:nsid w:val="D05302B3"/>
    <w:multiLevelType w:val="singleLevel"/>
    <w:tmpl w:val="D05302B3"/>
    <w:lvl w:ilvl="0" w:tentative="0">
      <w:start w:val="4"/>
      <w:numFmt w:val="decimal"/>
      <w:suff w:val="nothing"/>
      <w:lvlText w:val="（%1）"/>
      <w:lvlJc w:val="left"/>
    </w:lvl>
  </w:abstractNum>
  <w:abstractNum w:abstractNumId="3">
    <w:nsid w:val="F03A6894"/>
    <w:multiLevelType w:val="singleLevel"/>
    <w:tmpl w:val="F03A6894"/>
    <w:lvl w:ilvl="0" w:tentative="0">
      <w:start w:val="8"/>
      <w:numFmt w:val="decimal"/>
      <w:suff w:val="nothing"/>
      <w:lvlText w:val="%1、"/>
      <w:lvlJc w:val="left"/>
    </w:lvl>
  </w:abstractNum>
  <w:abstractNum w:abstractNumId="4">
    <w:nsid w:val="0C58EBBE"/>
    <w:multiLevelType w:val="singleLevel"/>
    <w:tmpl w:val="0C58EBBE"/>
    <w:lvl w:ilvl="0" w:tentative="0">
      <w:start w:val="2"/>
      <w:numFmt w:val="decimal"/>
      <w:suff w:val="nothing"/>
      <w:lvlText w:val="%1）"/>
      <w:lvlJc w:val="left"/>
    </w:lvl>
  </w:abstractNum>
  <w:abstractNum w:abstractNumId="5">
    <w:nsid w:val="4151A3B0"/>
    <w:multiLevelType w:val="singleLevel"/>
    <w:tmpl w:val="4151A3B0"/>
    <w:lvl w:ilvl="0" w:tentative="0">
      <w:start w:val="2"/>
      <w:numFmt w:val="chineseCounting"/>
      <w:suff w:val="nothing"/>
      <w:lvlText w:val="（%1）"/>
      <w:lvlJc w:val="left"/>
      <w:rPr>
        <w:rFonts w:hint="eastAsia"/>
      </w:rPr>
    </w:lvl>
  </w:abstractNum>
  <w:abstractNum w:abstractNumId="6">
    <w:nsid w:val="4ADEC289"/>
    <w:multiLevelType w:val="singleLevel"/>
    <w:tmpl w:val="4ADEC289"/>
    <w:lvl w:ilvl="0" w:tentative="0">
      <w:start w:val="6"/>
      <w:numFmt w:val="chineseCounting"/>
      <w:suff w:val="nothing"/>
      <w:lvlText w:val="%1、"/>
      <w:lvlJc w:val="left"/>
      <w:rPr>
        <w:rFonts w:hint="eastAsia"/>
      </w:rPr>
    </w:lvl>
  </w:abstractNum>
  <w:abstractNum w:abstractNumId="7">
    <w:nsid w:val="66AFF2B0"/>
    <w:multiLevelType w:val="singleLevel"/>
    <w:tmpl w:val="66AFF2B0"/>
    <w:lvl w:ilvl="0" w:tentative="0">
      <w:start w:val="4"/>
      <w:numFmt w:val="decimal"/>
      <w:suff w:val="nothing"/>
      <w:lvlText w:val="%1、"/>
      <w:lvlJc w:val="left"/>
    </w:lvl>
  </w:abstractNum>
  <w:abstractNum w:abstractNumId="8">
    <w:nsid w:val="69EAA854"/>
    <w:multiLevelType w:val="singleLevel"/>
    <w:tmpl w:val="69EAA854"/>
    <w:lvl w:ilvl="0" w:tentative="0">
      <w:start w:val="8"/>
      <w:numFmt w:val="chineseCounting"/>
      <w:suff w:val="nothing"/>
      <w:lvlText w:val="%1、"/>
      <w:lvlJc w:val="left"/>
      <w:pPr>
        <w:ind w:left="240"/>
      </w:pPr>
      <w:rPr>
        <w:rFonts w:hint="eastAsia"/>
      </w:rPr>
    </w:lvl>
  </w:abstractNum>
  <w:abstractNum w:abstractNumId="9">
    <w:nsid w:val="6F79AEC0"/>
    <w:multiLevelType w:val="singleLevel"/>
    <w:tmpl w:val="6F79AEC0"/>
    <w:lvl w:ilvl="0" w:tentative="0">
      <w:start w:val="5"/>
      <w:numFmt w:val="decimal"/>
      <w:suff w:val="nothing"/>
      <w:lvlText w:val="%1、"/>
      <w:lvlJc w:val="left"/>
    </w:lvl>
  </w:abstractNum>
  <w:num w:numId="1">
    <w:abstractNumId w:val="9"/>
  </w:num>
  <w:num w:numId="2">
    <w:abstractNumId w:val="2"/>
  </w:num>
  <w:num w:numId="3">
    <w:abstractNumId w:val="3"/>
  </w:num>
  <w:num w:numId="4">
    <w:abstractNumId w:val="1"/>
  </w:num>
  <w:num w:numId="5">
    <w:abstractNumId w:val="5"/>
  </w:num>
  <w:num w:numId="6">
    <w:abstractNumId w:val="0"/>
  </w:num>
  <w:num w:numId="7">
    <w:abstractNumId w:val="4"/>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wMzdkNjYwYjAxNGI4OWE4MDM0NzE0MzhiY2MzMmIifQ=="/>
  </w:docVars>
  <w:rsids>
    <w:rsidRoot w:val="079A2219"/>
    <w:rsid w:val="00014162"/>
    <w:rsid w:val="00092509"/>
    <w:rsid w:val="001B27E5"/>
    <w:rsid w:val="001C5FC6"/>
    <w:rsid w:val="002869F6"/>
    <w:rsid w:val="002A13FE"/>
    <w:rsid w:val="003D550F"/>
    <w:rsid w:val="003D5DCE"/>
    <w:rsid w:val="00A952BF"/>
    <w:rsid w:val="00D42B17"/>
    <w:rsid w:val="00DE6C68"/>
    <w:rsid w:val="00F03505"/>
    <w:rsid w:val="01CA5480"/>
    <w:rsid w:val="03B15E5A"/>
    <w:rsid w:val="03E33071"/>
    <w:rsid w:val="04651CD8"/>
    <w:rsid w:val="05791EDF"/>
    <w:rsid w:val="058D14E6"/>
    <w:rsid w:val="05DF50E2"/>
    <w:rsid w:val="06225F86"/>
    <w:rsid w:val="06585F98"/>
    <w:rsid w:val="07340849"/>
    <w:rsid w:val="078E5346"/>
    <w:rsid w:val="079A2219"/>
    <w:rsid w:val="08880D15"/>
    <w:rsid w:val="08BC1CEF"/>
    <w:rsid w:val="098C12E6"/>
    <w:rsid w:val="09D516AE"/>
    <w:rsid w:val="0A7333A0"/>
    <w:rsid w:val="0AC853EE"/>
    <w:rsid w:val="0AC97464"/>
    <w:rsid w:val="0AF64E58"/>
    <w:rsid w:val="0B444D3D"/>
    <w:rsid w:val="0BE45BD8"/>
    <w:rsid w:val="0BE91440"/>
    <w:rsid w:val="0C193BDB"/>
    <w:rsid w:val="0C623FD9"/>
    <w:rsid w:val="0C7156BE"/>
    <w:rsid w:val="0D6C0249"/>
    <w:rsid w:val="0E092FDC"/>
    <w:rsid w:val="0E22385E"/>
    <w:rsid w:val="0ECF491D"/>
    <w:rsid w:val="0F0547E3"/>
    <w:rsid w:val="0F31382A"/>
    <w:rsid w:val="0F905347"/>
    <w:rsid w:val="10204EAA"/>
    <w:rsid w:val="10A73DA4"/>
    <w:rsid w:val="10CF6C3D"/>
    <w:rsid w:val="10EB15D4"/>
    <w:rsid w:val="119105B0"/>
    <w:rsid w:val="12957C2C"/>
    <w:rsid w:val="12C038EB"/>
    <w:rsid w:val="12DD4211"/>
    <w:rsid w:val="13FA243C"/>
    <w:rsid w:val="140E413A"/>
    <w:rsid w:val="14700951"/>
    <w:rsid w:val="147A0CD9"/>
    <w:rsid w:val="15065869"/>
    <w:rsid w:val="16F87CC8"/>
    <w:rsid w:val="177120AC"/>
    <w:rsid w:val="178E4281"/>
    <w:rsid w:val="17F600E7"/>
    <w:rsid w:val="18E138A3"/>
    <w:rsid w:val="19CD4417"/>
    <w:rsid w:val="19EE5D48"/>
    <w:rsid w:val="1A0E6E8A"/>
    <w:rsid w:val="1A835647"/>
    <w:rsid w:val="1B5302F1"/>
    <w:rsid w:val="1B966EEF"/>
    <w:rsid w:val="1D0B2F0F"/>
    <w:rsid w:val="1D497F91"/>
    <w:rsid w:val="1E64324C"/>
    <w:rsid w:val="1E68712E"/>
    <w:rsid w:val="1EC10726"/>
    <w:rsid w:val="1EF02260"/>
    <w:rsid w:val="1F552056"/>
    <w:rsid w:val="1F8535E2"/>
    <w:rsid w:val="1F901EA7"/>
    <w:rsid w:val="1FD54D23"/>
    <w:rsid w:val="203E5DA7"/>
    <w:rsid w:val="21093CBF"/>
    <w:rsid w:val="210D6BC4"/>
    <w:rsid w:val="218D1A9A"/>
    <w:rsid w:val="21A97250"/>
    <w:rsid w:val="21B87493"/>
    <w:rsid w:val="21EA32B2"/>
    <w:rsid w:val="21FA7AAB"/>
    <w:rsid w:val="223905D4"/>
    <w:rsid w:val="22396826"/>
    <w:rsid w:val="22857CBD"/>
    <w:rsid w:val="22D327D6"/>
    <w:rsid w:val="23007343"/>
    <w:rsid w:val="238E02F1"/>
    <w:rsid w:val="23C14CCA"/>
    <w:rsid w:val="2492221D"/>
    <w:rsid w:val="24B837B0"/>
    <w:rsid w:val="24C37A52"/>
    <w:rsid w:val="2511267B"/>
    <w:rsid w:val="252B5D5D"/>
    <w:rsid w:val="254D72F8"/>
    <w:rsid w:val="255D1B3E"/>
    <w:rsid w:val="2584600A"/>
    <w:rsid w:val="25873A81"/>
    <w:rsid w:val="26B96187"/>
    <w:rsid w:val="26EC1165"/>
    <w:rsid w:val="27505FA6"/>
    <w:rsid w:val="28D635FE"/>
    <w:rsid w:val="28FC52BC"/>
    <w:rsid w:val="29B76DCB"/>
    <w:rsid w:val="29EF3C6E"/>
    <w:rsid w:val="2A7B2A03"/>
    <w:rsid w:val="2AAE41CD"/>
    <w:rsid w:val="2B2F736B"/>
    <w:rsid w:val="2B3836F1"/>
    <w:rsid w:val="2B5C5333"/>
    <w:rsid w:val="2BAE3DE1"/>
    <w:rsid w:val="2C576226"/>
    <w:rsid w:val="2D176752"/>
    <w:rsid w:val="2DC14574"/>
    <w:rsid w:val="2DC731A9"/>
    <w:rsid w:val="2E3A7BAD"/>
    <w:rsid w:val="2E8828C1"/>
    <w:rsid w:val="2EB72FAC"/>
    <w:rsid w:val="2F1321AD"/>
    <w:rsid w:val="2F880DEC"/>
    <w:rsid w:val="2F9678CF"/>
    <w:rsid w:val="301E36B5"/>
    <w:rsid w:val="30290494"/>
    <w:rsid w:val="30833CFD"/>
    <w:rsid w:val="309D2676"/>
    <w:rsid w:val="30FC55EE"/>
    <w:rsid w:val="32CB0CF8"/>
    <w:rsid w:val="33531E79"/>
    <w:rsid w:val="3383387C"/>
    <w:rsid w:val="3476679F"/>
    <w:rsid w:val="3514601C"/>
    <w:rsid w:val="36392E40"/>
    <w:rsid w:val="366A2726"/>
    <w:rsid w:val="373927D7"/>
    <w:rsid w:val="37F033D3"/>
    <w:rsid w:val="37FF7772"/>
    <w:rsid w:val="381256F7"/>
    <w:rsid w:val="38404012"/>
    <w:rsid w:val="389425B0"/>
    <w:rsid w:val="3A693903"/>
    <w:rsid w:val="3ABF4BFC"/>
    <w:rsid w:val="3B001460"/>
    <w:rsid w:val="3BB30F9F"/>
    <w:rsid w:val="3BC1546A"/>
    <w:rsid w:val="3C112BA4"/>
    <w:rsid w:val="3C1A3252"/>
    <w:rsid w:val="3C4C4E53"/>
    <w:rsid w:val="3DA44C15"/>
    <w:rsid w:val="3DAF5C9B"/>
    <w:rsid w:val="3E5534AE"/>
    <w:rsid w:val="3EE75E58"/>
    <w:rsid w:val="3F510C2F"/>
    <w:rsid w:val="3FFA53EF"/>
    <w:rsid w:val="40074C3E"/>
    <w:rsid w:val="40307DF2"/>
    <w:rsid w:val="403B1563"/>
    <w:rsid w:val="40C00228"/>
    <w:rsid w:val="40CC5EDF"/>
    <w:rsid w:val="40FE0F0E"/>
    <w:rsid w:val="41073F35"/>
    <w:rsid w:val="423A0699"/>
    <w:rsid w:val="42EA5AF6"/>
    <w:rsid w:val="43FB7987"/>
    <w:rsid w:val="4441103E"/>
    <w:rsid w:val="45086E44"/>
    <w:rsid w:val="45AD2F03"/>
    <w:rsid w:val="46F801AE"/>
    <w:rsid w:val="473436BE"/>
    <w:rsid w:val="475B557B"/>
    <w:rsid w:val="47727274"/>
    <w:rsid w:val="478E3235"/>
    <w:rsid w:val="480D0195"/>
    <w:rsid w:val="489D100D"/>
    <w:rsid w:val="489F4D2E"/>
    <w:rsid w:val="48D16F09"/>
    <w:rsid w:val="49156DF5"/>
    <w:rsid w:val="492301AD"/>
    <w:rsid w:val="4A9B5868"/>
    <w:rsid w:val="4AE363DE"/>
    <w:rsid w:val="4B5E0F27"/>
    <w:rsid w:val="4BA76886"/>
    <w:rsid w:val="4C115F9A"/>
    <w:rsid w:val="4C1C72D0"/>
    <w:rsid w:val="4C326298"/>
    <w:rsid w:val="4C3B3017"/>
    <w:rsid w:val="4C814F84"/>
    <w:rsid w:val="4CD314A1"/>
    <w:rsid w:val="4D13189E"/>
    <w:rsid w:val="4E834E5B"/>
    <w:rsid w:val="4F1B2991"/>
    <w:rsid w:val="4FB020EE"/>
    <w:rsid w:val="50F364F6"/>
    <w:rsid w:val="516A1CA8"/>
    <w:rsid w:val="518F2DEA"/>
    <w:rsid w:val="51F06651"/>
    <w:rsid w:val="543C5B7E"/>
    <w:rsid w:val="544D1B39"/>
    <w:rsid w:val="54DC4C6B"/>
    <w:rsid w:val="54EF2BF0"/>
    <w:rsid w:val="556E620B"/>
    <w:rsid w:val="564A7404"/>
    <w:rsid w:val="571F1279"/>
    <w:rsid w:val="58670CF0"/>
    <w:rsid w:val="588673C8"/>
    <w:rsid w:val="58AE4B70"/>
    <w:rsid w:val="58C12AF6"/>
    <w:rsid w:val="59723494"/>
    <w:rsid w:val="59EE3DEB"/>
    <w:rsid w:val="5A736072"/>
    <w:rsid w:val="5AA601F5"/>
    <w:rsid w:val="5AB3646E"/>
    <w:rsid w:val="5AEB7274"/>
    <w:rsid w:val="5B215ACE"/>
    <w:rsid w:val="5B8322E4"/>
    <w:rsid w:val="5B8D7C5D"/>
    <w:rsid w:val="5B9E0ECC"/>
    <w:rsid w:val="5D5F0352"/>
    <w:rsid w:val="5DA77C46"/>
    <w:rsid w:val="5DD402EC"/>
    <w:rsid w:val="5E1B6804"/>
    <w:rsid w:val="5E753610"/>
    <w:rsid w:val="5E786A5C"/>
    <w:rsid w:val="5EA2252E"/>
    <w:rsid w:val="5F385850"/>
    <w:rsid w:val="5F5538BD"/>
    <w:rsid w:val="5F5D4BFA"/>
    <w:rsid w:val="5F881C77"/>
    <w:rsid w:val="5FA62F8D"/>
    <w:rsid w:val="5FAC27D3"/>
    <w:rsid w:val="60F03F78"/>
    <w:rsid w:val="61446072"/>
    <w:rsid w:val="617050B9"/>
    <w:rsid w:val="61B256D1"/>
    <w:rsid w:val="61B7701C"/>
    <w:rsid w:val="61EE3DCB"/>
    <w:rsid w:val="635D2CCF"/>
    <w:rsid w:val="639727E0"/>
    <w:rsid w:val="643F1AE5"/>
    <w:rsid w:val="64546740"/>
    <w:rsid w:val="64B34D12"/>
    <w:rsid w:val="64C80D68"/>
    <w:rsid w:val="65507082"/>
    <w:rsid w:val="66D15330"/>
    <w:rsid w:val="67355330"/>
    <w:rsid w:val="67A7735B"/>
    <w:rsid w:val="68880F3A"/>
    <w:rsid w:val="68D512E8"/>
    <w:rsid w:val="68DA0E00"/>
    <w:rsid w:val="6A9C0CCD"/>
    <w:rsid w:val="6B0845B4"/>
    <w:rsid w:val="6B172CFA"/>
    <w:rsid w:val="6B2A0087"/>
    <w:rsid w:val="6B5C027E"/>
    <w:rsid w:val="6C7E71BC"/>
    <w:rsid w:val="6CC369E5"/>
    <w:rsid w:val="6CD3474E"/>
    <w:rsid w:val="6CEA3D42"/>
    <w:rsid w:val="6CFA48AE"/>
    <w:rsid w:val="6D2C27DC"/>
    <w:rsid w:val="6D7D43AF"/>
    <w:rsid w:val="6DC42A14"/>
    <w:rsid w:val="6DEE5CE3"/>
    <w:rsid w:val="6E25156C"/>
    <w:rsid w:val="6E8D72AA"/>
    <w:rsid w:val="6E9543B1"/>
    <w:rsid w:val="6FC736E2"/>
    <w:rsid w:val="6FEA44DF"/>
    <w:rsid w:val="709A5CAE"/>
    <w:rsid w:val="70DC62C7"/>
    <w:rsid w:val="70FB54A5"/>
    <w:rsid w:val="71614339"/>
    <w:rsid w:val="71C57BBC"/>
    <w:rsid w:val="7213485D"/>
    <w:rsid w:val="73164B3A"/>
    <w:rsid w:val="735F0AE9"/>
    <w:rsid w:val="736013B0"/>
    <w:rsid w:val="740D49E9"/>
    <w:rsid w:val="74A964C0"/>
    <w:rsid w:val="763149BF"/>
    <w:rsid w:val="7713264A"/>
    <w:rsid w:val="77B77146"/>
    <w:rsid w:val="78462278"/>
    <w:rsid w:val="78A8767C"/>
    <w:rsid w:val="79171E9E"/>
    <w:rsid w:val="79F75F20"/>
    <w:rsid w:val="7A04063C"/>
    <w:rsid w:val="7A513882"/>
    <w:rsid w:val="7B8A691F"/>
    <w:rsid w:val="7C044924"/>
    <w:rsid w:val="7C17072E"/>
    <w:rsid w:val="7C75137E"/>
    <w:rsid w:val="7D7D498E"/>
    <w:rsid w:val="7E1A39AA"/>
    <w:rsid w:val="7E1D3A7B"/>
    <w:rsid w:val="7E2B263C"/>
    <w:rsid w:val="7E7E6C0F"/>
    <w:rsid w:val="7E9C13E9"/>
    <w:rsid w:val="7EEB2AB4"/>
    <w:rsid w:val="7F2F7F0A"/>
    <w:rsid w:val="7F6A0F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keepLines/>
      <w:spacing w:before="340" w:after="330" w:line="480" w:lineRule="auto"/>
      <w:jc w:val="center"/>
      <w:outlineLvl w:val="0"/>
    </w:pPr>
    <w:rPr>
      <w:rFonts w:eastAsia="黑体"/>
      <w:kern w:val="44"/>
      <w:sz w:val="28"/>
    </w:rPr>
  </w:style>
  <w:style w:type="paragraph" w:styleId="3">
    <w:name w:val="heading 2"/>
    <w:basedOn w:val="1"/>
    <w:next w:val="1"/>
    <w:autoRedefine/>
    <w:qFormat/>
    <w:uiPriority w:val="0"/>
    <w:pPr>
      <w:keepNext/>
      <w:keepLines/>
      <w:spacing w:before="260" w:after="260"/>
      <w:ind w:firstLine="540" w:firstLineChars="168"/>
      <w:outlineLvl w:val="1"/>
    </w:pPr>
    <w:rPr>
      <w:rFonts w:ascii="Arial" w:hAnsi="Arial" w:eastAsia="黑体"/>
      <w:b/>
      <w:bCs/>
      <w:sz w:val="32"/>
      <w:szCs w:val="32"/>
    </w:rPr>
  </w:style>
  <w:style w:type="paragraph" w:styleId="4">
    <w:name w:val="heading 3"/>
    <w:basedOn w:val="1"/>
    <w:next w:val="1"/>
    <w:autoRedefine/>
    <w:semiHidden/>
    <w:unhideWhenUsed/>
    <w:qFormat/>
    <w:uiPriority w:val="0"/>
    <w:pPr>
      <w:keepNext/>
      <w:keepLines/>
      <w:spacing w:before="260" w:after="260"/>
      <w:outlineLvl w:val="2"/>
    </w:pPr>
    <w:rPr>
      <w:b/>
      <w:sz w:val="28"/>
      <w:szCs w:val="28"/>
    </w:rPr>
  </w:style>
  <w:style w:type="paragraph" w:styleId="5">
    <w:name w:val="heading 4"/>
    <w:basedOn w:val="1"/>
    <w:next w:val="1"/>
    <w:autoRedefine/>
    <w:qFormat/>
    <w:uiPriority w:val="0"/>
    <w:pPr>
      <w:keepNext/>
      <w:spacing w:line="240" w:lineRule="auto"/>
      <w:jc w:val="center"/>
      <w:outlineLvl w:val="3"/>
    </w:pPr>
    <w:rPr>
      <w:rFonts w:hint="eastAsia"/>
      <w:b/>
      <w:spacing w:val="-1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autoRedefine/>
    <w:unhideWhenUsed/>
    <w:qFormat/>
    <w:uiPriority w:val="0"/>
    <w:pPr>
      <w:jc w:val="center"/>
    </w:pPr>
    <w:rPr>
      <w:b/>
    </w:rPr>
  </w:style>
  <w:style w:type="paragraph" w:styleId="7">
    <w:name w:val="annotation text"/>
    <w:basedOn w:val="1"/>
    <w:link w:val="36"/>
    <w:autoRedefine/>
    <w:qFormat/>
    <w:uiPriority w:val="0"/>
    <w:pPr>
      <w:jc w:val="left"/>
    </w:pPr>
  </w:style>
  <w:style w:type="paragraph" w:styleId="8">
    <w:name w:val="Salutation"/>
    <w:basedOn w:val="1"/>
    <w:next w:val="1"/>
    <w:autoRedefine/>
    <w:unhideWhenUsed/>
    <w:qFormat/>
    <w:uiPriority w:val="99"/>
    <w:rPr>
      <w:sz w:val="21"/>
    </w:rPr>
  </w:style>
  <w:style w:type="paragraph" w:styleId="9">
    <w:name w:val="Body Text"/>
    <w:basedOn w:val="1"/>
    <w:qFormat/>
    <w:uiPriority w:val="1"/>
    <w:pPr>
      <w:ind w:left="221"/>
    </w:pPr>
  </w:style>
  <w:style w:type="paragraph" w:styleId="10">
    <w:name w:val="Plain Text"/>
    <w:basedOn w:val="1"/>
    <w:autoRedefine/>
    <w:qFormat/>
    <w:uiPriority w:val="0"/>
    <w:rPr>
      <w:rFonts w:ascii="宋体" w:hAnsi="Courier New" w:cs="Courier New"/>
      <w:szCs w:val="21"/>
    </w:rPr>
  </w:style>
  <w:style w:type="paragraph" w:styleId="11">
    <w:name w:val="footer"/>
    <w:basedOn w:val="1"/>
    <w:autoRedefine/>
    <w:qFormat/>
    <w:uiPriority w:val="99"/>
    <w:pPr>
      <w:tabs>
        <w:tab w:val="center" w:pos="4153"/>
        <w:tab w:val="right" w:pos="8306"/>
      </w:tabs>
      <w:snapToGrid w:val="0"/>
      <w:jc w:val="left"/>
    </w:pPr>
    <w:rPr>
      <w:kern w:val="0"/>
      <w:sz w:val="18"/>
      <w:szCs w:val="20"/>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3">
    <w:name w:val="toc 1"/>
    <w:basedOn w:val="1"/>
    <w:next w:val="1"/>
    <w:autoRedefine/>
    <w:qFormat/>
    <w:uiPriority w:val="39"/>
    <w:rPr>
      <w:caps/>
    </w:rPr>
  </w:style>
  <w:style w:type="paragraph" w:styleId="14">
    <w:name w:val="footnote text"/>
    <w:basedOn w:val="1"/>
    <w:autoRedefine/>
    <w:unhideWhenUsed/>
    <w:qFormat/>
    <w:uiPriority w:val="0"/>
    <w:pPr>
      <w:spacing w:before="60" w:line="240" w:lineRule="auto"/>
      <w:ind w:firstLine="482"/>
      <w:jc w:val="left"/>
    </w:pPr>
    <w:rPr>
      <w:rFonts w:ascii="Arial" w:hAnsi="Arial" w:eastAsia="仿宋_GB2312"/>
      <w:kern w:val="0"/>
      <w:sz w:val="18"/>
      <w:szCs w:val="18"/>
    </w:rPr>
  </w:style>
  <w:style w:type="paragraph" w:styleId="15">
    <w:name w:val="toc 2"/>
    <w:basedOn w:val="1"/>
    <w:next w:val="1"/>
    <w:autoRedefine/>
    <w:qFormat/>
    <w:uiPriority w:val="39"/>
    <w:pPr>
      <w:ind w:left="210"/>
      <w:jc w:val="left"/>
    </w:pPr>
    <w:rPr>
      <w:smallCaps/>
      <w:szCs w:val="20"/>
    </w:rPr>
  </w:style>
  <w:style w:type="paragraph" w:styleId="16">
    <w:name w:val="Normal (Web)"/>
    <w:basedOn w:val="1"/>
    <w:qFormat/>
    <w:uiPriority w:val="0"/>
    <w:pPr>
      <w:widowControl/>
      <w:spacing w:before="100" w:beforeAutospacing="1" w:after="100" w:afterAutospacing="1"/>
    </w:pPr>
    <w:rPr>
      <w:rFonts w:hint="eastAsia"/>
    </w:rPr>
  </w:style>
  <w:style w:type="paragraph" w:styleId="17">
    <w:name w:val="annotation subject"/>
    <w:basedOn w:val="7"/>
    <w:next w:val="7"/>
    <w:link w:val="37"/>
    <w:qFormat/>
    <w:uiPriority w:val="0"/>
    <w:rPr>
      <w:b/>
      <w:bCs/>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0"/>
    <w:rPr>
      <w:b/>
    </w:rPr>
  </w:style>
  <w:style w:type="character" w:styleId="22">
    <w:name w:val="page number"/>
    <w:autoRedefine/>
    <w:qFormat/>
    <w:uiPriority w:val="0"/>
  </w:style>
  <w:style w:type="character" w:styleId="23">
    <w:name w:val="annotation reference"/>
    <w:autoRedefine/>
    <w:qFormat/>
    <w:uiPriority w:val="0"/>
    <w:rPr>
      <w:sz w:val="21"/>
    </w:rPr>
  </w:style>
  <w:style w:type="paragraph" w:customStyle="1" w:styleId="24">
    <w:name w:val="表格"/>
    <w:basedOn w:val="10"/>
    <w:next w:val="1"/>
    <w:autoRedefine/>
    <w:qFormat/>
    <w:uiPriority w:val="0"/>
    <w:pPr>
      <w:adjustRightInd w:val="0"/>
      <w:snapToGrid w:val="0"/>
      <w:spacing w:line="240" w:lineRule="auto"/>
      <w:jc w:val="center"/>
    </w:pPr>
    <w:rPr>
      <w:rFonts w:ascii="Times New Roman" w:hAnsi="Times New Roman" w:cs="Times New Roman"/>
      <w:kern w:val="0"/>
      <w:sz w:val="18"/>
      <w:szCs w:val="18"/>
    </w:rPr>
  </w:style>
  <w:style w:type="paragraph" w:customStyle="1" w:styleId="25">
    <w:name w:val="标题2"/>
    <w:basedOn w:val="1"/>
    <w:next w:val="3"/>
    <w:autoRedefine/>
    <w:qFormat/>
    <w:uiPriority w:val="0"/>
    <w:pPr>
      <w:suppressLineNumbers/>
      <w:outlineLvl w:val="1"/>
    </w:pPr>
    <w:rPr>
      <w:rFonts w:eastAsia="黑体"/>
      <w:sz w:val="36"/>
      <w:szCs w:val="36"/>
    </w:rPr>
  </w:style>
  <w:style w:type="paragraph" w:customStyle="1" w:styleId="26">
    <w:name w:val="样式5"/>
    <w:autoRedefine/>
    <w:qFormat/>
    <w:uiPriority w:val="0"/>
    <w:pPr>
      <w:tabs>
        <w:tab w:val="left" w:pos="360"/>
        <w:tab w:val="left" w:pos="567"/>
      </w:tabs>
    </w:pPr>
    <w:rPr>
      <w:rFonts w:ascii="Times New Roman" w:hAnsi="Times New Roman" w:eastAsia="宋体" w:cs="Times New Roman"/>
      <w:lang w:val="en-US" w:eastAsia="zh-CN" w:bidi="ar-SA"/>
    </w:rPr>
  </w:style>
  <w:style w:type="table" w:customStyle="1" w:styleId="27">
    <w:name w:val="Table Normal"/>
    <w:autoRedefine/>
    <w:unhideWhenUsed/>
    <w:qFormat/>
    <w:uiPriority w:val="0"/>
    <w:tblPr>
      <w:tblCellMar>
        <w:top w:w="0" w:type="dxa"/>
        <w:left w:w="0" w:type="dxa"/>
        <w:bottom w:w="0" w:type="dxa"/>
        <w:right w:w="0" w:type="dxa"/>
      </w:tblCellMar>
    </w:tblPr>
  </w:style>
  <w:style w:type="paragraph" w:customStyle="1" w:styleId="28">
    <w:name w:val="表内文字"/>
    <w:basedOn w:val="1"/>
    <w:autoRedefine/>
    <w:unhideWhenUsed/>
    <w:qFormat/>
    <w:uiPriority w:val="0"/>
    <w:pPr>
      <w:adjustRightInd w:val="0"/>
      <w:snapToGrid w:val="0"/>
      <w:spacing w:line="240" w:lineRule="auto"/>
      <w:jc w:val="center"/>
      <w:textAlignment w:val="baseline"/>
    </w:pPr>
    <w:rPr>
      <w:sz w:val="18"/>
      <w:szCs w:val="18"/>
    </w:rPr>
  </w:style>
  <w:style w:type="paragraph" w:customStyle="1" w:styleId="29">
    <w:name w:val="表格内容"/>
    <w:next w:val="1"/>
    <w:autoRedefine/>
    <w:qFormat/>
    <w:uiPriority w:val="0"/>
    <w:pPr>
      <w:snapToGrid w:val="0"/>
      <w:jc w:val="center"/>
    </w:pPr>
    <w:rPr>
      <w:rFonts w:ascii="Times New Roman" w:hAnsi="Times New Roman" w:eastAsia="宋体" w:cs="Times New Roman"/>
      <w:kern w:val="2"/>
      <w:sz w:val="18"/>
      <w:lang w:val="en-US" w:eastAsia="zh-CN" w:bidi="ar-SA"/>
    </w:rPr>
  </w:style>
  <w:style w:type="paragraph" w:customStyle="1" w:styleId="30">
    <w:name w:val="表格标题"/>
    <w:next w:val="29"/>
    <w:autoRedefine/>
    <w:qFormat/>
    <w:uiPriority w:val="0"/>
    <w:pPr>
      <w:spacing w:before="120" w:after="60"/>
      <w:jc w:val="center"/>
    </w:pPr>
    <w:rPr>
      <w:rFonts w:ascii="Times New Roman" w:hAnsi="Times New Roman" w:eastAsia="宋体" w:cs="Times New Roman"/>
      <w:b/>
      <w:sz w:val="21"/>
      <w:lang w:val="en-US" w:eastAsia="zh-CN" w:bidi="ar-SA"/>
    </w:rPr>
  </w:style>
  <w:style w:type="paragraph" w:customStyle="1" w:styleId="31">
    <w:name w:val="标准正文"/>
    <w:basedOn w:val="1"/>
    <w:autoRedefine/>
    <w:qFormat/>
    <w:uiPriority w:val="0"/>
    <w:pPr>
      <w:widowControl/>
      <w:ind w:firstLine="200" w:firstLineChars="200"/>
    </w:pPr>
    <w:rPr>
      <w:szCs w:val="20"/>
    </w:rPr>
  </w:style>
  <w:style w:type="paragraph" w:customStyle="1" w:styleId="32">
    <w:name w:val="标准表内文字"/>
    <w:basedOn w:val="1"/>
    <w:autoRedefine/>
    <w:qFormat/>
    <w:uiPriority w:val="0"/>
    <w:pPr>
      <w:adjustRightInd w:val="0"/>
      <w:snapToGrid w:val="0"/>
      <w:jc w:val="center"/>
    </w:pPr>
    <w:rPr>
      <w:bCs/>
      <w:color w:val="000000"/>
      <w:kern w:val="18"/>
      <w:szCs w:val="20"/>
    </w:rPr>
  </w:style>
  <w:style w:type="paragraph" w:customStyle="1" w:styleId="33">
    <w:name w:val="0正文"/>
    <w:qFormat/>
    <w:uiPriority w:val="0"/>
    <w:pPr>
      <w:adjustRightInd w:val="0"/>
      <w:snapToGrid w:val="0"/>
      <w:spacing w:line="460" w:lineRule="exact"/>
      <w:ind w:firstLine="480" w:firstLineChars="200"/>
      <w:jc w:val="both"/>
    </w:pPr>
    <w:rPr>
      <w:rFonts w:ascii="Times New Roman" w:hAnsi="Times New Roman" w:eastAsia="宋体" w:cs="Arial"/>
      <w:snapToGrid w:val="0"/>
      <w:color w:val="000000"/>
      <w:sz w:val="24"/>
      <w:szCs w:val="21"/>
      <w:lang w:val="en-US" w:eastAsia="zh-CN" w:bidi="en-US"/>
    </w:rPr>
  </w:style>
  <w:style w:type="paragraph" w:customStyle="1" w:styleId="34">
    <w:name w:val="0表内"/>
    <w:qFormat/>
    <w:uiPriority w:val="0"/>
    <w:pPr>
      <w:adjustRightInd w:val="0"/>
      <w:snapToGrid w:val="0"/>
      <w:jc w:val="center"/>
    </w:pPr>
    <w:rPr>
      <w:rFonts w:ascii="Times New Roman" w:hAnsi="Times New Roman" w:eastAsia="宋体" w:cs="Arial"/>
      <w:bCs/>
      <w:snapToGrid w:val="0"/>
      <w:color w:val="000000"/>
      <w:sz w:val="18"/>
      <w:szCs w:val="21"/>
      <w:lang w:val="zh-CN" w:eastAsia="zh-CN" w:bidi="ar-SA"/>
    </w:rPr>
  </w:style>
  <w:style w:type="paragraph" w:customStyle="1" w:styleId="35">
    <w:name w:val="0表头"/>
    <w:basedOn w:val="1"/>
    <w:qFormat/>
    <w:uiPriority w:val="0"/>
    <w:pPr>
      <w:spacing w:line="460" w:lineRule="exact"/>
      <w:jc w:val="center"/>
    </w:pPr>
    <w:rPr>
      <w:rFonts w:eastAsiaTheme="minorEastAsia"/>
      <w:b/>
    </w:rPr>
  </w:style>
  <w:style w:type="character" w:customStyle="1" w:styleId="36">
    <w:name w:val="批注文字 字符"/>
    <w:basedOn w:val="20"/>
    <w:link w:val="7"/>
    <w:qFormat/>
    <w:uiPriority w:val="0"/>
    <w:rPr>
      <w:kern w:val="2"/>
      <w:sz w:val="24"/>
      <w:szCs w:val="24"/>
    </w:rPr>
  </w:style>
  <w:style w:type="character" w:customStyle="1" w:styleId="37">
    <w:name w:val="批注主题 字符"/>
    <w:basedOn w:val="36"/>
    <w:link w:val="17"/>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9.wmf"/><Relationship Id="rId37" Type="http://schemas.openxmlformats.org/officeDocument/2006/relationships/oleObject" Target="embeddings/oleObject4.bin"/><Relationship Id="rId36" Type="http://schemas.openxmlformats.org/officeDocument/2006/relationships/image" Target="media/image18.wmf"/><Relationship Id="rId35" Type="http://schemas.openxmlformats.org/officeDocument/2006/relationships/oleObject" Target="embeddings/oleObject3.bin"/><Relationship Id="rId34" Type="http://schemas.openxmlformats.org/officeDocument/2006/relationships/image" Target="media/image17.wmf"/><Relationship Id="rId33" Type="http://schemas.openxmlformats.org/officeDocument/2006/relationships/oleObject" Target="embeddings/oleObject2.bin"/><Relationship Id="rId32" Type="http://schemas.openxmlformats.org/officeDocument/2006/relationships/image" Target="media/image16.wmf"/><Relationship Id="rId31" Type="http://schemas.openxmlformats.org/officeDocument/2006/relationships/oleObject" Target="embeddings/oleObject1.bin"/><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file:///C:\Users\&#26446;&#38738;&#38738;\AppData\Roaming\Tencent\Users\403002229\QQ\WinTemp\RichOle\030%2525252525252525252525252525252525252525252525252525252525252525252525252525252525252525252525252525252525252525252525252525252525252525252525252525252525252525252525252525252525252525252525252525252525252525252525252525UR9BYU3GM772(UBEC80.png" TargetMode="Externa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I4NDc3NzY1NzIxIiwKCSJHcm91cElkIiA6ICIxMjM4MDY5Nzc1IiwKCSJJbWFnZSIgOiAiaVZCT1J3MEtHZ29BQUFBTlNVaEVVZ0FBQmFvQUFBTkRDQVlBQUFCTWdpZ1hBQUFBQVhOU1IwSUFyczRjNlFBQUlBQkpSRUZVZUp6czNYbDRsTlhaeC9IZmVXWkNTRmdDQ0FvYTJRU0JsQ3dUUkVSckViZGFiRjJxdGxXeGxwYWkyT3JyOG1xcFZsdlFpcGJpUXF1eUtJaFZjYUVvYU1YU0Y2aEVwUWpKSkFIREZqVmdXQVFVd3BadDVqbnZIMlRTeWI2d1RKYnY1N3E0TW5QVyt3eVpKOG1kay9O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Vk5ei9BV3JkVUhPSWJjbjRBQUFBQUVsRlRrU3VRbUNDIiwKCSJUaGVtZSIgOiAiIiwKCSJUeXBlIiA6ICJmbG93IiwKCSJWZXJzaW9uIiA6ICIiCn0K"/>
    </extobj>
    <extobj name="ECB019B1-382A-4266-B25C-5B523AA43C14-2">
      <extobjdata type="ECB019B1-382A-4266-B25C-5B523AA43C14" data="ewoJIkZpbGVJZCIgOiAiMjkwMzgwNTM5Mjg4IiwKCSJHcm91cElkIiA6ICIxMjM4MDY5Nzc1IiwKCSJJbWFnZSIgOiAiaVZCT1J3MEtHZ29BQUFBTlNVaEVVZ0FBQS9ZQUFBRXlDQVlBQUFCUS9rdmZBQUFBQVhOU1IwSUFyczRjNlFBQUlBQkpSRUZVZUp6czNYbGdWTlhkLy9IUHVUTmtZUWRGRktQR0NpS1JoTGszTGxRZXExaXRMUzF1V0t1SVMvMjVZOUdxand0cUZiV2lLQ0p1MWFLaXVLRlMxMXAzY0YvSnpDUklGS1VTRVJGd1lRdGtZZWFlM3g4azgyU1pnYkRJWkpMMzZ4OHo1NTU3N3ZjR2MrWjg3M0tP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vRWZwL2tCaG5OQm5IclRvQUFBQUFTVVZPUks1Q1lJST0iLAoJIlRoZW1lIiA6ICIiLAoJIlR5cGUiIDogImZsb3ciLAoJIlZlcnNpb24iIDogIiIKfQo="/>
    </extobj>
    <extobj name="ECB019B1-382A-4266-B25C-5B523AA43C14-3">
      <extobjdata type="ECB019B1-382A-4266-B25C-5B523AA43C14" data="ewoJIkZpbGVJZCIgOiAiMjkwNDM5NzY1NjE0IiwKCSJHcm91cElkIiA6ICIxMjM4MDY5Nzc1IiwKCSJJbWFnZSIgOiAiaVZCT1J3MEtHZ29BQUFBTlNVaEVVZ0FBQS9ZQUFBR0JDQVlBQUFETW9Db0VBQUFBQVhOU1IwSUFyczRjNlFBQUlBQkpSRUZVZUp6czNYbDhWTlg5Ly9IM3VUUFoySVNJZ0lvWUZRUWlKRE1UYTFWcXYyS2g3Z3RTYTZ0U045d3F3cS9XVXRlNkwxaVJMOVM2SW9MTHQ2SlVxM1V2cUlpN0pqTUVSRkdFUUJFaFVyWUVzczNjOC9zam1Xa21tWkJBQXBNSnIrZmo0WVBNdVdmdS9ZeVF6OXpQdmVlZUl3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XlQdi9hbHl5aXhJemFMb0FBQUFBU1VWT1JLNUNZSUk9IiwKCSJUaGVtZSIgOiAiIiwKCSJUeXBlIiA6ICJmbG93IiwKCSJWZXJzaW9uIiA6ICIiCn0K"/>
    </extobj>
    <extobj name="ECB019B1-382A-4266-B25C-5B523AA43C14-4">
      <extobjdata type="ECB019B1-382A-4266-B25C-5B523AA43C14" data="ewoJIkZpbGVJZCIgOiAiMjk4MjYxMTc1NTI0IiwKCSJHcm91cElkIiA6ICIxMjM4MDY5Nzc1IiwKCSJJbWFnZSIgOiAiaVZCT1J3MEtHZ29BQUFBTlNVaEVVZ0FBQlZZQUFBSHRDQVlBQUFEeWV5VzNBQUFBQVhOU1IwSUFyczRjNlFBQUlBQkpSRUZVZUp6czNYbDBGRlhleHZHbjBwMlZKQVRDWmxnTXNrZTJJSWdnTUtBSWlvcWdHSllCWlpGdDBBRVZKUXdJTDR1Z2dCeGdXRVFFbFYxZU5nTW9pd1F4b0tBZ0tnaWpiQWs3SkFvSkNkbTZVKzhmdlBUUVpDRU53U2J4K3puSFkrcldyVnUvS2srZDB6N25WbDB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U12ZS9UWVVZZDkxQ3o0TUFBQUFBU1VWT1JLNUNZSUk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47744</Words>
  <Characters>53418</Characters>
  <Lines>443</Lines>
  <Paragraphs>124</Paragraphs>
  <TotalTime>19</TotalTime>
  <ScaleCrop>false</ScaleCrop>
  <LinksUpToDate>false</LinksUpToDate>
  <CharactersWithSpaces>53765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2024-03-28T02:53:00Z</dcterms:created>
  <dc:creator>盐汽水</dc:creator>
  <cp:lastModifiedBy>盐汽水</cp:lastModifiedBy>
  <cp:lastPrinted>2024-09-30T08:36:00Z</cp:lastPrinted>
  <dcterms:modified xsi:type="dcterms:W3CDTF">2024-10-12T08:43:41Z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06EEC6CA244342B0A7332015FC28F1E8_13</vt:lpwstr>
  </property>
</Properties>
</file>