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0057BD">
      <w:pPr>
        <w:pStyle w:val="3"/>
        <w:ind w:firstLine="0" w:firstLineChars="0"/>
        <w:rPr>
          <w:color w:val="auto"/>
          <w:highlight w:val="none"/>
        </w:rPr>
      </w:pPr>
      <w:r>
        <w:rPr>
          <w:rFonts w:hint="eastAsia"/>
          <w:color w:val="auto"/>
          <w:highlight w:val="none"/>
        </w:rPr>
        <w:t>一</w:t>
      </w:r>
      <w:r>
        <w:rPr>
          <w:color w:val="auto"/>
          <w:highlight w:val="none"/>
        </w:rPr>
        <w:t>、建设项目基本情况</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2919"/>
        <w:gridCol w:w="1888"/>
        <w:gridCol w:w="3586"/>
      </w:tblGrid>
      <w:tr w14:paraId="3F216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301" w:type="dxa"/>
            <w:tcBorders>
              <w:tl2br w:val="nil"/>
              <w:tr2bl w:val="nil"/>
            </w:tcBorders>
            <w:vAlign w:val="center"/>
          </w:tcPr>
          <w:p w14:paraId="4BE8046B">
            <w:pPr>
              <w:spacing w:line="240" w:lineRule="auto"/>
              <w:ind w:firstLine="0" w:firstLineChars="0"/>
              <w:jc w:val="center"/>
              <w:rPr>
                <w:color w:val="auto"/>
                <w:highlight w:val="none"/>
              </w:rPr>
            </w:pPr>
            <w:r>
              <w:rPr>
                <w:rFonts w:hint="eastAsia"/>
                <w:color w:val="auto"/>
                <w:highlight w:val="none"/>
              </w:rPr>
              <w:t>项目名称</w:t>
            </w:r>
          </w:p>
        </w:tc>
        <w:tc>
          <w:tcPr>
            <w:tcW w:w="7980" w:type="dxa"/>
            <w:gridSpan w:val="3"/>
            <w:tcBorders>
              <w:tl2br w:val="nil"/>
              <w:tr2bl w:val="nil"/>
            </w:tcBorders>
            <w:vAlign w:val="center"/>
          </w:tcPr>
          <w:p w14:paraId="413FAD32">
            <w:pPr>
              <w:spacing w:line="240" w:lineRule="auto"/>
              <w:ind w:firstLine="0" w:firstLineChars="0"/>
              <w:jc w:val="center"/>
              <w:rPr>
                <w:color w:val="auto"/>
                <w:highlight w:val="none"/>
              </w:rPr>
            </w:pPr>
            <w:r>
              <w:rPr>
                <w:rFonts w:hint="eastAsia"/>
                <w:color w:val="auto"/>
                <w:highlight w:val="none"/>
                <w:lang w:eastAsia="zh-CN"/>
              </w:rPr>
              <w:t>EPP汽车零配件和EPS包装材料生产基地项目</w:t>
            </w:r>
          </w:p>
        </w:tc>
      </w:tr>
      <w:tr w14:paraId="3BD24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301" w:type="dxa"/>
            <w:tcBorders>
              <w:tl2br w:val="nil"/>
              <w:tr2bl w:val="nil"/>
            </w:tcBorders>
            <w:vAlign w:val="center"/>
          </w:tcPr>
          <w:p w14:paraId="2C5406A1">
            <w:pPr>
              <w:spacing w:line="240" w:lineRule="auto"/>
              <w:ind w:firstLine="0" w:firstLineChars="0"/>
              <w:jc w:val="center"/>
              <w:rPr>
                <w:color w:val="auto"/>
                <w:highlight w:val="none"/>
              </w:rPr>
            </w:pPr>
            <w:r>
              <w:rPr>
                <w:rFonts w:hint="eastAsia"/>
                <w:color w:val="auto"/>
                <w:highlight w:val="none"/>
              </w:rPr>
              <w:t>项目代码</w:t>
            </w:r>
          </w:p>
        </w:tc>
        <w:tc>
          <w:tcPr>
            <w:tcW w:w="7980" w:type="dxa"/>
            <w:gridSpan w:val="3"/>
            <w:tcBorders>
              <w:tl2br w:val="nil"/>
              <w:tr2bl w:val="nil"/>
            </w:tcBorders>
            <w:vAlign w:val="center"/>
          </w:tcPr>
          <w:p w14:paraId="03106BED">
            <w:pPr>
              <w:bidi w:val="0"/>
              <w:jc w:val="center"/>
              <w:rPr>
                <w:rFonts w:hint="default" w:eastAsia="宋体"/>
                <w:color w:val="auto"/>
                <w:highlight w:val="none"/>
                <w:lang w:val="en-US" w:eastAsia="zh-CN"/>
              </w:rPr>
            </w:pPr>
            <w:r>
              <w:rPr>
                <w:lang w:val="en-US" w:eastAsia="zh-CN"/>
              </w:rPr>
              <w:t>2409-340461-04-01-808309</w:t>
            </w:r>
          </w:p>
        </w:tc>
      </w:tr>
      <w:tr w14:paraId="07D2B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01" w:type="dxa"/>
            <w:tcBorders>
              <w:tl2br w:val="nil"/>
              <w:tr2bl w:val="nil"/>
            </w:tcBorders>
            <w:vAlign w:val="center"/>
          </w:tcPr>
          <w:p w14:paraId="2D13B6C4">
            <w:pPr>
              <w:spacing w:line="240" w:lineRule="auto"/>
              <w:ind w:firstLine="0" w:firstLineChars="0"/>
              <w:jc w:val="center"/>
              <w:rPr>
                <w:color w:val="auto"/>
                <w:highlight w:val="none"/>
              </w:rPr>
            </w:pPr>
            <w:r>
              <w:rPr>
                <w:rFonts w:hint="eastAsia"/>
                <w:color w:val="auto"/>
                <w:highlight w:val="none"/>
              </w:rPr>
              <w:t>建设单位联系人</w:t>
            </w:r>
          </w:p>
        </w:tc>
        <w:tc>
          <w:tcPr>
            <w:tcW w:w="3127" w:type="dxa"/>
            <w:tcBorders>
              <w:tl2br w:val="nil"/>
              <w:tr2bl w:val="nil"/>
            </w:tcBorders>
            <w:vAlign w:val="center"/>
          </w:tcPr>
          <w:p w14:paraId="1F64B805">
            <w:pPr>
              <w:spacing w:line="240" w:lineRule="auto"/>
              <w:ind w:firstLine="0" w:firstLineChars="0"/>
              <w:jc w:val="center"/>
              <w:rPr>
                <w:rFonts w:hint="default" w:eastAsia="宋体"/>
                <w:color w:val="auto"/>
                <w:highlight w:val="none"/>
                <w:lang w:val="en-US" w:eastAsia="zh-CN"/>
              </w:rPr>
            </w:pPr>
            <w:r>
              <w:rPr>
                <w:rFonts w:hint="eastAsia"/>
                <w:color w:val="auto"/>
                <w:lang w:val="en-US" w:eastAsia="zh-CN"/>
              </w:rPr>
              <w:t>张玉辉</w:t>
            </w:r>
          </w:p>
        </w:tc>
        <w:tc>
          <w:tcPr>
            <w:tcW w:w="1375" w:type="dxa"/>
            <w:tcBorders>
              <w:tl2br w:val="nil"/>
              <w:tr2bl w:val="nil"/>
            </w:tcBorders>
            <w:vAlign w:val="center"/>
          </w:tcPr>
          <w:p w14:paraId="56E4BF03">
            <w:pPr>
              <w:spacing w:line="240" w:lineRule="auto"/>
              <w:ind w:firstLine="0" w:firstLineChars="0"/>
              <w:jc w:val="center"/>
              <w:rPr>
                <w:color w:val="auto"/>
                <w:highlight w:val="none"/>
              </w:rPr>
            </w:pPr>
            <w:r>
              <w:rPr>
                <w:rFonts w:hint="eastAsia" w:ascii="宋体" w:hAnsi="宋体" w:cs="宋体"/>
                <w:color w:val="auto"/>
              </w:rPr>
              <w:t>联系方式</w:t>
            </w:r>
          </w:p>
        </w:tc>
        <w:tc>
          <w:tcPr>
            <w:tcW w:w="3478" w:type="dxa"/>
            <w:tcBorders>
              <w:tl2br w:val="nil"/>
              <w:tr2bl w:val="nil"/>
            </w:tcBorders>
            <w:vAlign w:val="center"/>
          </w:tcPr>
          <w:p w14:paraId="2696E7FB">
            <w:pPr>
              <w:spacing w:line="240" w:lineRule="auto"/>
              <w:ind w:firstLine="0" w:firstLineChars="0"/>
              <w:jc w:val="center"/>
              <w:rPr>
                <w:rFonts w:hint="default" w:eastAsia="宋体"/>
                <w:color w:val="auto"/>
                <w:highlight w:val="none"/>
                <w:lang w:val="en-US" w:eastAsia="zh-CN"/>
              </w:rPr>
            </w:pPr>
            <w:r>
              <w:rPr>
                <w:rFonts w:hint="eastAsia"/>
                <w:color w:val="auto"/>
              </w:rPr>
              <w:t>13805546388</w:t>
            </w:r>
          </w:p>
        </w:tc>
      </w:tr>
      <w:tr w14:paraId="3DAC2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301" w:type="dxa"/>
            <w:tcBorders>
              <w:tl2br w:val="nil"/>
              <w:tr2bl w:val="nil"/>
            </w:tcBorders>
            <w:vAlign w:val="center"/>
          </w:tcPr>
          <w:p w14:paraId="04733DAC">
            <w:pPr>
              <w:spacing w:line="240" w:lineRule="auto"/>
              <w:ind w:firstLine="0" w:firstLineChars="0"/>
              <w:jc w:val="center"/>
              <w:rPr>
                <w:color w:val="auto"/>
                <w:highlight w:val="none"/>
              </w:rPr>
            </w:pPr>
            <w:r>
              <w:rPr>
                <w:rFonts w:hint="eastAsia"/>
                <w:color w:val="auto"/>
                <w:highlight w:val="none"/>
              </w:rPr>
              <w:t>建设地点</w:t>
            </w:r>
          </w:p>
        </w:tc>
        <w:tc>
          <w:tcPr>
            <w:tcW w:w="7980" w:type="dxa"/>
            <w:gridSpan w:val="3"/>
            <w:tcBorders>
              <w:tl2br w:val="nil"/>
              <w:tr2bl w:val="nil"/>
            </w:tcBorders>
            <w:vAlign w:val="center"/>
          </w:tcPr>
          <w:p w14:paraId="6B807212">
            <w:pPr>
              <w:spacing w:line="240" w:lineRule="auto"/>
              <w:ind w:firstLine="0" w:firstLineChars="0"/>
              <w:jc w:val="center"/>
              <w:rPr>
                <w:rFonts w:hint="default" w:eastAsia="宋体"/>
                <w:color w:val="auto"/>
                <w:highlight w:val="none"/>
                <w:lang w:val="en-US" w:eastAsia="zh-CN"/>
              </w:rPr>
            </w:pPr>
            <w:r>
              <w:rPr>
                <w:rFonts w:hint="eastAsia" w:ascii="Times New Roman" w:hAnsi="Times New Roman" w:eastAsia="宋体" w:cs="Times New Roman"/>
                <w:color w:val="auto"/>
                <w:highlight w:val="none"/>
              </w:rPr>
              <w:t>安徽淮南经济技术开发区</w:t>
            </w:r>
            <w:r>
              <w:rPr>
                <w:rFonts w:hint="eastAsia" w:ascii="Times New Roman" w:hAnsi="Times New Roman" w:eastAsia="宋体" w:cs="Times New Roman"/>
                <w:color w:val="auto"/>
                <w:highlight w:val="none"/>
                <w:lang w:val="en-US" w:eastAsia="zh-CN"/>
              </w:rPr>
              <w:t>吉兴路西侧3号</w:t>
            </w:r>
          </w:p>
        </w:tc>
      </w:tr>
      <w:tr w14:paraId="4E132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301" w:type="dxa"/>
            <w:tcBorders>
              <w:tl2br w:val="nil"/>
              <w:tr2bl w:val="nil"/>
            </w:tcBorders>
            <w:vAlign w:val="center"/>
          </w:tcPr>
          <w:p w14:paraId="1C240E8F">
            <w:pPr>
              <w:spacing w:line="240" w:lineRule="auto"/>
              <w:ind w:firstLine="0" w:firstLineChars="0"/>
              <w:jc w:val="center"/>
              <w:rPr>
                <w:color w:val="auto"/>
                <w:highlight w:val="none"/>
              </w:rPr>
            </w:pPr>
            <w:r>
              <w:rPr>
                <w:rFonts w:hint="eastAsia"/>
                <w:color w:val="auto"/>
                <w:highlight w:val="none"/>
              </w:rPr>
              <w:t>地理坐标</w:t>
            </w:r>
          </w:p>
        </w:tc>
        <w:tc>
          <w:tcPr>
            <w:tcW w:w="7980" w:type="dxa"/>
            <w:gridSpan w:val="3"/>
            <w:tcBorders>
              <w:tl2br w:val="nil"/>
              <w:tr2bl w:val="nil"/>
            </w:tcBorders>
            <w:vAlign w:val="center"/>
          </w:tcPr>
          <w:p w14:paraId="110F75C9">
            <w:pPr>
              <w:spacing w:line="240" w:lineRule="auto"/>
              <w:ind w:firstLine="0" w:firstLineChars="0"/>
              <w:jc w:val="center"/>
              <w:rPr>
                <w:rFonts w:hint="default"/>
                <w:color w:val="auto"/>
                <w:highlight w:val="none"/>
                <w:lang w:val="en-US"/>
              </w:rPr>
            </w:pPr>
            <w:r>
              <w:rPr>
                <w:rFonts w:hint="eastAsia"/>
                <w:color w:val="auto"/>
                <w:highlight w:val="none"/>
                <w:lang w:val="en-US" w:eastAsia="zh-CN"/>
              </w:rPr>
              <w:t>经度：</w:t>
            </w:r>
            <w:r>
              <w:rPr>
                <w:rFonts w:hint="default"/>
                <w:color w:val="auto"/>
                <w:highlight w:val="none"/>
                <w:lang w:val="en-US" w:eastAsia="zh-CN"/>
              </w:rPr>
              <w:t>11</w:t>
            </w:r>
            <w:r>
              <w:rPr>
                <w:rFonts w:hint="eastAsia"/>
                <w:color w:val="auto"/>
                <w:highlight w:val="none"/>
                <w:lang w:val="en-US" w:eastAsia="zh-CN"/>
              </w:rPr>
              <w:t>7度4分56.734秒</w:t>
            </w:r>
            <w:r>
              <w:rPr>
                <w:rFonts w:hint="eastAsia"/>
                <w:color w:val="auto"/>
                <w:highlight w:val="none"/>
              </w:rPr>
              <w:t>，</w:t>
            </w:r>
            <w:r>
              <w:rPr>
                <w:rFonts w:hint="eastAsia"/>
                <w:color w:val="auto"/>
                <w:highlight w:val="none"/>
                <w:lang w:val="en-US" w:eastAsia="zh-CN"/>
              </w:rPr>
              <w:t>纬度：</w:t>
            </w:r>
            <w:r>
              <w:rPr>
                <w:rFonts w:hint="default"/>
                <w:color w:val="auto"/>
                <w:highlight w:val="none"/>
                <w:lang w:val="en-US" w:eastAsia="zh-CN"/>
              </w:rPr>
              <w:t>32</w:t>
            </w:r>
            <w:r>
              <w:rPr>
                <w:rFonts w:hint="eastAsia"/>
                <w:color w:val="auto"/>
                <w:highlight w:val="none"/>
                <w:lang w:val="en-US" w:eastAsia="zh-CN"/>
              </w:rPr>
              <w:t>度</w:t>
            </w:r>
            <w:r>
              <w:rPr>
                <w:rFonts w:hint="default"/>
                <w:color w:val="auto"/>
                <w:highlight w:val="none"/>
                <w:lang w:val="en-US" w:eastAsia="zh-CN"/>
              </w:rPr>
              <w:t>3</w:t>
            </w:r>
            <w:r>
              <w:rPr>
                <w:rFonts w:hint="eastAsia"/>
                <w:color w:val="auto"/>
                <w:highlight w:val="none"/>
                <w:lang w:val="en-US" w:eastAsia="zh-CN"/>
              </w:rPr>
              <w:t>8分23.849秒</w:t>
            </w:r>
          </w:p>
        </w:tc>
      </w:tr>
      <w:tr w14:paraId="4BAE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01" w:type="dxa"/>
            <w:tcBorders>
              <w:tl2br w:val="nil"/>
              <w:tr2bl w:val="nil"/>
            </w:tcBorders>
            <w:vAlign w:val="center"/>
          </w:tcPr>
          <w:p w14:paraId="20D68A06">
            <w:pPr>
              <w:spacing w:line="240" w:lineRule="auto"/>
              <w:ind w:firstLine="0" w:firstLineChars="0"/>
              <w:jc w:val="center"/>
              <w:rPr>
                <w:color w:val="auto"/>
                <w:highlight w:val="none"/>
              </w:rPr>
            </w:pPr>
            <w:r>
              <w:rPr>
                <w:rFonts w:hint="eastAsia"/>
                <w:color w:val="auto"/>
                <w:highlight w:val="none"/>
              </w:rPr>
              <w:t>国民经济行业类别</w:t>
            </w:r>
          </w:p>
        </w:tc>
        <w:tc>
          <w:tcPr>
            <w:tcW w:w="3127" w:type="dxa"/>
            <w:tcBorders>
              <w:tl2br w:val="nil"/>
              <w:tr2bl w:val="nil"/>
            </w:tcBorders>
            <w:vAlign w:val="center"/>
          </w:tcPr>
          <w:p w14:paraId="01C18B40">
            <w:pPr>
              <w:bidi w:val="0"/>
              <w:ind w:left="0" w:leftChars="0" w:firstLine="0" w:firstLineChars="0"/>
              <w:rPr>
                <w:rFonts w:hint="default" w:eastAsia="宋体"/>
                <w:color w:val="auto"/>
                <w:highlight w:val="none"/>
                <w:lang w:val="en-US" w:eastAsia="zh-CN"/>
              </w:rPr>
            </w:pPr>
            <w:r>
              <w:rPr>
                <w:color w:val="auto"/>
                <w:highlight w:val="none"/>
              </w:rPr>
              <w:t>C29</w:t>
            </w:r>
            <w:r>
              <w:rPr>
                <w:rFonts w:hint="eastAsia"/>
                <w:color w:val="auto"/>
                <w:highlight w:val="none"/>
                <w:lang w:val="en-US" w:eastAsia="zh-CN"/>
              </w:rPr>
              <w:t>29</w:t>
            </w:r>
            <w:r>
              <w:rPr>
                <w:rFonts w:hint="eastAsia"/>
                <w:color w:val="auto"/>
                <w:highlight w:val="none"/>
              </w:rPr>
              <w:t xml:space="preserve"> </w:t>
            </w:r>
            <w:r>
              <w:rPr>
                <w:rFonts w:hint="eastAsia" w:ascii="宋体" w:hAnsi="宋体" w:cs="宋体"/>
                <w:color w:val="auto"/>
                <w:kern w:val="0"/>
                <w:highlight w:val="none"/>
                <w:lang w:val="en-US" w:eastAsia="zh-CN"/>
              </w:rPr>
              <w:t xml:space="preserve">塑料零件及其他塑料制品制造 </w:t>
            </w:r>
            <w:r>
              <w:rPr>
                <w:color w:val="auto"/>
              </w:rPr>
              <w:t>C2924</w:t>
            </w:r>
            <w:r>
              <w:rPr>
                <w:rFonts w:hint="eastAsia"/>
                <w:color w:val="auto"/>
              </w:rPr>
              <w:t xml:space="preserve"> </w:t>
            </w:r>
            <w:r>
              <w:rPr>
                <w:rFonts w:hint="eastAsia" w:ascii="宋体" w:hAnsi="宋体" w:cs="宋体"/>
                <w:color w:val="auto"/>
                <w:kern w:val="0"/>
              </w:rPr>
              <w:t>泡沫塑料制造</w:t>
            </w:r>
          </w:p>
        </w:tc>
        <w:tc>
          <w:tcPr>
            <w:tcW w:w="1375" w:type="dxa"/>
            <w:tcBorders>
              <w:tl2br w:val="nil"/>
              <w:tr2bl w:val="nil"/>
            </w:tcBorders>
            <w:vAlign w:val="center"/>
          </w:tcPr>
          <w:p w14:paraId="26C8555A">
            <w:pPr>
              <w:spacing w:line="240" w:lineRule="auto"/>
              <w:ind w:firstLine="0" w:firstLineChars="0"/>
              <w:jc w:val="center"/>
              <w:rPr>
                <w:color w:val="auto"/>
                <w:highlight w:val="none"/>
              </w:rPr>
            </w:pPr>
            <w:r>
              <w:rPr>
                <w:rFonts w:hint="eastAsia"/>
                <w:color w:val="auto"/>
                <w:highlight w:val="none"/>
              </w:rPr>
              <w:t>建设项目行业类别</w:t>
            </w:r>
          </w:p>
        </w:tc>
        <w:tc>
          <w:tcPr>
            <w:tcW w:w="3478" w:type="dxa"/>
            <w:tcBorders>
              <w:tl2br w:val="nil"/>
              <w:tr2bl w:val="nil"/>
            </w:tcBorders>
            <w:vAlign w:val="center"/>
          </w:tcPr>
          <w:p w14:paraId="2A820811">
            <w:pPr>
              <w:spacing w:line="240" w:lineRule="auto"/>
              <w:ind w:firstLine="0" w:firstLineChars="0"/>
              <w:rPr>
                <w:rFonts w:hint="default" w:eastAsia="宋体"/>
                <w:color w:val="auto"/>
                <w:highlight w:val="none"/>
                <w:lang w:val="en-US" w:eastAsia="zh-CN"/>
              </w:rPr>
            </w:pPr>
            <w:r>
              <w:rPr>
                <w:rFonts w:hint="eastAsia" w:ascii="宋体" w:hAnsi="宋体" w:cs="宋体"/>
                <w:color w:val="auto"/>
                <w:kern w:val="0"/>
              </w:rPr>
              <w:t>二十六-橡胶和塑料制品业-</w:t>
            </w:r>
            <w:r>
              <w:rPr>
                <w:rFonts w:hint="eastAsia"/>
                <w:color w:val="auto"/>
              </w:rPr>
              <w:t>53</w:t>
            </w:r>
            <w:r>
              <w:rPr>
                <w:rFonts w:hint="eastAsia" w:ascii="宋体" w:hAnsi="宋体" w:cs="宋体"/>
                <w:color w:val="auto"/>
                <w:kern w:val="0"/>
              </w:rPr>
              <w:t>塑料制品业-其他</w:t>
            </w:r>
          </w:p>
        </w:tc>
      </w:tr>
      <w:tr w14:paraId="1F910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1" w:type="dxa"/>
            <w:tcBorders>
              <w:tl2br w:val="nil"/>
              <w:tr2bl w:val="nil"/>
            </w:tcBorders>
            <w:vAlign w:val="center"/>
          </w:tcPr>
          <w:p w14:paraId="668C37A6">
            <w:pPr>
              <w:spacing w:line="240" w:lineRule="auto"/>
              <w:ind w:firstLine="0" w:firstLineChars="0"/>
              <w:jc w:val="center"/>
              <w:rPr>
                <w:color w:val="auto"/>
                <w:highlight w:val="none"/>
              </w:rPr>
            </w:pPr>
            <w:r>
              <w:rPr>
                <w:rFonts w:hint="eastAsia"/>
                <w:color w:val="auto"/>
                <w:highlight w:val="none"/>
              </w:rPr>
              <w:t>建设性质</w:t>
            </w:r>
          </w:p>
        </w:tc>
        <w:tc>
          <w:tcPr>
            <w:tcW w:w="3127" w:type="dxa"/>
            <w:tcBorders>
              <w:tl2br w:val="nil"/>
              <w:tr2bl w:val="nil"/>
            </w:tcBorders>
            <w:vAlign w:val="center"/>
          </w:tcPr>
          <w:p w14:paraId="7269E9D6">
            <w:pPr>
              <w:spacing w:line="240" w:lineRule="auto"/>
              <w:ind w:firstLine="0" w:firstLineChars="0"/>
              <w:rPr>
                <w:color w:val="auto"/>
                <w:highlight w:val="none"/>
              </w:rPr>
            </w:pPr>
            <w:r>
              <w:rPr>
                <w:rFonts w:hint="eastAsia"/>
                <w:color w:val="auto"/>
                <w:highlight w:val="none"/>
                <w:lang w:eastAsia="zh-CN"/>
              </w:rPr>
              <w:t>☑</w:t>
            </w:r>
            <w:r>
              <w:rPr>
                <w:rFonts w:hint="eastAsia"/>
                <w:color w:val="auto"/>
                <w:highlight w:val="none"/>
              </w:rPr>
              <w:t>新建（迁建）</w:t>
            </w:r>
          </w:p>
          <w:p w14:paraId="7381BB3D">
            <w:pPr>
              <w:spacing w:line="240" w:lineRule="auto"/>
              <w:ind w:firstLine="0" w:firstLineChars="0"/>
              <w:rPr>
                <w:color w:val="auto"/>
                <w:highlight w:val="none"/>
              </w:rPr>
            </w:pPr>
            <w:r>
              <w:rPr>
                <w:rFonts w:hint="eastAsia"/>
                <w:color w:val="auto"/>
                <w:highlight w:val="none"/>
              </w:rPr>
              <w:t>□改建</w:t>
            </w:r>
          </w:p>
          <w:p w14:paraId="2D0A97AE">
            <w:pPr>
              <w:spacing w:line="240" w:lineRule="auto"/>
              <w:ind w:firstLine="0" w:firstLineChars="0"/>
              <w:rPr>
                <w:color w:val="auto"/>
                <w:highlight w:val="none"/>
              </w:rPr>
            </w:pPr>
            <w:r>
              <w:rPr>
                <w:rFonts w:hint="eastAsia"/>
                <w:color w:val="auto"/>
                <w:highlight w:val="none"/>
                <w:lang w:eastAsia="zh-CN"/>
              </w:rPr>
              <w:t>□</w:t>
            </w:r>
            <w:r>
              <w:rPr>
                <w:rFonts w:hint="eastAsia"/>
                <w:color w:val="auto"/>
                <w:highlight w:val="none"/>
              </w:rPr>
              <w:t>扩建</w:t>
            </w:r>
          </w:p>
          <w:p w14:paraId="5AE1A9B0">
            <w:pPr>
              <w:spacing w:line="240" w:lineRule="auto"/>
              <w:ind w:firstLine="0" w:firstLineChars="0"/>
              <w:rPr>
                <w:color w:val="auto"/>
                <w:highlight w:val="none"/>
              </w:rPr>
            </w:pPr>
            <w:r>
              <w:rPr>
                <w:rFonts w:hint="eastAsia"/>
                <w:color w:val="auto"/>
                <w:highlight w:val="none"/>
                <w:lang w:eastAsia="zh-CN"/>
              </w:rPr>
              <w:t>□</w:t>
            </w:r>
            <w:r>
              <w:rPr>
                <w:rFonts w:hint="eastAsia"/>
                <w:color w:val="auto"/>
                <w:highlight w:val="none"/>
              </w:rPr>
              <w:t>技术改造</w:t>
            </w:r>
          </w:p>
        </w:tc>
        <w:tc>
          <w:tcPr>
            <w:tcW w:w="1375" w:type="dxa"/>
            <w:tcBorders>
              <w:tl2br w:val="nil"/>
              <w:tr2bl w:val="nil"/>
            </w:tcBorders>
            <w:vAlign w:val="center"/>
          </w:tcPr>
          <w:p w14:paraId="74D84F98">
            <w:pPr>
              <w:spacing w:line="240" w:lineRule="auto"/>
              <w:ind w:firstLine="0" w:firstLineChars="0"/>
              <w:jc w:val="center"/>
              <w:rPr>
                <w:color w:val="auto"/>
                <w:highlight w:val="none"/>
              </w:rPr>
            </w:pPr>
            <w:r>
              <w:rPr>
                <w:rFonts w:hint="eastAsia"/>
                <w:color w:val="auto"/>
                <w:highlight w:val="none"/>
              </w:rPr>
              <w:t>建设项目申报情形</w:t>
            </w:r>
          </w:p>
        </w:tc>
        <w:tc>
          <w:tcPr>
            <w:tcW w:w="3478" w:type="dxa"/>
            <w:tcBorders>
              <w:tl2br w:val="nil"/>
              <w:tr2bl w:val="nil"/>
            </w:tcBorders>
            <w:vAlign w:val="center"/>
          </w:tcPr>
          <w:p w14:paraId="0B5B0DED">
            <w:pPr>
              <w:spacing w:before="82" w:line="240" w:lineRule="auto"/>
              <w:ind w:firstLine="0" w:firstLineChars="0"/>
              <w:rPr>
                <w:rFonts w:ascii="宋体" w:hAnsi="宋体"/>
                <w:color w:val="auto"/>
                <w:highlight w:val="none"/>
              </w:rPr>
            </w:pPr>
            <w:r>
              <w:rPr>
                <w:rFonts w:hint="eastAsia"/>
                <w:color w:val="auto"/>
                <w:highlight w:val="none"/>
              </w:rPr>
              <w:t>☑</w:t>
            </w:r>
            <w:r>
              <w:rPr>
                <w:rFonts w:hint="eastAsia" w:ascii="宋体" w:hAnsi="宋体"/>
                <w:color w:val="auto"/>
                <w:highlight w:val="none"/>
              </w:rPr>
              <w:t>首次申报项目</w:t>
            </w:r>
          </w:p>
          <w:p w14:paraId="6C9DC01E">
            <w:pPr>
              <w:spacing w:before="5" w:line="240" w:lineRule="auto"/>
              <w:ind w:left="247" w:leftChars="3" w:hanging="240" w:hangingChars="100"/>
              <w:rPr>
                <w:rFonts w:ascii="宋体" w:hAnsi="宋体"/>
                <w:color w:val="auto"/>
                <w:highlight w:val="none"/>
              </w:rPr>
            </w:pPr>
            <w:r>
              <w:rPr>
                <w:rFonts w:hint="eastAsia"/>
                <w:color w:val="auto"/>
                <w:highlight w:val="none"/>
              </w:rPr>
              <w:t>□</w:t>
            </w:r>
            <w:r>
              <w:rPr>
                <w:rFonts w:hint="eastAsia" w:ascii="宋体" w:hAnsi="宋体"/>
                <w:color w:val="auto"/>
                <w:highlight w:val="none"/>
              </w:rPr>
              <w:t>不予批准后再次申报项目</w:t>
            </w:r>
          </w:p>
          <w:p w14:paraId="4BE58262">
            <w:pPr>
              <w:tabs>
                <w:tab w:val="left" w:pos="198"/>
              </w:tabs>
              <w:spacing w:before="2" w:line="240" w:lineRule="auto"/>
              <w:ind w:firstLine="0" w:firstLineChars="0"/>
              <w:rPr>
                <w:rFonts w:ascii="宋体" w:hAnsi="宋体"/>
                <w:color w:val="auto"/>
                <w:highlight w:val="none"/>
              </w:rPr>
            </w:pPr>
            <w:r>
              <w:rPr>
                <w:rFonts w:hint="eastAsia"/>
                <w:color w:val="auto"/>
                <w:highlight w:val="none"/>
              </w:rPr>
              <w:t>□</w:t>
            </w:r>
            <w:r>
              <w:rPr>
                <w:rFonts w:hint="eastAsia" w:ascii="宋体" w:hAnsi="宋体"/>
                <w:color w:val="auto"/>
                <w:spacing w:val="-3"/>
                <w:highlight w:val="none"/>
              </w:rPr>
              <w:t>超五年重新审核项目</w:t>
            </w:r>
          </w:p>
          <w:p w14:paraId="34045777">
            <w:pPr>
              <w:spacing w:before="5" w:line="240" w:lineRule="auto"/>
              <w:ind w:firstLine="0" w:firstLineChars="0"/>
              <w:rPr>
                <w:rFonts w:ascii="宋体" w:hAnsi="宋体"/>
                <w:color w:val="auto"/>
                <w:highlight w:val="none"/>
              </w:rPr>
            </w:pPr>
            <w:r>
              <w:rPr>
                <w:rFonts w:hint="eastAsia"/>
                <w:color w:val="auto"/>
                <w:highlight w:val="none"/>
              </w:rPr>
              <w:t>□</w:t>
            </w:r>
            <w:r>
              <w:rPr>
                <w:rFonts w:hint="eastAsia" w:ascii="宋体" w:hAnsi="宋体"/>
                <w:color w:val="auto"/>
                <w:highlight w:val="none"/>
              </w:rPr>
              <w:t>重大变动重新报批项目</w:t>
            </w:r>
          </w:p>
        </w:tc>
      </w:tr>
      <w:tr w14:paraId="6437F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01" w:type="dxa"/>
            <w:tcBorders>
              <w:tl2br w:val="nil"/>
              <w:tr2bl w:val="nil"/>
            </w:tcBorders>
            <w:vAlign w:val="center"/>
          </w:tcPr>
          <w:p w14:paraId="6796362A">
            <w:pPr>
              <w:spacing w:line="240" w:lineRule="auto"/>
              <w:ind w:firstLine="0" w:firstLineChars="0"/>
              <w:jc w:val="center"/>
              <w:rPr>
                <w:color w:val="auto"/>
                <w:highlight w:val="none"/>
              </w:rPr>
            </w:pPr>
            <w:r>
              <w:rPr>
                <w:rFonts w:hint="eastAsia"/>
                <w:color w:val="auto"/>
                <w:highlight w:val="none"/>
              </w:rPr>
              <w:t>项目审批（核准/备案）部门</w:t>
            </w:r>
          </w:p>
        </w:tc>
        <w:tc>
          <w:tcPr>
            <w:tcW w:w="3127" w:type="dxa"/>
            <w:tcBorders>
              <w:tl2br w:val="nil"/>
              <w:tr2bl w:val="nil"/>
            </w:tcBorders>
            <w:vAlign w:val="center"/>
          </w:tcPr>
          <w:p w14:paraId="68BDCCB5">
            <w:pPr>
              <w:spacing w:line="240" w:lineRule="auto"/>
              <w:ind w:firstLine="0" w:firstLineChars="0"/>
              <w:jc w:val="center"/>
              <w:rPr>
                <w:color w:val="auto"/>
                <w:highlight w:val="none"/>
              </w:rPr>
            </w:pPr>
            <w:r>
              <w:rPr>
                <w:rFonts w:hint="eastAsia"/>
                <w:color w:val="auto"/>
                <w:highlight w:val="none"/>
              </w:rPr>
              <w:t>淮南经济技术开发区管理委员会</w:t>
            </w:r>
          </w:p>
        </w:tc>
        <w:tc>
          <w:tcPr>
            <w:tcW w:w="1375" w:type="dxa"/>
            <w:tcBorders>
              <w:tl2br w:val="nil"/>
              <w:tr2bl w:val="nil"/>
            </w:tcBorders>
            <w:vAlign w:val="center"/>
          </w:tcPr>
          <w:p w14:paraId="07901067">
            <w:pPr>
              <w:spacing w:line="240" w:lineRule="auto"/>
              <w:ind w:firstLine="0" w:firstLineChars="0"/>
              <w:jc w:val="center"/>
              <w:rPr>
                <w:color w:val="auto"/>
                <w:highlight w:val="none"/>
              </w:rPr>
            </w:pPr>
            <w:r>
              <w:rPr>
                <w:rFonts w:hint="eastAsia"/>
                <w:color w:val="auto"/>
                <w:highlight w:val="none"/>
              </w:rPr>
              <w:t>项目审批（核准/备案）文号</w:t>
            </w:r>
          </w:p>
        </w:tc>
        <w:tc>
          <w:tcPr>
            <w:tcW w:w="3478" w:type="dxa"/>
            <w:tcBorders>
              <w:tl2br w:val="nil"/>
              <w:tr2bl w:val="nil"/>
            </w:tcBorders>
            <w:vAlign w:val="center"/>
          </w:tcPr>
          <w:p w14:paraId="5BB9EE83">
            <w:pPr>
              <w:spacing w:line="240" w:lineRule="auto"/>
              <w:ind w:firstLine="0" w:firstLineChars="0"/>
              <w:jc w:val="center"/>
              <w:rPr>
                <w:rFonts w:hint="eastAsia" w:eastAsia="宋体"/>
                <w:color w:val="auto"/>
                <w:highlight w:val="none"/>
                <w:lang w:eastAsia="zh-CN"/>
              </w:rPr>
            </w:pPr>
            <w:r>
              <w:rPr>
                <w:rFonts w:hint="eastAsia"/>
                <w:color w:val="auto"/>
                <w:highlight w:val="none"/>
                <w:lang w:val="en-US" w:eastAsia="zh-CN"/>
              </w:rPr>
              <w:t>/</w:t>
            </w:r>
          </w:p>
        </w:tc>
      </w:tr>
      <w:tr w14:paraId="269C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01" w:type="dxa"/>
            <w:tcBorders>
              <w:tl2br w:val="nil"/>
              <w:tr2bl w:val="nil"/>
            </w:tcBorders>
            <w:vAlign w:val="center"/>
          </w:tcPr>
          <w:p w14:paraId="5BD2D5FD">
            <w:pPr>
              <w:spacing w:line="240" w:lineRule="auto"/>
              <w:ind w:firstLine="0" w:firstLineChars="0"/>
              <w:jc w:val="center"/>
              <w:rPr>
                <w:color w:val="auto"/>
                <w:highlight w:val="none"/>
              </w:rPr>
            </w:pPr>
            <w:r>
              <w:rPr>
                <w:rFonts w:hint="eastAsia"/>
                <w:color w:val="auto"/>
                <w:highlight w:val="none"/>
              </w:rPr>
              <w:t>总投资</w:t>
            </w:r>
          </w:p>
          <w:p w14:paraId="29E4EAE8">
            <w:pPr>
              <w:spacing w:line="240" w:lineRule="auto"/>
              <w:ind w:firstLine="0" w:firstLineChars="0"/>
              <w:jc w:val="center"/>
              <w:rPr>
                <w:color w:val="auto"/>
                <w:highlight w:val="none"/>
              </w:rPr>
            </w:pPr>
            <w:r>
              <w:rPr>
                <w:rFonts w:hint="eastAsia"/>
                <w:color w:val="auto"/>
                <w:highlight w:val="none"/>
              </w:rPr>
              <w:t>（万元）</w:t>
            </w:r>
          </w:p>
        </w:tc>
        <w:tc>
          <w:tcPr>
            <w:tcW w:w="3127" w:type="dxa"/>
            <w:tcBorders>
              <w:tl2br w:val="nil"/>
              <w:tr2bl w:val="nil"/>
            </w:tcBorders>
            <w:vAlign w:val="center"/>
          </w:tcPr>
          <w:p w14:paraId="35749066">
            <w:pPr>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5000</w:t>
            </w:r>
          </w:p>
        </w:tc>
        <w:tc>
          <w:tcPr>
            <w:tcW w:w="1375" w:type="dxa"/>
            <w:tcBorders>
              <w:tl2br w:val="nil"/>
              <w:tr2bl w:val="nil"/>
            </w:tcBorders>
            <w:vAlign w:val="center"/>
          </w:tcPr>
          <w:p w14:paraId="3DF2B533">
            <w:pPr>
              <w:spacing w:line="240" w:lineRule="auto"/>
              <w:ind w:firstLine="0" w:firstLineChars="0"/>
              <w:jc w:val="center"/>
              <w:rPr>
                <w:color w:val="auto"/>
                <w:highlight w:val="none"/>
              </w:rPr>
            </w:pPr>
            <w:r>
              <w:rPr>
                <w:rFonts w:hint="eastAsia"/>
                <w:color w:val="auto"/>
                <w:highlight w:val="none"/>
              </w:rPr>
              <w:t>环保投资</w:t>
            </w:r>
          </w:p>
          <w:p w14:paraId="43F9C476">
            <w:pPr>
              <w:spacing w:line="240" w:lineRule="auto"/>
              <w:ind w:firstLine="0" w:firstLineChars="0"/>
              <w:jc w:val="center"/>
              <w:rPr>
                <w:color w:val="auto"/>
                <w:highlight w:val="none"/>
              </w:rPr>
            </w:pPr>
            <w:r>
              <w:rPr>
                <w:rFonts w:hint="eastAsia"/>
                <w:color w:val="auto"/>
                <w:highlight w:val="none"/>
              </w:rPr>
              <w:t>（万元）</w:t>
            </w:r>
          </w:p>
        </w:tc>
        <w:tc>
          <w:tcPr>
            <w:tcW w:w="3478" w:type="dxa"/>
            <w:tcBorders>
              <w:tl2br w:val="nil"/>
              <w:tr2bl w:val="nil"/>
            </w:tcBorders>
            <w:vAlign w:val="center"/>
          </w:tcPr>
          <w:p w14:paraId="6BF57182">
            <w:pPr>
              <w:spacing w:line="240" w:lineRule="auto"/>
              <w:ind w:firstLine="0" w:firstLineChars="0"/>
              <w:jc w:val="center"/>
              <w:rPr>
                <w:rFonts w:hint="default"/>
                <w:color w:val="auto"/>
                <w:highlight w:val="none"/>
                <w:lang w:val="en-US"/>
              </w:rPr>
            </w:pPr>
            <w:r>
              <w:rPr>
                <w:rFonts w:hint="eastAsia"/>
                <w:color w:val="auto"/>
                <w:highlight w:val="none"/>
                <w:lang w:val="en-US" w:eastAsia="zh-CN"/>
              </w:rPr>
              <w:t>30</w:t>
            </w:r>
          </w:p>
        </w:tc>
      </w:tr>
      <w:tr w14:paraId="2BA81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01" w:type="dxa"/>
            <w:tcBorders>
              <w:tl2br w:val="nil"/>
              <w:tr2bl w:val="nil"/>
            </w:tcBorders>
            <w:vAlign w:val="center"/>
          </w:tcPr>
          <w:p w14:paraId="1CF12810">
            <w:pPr>
              <w:spacing w:line="240" w:lineRule="auto"/>
              <w:ind w:firstLine="0" w:firstLineChars="0"/>
              <w:jc w:val="center"/>
              <w:rPr>
                <w:color w:val="auto"/>
                <w:highlight w:val="none"/>
              </w:rPr>
            </w:pPr>
            <w:r>
              <w:rPr>
                <w:rFonts w:hint="eastAsia"/>
                <w:color w:val="auto"/>
                <w:highlight w:val="none"/>
              </w:rPr>
              <w:t>环保投资占比（%）</w:t>
            </w:r>
          </w:p>
        </w:tc>
        <w:tc>
          <w:tcPr>
            <w:tcW w:w="3127" w:type="dxa"/>
            <w:tcBorders>
              <w:tl2br w:val="nil"/>
              <w:tr2bl w:val="nil"/>
            </w:tcBorders>
            <w:vAlign w:val="center"/>
          </w:tcPr>
          <w:p w14:paraId="1CF0D667">
            <w:pPr>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0.6</w:t>
            </w:r>
          </w:p>
        </w:tc>
        <w:tc>
          <w:tcPr>
            <w:tcW w:w="1375" w:type="dxa"/>
            <w:tcBorders>
              <w:tl2br w:val="nil"/>
              <w:tr2bl w:val="nil"/>
            </w:tcBorders>
            <w:vAlign w:val="center"/>
          </w:tcPr>
          <w:p w14:paraId="12579768">
            <w:pPr>
              <w:spacing w:line="240" w:lineRule="auto"/>
              <w:ind w:firstLine="0" w:firstLineChars="0"/>
              <w:jc w:val="center"/>
              <w:rPr>
                <w:color w:val="auto"/>
                <w:highlight w:val="none"/>
              </w:rPr>
            </w:pPr>
            <w:r>
              <w:rPr>
                <w:rFonts w:hint="eastAsia"/>
                <w:color w:val="auto"/>
                <w:highlight w:val="none"/>
              </w:rPr>
              <w:t>施工工期</w:t>
            </w:r>
          </w:p>
        </w:tc>
        <w:tc>
          <w:tcPr>
            <w:tcW w:w="3478" w:type="dxa"/>
            <w:tcBorders>
              <w:tl2br w:val="nil"/>
              <w:tr2bl w:val="nil"/>
            </w:tcBorders>
            <w:vAlign w:val="center"/>
          </w:tcPr>
          <w:p w14:paraId="06E728B7">
            <w:pPr>
              <w:spacing w:line="240" w:lineRule="auto"/>
              <w:ind w:firstLine="0" w:firstLineChars="0"/>
              <w:jc w:val="center"/>
              <w:rPr>
                <w:color w:val="auto"/>
                <w:highlight w:val="none"/>
              </w:rPr>
            </w:pPr>
            <w:r>
              <w:rPr>
                <w:rFonts w:hint="eastAsia"/>
                <w:color w:val="auto"/>
                <w:highlight w:val="none"/>
                <w:lang w:val="en-US" w:eastAsia="zh-CN"/>
              </w:rPr>
              <w:t>2个月</w:t>
            </w:r>
          </w:p>
        </w:tc>
      </w:tr>
      <w:tr w14:paraId="25510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01" w:type="dxa"/>
            <w:tcBorders>
              <w:tl2br w:val="nil"/>
              <w:tr2bl w:val="nil"/>
            </w:tcBorders>
            <w:vAlign w:val="center"/>
          </w:tcPr>
          <w:p w14:paraId="093C75E8">
            <w:pPr>
              <w:spacing w:line="240" w:lineRule="auto"/>
              <w:ind w:firstLine="0" w:firstLineChars="0"/>
              <w:jc w:val="center"/>
              <w:rPr>
                <w:color w:val="auto"/>
                <w:highlight w:val="none"/>
              </w:rPr>
            </w:pPr>
            <w:r>
              <w:rPr>
                <w:rFonts w:hint="eastAsia"/>
                <w:color w:val="auto"/>
                <w:highlight w:val="none"/>
              </w:rPr>
              <w:t>是否开工建设</w:t>
            </w:r>
          </w:p>
        </w:tc>
        <w:tc>
          <w:tcPr>
            <w:tcW w:w="3127" w:type="dxa"/>
            <w:tcBorders>
              <w:tl2br w:val="nil"/>
              <w:tr2bl w:val="nil"/>
            </w:tcBorders>
            <w:vAlign w:val="center"/>
          </w:tcPr>
          <w:p w14:paraId="04B1A08B">
            <w:pPr>
              <w:spacing w:line="240" w:lineRule="auto"/>
              <w:ind w:firstLine="0" w:firstLineChars="0"/>
              <w:rPr>
                <w:color w:val="auto"/>
                <w:highlight w:val="none"/>
              </w:rPr>
            </w:pPr>
            <w:r>
              <w:rPr>
                <w:rFonts w:hint="eastAsia"/>
                <w:color w:val="auto"/>
                <w:highlight w:val="none"/>
              </w:rPr>
              <w:t>☑否</w:t>
            </w:r>
          </w:p>
          <w:p w14:paraId="5DC2ADB8">
            <w:pPr>
              <w:spacing w:before="31" w:beforeLines="10" w:afterAutospacing="1" w:line="240" w:lineRule="auto"/>
              <w:ind w:firstLine="0" w:firstLineChars="0"/>
              <w:jc w:val="both"/>
              <w:rPr>
                <w:rFonts w:ascii="宋体" w:hAnsi="宋体" w:cs="宋体"/>
                <w:color w:val="auto"/>
                <w:highlight w:val="none"/>
              </w:rPr>
            </w:pPr>
            <w:r>
              <w:rPr>
                <w:rFonts w:hint="eastAsia"/>
                <w:color w:val="auto"/>
                <w:highlight w:val="none"/>
              </w:rPr>
              <w:t>□</w:t>
            </w:r>
            <w:r>
              <w:rPr>
                <w:rFonts w:hint="eastAsia" w:ascii="宋体" w:hAnsi="宋体"/>
                <w:color w:val="auto"/>
                <w:highlight w:val="none"/>
              </w:rPr>
              <w:t>是</w:t>
            </w:r>
          </w:p>
        </w:tc>
        <w:tc>
          <w:tcPr>
            <w:tcW w:w="1375" w:type="dxa"/>
            <w:tcBorders>
              <w:tl2br w:val="nil"/>
              <w:tr2bl w:val="nil"/>
            </w:tcBorders>
            <w:vAlign w:val="center"/>
          </w:tcPr>
          <w:p w14:paraId="31FAE67B">
            <w:pPr>
              <w:spacing w:before="78" w:line="240" w:lineRule="auto"/>
              <w:ind w:right="160" w:firstLine="0" w:firstLineChars="0"/>
              <w:jc w:val="center"/>
              <w:rPr>
                <w:color w:val="auto"/>
                <w:highlight w:val="none"/>
              </w:rPr>
            </w:pPr>
            <w:r>
              <w:rPr>
                <w:rFonts w:hint="eastAsia"/>
                <w:color w:val="auto"/>
                <w:highlight w:val="none"/>
              </w:rPr>
              <w:t>用地面积（</w:t>
            </w:r>
            <w:r>
              <w:rPr>
                <w:rFonts w:hint="eastAsia"/>
                <w:color w:val="auto"/>
                <w:highlight w:val="none"/>
                <w:lang w:eastAsia="zh-CN"/>
              </w:rPr>
              <w:t>㎡</w:t>
            </w:r>
            <w:r>
              <w:rPr>
                <w:rFonts w:hint="eastAsia"/>
                <w:color w:val="auto"/>
                <w:highlight w:val="none"/>
              </w:rPr>
              <w:t>）</w:t>
            </w:r>
          </w:p>
        </w:tc>
        <w:tc>
          <w:tcPr>
            <w:tcW w:w="3478" w:type="dxa"/>
            <w:tcBorders>
              <w:tl2br w:val="nil"/>
              <w:tr2bl w:val="nil"/>
            </w:tcBorders>
            <w:vAlign w:val="center"/>
          </w:tcPr>
          <w:p w14:paraId="51E2075B">
            <w:pPr>
              <w:spacing w:line="240" w:lineRule="auto"/>
              <w:ind w:right="402" w:firstLine="480"/>
              <w:jc w:val="center"/>
              <w:rPr>
                <w:rFonts w:hint="default" w:eastAsia="宋体"/>
                <w:color w:val="auto"/>
                <w:highlight w:val="none"/>
                <w:lang w:val="en-US" w:eastAsia="zh-CN"/>
              </w:rPr>
            </w:pPr>
            <w:r>
              <w:rPr>
                <w:rFonts w:hint="eastAsia"/>
                <w:color w:val="auto"/>
                <w:highlight w:val="none"/>
                <w:lang w:val="en-US" w:eastAsia="zh-CN"/>
              </w:rPr>
              <w:t>5000</w:t>
            </w:r>
          </w:p>
        </w:tc>
      </w:tr>
      <w:tr w14:paraId="21D13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01" w:type="dxa"/>
            <w:tcBorders>
              <w:tl2br w:val="nil"/>
              <w:tr2bl w:val="nil"/>
            </w:tcBorders>
            <w:vAlign w:val="center"/>
          </w:tcPr>
          <w:p w14:paraId="6A78F2BE">
            <w:pPr>
              <w:spacing w:line="240" w:lineRule="auto"/>
              <w:ind w:firstLine="0" w:firstLineChars="0"/>
              <w:jc w:val="center"/>
              <w:rPr>
                <w:color w:val="auto"/>
                <w:highlight w:val="none"/>
              </w:rPr>
            </w:pPr>
            <w:r>
              <w:rPr>
                <w:rFonts w:hint="eastAsia"/>
                <w:color w:val="auto"/>
                <w:highlight w:val="none"/>
              </w:rPr>
              <w:t>专项评价设置情况</w:t>
            </w:r>
          </w:p>
        </w:tc>
        <w:tc>
          <w:tcPr>
            <w:tcW w:w="7980" w:type="dxa"/>
            <w:gridSpan w:val="3"/>
            <w:tcBorders>
              <w:tl2br w:val="nil"/>
              <w:tr2bl w:val="nil"/>
            </w:tcBorders>
            <w:vAlign w:val="center"/>
          </w:tcPr>
          <w:p w14:paraId="3F9F40E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default" w:eastAsia="宋体"/>
                <w:color w:val="auto"/>
                <w:lang w:val="en-US" w:eastAsia="zh-CN"/>
              </w:rPr>
            </w:pPr>
            <w:r>
              <w:rPr>
                <w:rFonts w:hint="eastAsia"/>
                <w:color w:val="auto"/>
                <w:highlight w:val="none"/>
              </w:rPr>
              <w:t>专项评价设置情况</w:t>
            </w:r>
            <w:r>
              <w:rPr>
                <w:rFonts w:hint="eastAsia"/>
                <w:color w:val="auto"/>
                <w:highlight w:val="none"/>
                <w:lang w:eastAsia="zh-CN"/>
              </w:rPr>
              <w:t>：</w:t>
            </w:r>
            <w:r>
              <w:rPr>
                <w:rFonts w:hint="eastAsia"/>
                <w:color w:val="auto"/>
                <w:highlight w:val="none"/>
                <w:lang w:val="en-US" w:eastAsia="zh-CN"/>
              </w:rPr>
              <w:t>无</w:t>
            </w:r>
          </w:p>
          <w:p w14:paraId="2217E49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color w:val="auto"/>
                <w:lang w:val="en-US" w:eastAsia="zh-CN"/>
              </w:rPr>
            </w:pPr>
            <w:r>
              <w:rPr>
                <w:rFonts w:hint="eastAsia"/>
                <w:color w:val="auto"/>
              </w:rPr>
              <w:t>根据《建设项目环境影响报告表编制技术指南(污染影响类)(试行)》可知，本项目无需设置专项，具体判定见</w:t>
            </w:r>
            <w:r>
              <w:rPr>
                <w:rFonts w:hint="eastAsia"/>
                <w:color w:val="auto"/>
                <w:lang w:val="en-US" w:eastAsia="zh-CN"/>
              </w:rPr>
              <w:t>下表。</w:t>
            </w:r>
          </w:p>
          <w:p w14:paraId="05A35519">
            <w:pPr>
              <w:pStyle w:val="44"/>
              <w:bidi w:val="0"/>
              <w:rPr>
                <w:rFonts w:hint="eastAsia"/>
                <w:color w:val="auto"/>
                <w:lang w:val="en-US" w:eastAsia="zh-CN"/>
              </w:rPr>
            </w:pPr>
            <w:r>
              <w:rPr>
                <w:rFonts w:hint="eastAsia"/>
                <w:color w:val="auto"/>
                <w:lang w:val="en-US" w:eastAsia="zh-CN"/>
              </w:rPr>
              <w:t>表1-1 专项评价设置原则表</w:t>
            </w:r>
          </w:p>
          <w:tbl>
            <w:tblPr>
              <w:tblStyle w:val="27"/>
              <w:tblW w:w="81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1"/>
              <w:gridCol w:w="3135"/>
              <w:gridCol w:w="3301"/>
            </w:tblGrid>
            <w:tr w14:paraId="45B3E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vAlign w:val="center"/>
                </w:tcPr>
                <w:p w14:paraId="16A959F9">
                  <w:pPr>
                    <w:pStyle w:val="51"/>
                    <w:bidi w:val="0"/>
                    <w:jc w:val="center"/>
                    <w:rPr>
                      <w:rFonts w:hint="default"/>
                      <w:color w:val="auto"/>
                      <w:lang w:val="en-US" w:eastAsia="zh-CN"/>
                    </w:rPr>
                  </w:pPr>
                  <w:r>
                    <w:rPr>
                      <w:rFonts w:hint="eastAsia"/>
                      <w:color w:val="auto"/>
                      <w:lang w:val="en-US" w:eastAsia="zh-CN"/>
                    </w:rPr>
                    <w:t>专项评价的类别</w:t>
                  </w:r>
                </w:p>
              </w:tc>
              <w:tc>
                <w:tcPr>
                  <w:tcW w:w="3135" w:type="dxa"/>
                  <w:vAlign w:val="center"/>
                </w:tcPr>
                <w:p w14:paraId="3939F00F">
                  <w:pPr>
                    <w:pStyle w:val="51"/>
                    <w:bidi w:val="0"/>
                    <w:jc w:val="center"/>
                    <w:rPr>
                      <w:rFonts w:hint="default"/>
                      <w:color w:val="auto"/>
                      <w:lang w:val="en-US" w:eastAsia="zh-CN"/>
                    </w:rPr>
                  </w:pPr>
                  <w:r>
                    <w:rPr>
                      <w:rFonts w:hint="eastAsia"/>
                      <w:color w:val="auto"/>
                      <w:lang w:val="en-US" w:eastAsia="zh-CN"/>
                    </w:rPr>
                    <w:t>设置原则</w:t>
                  </w:r>
                </w:p>
              </w:tc>
              <w:tc>
                <w:tcPr>
                  <w:tcW w:w="3301" w:type="dxa"/>
                  <w:vAlign w:val="center"/>
                </w:tcPr>
                <w:p w14:paraId="2E030ACF">
                  <w:pPr>
                    <w:pStyle w:val="51"/>
                    <w:bidi w:val="0"/>
                    <w:jc w:val="center"/>
                    <w:rPr>
                      <w:rFonts w:hint="default"/>
                      <w:color w:val="auto"/>
                      <w:lang w:val="en-US" w:eastAsia="zh-CN"/>
                    </w:rPr>
                  </w:pPr>
                  <w:r>
                    <w:rPr>
                      <w:rFonts w:hint="eastAsia"/>
                      <w:color w:val="auto"/>
                      <w:lang w:val="en-US" w:eastAsia="zh-CN"/>
                    </w:rPr>
                    <w:t>本项目情况</w:t>
                  </w:r>
                </w:p>
              </w:tc>
            </w:tr>
            <w:tr w14:paraId="1EA09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vAlign w:val="center"/>
                </w:tcPr>
                <w:p w14:paraId="283B1ABB">
                  <w:pPr>
                    <w:pStyle w:val="51"/>
                    <w:bidi w:val="0"/>
                    <w:jc w:val="center"/>
                    <w:rPr>
                      <w:rFonts w:hint="eastAsia"/>
                      <w:color w:val="auto"/>
                      <w:lang w:val="en-US" w:eastAsia="zh-CN"/>
                    </w:rPr>
                  </w:pPr>
                  <w:r>
                    <w:rPr>
                      <w:rFonts w:hint="eastAsia"/>
                      <w:color w:val="auto"/>
                      <w:lang w:val="en-US" w:eastAsia="zh-CN"/>
                    </w:rPr>
                    <w:t>大气</w:t>
                  </w:r>
                </w:p>
              </w:tc>
              <w:tc>
                <w:tcPr>
                  <w:tcW w:w="3135" w:type="dxa"/>
                  <w:vAlign w:val="center"/>
                </w:tcPr>
                <w:p w14:paraId="0F8AC970">
                  <w:pPr>
                    <w:pStyle w:val="51"/>
                    <w:bidi w:val="0"/>
                    <w:jc w:val="center"/>
                    <w:rPr>
                      <w:rFonts w:hint="default"/>
                      <w:color w:val="auto"/>
                      <w:lang w:val="en-US"/>
                    </w:rPr>
                  </w:pPr>
                  <w:r>
                    <w:rPr>
                      <w:rFonts w:hint="default"/>
                      <w:color w:val="auto"/>
                      <w:lang w:val="en-US"/>
                    </w:rPr>
                    <w:t>排放废气含有毒有害污染物</w:t>
                  </w:r>
                  <w:r>
                    <w:rPr>
                      <w:rFonts w:hint="default"/>
                      <w:color w:val="auto"/>
                      <w:vertAlign w:val="superscript"/>
                      <w:lang w:val="en-US"/>
                    </w:rPr>
                    <w:t>1</w:t>
                  </w:r>
                  <w:r>
                    <w:rPr>
                      <w:rFonts w:hint="default"/>
                      <w:color w:val="auto"/>
                      <w:lang w:val="en-US"/>
                    </w:rPr>
                    <w:t>、二噁英、苯并[a芘、氟化物、氯气且厂界外500米范围内有环境空气保护目标的建设项目</w:t>
                  </w:r>
                </w:p>
              </w:tc>
              <w:tc>
                <w:tcPr>
                  <w:tcW w:w="3301" w:type="dxa"/>
                  <w:vAlign w:val="center"/>
                </w:tcPr>
                <w:p w14:paraId="25076C89">
                  <w:pPr>
                    <w:pStyle w:val="51"/>
                    <w:bidi w:val="0"/>
                    <w:jc w:val="center"/>
                    <w:rPr>
                      <w:rFonts w:hint="default"/>
                      <w:color w:val="auto"/>
                      <w:lang w:val="en-US"/>
                    </w:rPr>
                  </w:pPr>
                  <w:r>
                    <w:rPr>
                      <w:rFonts w:hint="default"/>
                      <w:color w:val="auto"/>
                      <w:lang w:val="en-US"/>
                    </w:rPr>
                    <w:t>项目生产过程</w:t>
                  </w:r>
                  <w:r>
                    <w:rPr>
                      <w:rFonts w:hint="eastAsia"/>
                      <w:color w:val="auto"/>
                      <w:lang w:val="en-US" w:eastAsia="zh-CN"/>
                    </w:rPr>
                    <w:t>废气</w:t>
                  </w:r>
                  <w:r>
                    <w:rPr>
                      <w:rFonts w:hint="default"/>
                      <w:color w:val="auto"/>
                      <w:lang w:val="en-US"/>
                    </w:rPr>
                    <w:t>主要为</w:t>
                  </w:r>
                  <w:r>
                    <w:rPr>
                      <w:rFonts w:hint="eastAsia"/>
                      <w:color w:val="auto"/>
                      <w:lang w:val="en-US" w:eastAsia="zh-CN"/>
                    </w:rPr>
                    <w:t>有机废气</w:t>
                  </w:r>
                  <w:r>
                    <w:rPr>
                      <w:rFonts w:hint="default"/>
                      <w:color w:val="auto"/>
                      <w:lang w:val="en-US"/>
                    </w:rPr>
                    <w:t>，不涉及左侧所列废气，无需进行大气专项评价</w:t>
                  </w:r>
                </w:p>
              </w:tc>
            </w:tr>
            <w:tr w14:paraId="7308F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vAlign w:val="center"/>
                </w:tcPr>
                <w:p w14:paraId="30D2A578">
                  <w:pPr>
                    <w:pStyle w:val="51"/>
                    <w:bidi w:val="0"/>
                    <w:jc w:val="center"/>
                    <w:rPr>
                      <w:rFonts w:hint="default"/>
                      <w:color w:val="auto"/>
                      <w:lang w:val="en-US" w:eastAsia="zh-CN"/>
                    </w:rPr>
                  </w:pPr>
                  <w:r>
                    <w:rPr>
                      <w:rFonts w:hint="eastAsia"/>
                      <w:color w:val="auto"/>
                      <w:lang w:val="en-US" w:eastAsia="zh-CN"/>
                    </w:rPr>
                    <w:t>地表水</w:t>
                  </w:r>
                </w:p>
              </w:tc>
              <w:tc>
                <w:tcPr>
                  <w:tcW w:w="3135" w:type="dxa"/>
                  <w:vAlign w:val="center"/>
                </w:tcPr>
                <w:p w14:paraId="1E52FD2B">
                  <w:pPr>
                    <w:pStyle w:val="51"/>
                    <w:bidi w:val="0"/>
                    <w:jc w:val="center"/>
                    <w:rPr>
                      <w:rFonts w:hint="default"/>
                      <w:color w:val="auto"/>
                      <w:lang w:val="en-US"/>
                    </w:rPr>
                  </w:pPr>
                  <w:r>
                    <w:rPr>
                      <w:rFonts w:hint="default"/>
                      <w:color w:val="auto"/>
                      <w:lang w:val="en-US"/>
                    </w:rPr>
                    <w:t>新增工业废水直排建设项目(槽罐车外送污水处理厂的除外)</w:t>
                  </w:r>
                  <w:r>
                    <w:rPr>
                      <w:rFonts w:hint="eastAsia"/>
                      <w:color w:val="auto"/>
                      <w:lang w:val="en-US" w:eastAsia="zh-CN"/>
                    </w:rPr>
                    <w:t>；</w:t>
                  </w:r>
                  <w:r>
                    <w:rPr>
                      <w:rFonts w:hint="default"/>
                      <w:color w:val="auto"/>
                      <w:lang w:val="en-US"/>
                    </w:rPr>
                    <w:t>新增废水直排的污水集中处理厂</w:t>
                  </w:r>
                </w:p>
              </w:tc>
              <w:tc>
                <w:tcPr>
                  <w:tcW w:w="3301" w:type="dxa"/>
                  <w:vAlign w:val="center"/>
                </w:tcPr>
                <w:p w14:paraId="6CC5BD07">
                  <w:pPr>
                    <w:pStyle w:val="51"/>
                    <w:bidi w:val="0"/>
                    <w:jc w:val="center"/>
                    <w:rPr>
                      <w:rFonts w:hint="default"/>
                      <w:color w:val="auto"/>
                      <w:lang w:val="en-US"/>
                    </w:rPr>
                  </w:pPr>
                  <w:r>
                    <w:rPr>
                      <w:rFonts w:hint="default"/>
                      <w:color w:val="auto"/>
                      <w:lang w:val="en-US"/>
                    </w:rPr>
                    <w:t>项目</w:t>
                  </w:r>
                  <w:r>
                    <w:rPr>
                      <w:rFonts w:hint="eastAsia"/>
                      <w:color w:val="auto"/>
                      <w:lang w:val="en-US" w:eastAsia="zh-CN"/>
                    </w:rPr>
                    <w:t>无生产废水排放，</w:t>
                  </w:r>
                  <w:r>
                    <w:rPr>
                      <w:rFonts w:hint="default"/>
                      <w:color w:val="auto"/>
                      <w:lang w:val="en-US"/>
                    </w:rPr>
                    <w:t>生活污水经化粪池处理后排入市政污水管网，未直接外排，无需进行地表水专项评价</w:t>
                  </w:r>
                </w:p>
              </w:tc>
            </w:tr>
            <w:tr w14:paraId="1D20E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vAlign w:val="center"/>
                </w:tcPr>
                <w:p w14:paraId="0695256D">
                  <w:pPr>
                    <w:pStyle w:val="51"/>
                    <w:bidi w:val="0"/>
                    <w:jc w:val="center"/>
                    <w:rPr>
                      <w:rFonts w:hint="default"/>
                      <w:color w:val="auto"/>
                      <w:lang w:val="en-US" w:eastAsia="zh-CN"/>
                    </w:rPr>
                  </w:pPr>
                  <w:r>
                    <w:rPr>
                      <w:rFonts w:hint="eastAsia"/>
                      <w:color w:val="auto"/>
                      <w:lang w:val="en-US" w:eastAsia="zh-CN"/>
                    </w:rPr>
                    <w:t>环境风险</w:t>
                  </w:r>
                </w:p>
              </w:tc>
              <w:tc>
                <w:tcPr>
                  <w:tcW w:w="3135" w:type="dxa"/>
                  <w:vAlign w:val="center"/>
                </w:tcPr>
                <w:p w14:paraId="53DAA5DE">
                  <w:pPr>
                    <w:pStyle w:val="51"/>
                    <w:bidi w:val="0"/>
                    <w:jc w:val="center"/>
                    <w:rPr>
                      <w:rFonts w:hint="default"/>
                      <w:color w:val="auto"/>
                      <w:lang w:val="en-US"/>
                    </w:rPr>
                  </w:pPr>
                  <w:r>
                    <w:rPr>
                      <w:rFonts w:hint="default"/>
                      <w:color w:val="auto"/>
                      <w:lang w:val="en-US"/>
                    </w:rPr>
                    <w:t>有毒有害和易燃易爆危险物质存储量超过临界量的建设项目</w:t>
                  </w:r>
                </w:p>
              </w:tc>
              <w:tc>
                <w:tcPr>
                  <w:tcW w:w="3301" w:type="dxa"/>
                  <w:vAlign w:val="center"/>
                </w:tcPr>
                <w:p w14:paraId="16E5C200">
                  <w:pPr>
                    <w:pStyle w:val="51"/>
                    <w:bidi w:val="0"/>
                    <w:jc w:val="center"/>
                    <w:rPr>
                      <w:rFonts w:hint="default"/>
                      <w:color w:val="auto"/>
                      <w:lang w:val="en-US"/>
                    </w:rPr>
                  </w:pPr>
                  <w:r>
                    <w:rPr>
                      <w:rFonts w:hint="default"/>
                      <w:color w:val="auto"/>
                      <w:lang w:val="en-US"/>
                    </w:rPr>
                    <w:t>项目危险物质存储量未超过临界量，不需进行环境风险专项评价</w:t>
                  </w:r>
                </w:p>
              </w:tc>
            </w:tr>
            <w:tr w14:paraId="03DB4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vAlign w:val="center"/>
                </w:tcPr>
                <w:p w14:paraId="78656F3A">
                  <w:pPr>
                    <w:pStyle w:val="51"/>
                    <w:bidi w:val="0"/>
                    <w:jc w:val="center"/>
                    <w:rPr>
                      <w:rFonts w:hint="default"/>
                      <w:color w:val="auto"/>
                      <w:lang w:val="en-US" w:eastAsia="zh-CN"/>
                    </w:rPr>
                  </w:pPr>
                  <w:r>
                    <w:rPr>
                      <w:rFonts w:hint="eastAsia"/>
                      <w:color w:val="auto"/>
                      <w:lang w:val="en-US" w:eastAsia="zh-CN"/>
                    </w:rPr>
                    <w:t>生态</w:t>
                  </w:r>
                </w:p>
              </w:tc>
              <w:tc>
                <w:tcPr>
                  <w:tcW w:w="3135" w:type="dxa"/>
                  <w:vAlign w:val="center"/>
                </w:tcPr>
                <w:p w14:paraId="74467484">
                  <w:pPr>
                    <w:pStyle w:val="51"/>
                    <w:bidi w:val="0"/>
                    <w:jc w:val="center"/>
                    <w:rPr>
                      <w:rFonts w:hint="default"/>
                      <w:color w:val="auto"/>
                      <w:lang w:val="en-US"/>
                    </w:rPr>
                  </w:pPr>
                  <w:r>
                    <w:rPr>
                      <w:rFonts w:hint="default"/>
                      <w:color w:val="auto"/>
                      <w:lang w:val="en-US"/>
                    </w:rPr>
                    <w:t>取水口下游500米范围内有重要水生生物的白然产卵场、索饵场、越冬场和洄游通道的新增河道取水的污染类建设项目</w:t>
                  </w:r>
                </w:p>
              </w:tc>
              <w:tc>
                <w:tcPr>
                  <w:tcW w:w="3301" w:type="dxa"/>
                  <w:vAlign w:val="center"/>
                </w:tcPr>
                <w:p w14:paraId="3BA6EDCB">
                  <w:pPr>
                    <w:pStyle w:val="51"/>
                    <w:bidi w:val="0"/>
                    <w:jc w:val="center"/>
                    <w:rPr>
                      <w:rFonts w:hint="default"/>
                      <w:color w:val="auto"/>
                      <w:lang w:val="en-US"/>
                    </w:rPr>
                  </w:pPr>
                  <w:r>
                    <w:rPr>
                      <w:rFonts w:hint="default"/>
                      <w:color w:val="auto"/>
                      <w:lang w:val="en-US"/>
                    </w:rPr>
                    <w:t>项目不</w:t>
                  </w:r>
                  <w:r>
                    <w:rPr>
                      <w:rFonts w:hint="eastAsia"/>
                      <w:color w:val="auto"/>
                      <w:lang w:val="en-US" w:eastAsia="zh-CN"/>
                    </w:rPr>
                    <w:t>设取水口，</w:t>
                  </w:r>
                  <w:r>
                    <w:rPr>
                      <w:rFonts w:hint="default"/>
                      <w:color w:val="auto"/>
                      <w:lang w:val="en-US"/>
                    </w:rPr>
                    <w:t>无需进行生态专项评价</w:t>
                  </w:r>
                </w:p>
              </w:tc>
            </w:tr>
            <w:tr w14:paraId="40AC8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vAlign w:val="center"/>
                </w:tcPr>
                <w:p w14:paraId="26DE3098">
                  <w:pPr>
                    <w:pStyle w:val="51"/>
                    <w:bidi w:val="0"/>
                    <w:jc w:val="center"/>
                    <w:rPr>
                      <w:rFonts w:hint="default"/>
                      <w:color w:val="auto"/>
                      <w:lang w:val="en-US" w:eastAsia="zh-CN"/>
                    </w:rPr>
                  </w:pPr>
                  <w:r>
                    <w:rPr>
                      <w:rFonts w:hint="eastAsia"/>
                      <w:color w:val="auto"/>
                      <w:lang w:val="en-US" w:eastAsia="zh-CN"/>
                    </w:rPr>
                    <w:t>海洋</w:t>
                  </w:r>
                </w:p>
              </w:tc>
              <w:tc>
                <w:tcPr>
                  <w:tcW w:w="3135" w:type="dxa"/>
                  <w:vAlign w:val="center"/>
                </w:tcPr>
                <w:p w14:paraId="5922769B">
                  <w:pPr>
                    <w:pStyle w:val="51"/>
                    <w:bidi w:val="0"/>
                    <w:jc w:val="center"/>
                    <w:rPr>
                      <w:rFonts w:hint="default"/>
                      <w:color w:val="auto"/>
                      <w:lang w:val="en-US"/>
                    </w:rPr>
                  </w:pPr>
                  <w:r>
                    <w:rPr>
                      <w:rFonts w:hint="default"/>
                      <w:color w:val="auto"/>
                      <w:lang w:val="en-US"/>
                    </w:rPr>
                    <w:t>直接向海排放污染物的海洋工程建设项目</w:t>
                  </w:r>
                </w:p>
              </w:tc>
              <w:tc>
                <w:tcPr>
                  <w:tcW w:w="3301" w:type="dxa"/>
                  <w:vAlign w:val="center"/>
                </w:tcPr>
                <w:p w14:paraId="4418844D">
                  <w:pPr>
                    <w:pStyle w:val="51"/>
                    <w:bidi w:val="0"/>
                    <w:jc w:val="center"/>
                    <w:rPr>
                      <w:rFonts w:hint="default"/>
                      <w:color w:val="auto"/>
                      <w:lang w:val="en-US"/>
                    </w:rPr>
                  </w:pPr>
                  <w:r>
                    <w:rPr>
                      <w:rFonts w:hint="default"/>
                      <w:color w:val="auto"/>
                      <w:lang w:val="en-US"/>
                    </w:rPr>
                    <w:t>项目生活污水经厂区化粪池处理后排入市政污水管网，未直接向海排放污染物，无需进行海洋专项评价</w:t>
                  </w:r>
                </w:p>
              </w:tc>
            </w:tr>
          </w:tbl>
          <w:p w14:paraId="1BB58852">
            <w:pPr>
              <w:spacing w:before="1" w:line="240" w:lineRule="auto"/>
              <w:ind w:firstLine="0" w:firstLineChars="0"/>
              <w:jc w:val="center"/>
              <w:rPr>
                <w:color w:val="auto"/>
                <w:highlight w:val="none"/>
              </w:rPr>
            </w:pPr>
          </w:p>
        </w:tc>
      </w:tr>
      <w:tr w14:paraId="1387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301" w:type="dxa"/>
            <w:tcBorders>
              <w:tl2br w:val="nil"/>
              <w:tr2bl w:val="nil"/>
            </w:tcBorders>
            <w:vAlign w:val="center"/>
          </w:tcPr>
          <w:p w14:paraId="1E4BA855">
            <w:pPr>
              <w:ind w:firstLine="0" w:firstLineChars="0"/>
              <w:jc w:val="center"/>
              <w:rPr>
                <w:color w:val="auto"/>
                <w:highlight w:val="none"/>
              </w:rPr>
            </w:pPr>
            <w:r>
              <w:rPr>
                <w:rFonts w:hint="eastAsia"/>
                <w:color w:val="auto"/>
                <w:highlight w:val="none"/>
              </w:rPr>
              <w:t>规划情况</w:t>
            </w:r>
          </w:p>
        </w:tc>
        <w:tc>
          <w:tcPr>
            <w:tcW w:w="7980" w:type="dxa"/>
            <w:gridSpan w:val="3"/>
            <w:tcBorders>
              <w:tl2br w:val="nil"/>
              <w:tr2bl w:val="nil"/>
            </w:tcBorders>
            <w:vAlign w:val="center"/>
          </w:tcPr>
          <w:p w14:paraId="71A63E6B">
            <w:pPr>
              <w:pStyle w:val="73"/>
              <w:ind w:firstLine="0" w:firstLineChars="0"/>
              <w:rPr>
                <w:color w:val="auto"/>
                <w:highlight w:val="none"/>
              </w:rPr>
            </w:pPr>
            <w:r>
              <w:rPr>
                <w:color w:val="auto"/>
                <w:highlight w:val="none"/>
              </w:rPr>
              <w:t>1、规划名称：《淮南经济技术开发区总体发展规划》</w:t>
            </w:r>
          </w:p>
          <w:p w14:paraId="0F683B6C">
            <w:pPr>
              <w:pStyle w:val="73"/>
              <w:ind w:firstLine="0" w:firstLineChars="0"/>
              <w:rPr>
                <w:color w:val="auto"/>
                <w:highlight w:val="none"/>
              </w:rPr>
            </w:pPr>
            <w:r>
              <w:rPr>
                <w:color w:val="auto"/>
                <w:highlight w:val="none"/>
              </w:rPr>
              <w:t>审批机关：</w:t>
            </w:r>
            <w:r>
              <w:rPr>
                <w:rFonts w:ascii="宋体" w:hAnsi="宋体" w:cs="宋体"/>
                <w:color w:val="auto"/>
                <w:spacing w:val="-1"/>
                <w:highlight w:val="none"/>
              </w:rPr>
              <w:t>安徽省人民政府</w:t>
            </w:r>
          </w:p>
          <w:p w14:paraId="59506F46">
            <w:pPr>
              <w:pStyle w:val="73"/>
              <w:ind w:firstLine="0" w:firstLineChars="0"/>
              <w:rPr>
                <w:color w:val="auto"/>
                <w:highlight w:val="none"/>
              </w:rPr>
            </w:pPr>
            <w:r>
              <w:rPr>
                <w:color w:val="auto"/>
                <w:highlight w:val="none"/>
              </w:rPr>
              <w:t>审批文件：《关于淮南经济开发区总体规划的批复》</w:t>
            </w:r>
          </w:p>
          <w:p w14:paraId="48BD5E05">
            <w:pPr>
              <w:pStyle w:val="73"/>
              <w:ind w:firstLine="0" w:firstLineChars="0"/>
              <w:rPr>
                <w:rFonts w:ascii="宋体" w:hAnsi="宋体" w:cs="宋体"/>
                <w:color w:val="auto"/>
                <w:spacing w:val="-1"/>
                <w:highlight w:val="none"/>
              </w:rPr>
            </w:pPr>
            <w:r>
              <w:rPr>
                <w:color w:val="auto"/>
                <w:highlight w:val="none"/>
              </w:rPr>
              <w:t>审批文号：</w:t>
            </w:r>
            <w:r>
              <w:rPr>
                <w:rFonts w:ascii="宋体" w:hAnsi="宋体" w:cs="宋体"/>
                <w:color w:val="auto"/>
                <w:spacing w:val="-6"/>
                <w:highlight w:val="none"/>
              </w:rPr>
              <w:t>皖</w:t>
            </w:r>
            <w:r>
              <w:rPr>
                <w:rFonts w:ascii="宋体" w:hAnsi="宋体" w:cs="宋体"/>
                <w:color w:val="auto"/>
                <w:spacing w:val="-3"/>
                <w:highlight w:val="none"/>
              </w:rPr>
              <w:t>政秘</w:t>
            </w:r>
            <w:r>
              <w:rPr>
                <w:color w:val="auto"/>
                <w:highlight w:val="none"/>
              </w:rPr>
              <w:t>〔1995〕</w:t>
            </w:r>
            <w:r>
              <w:rPr>
                <w:rFonts w:eastAsia="Times New Roman"/>
                <w:color w:val="auto"/>
                <w:spacing w:val="-1"/>
                <w:highlight w:val="none"/>
              </w:rPr>
              <w:t>88</w:t>
            </w:r>
            <w:r>
              <w:rPr>
                <w:rFonts w:ascii="宋体" w:hAnsi="宋体" w:cs="宋体"/>
                <w:color w:val="auto"/>
                <w:spacing w:val="-1"/>
                <w:highlight w:val="none"/>
              </w:rPr>
              <w:t>号</w:t>
            </w:r>
          </w:p>
          <w:p w14:paraId="0C0ACEA6">
            <w:pPr>
              <w:pStyle w:val="73"/>
              <w:ind w:firstLine="0" w:firstLineChars="0"/>
              <w:rPr>
                <w:color w:val="auto"/>
                <w:highlight w:val="none"/>
              </w:rPr>
            </w:pPr>
            <w:r>
              <w:rPr>
                <w:color w:val="auto"/>
                <w:highlight w:val="none"/>
              </w:rPr>
              <w:t>2、规划名称：《淮南市东部工业区总体规划（2008-2020）》</w:t>
            </w:r>
          </w:p>
          <w:p w14:paraId="6D982D9C">
            <w:pPr>
              <w:pStyle w:val="73"/>
              <w:ind w:firstLine="0" w:firstLineChars="0"/>
              <w:rPr>
                <w:color w:val="auto"/>
                <w:highlight w:val="none"/>
              </w:rPr>
            </w:pPr>
            <w:r>
              <w:rPr>
                <w:color w:val="auto"/>
                <w:highlight w:val="none"/>
              </w:rPr>
              <w:t>审批机关：淮南市人民政府</w:t>
            </w:r>
          </w:p>
          <w:p w14:paraId="3DBDE517">
            <w:pPr>
              <w:pStyle w:val="73"/>
              <w:ind w:firstLine="0" w:firstLineChars="0"/>
              <w:rPr>
                <w:color w:val="auto"/>
                <w:highlight w:val="none"/>
              </w:rPr>
            </w:pPr>
            <w:r>
              <w:rPr>
                <w:color w:val="auto"/>
                <w:highlight w:val="none"/>
              </w:rPr>
              <w:t>审批文件：《关于淮南东部工业区总体规划的批复》</w:t>
            </w:r>
          </w:p>
          <w:p w14:paraId="47E5A5D0">
            <w:pPr>
              <w:ind w:firstLine="0" w:firstLineChars="0"/>
              <w:jc w:val="both"/>
              <w:rPr>
                <w:color w:val="auto"/>
                <w:highlight w:val="none"/>
              </w:rPr>
            </w:pPr>
            <w:r>
              <w:rPr>
                <w:color w:val="auto"/>
                <w:highlight w:val="none"/>
              </w:rPr>
              <w:t>审批文号：淮府秘〔2009〕118号</w:t>
            </w:r>
          </w:p>
          <w:p w14:paraId="2E033A72">
            <w:pPr>
              <w:pStyle w:val="73"/>
              <w:ind w:firstLine="484"/>
            </w:pPr>
            <w:r>
              <w:rPr>
                <w:rFonts w:ascii="宋体" w:hAnsi="宋体" w:cs="宋体"/>
                <w:color w:val="auto"/>
                <w:spacing w:val="1"/>
              </w:rPr>
              <w:t>根据淮南市环保局以淮环函</w:t>
            </w:r>
            <w:r>
              <w:rPr>
                <w:color w:val="auto"/>
              </w:rPr>
              <w:t>〔2010〕</w:t>
            </w:r>
            <w:r>
              <w:rPr>
                <w:rFonts w:eastAsia="Times New Roman"/>
                <w:color w:val="auto"/>
                <w:spacing w:val="1"/>
              </w:rPr>
              <w:t>13</w:t>
            </w:r>
            <w:r>
              <w:rPr>
                <w:rFonts w:eastAsia="Times New Roman"/>
                <w:color w:val="auto"/>
              </w:rPr>
              <w:t>0</w:t>
            </w:r>
            <w:r>
              <w:rPr>
                <w:rFonts w:ascii="宋体" w:hAnsi="宋体" w:cs="宋体"/>
                <w:color w:val="auto"/>
              </w:rPr>
              <w:t>号文对《淮南市东部工业区总体规划环境影</w:t>
            </w:r>
            <w:r>
              <w:rPr>
                <w:rFonts w:ascii="宋体" w:hAnsi="宋体" w:cs="宋体"/>
                <w:color w:val="auto"/>
                <w:spacing w:val="-8"/>
              </w:rPr>
              <w:t>响报告书》出</w:t>
            </w:r>
            <w:r>
              <w:rPr>
                <w:rFonts w:ascii="宋体" w:hAnsi="宋体" w:cs="宋体"/>
                <w:color w:val="auto"/>
                <w:spacing w:val="-5"/>
              </w:rPr>
              <w:t>具</w:t>
            </w:r>
            <w:r>
              <w:rPr>
                <w:rFonts w:ascii="宋体" w:hAnsi="宋体" w:cs="宋体"/>
                <w:color w:val="auto"/>
                <w:spacing w:val="-4"/>
              </w:rPr>
              <w:t>的审查意见，淮南东部工业区与安徽淮南经济开发区规划用地范围完全</w:t>
            </w:r>
            <w:r>
              <w:rPr>
                <w:rFonts w:ascii="宋体" w:hAnsi="宋体" w:cs="宋体"/>
                <w:color w:val="auto"/>
                <w:spacing w:val="-14"/>
              </w:rPr>
              <w:t>一致，</w:t>
            </w:r>
            <w:r>
              <w:rPr>
                <w:rFonts w:ascii="宋体" w:hAnsi="宋体" w:cs="宋体"/>
                <w:color w:val="auto"/>
                <w:spacing w:val="-7"/>
              </w:rPr>
              <w:t>淮南东部工业区即安徽淮南经济技术开发区。</w:t>
            </w:r>
            <w:r>
              <w:rPr>
                <w:rFonts w:ascii="宋体" w:hAnsi="宋体" w:eastAsia="宋体" w:cs="宋体"/>
                <w:color w:val="auto"/>
                <w:spacing w:val="-7"/>
                <w:sz w:val="24"/>
                <w:szCs w:val="24"/>
              </w:rPr>
              <w:t>四至范围为南至合徐高速公路淮</w:t>
            </w:r>
            <w:r>
              <w:rPr>
                <w:rFonts w:ascii="宋体" w:hAnsi="宋体" w:eastAsia="宋体" w:cs="宋体"/>
                <w:color w:val="auto"/>
                <w:spacing w:val="-4"/>
                <w:sz w:val="24"/>
                <w:szCs w:val="24"/>
              </w:rPr>
              <w:t>南连接线、西至田大路、东</w:t>
            </w:r>
            <w:r>
              <w:rPr>
                <w:rFonts w:ascii="宋体" w:hAnsi="宋体" w:eastAsia="宋体" w:cs="宋体"/>
                <w:color w:val="auto"/>
                <w:spacing w:val="-3"/>
                <w:sz w:val="24"/>
                <w:szCs w:val="24"/>
              </w:rPr>
              <w:t>至</w:t>
            </w:r>
            <w:r>
              <w:rPr>
                <w:rFonts w:ascii="宋体" w:hAnsi="宋体" w:eastAsia="宋体" w:cs="宋体"/>
                <w:color w:val="auto"/>
                <w:spacing w:val="-2"/>
                <w:sz w:val="24"/>
                <w:szCs w:val="24"/>
              </w:rPr>
              <w:t>洛九路、北至电厂路，总面积为</w:t>
            </w:r>
            <w:r>
              <w:rPr>
                <w:rFonts w:ascii="Times New Roman" w:hAnsi="Times New Roman" w:eastAsia="Times New Roman" w:cs="Times New Roman"/>
                <w:color w:val="auto"/>
                <w:spacing w:val="-2"/>
                <w:sz w:val="24"/>
                <w:szCs w:val="24"/>
              </w:rPr>
              <w:t>20</w:t>
            </w:r>
            <w:r>
              <w:rPr>
                <w:rFonts w:ascii="宋体" w:hAnsi="宋体" w:eastAsia="宋体" w:cs="宋体"/>
                <w:color w:val="auto"/>
                <w:spacing w:val="-2"/>
                <w:sz w:val="24"/>
                <w:szCs w:val="24"/>
              </w:rPr>
              <w:t>平方公里。</w:t>
            </w:r>
          </w:p>
        </w:tc>
      </w:tr>
      <w:tr w14:paraId="3732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1" w:type="dxa"/>
            <w:tcBorders>
              <w:tl2br w:val="nil"/>
              <w:tr2bl w:val="nil"/>
            </w:tcBorders>
            <w:vAlign w:val="center"/>
          </w:tcPr>
          <w:p w14:paraId="52100959">
            <w:pPr>
              <w:ind w:firstLine="0" w:firstLineChars="0"/>
              <w:jc w:val="center"/>
              <w:rPr>
                <w:color w:val="auto"/>
                <w:highlight w:val="none"/>
              </w:rPr>
            </w:pPr>
            <w:r>
              <w:rPr>
                <w:color w:val="auto"/>
                <w:highlight w:val="none"/>
              </w:rPr>
              <w:t>规划环境影响评价情况</w:t>
            </w:r>
          </w:p>
        </w:tc>
        <w:tc>
          <w:tcPr>
            <w:tcW w:w="7980" w:type="dxa"/>
            <w:gridSpan w:val="3"/>
            <w:tcBorders>
              <w:tl2br w:val="nil"/>
              <w:tr2bl w:val="nil"/>
            </w:tcBorders>
            <w:vAlign w:val="center"/>
          </w:tcPr>
          <w:p w14:paraId="10262274">
            <w:pPr>
              <w:pStyle w:val="73"/>
              <w:ind w:firstLine="0" w:firstLineChars="0"/>
              <w:rPr>
                <w:color w:val="auto"/>
                <w:highlight w:val="none"/>
              </w:rPr>
            </w:pPr>
            <w:r>
              <w:rPr>
                <w:color w:val="auto"/>
                <w:highlight w:val="none"/>
              </w:rPr>
              <w:t>1、规划环评名称：《淮南市东部工业区总体规划环境影响报告书》</w:t>
            </w:r>
          </w:p>
          <w:p w14:paraId="064B3FA7">
            <w:pPr>
              <w:pStyle w:val="73"/>
              <w:ind w:firstLine="0" w:firstLineChars="0"/>
              <w:rPr>
                <w:color w:val="auto"/>
                <w:highlight w:val="none"/>
              </w:rPr>
            </w:pPr>
            <w:r>
              <w:rPr>
                <w:color w:val="auto"/>
                <w:highlight w:val="none"/>
              </w:rPr>
              <w:t>审批机关：淮南市环境保护局</w:t>
            </w:r>
          </w:p>
          <w:p w14:paraId="559C0B12">
            <w:pPr>
              <w:pStyle w:val="73"/>
              <w:ind w:firstLine="0" w:firstLineChars="0"/>
              <w:rPr>
                <w:color w:val="auto"/>
                <w:highlight w:val="none"/>
              </w:rPr>
            </w:pPr>
            <w:r>
              <w:rPr>
                <w:color w:val="auto"/>
                <w:highlight w:val="none"/>
              </w:rPr>
              <w:t>审批文件名称：《关于淮南市东部工业园区总体规划环境影响报告书的审查意见函》</w:t>
            </w:r>
          </w:p>
          <w:p w14:paraId="40C55082">
            <w:pPr>
              <w:pStyle w:val="73"/>
              <w:ind w:firstLine="0" w:firstLineChars="0"/>
              <w:rPr>
                <w:color w:val="auto"/>
                <w:highlight w:val="none"/>
              </w:rPr>
            </w:pPr>
            <w:r>
              <w:rPr>
                <w:color w:val="auto"/>
                <w:highlight w:val="none"/>
              </w:rPr>
              <w:t>审批文号：淮环函〔2010〕130号</w:t>
            </w:r>
          </w:p>
          <w:p w14:paraId="1AB879EC">
            <w:pPr>
              <w:pStyle w:val="73"/>
              <w:ind w:firstLine="0" w:firstLineChars="0"/>
              <w:rPr>
                <w:color w:val="auto"/>
                <w:highlight w:val="none"/>
              </w:rPr>
            </w:pPr>
            <w:r>
              <w:rPr>
                <w:rFonts w:hint="eastAsia"/>
                <w:color w:val="auto"/>
                <w:highlight w:val="none"/>
                <w:lang w:val="en-US" w:eastAsia="zh-CN"/>
              </w:rPr>
              <w:t>2</w:t>
            </w:r>
            <w:r>
              <w:rPr>
                <w:color w:val="auto"/>
                <w:highlight w:val="none"/>
              </w:rPr>
              <w:t>、规划跟踪评价名称：《淮南经济技术开发区</w:t>
            </w:r>
            <w:r>
              <w:rPr>
                <w:rFonts w:hint="eastAsia"/>
                <w:color w:val="auto"/>
                <w:highlight w:val="none"/>
                <w:lang w:val="en-US" w:eastAsia="zh-CN"/>
              </w:rPr>
              <w:t>总体发展规划</w:t>
            </w:r>
            <w:r>
              <w:rPr>
                <w:color w:val="auto"/>
                <w:highlight w:val="none"/>
              </w:rPr>
              <w:t>环境影响</w:t>
            </w:r>
            <w:r>
              <w:rPr>
                <w:rFonts w:hint="eastAsia"/>
                <w:color w:val="auto"/>
                <w:highlight w:val="none"/>
                <w:lang w:val="en-US" w:eastAsia="zh-CN"/>
              </w:rPr>
              <w:t>跟踪评价报告书</w:t>
            </w:r>
            <w:r>
              <w:rPr>
                <w:color w:val="auto"/>
                <w:highlight w:val="none"/>
              </w:rPr>
              <w:t>》</w:t>
            </w:r>
          </w:p>
          <w:p w14:paraId="6683FF68">
            <w:pPr>
              <w:pStyle w:val="73"/>
              <w:ind w:firstLine="0" w:firstLineChars="0"/>
              <w:rPr>
                <w:color w:val="auto"/>
                <w:highlight w:val="none"/>
              </w:rPr>
            </w:pPr>
            <w:r>
              <w:rPr>
                <w:color w:val="auto"/>
                <w:highlight w:val="none"/>
              </w:rPr>
              <w:t>审查机关：安徽省生态环境厅</w:t>
            </w:r>
          </w:p>
          <w:p w14:paraId="6D412410">
            <w:pPr>
              <w:pStyle w:val="73"/>
              <w:ind w:firstLine="0" w:firstLineChars="0"/>
              <w:rPr>
                <w:color w:val="auto"/>
                <w:highlight w:val="none"/>
              </w:rPr>
            </w:pPr>
            <w:r>
              <w:rPr>
                <w:color w:val="auto"/>
                <w:highlight w:val="none"/>
              </w:rPr>
              <w:t>审批文件：安徽省生态环境厅关于印发《淮南经济技术开发区</w:t>
            </w:r>
            <w:r>
              <w:rPr>
                <w:rFonts w:hint="eastAsia"/>
                <w:color w:val="auto"/>
                <w:highlight w:val="none"/>
                <w:lang w:val="en-US" w:eastAsia="zh-CN"/>
              </w:rPr>
              <w:t>总体发展规划</w:t>
            </w:r>
            <w:r>
              <w:rPr>
                <w:color w:val="auto"/>
                <w:highlight w:val="none"/>
              </w:rPr>
              <w:t>环境影响</w:t>
            </w:r>
            <w:r>
              <w:rPr>
                <w:rFonts w:hint="eastAsia"/>
                <w:color w:val="auto"/>
                <w:highlight w:val="none"/>
                <w:lang w:val="en-US" w:eastAsia="zh-CN"/>
              </w:rPr>
              <w:t>跟踪评价报告书</w:t>
            </w:r>
            <w:r>
              <w:rPr>
                <w:color w:val="auto"/>
                <w:highlight w:val="none"/>
              </w:rPr>
              <w:t>审核意见》的函</w:t>
            </w:r>
          </w:p>
          <w:p w14:paraId="0AD736EF">
            <w:pPr>
              <w:ind w:firstLine="0" w:firstLineChars="0"/>
              <w:rPr>
                <w:rFonts w:hint="default"/>
                <w:color w:val="000000" w:themeColor="text1"/>
                <w:highlight w:val="none"/>
                <w:lang w:val="en-US"/>
                <w14:textFill>
                  <w14:solidFill>
                    <w14:schemeClr w14:val="tx1"/>
                  </w14:solidFill>
                </w14:textFill>
              </w:rPr>
            </w:pPr>
            <w:r>
              <w:rPr>
                <w:color w:val="auto"/>
                <w:highlight w:val="none"/>
              </w:rPr>
              <w:t>审批文号：皖环函〔2020〕411号</w:t>
            </w:r>
          </w:p>
        </w:tc>
      </w:tr>
      <w:tr w14:paraId="1E58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1" w:type="dxa"/>
            <w:tcBorders>
              <w:tl2br w:val="nil"/>
              <w:tr2bl w:val="nil"/>
            </w:tcBorders>
            <w:vAlign w:val="center"/>
          </w:tcPr>
          <w:p w14:paraId="5FDE6FF0">
            <w:pPr>
              <w:ind w:firstLine="0" w:firstLineChars="0"/>
              <w:jc w:val="center"/>
              <w:rPr>
                <w:color w:val="auto"/>
                <w:highlight w:val="none"/>
              </w:rPr>
            </w:pPr>
            <w:r>
              <w:rPr>
                <w:rFonts w:hint="eastAsia"/>
                <w:color w:val="auto"/>
                <w:highlight w:val="none"/>
              </w:rPr>
              <w:t>规划环境影响评价情况</w:t>
            </w:r>
          </w:p>
        </w:tc>
        <w:tc>
          <w:tcPr>
            <w:tcW w:w="7980" w:type="dxa"/>
            <w:gridSpan w:val="3"/>
            <w:tcBorders>
              <w:tl2br w:val="nil"/>
              <w:tr2bl w:val="nil"/>
            </w:tcBorders>
            <w:vAlign w:val="center"/>
          </w:tcPr>
          <w:p w14:paraId="512B840D">
            <w:pPr>
              <w:pStyle w:val="46"/>
              <w:bidi w:val="0"/>
              <w:rPr>
                <w:rFonts w:hint="eastAsia"/>
                <w:b/>
                <w:bCs/>
                <w:color w:val="auto"/>
                <w:lang w:eastAsia="zh-CN"/>
              </w:rPr>
            </w:pPr>
            <w:r>
              <w:rPr>
                <w:rFonts w:hint="eastAsia"/>
                <w:b/>
                <w:bCs/>
                <w:color w:val="auto"/>
                <w:lang w:val="en-US" w:eastAsia="zh-CN"/>
              </w:rPr>
              <w:t>1、</w:t>
            </w:r>
            <w:r>
              <w:rPr>
                <w:rFonts w:hint="default"/>
                <w:b/>
                <w:bCs/>
                <w:color w:val="auto"/>
                <w:lang w:val="en-US" w:eastAsia="zh-CN"/>
              </w:rPr>
              <w:t>与</w:t>
            </w:r>
            <w:r>
              <w:rPr>
                <w:rFonts w:hint="eastAsia"/>
                <w:b/>
                <w:bCs/>
                <w:color w:val="auto"/>
                <w:lang w:val="en-US" w:eastAsia="zh-CN"/>
              </w:rPr>
              <w:t>规划环评及审查意见的</w:t>
            </w:r>
            <w:r>
              <w:rPr>
                <w:rFonts w:hint="default"/>
                <w:b/>
                <w:bCs/>
                <w:color w:val="auto"/>
                <w:lang w:val="en-US" w:eastAsia="zh-CN"/>
              </w:rPr>
              <w:t>符合性分析</w:t>
            </w:r>
          </w:p>
          <w:p w14:paraId="741C10D7">
            <w:pPr>
              <w:bidi w:val="0"/>
              <w:rPr>
                <w:rFonts w:hint="eastAsia"/>
                <w:b/>
                <w:bCs/>
                <w:color w:val="auto"/>
                <w:lang w:eastAsia="zh-CN"/>
              </w:rPr>
            </w:pPr>
            <w:r>
              <w:rPr>
                <w:rFonts w:hint="eastAsia"/>
                <w:b/>
                <w:bCs/>
                <w:color w:val="auto"/>
                <w:lang w:eastAsia="zh-CN"/>
              </w:rPr>
              <w:t>（</w:t>
            </w:r>
            <w:r>
              <w:rPr>
                <w:rFonts w:hint="eastAsia"/>
                <w:b/>
                <w:bCs/>
                <w:color w:val="auto"/>
                <w:lang w:val="en-US" w:eastAsia="zh-CN"/>
              </w:rPr>
              <w:t>1</w:t>
            </w:r>
            <w:r>
              <w:rPr>
                <w:rFonts w:hint="eastAsia"/>
                <w:b/>
                <w:bCs/>
                <w:color w:val="auto"/>
                <w:lang w:eastAsia="zh-CN"/>
              </w:rPr>
              <w:t>）</w:t>
            </w:r>
            <w:r>
              <w:rPr>
                <w:rFonts w:hint="eastAsia"/>
                <w:b/>
                <w:bCs/>
                <w:color w:val="auto"/>
              </w:rPr>
              <w:t>项目选址符合性分析</w:t>
            </w:r>
          </w:p>
          <w:p w14:paraId="35F1060C">
            <w:pPr>
              <w:bidi w:val="0"/>
              <w:rPr>
                <w:rFonts w:hint="eastAsia"/>
                <w:color w:val="auto"/>
                <w:highlight w:val="none"/>
                <w:lang w:val="en-US" w:eastAsia="zh-CN"/>
              </w:rPr>
            </w:pPr>
            <w:r>
              <w:rPr>
                <w:rFonts w:hint="eastAsia"/>
                <w:lang w:val="en-US" w:eastAsia="zh-CN"/>
              </w:rPr>
              <w:t>根据</w:t>
            </w:r>
            <w:r>
              <w:rPr>
                <w:color w:val="auto"/>
                <w:highlight w:val="none"/>
              </w:rPr>
              <w:t>《淮南市东部工业区总体规划》（2008-2020），规划范围为南至合徐高速公路淮南连接线、西至田大路、东至洛九路、北至电厂路，规划面积20km</w:t>
            </w:r>
            <w:r>
              <w:rPr>
                <w:rFonts w:hint="eastAsia"/>
                <w:color w:val="auto"/>
                <w:highlight w:val="none"/>
                <w:vertAlign w:val="superscript"/>
                <w:lang w:val="en-US" w:eastAsia="zh-CN"/>
              </w:rPr>
              <w:t>2</w:t>
            </w:r>
            <w:r>
              <w:rPr>
                <w:color w:val="auto"/>
                <w:highlight w:val="none"/>
              </w:rPr>
              <w:t>，规划主导产业为生物医药、纺织服装、化学工业、机械电子与新型材料、食品加工、商贸流通</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本项目位于</w:t>
            </w:r>
            <w:r>
              <w:rPr>
                <w:rFonts w:hint="eastAsia" w:ascii="Times New Roman" w:hAnsi="Times New Roman" w:eastAsia="宋体" w:cs="Times New Roman"/>
                <w:color w:val="auto"/>
                <w:highlight w:val="none"/>
              </w:rPr>
              <w:t>安徽淮南经济技术开发区</w:t>
            </w:r>
            <w:r>
              <w:rPr>
                <w:rFonts w:hint="eastAsia" w:ascii="Times New Roman" w:hAnsi="Times New Roman" w:eastAsia="宋体" w:cs="Times New Roman"/>
                <w:color w:val="auto"/>
                <w:highlight w:val="none"/>
                <w:lang w:val="en-US" w:eastAsia="zh-CN"/>
              </w:rPr>
              <w:t>吉兴路西侧3号，选址为工业用地，符合</w:t>
            </w:r>
            <w:r>
              <w:rPr>
                <w:rFonts w:ascii="Times New Roman" w:hAnsi="Times New Roman" w:eastAsia="宋体" w:cs="Times New Roman"/>
                <w:color w:val="auto"/>
                <w:highlight w:val="none"/>
              </w:rPr>
              <w:t>《</w:t>
            </w:r>
            <w:r>
              <w:rPr>
                <w:color w:val="auto"/>
                <w:highlight w:val="none"/>
              </w:rPr>
              <w:t>淮南市东部工业区总体规划》（2008-2020）</w:t>
            </w:r>
            <w:r>
              <w:rPr>
                <w:rFonts w:hint="eastAsia"/>
                <w:color w:val="auto"/>
                <w:highlight w:val="none"/>
                <w:lang w:eastAsia="zh-CN"/>
              </w:rPr>
              <w:t>。</w:t>
            </w:r>
            <w:r>
              <w:rPr>
                <w:color w:val="auto"/>
                <w:highlight w:val="none"/>
              </w:rPr>
              <w:t>《淮南市东部工业区总体规划》（2008-2020）</w:t>
            </w:r>
            <w:r>
              <w:rPr>
                <w:rFonts w:hint="eastAsia"/>
                <w:color w:val="auto"/>
                <w:highlight w:val="none"/>
                <w:lang w:val="en-US" w:eastAsia="zh-CN"/>
              </w:rPr>
              <w:t>用地与本项目相对位置图见附图4。</w:t>
            </w:r>
          </w:p>
          <w:p w14:paraId="0267FB52">
            <w:pPr>
              <w:pStyle w:val="2"/>
              <w:rPr>
                <w:rFonts w:hint="eastAsia"/>
                <w:color w:val="auto"/>
                <w:highlight w:val="none"/>
                <w:lang w:val="en-US" w:eastAsia="zh-CN"/>
              </w:rPr>
            </w:pPr>
          </w:p>
          <w:p w14:paraId="08CD1D45">
            <w:pPr>
              <w:rPr>
                <w:rFonts w:hint="eastAsia"/>
                <w:color w:val="auto"/>
                <w:highlight w:val="none"/>
                <w:lang w:val="en-US" w:eastAsia="zh-CN"/>
              </w:rPr>
            </w:pPr>
          </w:p>
          <w:p w14:paraId="43AFE066">
            <w:pPr>
              <w:pStyle w:val="2"/>
              <w:rPr>
                <w:rFonts w:hint="eastAsia"/>
                <w:color w:val="auto"/>
                <w:highlight w:val="none"/>
                <w:lang w:val="en-US" w:eastAsia="zh-CN"/>
              </w:rPr>
            </w:pPr>
          </w:p>
          <w:p w14:paraId="5CE306A5">
            <w:pPr>
              <w:rPr>
                <w:rFonts w:hint="eastAsia"/>
                <w:color w:val="auto"/>
                <w:highlight w:val="none"/>
                <w:lang w:val="en-US" w:eastAsia="zh-CN"/>
              </w:rPr>
            </w:pPr>
          </w:p>
          <w:p w14:paraId="350A574D">
            <w:pPr>
              <w:pStyle w:val="2"/>
              <w:rPr>
                <w:rFonts w:hint="eastAsia"/>
                <w:color w:val="auto"/>
                <w:highlight w:val="none"/>
                <w:lang w:val="en-US" w:eastAsia="zh-CN"/>
              </w:rPr>
            </w:pPr>
          </w:p>
          <w:p w14:paraId="5C764636">
            <w:pPr>
              <w:rPr>
                <w:rFonts w:hint="eastAsia"/>
                <w:color w:val="auto"/>
                <w:highlight w:val="none"/>
                <w:lang w:val="en-US" w:eastAsia="zh-CN"/>
              </w:rPr>
            </w:pPr>
          </w:p>
          <w:p w14:paraId="7B373342">
            <w:pPr>
              <w:pStyle w:val="2"/>
              <w:rPr>
                <w:rFonts w:hint="eastAsia"/>
                <w:color w:val="auto"/>
                <w:highlight w:val="none"/>
                <w:lang w:val="en-US" w:eastAsia="zh-CN"/>
              </w:rPr>
            </w:pPr>
          </w:p>
          <w:p w14:paraId="01FAA050">
            <w:pPr>
              <w:rPr>
                <w:rFonts w:hint="eastAsia"/>
                <w:color w:val="auto"/>
                <w:highlight w:val="none"/>
                <w:lang w:val="en-US" w:eastAsia="zh-CN"/>
              </w:rPr>
            </w:pPr>
          </w:p>
          <w:p w14:paraId="5287CB05">
            <w:pPr>
              <w:pStyle w:val="2"/>
              <w:rPr>
                <w:rFonts w:hint="eastAsia"/>
                <w:color w:val="auto"/>
                <w:highlight w:val="none"/>
                <w:lang w:val="en-US" w:eastAsia="zh-CN"/>
              </w:rPr>
            </w:pPr>
          </w:p>
          <w:p w14:paraId="52EBBFC8">
            <w:pPr>
              <w:pStyle w:val="2"/>
              <w:ind w:left="0" w:leftChars="0" w:firstLine="0" w:firstLineChars="0"/>
              <w:rPr>
                <w:rFonts w:hint="eastAsia"/>
                <w:lang w:val="en-US" w:eastAsia="zh-CN"/>
              </w:rPr>
            </w:pPr>
          </w:p>
          <w:p w14:paraId="0E704E72">
            <w:pPr>
              <w:pStyle w:val="36"/>
              <w:ind w:left="0" w:leftChars="0" w:firstLine="0" w:firstLineChars="0"/>
              <w:jc w:val="center"/>
              <w:rPr>
                <w:rFonts w:hint="eastAsia"/>
                <w:lang w:val="en-US" w:eastAsia="zh-CN"/>
              </w:rPr>
            </w:pPr>
            <w:r>
              <w:rPr>
                <w:rFonts w:hint="eastAsia"/>
                <w:lang w:val="en-US" w:eastAsia="zh-CN"/>
              </w:rPr>
              <w:drawing>
                <wp:inline distT="0" distB="0" distL="114300" distR="114300">
                  <wp:extent cx="3694430" cy="5047615"/>
                  <wp:effectExtent l="0" t="0" r="1270" b="635"/>
                  <wp:docPr id="13" name="图片 13" descr="172534702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25347022212"/>
                          <pic:cNvPicPr>
                            <a:picLocks noChangeAspect="1"/>
                          </pic:cNvPicPr>
                        </pic:nvPicPr>
                        <pic:blipFill>
                          <a:blip r:embed="rId12"/>
                          <a:stretch>
                            <a:fillRect/>
                          </a:stretch>
                        </pic:blipFill>
                        <pic:spPr>
                          <a:xfrm>
                            <a:off x="0" y="0"/>
                            <a:ext cx="3694430" cy="5047615"/>
                          </a:xfrm>
                          <a:prstGeom prst="rect">
                            <a:avLst/>
                          </a:prstGeom>
                        </pic:spPr>
                      </pic:pic>
                    </a:graphicData>
                  </a:graphic>
                </wp:inline>
              </w:drawing>
            </w:r>
          </w:p>
          <w:p w14:paraId="66EB265E">
            <w:pPr>
              <w:pStyle w:val="86"/>
              <w:bidi w:val="0"/>
              <w:rPr>
                <w:rFonts w:hint="eastAsia"/>
                <w:color w:val="auto"/>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图1-1 淮南</w:t>
            </w:r>
            <w:r>
              <w:rPr>
                <w:rFonts w:hint="eastAsia" w:cs="Times New Roman"/>
                <w:color w:val="000000" w:themeColor="text1"/>
                <w:kern w:val="0"/>
                <w:sz w:val="24"/>
                <w:highlight w:val="none"/>
                <w:lang w:val="en-US" w:eastAsia="zh-CN"/>
                <w14:textFill>
                  <w14:solidFill>
                    <w14:schemeClr w14:val="tx1"/>
                  </w14:solidFill>
                </w14:textFill>
              </w:rPr>
              <w:t>市东部工业区总体规划2008-2020土地使用规划图</w:t>
            </w:r>
          </w:p>
          <w:p w14:paraId="654B19BB">
            <w:pPr>
              <w:numPr>
                <w:ilvl w:val="0"/>
                <w:numId w:val="0"/>
              </w:numPr>
              <w:bidi w:val="0"/>
              <w:ind w:leftChars="200"/>
              <w:rPr>
                <w:rFonts w:hint="eastAsia"/>
                <w:b/>
                <w:bCs/>
                <w:lang w:val="en-US" w:eastAsia="zh-CN"/>
              </w:rPr>
            </w:pPr>
            <w:r>
              <w:rPr>
                <w:rFonts w:hint="eastAsia"/>
                <w:b/>
                <w:bCs/>
                <w:lang w:val="en-US" w:eastAsia="zh-CN"/>
              </w:rPr>
              <w:t>（2）与园区主导产业及功能定位符合性分析</w:t>
            </w:r>
          </w:p>
          <w:p w14:paraId="4E573A6C">
            <w:pPr>
              <w:spacing w:line="360" w:lineRule="auto"/>
              <w:ind w:firstLine="480" w:firstLineChars="200"/>
              <w:rPr>
                <w:rFonts w:hint="eastAsia"/>
                <w:lang w:val="en-US" w:eastAsia="zh-CN"/>
              </w:rPr>
            </w:pPr>
            <w:r>
              <w:rPr>
                <w:rFonts w:hint="eastAsia"/>
                <w:lang w:val="en-US" w:eastAsia="zh-CN"/>
              </w:rPr>
              <w:t>根据</w:t>
            </w:r>
            <w:r>
              <w:rPr>
                <w:color w:val="auto"/>
                <w:highlight w:val="none"/>
              </w:rPr>
              <w:t>《淮南市东部工业区总体规划》（2008-2020）</w:t>
            </w:r>
            <w:r>
              <w:rPr>
                <w:rFonts w:hint="eastAsia"/>
                <w:lang w:val="en-US" w:eastAsia="zh-CN"/>
              </w:rPr>
              <w:t>，可知淮南市东部工业区总体规划主导产业为生物医药、纺织服装、化学工业、机械电子与新型材料、食品加工、商贸流通</w:t>
            </w:r>
            <w:r>
              <w:rPr>
                <w:highlight w:val="none"/>
              </w:rPr>
              <w:t>。</w:t>
            </w:r>
            <w:r>
              <w:rPr>
                <w:rFonts w:hint="eastAsia"/>
                <w:highlight w:val="none"/>
                <w:lang w:val="en-US" w:eastAsia="zh-CN"/>
              </w:rPr>
              <w:t>本项目国民经济行业类别为</w:t>
            </w:r>
            <w:r>
              <w:rPr>
                <w:color w:val="auto"/>
                <w:highlight w:val="none"/>
              </w:rPr>
              <w:t>C29</w:t>
            </w:r>
            <w:r>
              <w:rPr>
                <w:rFonts w:hint="eastAsia"/>
                <w:color w:val="auto"/>
                <w:highlight w:val="none"/>
                <w:lang w:val="en-US" w:eastAsia="zh-CN"/>
              </w:rPr>
              <w:t>29</w:t>
            </w:r>
            <w:r>
              <w:rPr>
                <w:rFonts w:hint="eastAsia"/>
                <w:color w:val="auto"/>
                <w:highlight w:val="none"/>
              </w:rPr>
              <w:t xml:space="preserve"> </w:t>
            </w:r>
            <w:r>
              <w:rPr>
                <w:rFonts w:hint="eastAsia" w:ascii="宋体" w:hAnsi="宋体" w:cs="宋体"/>
                <w:color w:val="auto"/>
                <w:kern w:val="0"/>
                <w:highlight w:val="none"/>
                <w:lang w:val="en-US" w:eastAsia="zh-CN"/>
              </w:rPr>
              <w:t>塑料零件及其他塑料制品制造、</w:t>
            </w:r>
            <w:r>
              <w:rPr>
                <w:color w:val="auto"/>
              </w:rPr>
              <w:t>C2924</w:t>
            </w:r>
            <w:r>
              <w:rPr>
                <w:rFonts w:hint="eastAsia"/>
                <w:color w:val="auto"/>
              </w:rPr>
              <w:t xml:space="preserve"> </w:t>
            </w:r>
            <w:r>
              <w:rPr>
                <w:rFonts w:hint="eastAsia" w:ascii="宋体" w:hAnsi="宋体" w:cs="宋体"/>
                <w:color w:val="auto"/>
                <w:kern w:val="0"/>
              </w:rPr>
              <w:t>泡沫塑料制造</w:t>
            </w:r>
            <w:r>
              <w:rPr>
                <w:rFonts w:hint="eastAsia"/>
                <w:highlight w:val="none"/>
                <w:lang w:val="en-US" w:eastAsia="zh-CN"/>
              </w:rPr>
              <w:t>，</w:t>
            </w:r>
            <w:r>
              <w:rPr>
                <w:rFonts w:hint="eastAsia"/>
                <w:color w:val="auto"/>
                <w:highlight w:val="none"/>
              </w:rPr>
              <w:t>与</w:t>
            </w:r>
            <w:r>
              <w:rPr>
                <w:rFonts w:hint="eastAsia"/>
                <w:color w:val="auto"/>
              </w:rPr>
              <w:t>园区主导产业不违背，可视为允许类，因此项目的建设符合园区规划</w:t>
            </w:r>
            <w:r>
              <w:rPr>
                <w:rFonts w:hint="eastAsia"/>
                <w:lang w:val="en-US" w:eastAsia="zh-CN"/>
              </w:rPr>
              <w:t>。</w:t>
            </w:r>
          </w:p>
          <w:p w14:paraId="2CC6DC33">
            <w:pPr>
              <w:bidi w:val="0"/>
              <w:rPr>
                <w:rFonts w:hint="eastAsia"/>
                <w:lang w:eastAsia="zh-CN"/>
              </w:rPr>
            </w:pPr>
            <w:r>
              <w:rPr>
                <w:rFonts w:hint="eastAsia"/>
                <w:lang w:val="en-US" w:eastAsia="zh-CN"/>
              </w:rPr>
              <w:t>综上，本项目符合</w:t>
            </w:r>
            <w:r>
              <w:rPr>
                <w:color w:val="auto"/>
                <w:highlight w:val="none"/>
              </w:rPr>
              <w:t>《淮南市东部工业区总体规划》（2008-2020）</w:t>
            </w:r>
            <w:r>
              <w:rPr>
                <w:rFonts w:hint="eastAsia"/>
                <w:lang w:val="en-US" w:eastAsia="zh-CN"/>
              </w:rPr>
              <w:t>。</w:t>
            </w:r>
          </w:p>
          <w:p w14:paraId="39CFB57B">
            <w:pPr>
              <w:numPr>
                <w:ilvl w:val="0"/>
                <w:numId w:val="1"/>
              </w:numPr>
              <w:bidi w:val="0"/>
              <w:rPr>
                <w:rFonts w:hint="eastAsia"/>
                <w:b/>
                <w:bCs/>
                <w:lang w:val="en-US" w:eastAsia="zh-CN"/>
              </w:rPr>
            </w:pPr>
            <w:r>
              <w:rPr>
                <w:rFonts w:hint="eastAsia"/>
                <w:b/>
                <w:bCs/>
                <w:lang w:val="en-US" w:eastAsia="zh-CN"/>
              </w:rPr>
              <w:t>与《淮南市东部工业区总体规划环境影响报告书》及其审查意见符合性分析</w:t>
            </w:r>
          </w:p>
          <w:p w14:paraId="66868DA4">
            <w:pPr>
              <w:pStyle w:val="74"/>
              <w:bidi w:val="0"/>
              <w:rPr>
                <w:rFonts w:hint="eastAsia"/>
                <w:lang w:val="en-US" w:eastAsia="zh-CN"/>
              </w:rPr>
            </w:pPr>
            <w:r>
              <w:rPr>
                <w:rFonts w:hint="eastAsia"/>
                <w:lang w:val="en-US" w:eastAsia="zh-CN"/>
              </w:rPr>
              <w:t>表1-2 与区域规划环评及审查意见符合性分析</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3530"/>
              <w:gridCol w:w="3593"/>
              <w:gridCol w:w="551"/>
            </w:tblGrid>
            <w:tr w14:paraId="1488B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2A756D5">
                  <w:pPr>
                    <w:pStyle w:val="47"/>
                    <w:bidi w:val="0"/>
                    <w:jc w:val="center"/>
                    <w:rPr>
                      <w:rFonts w:hint="default"/>
                      <w:lang w:val="en-US" w:eastAsia="zh-CN"/>
                    </w:rPr>
                  </w:pPr>
                  <w:r>
                    <w:rPr>
                      <w:rFonts w:hint="eastAsia"/>
                      <w:lang w:val="en-US" w:eastAsia="zh-CN"/>
                    </w:rPr>
                    <w:t>序号</w:t>
                  </w:r>
                </w:p>
              </w:tc>
              <w:tc>
                <w:tcPr>
                  <w:tcW w:w="0" w:type="auto"/>
                  <w:vAlign w:val="center"/>
                </w:tcPr>
                <w:p w14:paraId="6A520F3B">
                  <w:pPr>
                    <w:pStyle w:val="47"/>
                    <w:bidi w:val="0"/>
                    <w:jc w:val="center"/>
                    <w:rPr>
                      <w:rFonts w:hint="default"/>
                      <w:lang w:val="en-US" w:eastAsia="zh-CN"/>
                    </w:rPr>
                  </w:pPr>
                  <w:r>
                    <w:rPr>
                      <w:rFonts w:hint="default"/>
                      <w:lang w:val="en-US" w:eastAsia="zh-CN"/>
                    </w:rPr>
                    <w:t>规划环评及审查意见</w:t>
                  </w:r>
                </w:p>
              </w:tc>
              <w:tc>
                <w:tcPr>
                  <w:tcW w:w="0" w:type="auto"/>
                  <w:vAlign w:val="center"/>
                </w:tcPr>
                <w:p w14:paraId="2D38D3DB">
                  <w:pPr>
                    <w:pStyle w:val="47"/>
                    <w:bidi w:val="0"/>
                    <w:jc w:val="center"/>
                    <w:rPr>
                      <w:rFonts w:hint="default"/>
                      <w:lang w:val="en-US" w:eastAsia="zh-CN"/>
                    </w:rPr>
                  </w:pPr>
                  <w:r>
                    <w:rPr>
                      <w:rFonts w:hint="eastAsia"/>
                      <w:lang w:val="en-US" w:eastAsia="zh-CN"/>
                    </w:rPr>
                    <w:t>拟建项目情况</w:t>
                  </w:r>
                </w:p>
              </w:tc>
              <w:tc>
                <w:tcPr>
                  <w:tcW w:w="0" w:type="auto"/>
                  <w:vAlign w:val="center"/>
                </w:tcPr>
                <w:p w14:paraId="1597B374">
                  <w:pPr>
                    <w:pStyle w:val="47"/>
                    <w:bidi w:val="0"/>
                    <w:jc w:val="center"/>
                    <w:rPr>
                      <w:rFonts w:hint="default"/>
                      <w:lang w:val="en-US" w:eastAsia="zh-CN"/>
                    </w:rPr>
                  </w:pPr>
                  <w:r>
                    <w:rPr>
                      <w:rFonts w:hint="eastAsia"/>
                      <w:lang w:val="en-US" w:eastAsia="zh-CN"/>
                    </w:rPr>
                    <w:t>符合性分析</w:t>
                  </w:r>
                </w:p>
              </w:tc>
            </w:tr>
            <w:tr w14:paraId="2531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5FA0AB9">
                  <w:pPr>
                    <w:pStyle w:val="47"/>
                    <w:bidi w:val="0"/>
                    <w:jc w:val="center"/>
                    <w:rPr>
                      <w:rFonts w:hint="default"/>
                      <w:lang w:val="en-US" w:eastAsia="zh-CN"/>
                    </w:rPr>
                  </w:pPr>
                  <w:r>
                    <w:rPr>
                      <w:rFonts w:hint="eastAsia"/>
                      <w:lang w:val="en-US" w:eastAsia="zh-CN"/>
                    </w:rPr>
                    <w:t>1</w:t>
                  </w:r>
                </w:p>
              </w:tc>
              <w:tc>
                <w:tcPr>
                  <w:tcW w:w="0" w:type="auto"/>
                  <w:vAlign w:val="center"/>
                </w:tcPr>
                <w:p w14:paraId="4C856425">
                  <w:pPr>
                    <w:pStyle w:val="47"/>
                    <w:bidi w:val="0"/>
                    <w:jc w:val="center"/>
                    <w:rPr>
                      <w:rFonts w:hint="default"/>
                      <w:lang w:val="en-US" w:eastAsia="zh-CN"/>
                    </w:rPr>
                  </w:pPr>
                  <w:r>
                    <w:rPr>
                      <w:rFonts w:hint="default"/>
                      <w:lang w:val="en-US" w:eastAsia="zh-CN"/>
                    </w:rPr>
                    <w:t>淮南开发区规划建设范围是</w:t>
                  </w:r>
                  <w:r>
                    <w:rPr>
                      <w:rFonts w:hint="eastAsia"/>
                      <w:lang w:val="en-US" w:eastAsia="zh-CN"/>
                    </w:rPr>
                    <w:t>；</w:t>
                  </w:r>
                  <w:r>
                    <w:rPr>
                      <w:rFonts w:hint="default"/>
                      <w:lang w:val="en-US" w:eastAsia="zh-CN"/>
                    </w:rPr>
                    <w:t>东至中兴路高压廊道西侧，南至合阜铁路、西至建兴路西侧-建设路西侧、北至电厂路南侧范围内的符合淮南市土地利用总体规划(2006-2020年)允许建设用地范围。</w:t>
                  </w:r>
                </w:p>
              </w:tc>
              <w:tc>
                <w:tcPr>
                  <w:tcW w:w="0" w:type="auto"/>
                  <w:vAlign w:val="center"/>
                </w:tcPr>
                <w:p w14:paraId="082A3FEA">
                  <w:pPr>
                    <w:pStyle w:val="47"/>
                    <w:bidi w:val="0"/>
                    <w:jc w:val="center"/>
                    <w:rPr>
                      <w:rFonts w:hint="default"/>
                      <w:lang w:val="en-US" w:eastAsia="zh-CN"/>
                    </w:rPr>
                  </w:pPr>
                  <w:r>
                    <w:rPr>
                      <w:rFonts w:hint="eastAsia"/>
                      <w:lang w:val="en-US" w:eastAsia="zh-CN"/>
                    </w:rPr>
                    <w:t>本项目位于</w:t>
                  </w:r>
                  <w:r>
                    <w:rPr>
                      <w:rFonts w:hint="eastAsia"/>
                    </w:rPr>
                    <w:t>安徽淮南经济技术开发区</w:t>
                  </w:r>
                  <w:r>
                    <w:rPr>
                      <w:rFonts w:hint="eastAsia"/>
                      <w:lang w:val="en-US" w:eastAsia="zh-CN"/>
                    </w:rPr>
                    <w:t>吉兴路西侧3号，在淮南经济技术开发区规划范围内。</w:t>
                  </w:r>
                </w:p>
              </w:tc>
              <w:tc>
                <w:tcPr>
                  <w:tcW w:w="0" w:type="auto"/>
                  <w:vAlign w:val="center"/>
                </w:tcPr>
                <w:p w14:paraId="21419E74">
                  <w:pPr>
                    <w:pStyle w:val="47"/>
                    <w:bidi w:val="0"/>
                    <w:jc w:val="center"/>
                    <w:rPr>
                      <w:rFonts w:hint="default"/>
                      <w:lang w:val="en-US" w:eastAsia="zh-CN"/>
                    </w:rPr>
                  </w:pPr>
                  <w:r>
                    <w:rPr>
                      <w:rFonts w:hint="eastAsia"/>
                      <w:lang w:val="en-US" w:eastAsia="zh-CN"/>
                    </w:rPr>
                    <w:t>符合</w:t>
                  </w:r>
                </w:p>
              </w:tc>
            </w:tr>
            <w:tr w14:paraId="5938B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2C30C5C">
                  <w:pPr>
                    <w:pStyle w:val="47"/>
                    <w:bidi w:val="0"/>
                    <w:jc w:val="center"/>
                    <w:rPr>
                      <w:rFonts w:hint="default"/>
                      <w:lang w:val="en-US" w:eastAsia="zh-CN"/>
                    </w:rPr>
                  </w:pPr>
                  <w:r>
                    <w:rPr>
                      <w:rFonts w:hint="eastAsia"/>
                      <w:lang w:val="en-US" w:eastAsia="zh-CN"/>
                    </w:rPr>
                    <w:t>2</w:t>
                  </w:r>
                </w:p>
              </w:tc>
              <w:tc>
                <w:tcPr>
                  <w:tcW w:w="0" w:type="auto"/>
                  <w:vAlign w:val="center"/>
                </w:tcPr>
                <w:p w14:paraId="1C80C47B">
                  <w:pPr>
                    <w:pStyle w:val="47"/>
                    <w:bidi w:val="0"/>
                    <w:jc w:val="center"/>
                    <w:rPr>
                      <w:rFonts w:hint="default"/>
                      <w:lang w:val="en-US" w:eastAsia="zh-CN"/>
                    </w:rPr>
                  </w:pPr>
                  <w:r>
                    <w:rPr>
                      <w:rFonts w:hint="default"/>
                      <w:lang w:val="en-US" w:eastAsia="zh-CN"/>
                    </w:rPr>
                    <w:t>按照开发区产业功能定位，进一步优化开发区内产业结构，严格限制非开发区产业定位方向的项目入区建设，国家产业政策、技术政策和环保法律法规政策明令禁止的项目不得入区建设。</w:t>
                  </w:r>
                </w:p>
              </w:tc>
              <w:tc>
                <w:tcPr>
                  <w:tcW w:w="0" w:type="auto"/>
                  <w:vAlign w:val="center"/>
                </w:tcPr>
                <w:p w14:paraId="73B07744">
                  <w:pPr>
                    <w:pStyle w:val="47"/>
                    <w:bidi w:val="0"/>
                    <w:jc w:val="center"/>
                    <w:rPr>
                      <w:rFonts w:hint="eastAsia"/>
                      <w:lang w:val="en-US" w:eastAsia="zh-CN"/>
                    </w:rPr>
                  </w:pPr>
                  <w:r>
                    <w:rPr>
                      <w:rFonts w:hint="eastAsia"/>
                      <w:lang w:val="en-US" w:eastAsia="zh-CN"/>
                    </w:rPr>
                    <w:t>本项目属于</w:t>
                  </w:r>
                  <w:r>
                    <w:t>C29</w:t>
                  </w:r>
                  <w:r>
                    <w:rPr>
                      <w:rFonts w:hint="eastAsia"/>
                      <w:lang w:val="en-US" w:eastAsia="zh-CN"/>
                    </w:rPr>
                    <w:t>29</w:t>
                  </w:r>
                  <w:r>
                    <w:rPr>
                      <w:rFonts w:hint="eastAsia"/>
                    </w:rPr>
                    <w:t xml:space="preserve"> </w:t>
                  </w:r>
                  <w:r>
                    <w:rPr>
                      <w:rFonts w:hint="eastAsia"/>
                      <w:lang w:val="en-US" w:eastAsia="zh-CN"/>
                    </w:rPr>
                    <w:t>塑料零件及其他塑料制品制造、</w:t>
                  </w:r>
                  <w:r>
                    <w:t>C2924</w:t>
                  </w:r>
                  <w:r>
                    <w:rPr>
                      <w:rFonts w:hint="eastAsia"/>
                    </w:rPr>
                    <w:t xml:space="preserve"> 泡沫塑料制造</w:t>
                  </w:r>
                  <w:r>
                    <w:rPr>
                      <w:rFonts w:hint="eastAsia"/>
                      <w:lang w:eastAsia="zh-CN"/>
                    </w:rPr>
                    <w:t>，</w:t>
                  </w:r>
                  <w:r>
                    <w:rPr>
                      <w:rFonts w:hint="eastAsia"/>
                      <w:color w:val="auto"/>
                      <w:highlight w:val="none"/>
                    </w:rPr>
                    <w:t>与</w:t>
                  </w:r>
                  <w:r>
                    <w:rPr>
                      <w:rFonts w:hint="eastAsia"/>
                      <w:color w:val="auto"/>
                    </w:rPr>
                    <w:t>园区主导产业不违背，可视为允许类</w:t>
                  </w:r>
                  <w:r>
                    <w:rPr>
                      <w:rFonts w:hint="eastAsia"/>
                      <w:color w:val="auto"/>
                      <w:lang w:eastAsia="zh-CN"/>
                    </w:rPr>
                    <w:t>。</w:t>
                  </w:r>
                  <w:r>
                    <w:rPr>
                      <w:rFonts w:hint="eastAsia"/>
                      <w:lang w:eastAsia="zh-CN"/>
                    </w:rPr>
                    <w:t>对照《产业结构调整指导目录》(2024 年本)，本项目</w:t>
                  </w:r>
                  <w:r>
                    <w:rPr>
                      <w:rFonts w:hint="eastAsia"/>
                      <w:lang w:val="en-US" w:eastAsia="zh-CN"/>
                    </w:rPr>
                    <w:t>不属于</w:t>
                  </w:r>
                  <w:r>
                    <w:rPr>
                      <w:rFonts w:hint="eastAsia"/>
                      <w:lang w:eastAsia="zh-CN"/>
                    </w:rPr>
                    <w:t>鼓励类、限制类和淘汰类，且符合国家有关法律、法规和政策规定的项目，视为允许类，符合国家产业政策。</w:t>
                  </w:r>
                </w:p>
              </w:tc>
              <w:tc>
                <w:tcPr>
                  <w:tcW w:w="0" w:type="auto"/>
                  <w:vAlign w:val="center"/>
                </w:tcPr>
                <w:p w14:paraId="0BBFD88A">
                  <w:pPr>
                    <w:pStyle w:val="47"/>
                    <w:bidi w:val="0"/>
                    <w:jc w:val="center"/>
                    <w:rPr>
                      <w:rFonts w:hint="default"/>
                      <w:lang w:val="en-US" w:eastAsia="zh-CN"/>
                    </w:rPr>
                  </w:pPr>
                  <w:r>
                    <w:rPr>
                      <w:rFonts w:hint="eastAsia"/>
                      <w:lang w:val="en-US" w:eastAsia="zh-CN"/>
                    </w:rPr>
                    <w:t>符合</w:t>
                  </w:r>
                </w:p>
              </w:tc>
            </w:tr>
            <w:tr w14:paraId="73E6F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33E78BF">
                  <w:pPr>
                    <w:pStyle w:val="47"/>
                    <w:bidi w:val="0"/>
                    <w:jc w:val="center"/>
                    <w:rPr>
                      <w:rFonts w:hint="default"/>
                      <w:lang w:val="en-US" w:eastAsia="zh-CN"/>
                    </w:rPr>
                  </w:pPr>
                  <w:r>
                    <w:rPr>
                      <w:rFonts w:hint="eastAsia"/>
                      <w:lang w:val="en-US" w:eastAsia="zh-CN"/>
                    </w:rPr>
                    <w:t>3</w:t>
                  </w:r>
                </w:p>
              </w:tc>
              <w:tc>
                <w:tcPr>
                  <w:tcW w:w="0" w:type="auto"/>
                  <w:vAlign w:val="center"/>
                </w:tcPr>
                <w:p w14:paraId="2B25A68D">
                  <w:pPr>
                    <w:pStyle w:val="47"/>
                    <w:bidi w:val="0"/>
                    <w:jc w:val="center"/>
                    <w:rPr>
                      <w:rFonts w:hint="default"/>
                      <w:lang w:val="en-US" w:eastAsia="zh-CN"/>
                    </w:rPr>
                  </w:pPr>
                  <w:r>
                    <w:rPr>
                      <w:rFonts w:hint="default"/>
                      <w:lang w:val="en-US" w:eastAsia="zh-CN"/>
                    </w:rPr>
                    <w:t>加快环保基础设施建设，确保污染物达标排放。开发区实行雨污分流，加快污水管网等配套工程建设进度，完善环保基础设施，在污水处理厂投入运行前，所有入区的工业企业污水必须达标排放</w:t>
                  </w:r>
                  <w:r>
                    <w:rPr>
                      <w:rFonts w:hint="eastAsia"/>
                      <w:lang w:val="en-US" w:eastAsia="zh-CN"/>
                    </w:rPr>
                    <w:t>；</w:t>
                  </w:r>
                  <w:r>
                    <w:rPr>
                      <w:rFonts w:hint="default"/>
                      <w:lang w:val="en-US" w:eastAsia="zh-CN"/>
                    </w:rPr>
                    <w:t>污水处理厂投入运行后，工业企业污水须达到接管标准。进一步做好开发区的集中供热的论证工作，尽可能使用清洁燃料，逐步替代开发区内现有燃煤锅炉，减少大气污染物排放。开发区内危险废物的收集、贮存应符合《危险废物贮存污染控制标准》(GB18597-2001)的规定要求。声环境执行相应功能区标准</w:t>
                  </w:r>
                  <w:r>
                    <w:rPr>
                      <w:rFonts w:hint="eastAsia"/>
                      <w:lang w:val="en-US" w:eastAsia="zh-CN"/>
                    </w:rPr>
                    <w:t>。</w:t>
                  </w:r>
                </w:p>
              </w:tc>
              <w:tc>
                <w:tcPr>
                  <w:tcW w:w="0" w:type="auto"/>
                  <w:vAlign w:val="center"/>
                </w:tcPr>
                <w:p w14:paraId="322459FD">
                  <w:pPr>
                    <w:pStyle w:val="47"/>
                    <w:bidi w:val="0"/>
                    <w:jc w:val="center"/>
                    <w:rPr>
                      <w:rFonts w:hint="default"/>
                      <w:lang w:val="en-US" w:eastAsia="zh-CN"/>
                    </w:rPr>
                  </w:pPr>
                  <w:r>
                    <w:rPr>
                      <w:rFonts w:hint="eastAsia"/>
                      <w:lang w:val="en-US" w:eastAsia="zh-CN"/>
                    </w:rPr>
                    <w:t>本</w:t>
                  </w:r>
                  <w:r>
                    <w:rPr>
                      <w:rFonts w:hint="default"/>
                      <w:lang w:val="en-US" w:eastAsia="zh-CN"/>
                    </w:rPr>
                    <w:t>项目依托</w:t>
                  </w:r>
                  <w:r>
                    <w:rPr>
                      <w:rFonts w:hint="eastAsia"/>
                      <w:lang w:val="en-US" w:eastAsia="zh-CN"/>
                    </w:rPr>
                    <w:t>厂区</w:t>
                  </w:r>
                  <w:r>
                    <w:rPr>
                      <w:rFonts w:hint="default"/>
                      <w:lang w:val="en-US" w:eastAsia="zh-CN"/>
                    </w:rPr>
                    <w:t>现有</w:t>
                  </w:r>
                  <w:r>
                    <w:rPr>
                      <w:rFonts w:hint="eastAsia"/>
                      <w:lang w:val="en-US" w:eastAsia="zh-CN"/>
                    </w:rPr>
                    <w:t>排水</w:t>
                  </w:r>
                  <w:r>
                    <w:rPr>
                      <w:rFonts w:hint="default"/>
                      <w:lang w:val="en-US" w:eastAsia="zh-CN"/>
                    </w:rPr>
                    <w:t>设施，采用雨污分流制，雨水排入雨水管网</w:t>
                  </w:r>
                  <w:r>
                    <w:rPr>
                      <w:rFonts w:hint="eastAsia"/>
                      <w:lang w:val="en-US" w:eastAsia="zh-CN"/>
                    </w:rPr>
                    <w:t>；</w:t>
                  </w:r>
                  <w:r>
                    <w:rPr>
                      <w:rFonts w:hint="eastAsia"/>
                      <w:color w:val="auto"/>
                      <w:highlight w:val="none"/>
                      <w:lang w:val="en-US" w:eastAsia="zh-CN"/>
                    </w:rPr>
                    <w:t>本项目无生产废水排放，</w:t>
                  </w:r>
                  <w:r>
                    <w:rPr>
                      <w:color w:val="auto"/>
                      <w:highlight w:val="none"/>
                    </w:rPr>
                    <w:t>生活污水经化粪池预处理后</w:t>
                  </w:r>
                  <w:r>
                    <w:rPr>
                      <w:rFonts w:hint="eastAsia"/>
                      <w:color w:val="auto"/>
                      <w:highlight w:val="none"/>
                      <w:lang w:val="en-US" w:eastAsia="zh-CN"/>
                    </w:rPr>
                    <w:t>由市政</w:t>
                  </w:r>
                  <w:r>
                    <w:rPr>
                      <w:color w:val="auto"/>
                      <w:highlight w:val="none"/>
                    </w:rPr>
                    <w:t>污水管网进入淮南经济开发区污水处理厂（三万吨污水处理厂）处理达标后尾水排入淮河</w:t>
                  </w:r>
                  <w:r>
                    <w:rPr>
                      <w:rFonts w:hint="default"/>
                      <w:lang w:val="en-US" w:eastAsia="zh-CN"/>
                    </w:rPr>
                    <w:t>。项目危险废物的收集、贮存符合《危险废物贮存污染控制标准》(GB18597-2023)中的规定要求。声环境执行《声环境质量标准》(GB3096-2008)中</w:t>
                  </w:r>
                  <w:r>
                    <w:rPr>
                      <w:rFonts w:hint="default"/>
                      <w:highlight w:val="none"/>
                      <w:lang w:val="en-US" w:eastAsia="zh-CN"/>
                    </w:rPr>
                    <w:t>3类标准</w:t>
                  </w:r>
                  <w:r>
                    <w:rPr>
                      <w:rFonts w:hint="eastAsia"/>
                      <w:highlight w:val="none"/>
                      <w:lang w:val="en-US" w:eastAsia="zh-CN"/>
                    </w:rPr>
                    <w:t>，</w:t>
                  </w:r>
                  <w:r>
                    <w:rPr>
                      <w:rFonts w:hint="eastAsia"/>
                      <w:lang w:val="en-US" w:eastAsia="zh-CN"/>
                    </w:rPr>
                    <w:t>项目不涉及燃煤锅炉及燃煤使用。</w:t>
                  </w:r>
                </w:p>
              </w:tc>
              <w:tc>
                <w:tcPr>
                  <w:tcW w:w="0" w:type="auto"/>
                  <w:vAlign w:val="center"/>
                </w:tcPr>
                <w:p w14:paraId="2E59DB43">
                  <w:pPr>
                    <w:pStyle w:val="47"/>
                    <w:bidi w:val="0"/>
                    <w:jc w:val="center"/>
                    <w:rPr>
                      <w:rFonts w:hint="default"/>
                      <w:lang w:val="en-US" w:eastAsia="zh-CN"/>
                    </w:rPr>
                  </w:pPr>
                  <w:r>
                    <w:rPr>
                      <w:rFonts w:hint="eastAsia"/>
                      <w:lang w:val="en-US" w:eastAsia="zh-CN"/>
                    </w:rPr>
                    <w:t>符合</w:t>
                  </w:r>
                </w:p>
              </w:tc>
            </w:tr>
            <w:tr w14:paraId="5362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7E9833A">
                  <w:pPr>
                    <w:pStyle w:val="47"/>
                    <w:bidi w:val="0"/>
                    <w:jc w:val="center"/>
                    <w:rPr>
                      <w:rFonts w:hint="default"/>
                      <w:lang w:val="en-US" w:eastAsia="zh-CN"/>
                    </w:rPr>
                  </w:pPr>
                  <w:r>
                    <w:rPr>
                      <w:rFonts w:hint="eastAsia"/>
                      <w:lang w:val="en-US" w:eastAsia="zh-CN"/>
                    </w:rPr>
                    <w:t>4</w:t>
                  </w:r>
                </w:p>
              </w:tc>
              <w:tc>
                <w:tcPr>
                  <w:tcW w:w="0" w:type="auto"/>
                  <w:vAlign w:val="center"/>
                </w:tcPr>
                <w:p w14:paraId="403EDBAA">
                  <w:pPr>
                    <w:pStyle w:val="47"/>
                    <w:bidi w:val="0"/>
                    <w:jc w:val="center"/>
                    <w:rPr>
                      <w:rFonts w:hint="default"/>
                      <w:lang w:val="en-US" w:eastAsia="zh-CN"/>
                    </w:rPr>
                  </w:pPr>
                  <w:r>
                    <w:rPr>
                      <w:rFonts w:hint="default"/>
                      <w:lang w:val="en-US" w:eastAsia="zh-CN"/>
                    </w:rPr>
                    <w:t>开发区在开发建设过程中，要采取措施防止扬尘与水土流失，加强开发区内生态环境建设。</w:t>
                  </w:r>
                </w:p>
              </w:tc>
              <w:tc>
                <w:tcPr>
                  <w:tcW w:w="0" w:type="auto"/>
                  <w:vAlign w:val="center"/>
                </w:tcPr>
                <w:p w14:paraId="02ECC2B9">
                  <w:pPr>
                    <w:pStyle w:val="47"/>
                    <w:bidi w:val="0"/>
                    <w:jc w:val="center"/>
                    <w:rPr>
                      <w:rFonts w:hint="default"/>
                      <w:lang w:val="en-US" w:eastAsia="zh-CN"/>
                    </w:rPr>
                  </w:pPr>
                  <w:r>
                    <w:rPr>
                      <w:rFonts w:hint="default"/>
                      <w:lang w:val="en-US" w:eastAsia="zh-CN"/>
                    </w:rPr>
                    <w:t>本项目</w:t>
                  </w:r>
                  <w:r>
                    <w:rPr>
                      <w:rFonts w:hint="eastAsia"/>
                      <w:lang w:val="en-US" w:eastAsia="zh-CN"/>
                    </w:rPr>
                    <w:t>利用厂区现有空置厂房</w:t>
                  </w:r>
                  <w:r>
                    <w:rPr>
                      <w:rFonts w:hint="default"/>
                      <w:lang w:val="en-US" w:eastAsia="zh-CN"/>
                    </w:rPr>
                    <w:t>，施工期</w:t>
                  </w:r>
                  <w:r>
                    <w:rPr>
                      <w:rFonts w:hint="eastAsia"/>
                      <w:lang w:val="en-US" w:eastAsia="zh-CN"/>
                    </w:rPr>
                    <w:t>主要</w:t>
                  </w:r>
                  <w:r>
                    <w:rPr>
                      <w:rFonts w:hint="default"/>
                      <w:lang w:val="en-US" w:eastAsia="zh-CN"/>
                    </w:rPr>
                    <w:t>涉及设备安装和调试，施工期相对较短，对周围环境影响不大</w:t>
                  </w:r>
                </w:p>
              </w:tc>
              <w:tc>
                <w:tcPr>
                  <w:tcW w:w="0" w:type="auto"/>
                  <w:vAlign w:val="center"/>
                </w:tcPr>
                <w:p w14:paraId="36F25399">
                  <w:pPr>
                    <w:pStyle w:val="47"/>
                    <w:bidi w:val="0"/>
                    <w:jc w:val="center"/>
                    <w:rPr>
                      <w:rFonts w:hint="default"/>
                      <w:lang w:val="en-US" w:eastAsia="zh-CN"/>
                    </w:rPr>
                  </w:pPr>
                  <w:r>
                    <w:rPr>
                      <w:rFonts w:hint="eastAsia"/>
                      <w:lang w:val="en-US" w:eastAsia="zh-CN"/>
                    </w:rPr>
                    <w:t>符合</w:t>
                  </w:r>
                </w:p>
              </w:tc>
            </w:tr>
            <w:tr w14:paraId="270A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F37ED1A">
                  <w:pPr>
                    <w:pStyle w:val="47"/>
                    <w:bidi w:val="0"/>
                    <w:jc w:val="center"/>
                    <w:rPr>
                      <w:rFonts w:hint="default"/>
                      <w:lang w:val="en-US" w:eastAsia="zh-CN"/>
                    </w:rPr>
                  </w:pPr>
                  <w:r>
                    <w:rPr>
                      <w:rFonts w:hint="eastAsia"/>
                      <w:lang w:val="en-US" w:eastAsia="zh-CN"/>
                    </w:rPr>
                    <w:t>5</w:t>
                  </w:r>
                </w:p>
              </w:tc>
              <w:tc>
                <w:tcPr>
                  <w:tcW w:w="0" w:type="auto"/>
                  <w:vAlign w:val="center"/>
                </w:tcPr>
                <w:p w14:paraId="1EA0A894">
                  <w:pPr>
                    <w:pStyle w:val="47"/>
                    <w:bidi w:val="0"/>
                    <w:jc w:val="center"/>
                    <w:rPr>
                      <w:rFonts w:hint="default"/>
                      <w:lang w:val="en-US" w:eastAsia="zh-CN"/>
                    </w:rPr>
                  </w:pPr>
                  <w:r>
                    <w:rPr>
                      <w:rFonts w:hint="default"/>
                      <w:lang w:val="en-US" w:eastAsia="zh-CN"/>
                    </w:rPr>
                    <w:t>加强开发区环境监督管理，开发区内所有建设项目，要认真履行有关环境保护法律法规，严格执行建设项目环境影响评价制度和环境保护</w:t>
                  </w:r>
                  <w:r>
                    <w:rPr>
                      <w:rFonts w:hint="eastAsia"/>
                      <w:lang w:val="en-US" w:eastAsia="zh-CN"/>
                    </w:rPr>
                    <w:t>“</w:t>
                  </w:r>
                  <w:r>
                    <w:rPr>
                      <w:rFonts w:hint="default"/>
                      <w:lang w:val="en-US" w:eastAsia="zh-CN"/>
                    </w:rPr>
                    <w:t>三同时</w:t>
                  </w:r>
                  <w:r>
                    <w:rPr>
                      <w:rFonts w:hint="eastAsia"/>
                      <w:lang w:val="en-US" w:eastAsia="zh-CN"/>
                    </w:rPr>
                    <w:t>”</w:t>
                  </w:r>
                  <w:r>
                    <w:rPr>
                      <w:rFonts w:hint="default"/>
                      <w:lang w:val="en-US" w:eastAsia="zh-CN"/>
                    </w:rPr>
                    <w:t>制度。</w:t>
                  </w:r>
                </w:p>
              </w:tc>
              <w:tc>
                <w:tcPr>
                  <w:tcW w:w="0" w:type="auto"/>
                  <w:vAlign w:val="center"/>
                </w:tcPr>
                <w:p w14:paraId="02B1835F">
                  <w:pPr>
                    <w:pStyle w:val="47"/>
                    <w:bidi w:val="0"/>
                    <w:jc w:val="center"/>
                    <w:rPr>
                      <w:rFonts w:hint="default"/>
                      <w:lang w:val="en-US" w:eastAsia="zh-CN"/>
                    </w:rPr>
                  </w:pPr>
                  <w:r>
                    <w:rPr>
                      <w:rFonts w:hint="default"/>
                      <w:lang w:val="en-US" w:eastAsia="zh-CN"/>
                    </w:rPr>
                    <w:t>本项目按要求执行建设项目环境影响评价制度和环境保护</w:t>
                  </w:r>
                  <w:r>
                    <w:rPr>
                      <w:rFonts w:hint="eastAsia"/>
                      <w:lang w:val="en-US" w:eastAsia="zh-CN"/>
                    </w:rPr>
                    <w:t>“</w:t>
                  </w:r>
                  <w:r>
                    <w:rPr>
                      <w:rFonts w:hint="default"/>
                      <w:lang w:val="en-US" w:eastAsia="zh-CN"/>
                    </w:rPr>
                    <w:t>三同时</w:t>
                  </w:r>
                  <w:r>
                    <w:rPr>
                      <w:rFonts w:hint="eastAsia"/>
                      <w:lang w:val="en-US" w:eastAsia="zh-CN"/>
                    </w:rPr>
                    <w:t>”</w:t>
                  </w:r>
                  <w:r>
                    <w:rPr>
                      <w:rFonts w:hint="default"/>
                      <w:lang w:val="en-US" w:eastAsia="zh-CN"/>
                    </w:rPr>
                    <w:t>制度。</w:t>
                  </w:r>
                </w:p>
              </w:tc>
              <w:tc>
                <w:tcPr>
                  <w:tcW w:w="0" w:type="auto"/>
                  <w:vAlign w:val="center"/>
                </w:tcPr>
                <w:p w14:paraId="4A2B6026">
                  <w:pPr>
                    <w:pStyle w:val="47"/>
                    <w:bidi w:val="0"/>
                    <w:jc w:val="center"/>
                    <w:rPr>
                      <w:rFonts w:hint="default"/>
                      <w:lang w:val="en-US" w:eastAsia="zh-CN"/>
                    </w:rPr>
                  </w:pPr>
                  <w:r>
                    <w:rPr>
                      <w:rFonts w:hint="eastAsia"/>
                      <w:lang w:val="en-US" w:eastAsia="zh-CN"/>
                    </w:rPr>
                    <w:t>符合</w:t>
                  </w:r>
                </w:p>
              </w:tc>
            </w:tr>
          </w:tbl>
          <w:p w14:paraId="3C91B756">
            <w:pPr>
              <w:bidi w:val="0"/>
              <w:rPr>
                <w:rFonts w:hint="eastAsia"/>
                <w:b/>
                <w:bCs/>
                <w:lang w:val="en-US" w:eastAsia="zh-CN"/>
              </w:rPr>
            </w:pPr>
            <w:r>
              <w:rPr>
                <w:rFonts w:hint="eastAsia"/>
                <w:b/>
                <w:bCs/>
                <w:lang w:val="en-US" w:eastAsia="zh-CN"/>
              </w:rPr>
              <w:t>（4）与</w:t>
            </w:r>
            <w:r>
              <w:rPr>
                <w:b/>
                <w:bCs/>
              </w:rPr>
              <w:t>《淮南市东部工业区总体规划》（2008-2020）</w:t>
            </w:r>
            <w:r>
              <w:rPr>
                <w:rFonts w:hint="eastAsia"/>
                <w:b/>
                <w:bCs/>
                <w:lang w:val="en-US" w:eastAsia="zh-CN"/>
              </w:rPr>
              <w:t>环境准入清单符合性分析</w:t>
            </w:r>
          </w:p>
          <w:p w14:paraId="3E2F542E">
            <w:pPr>
              <w:pStyle w:val="74"/>
              <w:bidi w:val="0"/>
              <w:spacing w:line="240" w:lineRule="auto"/>
              <w:rPr>
                <w:rFonts w:hint="eastAsia"/>
                <w:color w:val="auto"/>
                <w:highlight w:val="none"/>
              </w:rPr>
            </w:pPr>
            <w:r>
              <w:rPr>
                <w:rFonts w:hint="eastAsia"/>
                <w:color w:val="auto"/>
                <w:highlight w:val="none"/>
              </w:rPr>
              <w:t>表1-</w:t>
            </w:r>
            <w:r>
              <w:rPr>
                <w:rFonts w:hint="eastAsia"/>
                <w:color w:val="auto"/>
                <w:highlight w:val="none"/>
                <w:lang w:val="en-US" w:eastAsia="zh-CN"/>
              </w:rPr>
              <w:t>3</w:t>
            </w:r>
            <w:r>
              <w:rPr>
                <w:rFonts w:hint="eastAsia"/>
                <w:color w:val="auto"/>
                <w:highlight w:val="none"/>
              </w:rPr>
              <w:t xml:space="preserve"> 与</w:t>
            </w:r>
            <w:r>
              <w:rPr>
                <w:color w:val="auto"/>
                <w:highlight w:val="none"/>
              </w:rPr>
              <w:t>淮南市东部工业园区</w:t>
            </w:r>
            <w:r>
              <w:rPr>
                <w:rFonts w:hint="eastAsia"/>
                <w:color w:val="auto"/>
                <w:highlight w:val="none"/>
                <w:lang w:val="en-US" w:eastAsia="zh-CN"/>
              </w:rPr>
              <w:t>环境准入清单</w:t>
            </w:r>
            <w:r>
              <w:rPr>
                <w:rFonts w:hint="eastAsia"/>
                <w:color w:val="auto"/>
                <w:highlight w:val="none"/>
              </w:rPr>
              <w:t>相符性分析</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5504"/>
              <w:gridCol w:w="2143"/>
            </w:tblGrid>
            <w:tr w14:paraId="724F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noWrap w:val="0"/>
                  <w:vAlign w:val="center"/>
                </w:tcPr>
                <w:p w14:paraId="498FE2A2">
                  <w:pPr>
                    <w:pStyle w:val="47"/>
                    <w:bidi w:val="0"/>
                    <w:rPr>
                      <w:rFonts w:hint="eastAsia"/>
                    </w:rPr>
                  </w:pPr>
                  <w:r>
                    <w:rPr>
                      <w:rFonts w:hint="eastAsia"/>
                    </w:rPr>
                    <w:t>序号</w:t>
                  </w:r>
                </w:p>
              </w:tc>
              <w:tc>
                <w:tcPr>
                  <w:tcW w:w="3370" w:type="pct"/>
                  <w:noWrap w:val="0"/>
                  <w:vAlign w:val="center"/>
                </w:tcPr>
                <w:p w14:paraId="7CFEB3BF">
                  <w:pPr>
                    <w:pStyle w:val="47"/>
                    <w:bidi w:val="0"/>
                    <w:rPr>
                      <w:rFonts w:hint="eastAsia"/>
                    </w:rPr>
                  </w:pPr>
                  <w:r>
                    <w:rPr>
                      <w:rFonts w:hint="eastAsia"/>
                    </w:rPr>
                    <w:t>相关要求</w:t>
                  </w:r>
                </w:p>
              </w:tc>
              <w:tc>
                <w:tcPr>
                  <w:tcW w:w="1312" w:type="pct"/>
                  <w:noWrap w:val="0"/>
                  <w:vAlign w:val="center"/>
                </w:tcPr>
                <w:p w14:paraId="1198C3FE">
                  <w:pPr>
                    <w:pStyle w:val="47"/>
                    <w:bidi w:val="0"/>
                    <w:rPr>
                      <w:rFonts w:hint="eastAsia"/>
                    </w:rPr>
                  </w:pPr>
                  <w:r>
                    <w:rPr>
                      <w:rFonts w:hint="eastAsia"/>
                    </w:rPr>
                    <w:t>符合性分析</w:t>
                  </w:r>
                </w:p>
              </w:tc>
            </w:tr>
            <w:tr w14:paraId="1F79B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noWrap w:val="0"/>
                  <w:vAlign w:val="center"/>
                </w:tcPr>
                <w:p w14:paraId="703CB997">
                  <w:pPr>
                    <w:pStyle w:val="47"/>
                    <w:bidi w:val="0"/>
                    <w:rPr>
                      <w:rFonts w:hint="eastAsia"/>
                      <w:lang w:val="en-US" w:eastAsia="zh-CN"/>
                    </w:rPr>
                  </w:pPr>
                  <w:r>
                    <w:rPr>
                      <w:rFonts w:hint="eastAsia"/>
                    </w:rPr>
                    <w:t>1</w:t>
                  </w:r>
                </w:p>
              </w:tc>
              <w:tc>
                <w:tcPr>
                  <w:tcW w:w="3370" w:type="pct"/>
                  <w:noWrap w:val="0"/>
                  <w:vAlign w:val="center"/>
                </w:tcPr>
                <w:p w14:paraId="3400FFEE">
                  <w:pPr>
                    <w:pStyle w:val="47"/>
                    <w:bidi w:val="0"/>
                    <w:rPr>
                      <w:rFonts w:hint="default"/>
                      <w:lang w:val="en-US" w:eastAsia="zh-CN"/>
                    </w:rPr>
                  </w:pPr>
                  <w:r>
                    <w:rPr>
                      <w:rFonts w:hint="eastAsia"/>
                      <w:lang w:val="en-US" w:eastAsia="zh-CN"/>
                    </w:rPr>
                    <w:t>优先引入：</w:t>
                  </w:r>
                  <w:r>
                    <w:t>生物医药、纺织服装、化学工业、机械电子与新型材料、食品加工、商贸流通</w:t>
                  </w:r>
                </w:p>
              </w:tc>
              <w:tc>
                <w:tcPr>
                  <w:tcW w:w="1312" w:type="pct"/>
                  <w:vMerge w:val="restart"/>
                  <w:noWrap w:val="0"/>
                  <w:vAlign w:val="center"/>
                </w:tcPr>
                <w:p w14:paraId="6697C5CC">
                  <w:pPr>
                    <w:pStyle w:val="47"/>
                    <w:bidi w:val="0"/>
                    <w:rPr>
                      <w:rFonts w:hint="default"/>
                      <w:lang w:val="en-US" w:eastAsia="zh-CN"/>
                    </w:rPr>
                  </w:pPr>
                  <w:r>
                    <w:rPr>
                      <w:rFonts w:hint="eastAsia"/>
                    </w:rPr>
                    <w:t>本项目属于</w:t>
                  </w:r>
                  <w:r>
                    <w:rPr>
                      <w:color w:val="auto"/>
                      <w:highlight w:val="none"/>
                    </w:rPr>
                    <w:t>C29</w:t>
                  </w:r>
                  <w:r>
                    <w:rPr>
                      <w:rFonts w:hint="eastAsia"/>
                      <w:color w:val="auto"/>
                      <w:highlight w:val="none"/>
                      <w:lang w:val="en-US" w:eastAsia="zh-CN"/>
                    </w:rPr>
                    <w:t>29</w:t>
                  </w:r>
                  <w:r>
                    <w:rPr>
                      <w:rFonts w:hint="eastAsia"/>
                      <w:color w:val="auto"/>
                      <w:highlight w:val="none"/>
                    </w:rPr>
                    <w:t xml:space="preserve"> </w:t>
                  </w:r>
                  <w:r>
                    <w:rPr>
                      <w:rFonts w:hint="eastAsia" w:ascii="宋体" w:hAnsi="宋体" w:cs="宋体"/>
                      <w:color w:val="auto"/>
                      <w:kern w:val="0"/>
                      <w:highlight w:val="none"/>
                      <w:lang w:val="en-US" w:eastAsia="zh-CN"/>
                    </w:rPr>
                    <w:t>塑料零件及其他塑料制品制造、</w:t>
                  </w:r>
                  <w:r>
                    <w:rPr>
                      <w:color w:val="auto"/>
                    </w:rPr>
                    <w:t>C2924</w:t>
                  </w:r>
                  <w:r>
                    <w:rPr>
                      <w:rFonts w:hint="eastAsia"/>
                      <w:color w:val="auto"/>
                    </w:rPr>
                    <w:t xml:space="preserve"> </w:t>
                  </w:r>
                  <w:r>
                    <w:rPr>
                      <w:rFonts w:hint="eastAsia" w:ascii="宋体" w:hAnsi="宋体" w:cs="宋体"/>
                      <w:color w:val="auto"/>
                      <w:kern w:val="0"/>
                    </w:rPr>
                    <w:t>泡沫塑料制造</w:t>
                  </w:r>
                  <w:r>
                    <w:rPr>
                      <w:rFonts w:hint="eastAsia"/>
                      <w:lang w:val="en-US" w:eastAsia="zh-CN"/>
                    </w:rPr>
                    <w:t>，不属于园区优先引入、禁止引入、控制进入、严格限值的项目，不属于污染严重、高耗能的项目，视为允许进入，符合</w:t>
                  </w:r>
                  <w:r>
                    <w:t>淮南市东部工业区</w:t>
                  </w:r>
                  <w:r>
                    <w:rPr>
                      <w:rFonts w:hint="eastAsia"/>
                      <w:lang w:eastAsia="zh-CN"/>
                    </w:rPr>
                    <w:t>（</w:t>
                  </w:r>
                  <w:r>
                    <w:rPr>
                      <w:rFonts w:hint="eastAsia"/>
                      <w:lang w:val="en-US" w:eastAsia="zh-CN"/>
                    </w:rPr>
                    <w:t>经济开发区</w:t>
                  </w:r>
                  <w:r>
                    <w:rPr>
                      <w:rFonts w:hint="eastAsia"/>
                      <w:lang w:eastAsia="zh-CN"/>
                    </w:rPr>
                    <w:t>）</w:t>
                  </w:r>
                  <w:r>
                    <w:rPr>
                      <w:rFonts w:hint="eastAsia"/>
                      <w:lang w:val="en-US" w:eastAsia="zh-CN"/>
                    </w:rPr>
                    <w:t>环境准入清单要求。</w:t>
                  </w:r>
                </w:p>
              </w:tc>
            </w:tr>
            <w:tr w14:paraId="73076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noWrap w:val="0"/>
                  <w:vAlign w:val="center"/>
                </w:tcPr>
                <w:p w14:paraId="6A21F270">
                  <w:pPr>
                    <w:pStyle w:val="47"/>
                    <w:bidi w:val="0"/>
                    <w:rPr>
                      <w:lang w:val="en-US" w:eastAsia="zh-CN"/>
                    </w:rPr>
                  </w:pPr>
                  <w:r>
                    <w:rPr>
                      <w:rFonts w:hint="eastAsia"/>
                    </w:rPr>
                    <w:t>2</w:t>
                  </w:r>
                </w:p>
              </w:tc>
              <w:tc>
                <w:tcPr>
                  <w:tcW w:w="3370" w:type="pct"/>
                  <w:noWrap w:val="0"/>
                  <w:vAlign w:val="center"/>
                </w:tcPr>
                <w:p w14:paraId="5EF595F1">
                  <w:pPr>
                    <w:pStyle w:val="47"/>
                    <w:bidi w:val="0"/>
                    <w:rPr>
                      <w:rFonts w:hint="eastAsia"/>
                    </w:rPr>
                  </w:pPr>
                  <w:r>
                    <w:t>禁止引入国家明令禁止建设或投资的、引入列入《产业结构调整指导目录(2019年本)》、《外商投资产业指导目录(2017年修订)》、《市场准入负面清单(2020年版)》等相关产业政策中禁止或淘汰类项目、产品、工艺和设备。</w:t>
                  </w:r>
                </w:p>
              </w:tc>
              <w:tc>
                <w:tcPr>
                  <w:tcW w:w="1312" w:type="pct"/>
                  <w:vMerge w:val="continue"/>
                  <w:noWrap w:val="0"/>
                  <w:vAlign w:val="center"/>
                </w:tcPr>
                <w:p w14:paraId="1C1A4499">
                  <w:pPr>
                    <w:pStyle w:val="47"/>
                    <w:bidi w:val="0"/>
                    <w:rPr>
                      <w:rFonts w:hint="default"/>
                      <w:lang w:val="en-US" w:eastAsia="zh-CN"/>
                    </w:rPr>
                  </w:pPr>
                </w:p>
              </w:tc>
            </w:tr>
            <w:tr w14:paraId="25726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noWrap w:val="0"/>
                  <w:vAlign w:val="center"/>
                </w:tcPr>
                <w:p w14:paraId="46F0FA60">
                  <w:pPr>
                    <w:pStyle w:val="47"/>
                    <w:bidi w:val="0"/>
                    <w:rPr>
                      <w:lang w:val="en-US" w:eastAsia="zh-CN"/>
                    </w:rPr>
                  </w:pPr>
                  <w:r>
                    <w:rPr>
                      <w:rFonts w:hint="eastAsia"/>
                    </w:rPr>
                    <w:t>3</w:t>
                  </w:r>
                </w:p>
              </w:tc>
              <w:tc>
                <w:tcPr>
                  <w:tcW w:w="3370" w:type="pct"/>
                  <w:noWrap w:val="0"/>
                  <w:vAlign w:val="center"/>
                </w:tcPr>
                <w:p w14:paraId="67EB5974">
                  <w:pPr>
                    <w:pStyle w:val="47"/>
                    <w:bidi w:val="0"/>
                    <w:rPr>
                      <w:rFonts w:hint="eastAsia"/>
                    </w:rPr>
                  </w:pPr>
                  <w:r>
                    <w:t>禁止引进国家、安徽省明确规定不得审批的建设项目。</w:t>
                  </w:r>
                </w:p>
              </w:tc>
              <w:tc>
                <w:tcPr>
                  <w:tcW w:w="1312" w:type="pct"/>
                  <w:vMerge w:val="continue"/>
                  <w:noWrap w:val="0"/>
                  <w:vAlign w:val="center"/>
                </w:tcPr>
                <w:p w14:paraId="310CFE3B">
                  <w:pPr>
                    <w:pStyle w:val="47"/>
                    <w:bidi w:val="0"/>
                    <w:rPr>
                      <w:rFonts w:hint="default"/>
                      <w:lang w:val="en-US" w:eastAsia="zh-CN"/>
                    </w:rPr>
                  </w:pPr>
                </w:p>
              </w:tc>
            </w:tr>
            <w:tr w14:paraId="22F6D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noWrap w:val="0"/>
                  <w:vAlign w:val="center"/>
                </w:tcPr>
                <w:p w14:paraId="1A38C71A">
                  <w:pPr>
                    <w:pStyle w:val="47"/>
                    <w:bidi w:val="0"/>
                    <w:rPr>
                      <w:lang w:val="en-US" w:eastAsia="zh-CN"/>
                    </w:rPr>
                  </w:pPr>
                  <w:r>
                    <w:rPr>
                      <w:rFonts w:hint="eastAsia"/>
                    </w:rPr>
                    <w:t>4</w:t>
                  </w:r>
                </w:p>
              </w:tc>
              <w:tc>
                <w:tcPr>
                  <w:tcW w:w="3370" w:type="pct"/>
                  <w:noWrap w:val="0"/>
                  <w:vAlign w:val="center"/>
                </w:tcPr>
                <w:p w14:paraId="6F789290">
                  <w:pPr>
                    <w:pStyle w:val="47"/>
                    <w:bidi w:val="0"/>
                  </w:pPr>
                  <w:r>
                    <w:rPr>
                      <w:rFonts w:hint="eastAsia"/>
                      <w:lang w:val="en-US" w:eastAsia="zh-CN"/>
                    </w:rPr>
                    <w:t>禁止</w:t>
                  </w:r>
                  <w:r>
                    <w:t>引进生物医药：兽用药品制造等污染严重的项目。</w:t>
                  </w:r>
                </w:p>
                <w:p w14:paraId="674EFC31">
                  <w:pPr>
                    <w:pStyle w:val="47"/>
                    <w:bidi w:val="0"/>
                  </w:pPr>
                  <w:r>
                    <w:t>纺织服装：涉及印染等污染重的项目。</w:t>
                  </w:r>
                </w:p>
                <w:p w14:paraId="459E764C">
                  <w:pPr>
                    <w:pStyle w:val="47"/>
                    <w:bidi w:val="0"/>
                  </w:pPr>
                  <w:r>
                    <w:t>化学工业：农药制造等污染较重的化工类项目。</w:t>
                  </w:r>
                </w:p>
                <w:p w14:paraId="28335BA6">
                  <w:pPr>
                    <w:pStyle w:val="47"/>
                    <w:bidi w:val="0"/>
                  </w:pPr>
                  <w:r>
                    <w:t>机械电子与新型材料：电子元件材料制造等可能涉及重金属的项目、水泥陶瓷等高耗能高污染企业。</w:t>
                  </w:r>
                </w:p>
                <w:p w14:paraId="49466878">
                  <w:pPr>
                    <w:pStyle w:val="47"/>
                    <w:bidi w:val="0"/>
                  </w:pPr>
                  <w:r>
                    <w:t>食品加工：涉及发酵等污染重的项目。</w:t>
                  </w:r>
                </w:p>
                <w:p w14:paraId="11A5013D">
                  <w:pPr>
                    <w:pStyle w:val="47"/>
                    <w:bidi w:val="0"/>
                    <w:rPr>
                      <w:rFonts w:hint="eastAsia"/>
                    </w:rPr>
                  </w:pPr>
                  <w:r>
                    <w:t>商贸物流：转运石油、危险化学品等项目。</w:t>
                  </w:r>
                </w:p>
              </w:tc>
              <w:tc>
                <w:tcPr>
                  <w:tcW w:w="1312" w:type="pct"/>
                  <w:vMerge w:val="continue"/>
                  <w:noWrap w:val="0"/>
                  <w:vAlign w:val="center"/>
                </w:tcPr>
                <w:p w14:paraId="0759DD19">
                  <w:pPr>
                    <w:pStyle w:val="47"/>
                    <w:bidi w:val="0"/>
                  </w:pPr>
                </w:p>
              </w:tc>
            </w:tr>
            <w:tr w14:paraId="49823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noWrap w:val="0"/>
                  <w:vAlign w:val="center"/>
                </w:tcPr>
                <w:p w14:paraId="7E677C73">
                  <w:pPr>
                    <w:pStyle w:val="47"/>
                    <w:bidi w:val="0"/>
                    <w:rPr>
                      <w:lang w:val="en-US" w:eastAsia="zh-CN"/>
                    </w:rPr>
                  </w:pPr>
                  <w:r>
                    <w:rPr>
                      <w:rFonts w:hint="eastAsia"/>
                    </w:rPr>
                    <w:t>5</w:t>
                  </w:r>
                </w:p>
              </w:tc>
              <w:tc>
                <w:tcPr>
                  <w:tcW w:w="3370" w:type="pct"/>
                  <w:noWrap w:val="0"/>
                  <w:vAlign w:val="center"/>
                </w:tcPr>
                <w:p w14:paraId="7269E99B">
                  <w:pPr>
                    <w:pStyle w:val="47"/>
                    <w:bidi w:val="0"/>
                    <w:rPr>
                      <w:rFonts w:hint="eastAsia"/>
                    </w:rPr>
                  </w:pPr>
                  <w:r>
                    <w:t>禁止引进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禁止其他涉及印染、制革、电镀等与主导产业定位不相符的高能耗、高污染制造项目。</w:t>
                  </w:r>
                </w:p>
              </w:tc>
              <w:tc>
                <w:tcPr>
                  <w:tcW w:w="1312" w:type="pct"/>
                  <w:vMerge w:val="continue"/>
                  <w:noWrap w:val="0"/>
                  <w:vAlign w:val="center"/>
                </w:tcPr>
                <w:p w14:paraId="40DE28AD">
                  <w:pPr>
                    <w:pStyle w:val="47"/>
                    <w:bidi w:val="0"/>
                    <w:rPr>
                      <w:rFonts w:hint="eastAsia"/>
                      <w:lang w:eastAsia="zh-CN"/>
                    </w:rPr>
                  </w:pPr>
                </w:p>
              </w:tc>
            </w:tr>
            <w:tr w14:paraId="16127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noWrap w:val="0"/>
                  <w:vAlign w:val="center"/>
                </w:tcPr>
                <w:p w14:paraId="6E934573">
                  <w:pPr>
                    <w:pStyle w:val="47"/>
                    <w:bidi w:val="0"/>
                    <w:rPr>
                      <w:rFonts w:hint="eastAsia"/>
                      <w:lang w:val="en-US" w:eastAsia="zh-CN"/>
                    </w:rPr>
                  </w:pPr>
                  <w:r>
                    <w:rPr>
                      <w:rFonts w:hint="eastAsia"/>
                      <w:lang w:val="en-US" w:eastAsia="zh-CN"/>
                    </w:rPr>
                    <w:t>6</w:t>
                  </w:r>
                </w:p>
              </w:tc>
              <w:tc>
                <w:tcPr>
                  <w:tcW w:w="3370" w:type="pct"/>
                  <w:noWrap w:val="0"/>
                  <w:vAlign w:val="center"/>
                </w:tcPr>
                <w:p w14:paraId="6C1B84D9">
                  <w:pPr>
                    <w:pStyle w:val="47"/>
                    <w:bidi w:val="0"/>
                    <w:rPr>
                      <w:rFonts w:hint="eastAsia"/>
                    </w:rPr>
                  </w:pPr>
                  <w:r>
                    <w:t>禁止新建、扩建不符合国家产能置换要求的严重过剩产能行业的项目。</w:t>
                  </w:r>
                </w:p>
              </w:tc>
              <w:tc>
                <w:tcPr>
                  <w:tcW w:w="1312" w:type="pct"/>
                  <w:vMerge w:val="continue"/>
                  <w:noWrap w:val="0"/>
                  <w:vAlign w:val="center"/>
                </w:tcPr>
                <w:p w14:paraId="514B8EA3">
                  <w:pPr>
                    <w:pStyle w:val="47"/>
                    <w:bidi w:val="0"/>
                    <w:rPr>
                      <w:rFonts w:hint="eastAsia"/>
                    </w:rPr>
                  </w:pPr>
                </w:p>
              </w:tc>
            </w:tr>
            <w:tr w14:paraId="0A233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noWrap w:val="0"/>
                  <w:vAlign w:val="center"/>
                </w:tcPr>
                <w:p w14:paraId="04609C48">
                  <w:pPr>
                    <w:pStyle w:val="47"/>
                    <w:bidi w:val="0"/>
                    <w:rPr>
                      <w:rFonts w:hint="default"/>
                      <w:lang w:val="en-US" w:eastAsia="zh-CN"/>
                    </w:rPr>
                  </w:pPr>
                  <w:r>
                    <w:rPr>
                      <w:rFonts w:hint="eastAsia"/>
                      <w:lang w:val="en-US" w:eastAsia="zh-CN"/>
                    </w:rPr>
                    <w:t>7</w:t>
                  </w:r>
                </w:p>
              </w:tc>
              <w:tc>
                <w:tcPr>
                  <w:tcW w:w="3370" w:type="pct"/>
                  <w:noWrap w:val="0"/>
                  <w:vAlign w:val="center"/>
                </w:tcPr>
                <w:p w14:paraId="030EE863">
                  <w:pPr>
                    <w:pStyle w:val="47"/>
                    <w:bidi w:val="0"/>
                  </w:pPr>
                  <w:r>
                    <w:t>限制发展能源、资源消耗量或排污量较大但效益相对较好的企业，主要为除经开区规划六大主导产业外、非禁止类项目，具体项目引入需经充分环境影响论证。</w:t>
                  </w:r>
                </w:p>
              </w:tc>
              <w:tc>
                <w:tcPr>
                  <w:tcW w:w="1312" w:type="pct"/>
                  <w:vMerge w:val="continue"/>
                  <w:noWrap w:val="0"/>
                  <w:vAlign w:val="center"/>
                </w:tcPr>
                <w:p w14:paraId="32B1B9AD">
                  <w:pPr>
                    <w:pStyle w:val="47"/>
                    <w:bidi w:val="0"/>
                    <w:rPr>
                      <w:rFonts w:hint="eastAsia"/>
                    </w:rPr>
                  </w:pPr>
                </w:p>
              </w:tc>
            </w:tr>
          </w:tbl>
          <w:p w14:paraId="626C9333">
            <w:pPr>
              <w:bidi w:val="0"/>
              <w:rPr>
                <w:color w:val="auto"/>
                <w:highlight w:val="none"/>
              </w:rPr>
            </w:pPr>
            <w:r>
              <w:rPr>
                <w:rFonts w:hint="eastAsia"/>
                <w:b/>
                <w:bCs/>
                <w:color w:val="auto"/>
                <w:highlight w:val="none"/>
                <w:lang w:val="en-US" w:eastAsia="zh-CN"/>
              </w:rPr>
              <w:t>2、</w:t>
            </w:r>
            <w:r>
              <w:rPr>
                <w:b/>
                <w:bCs/>
                <w:color w:val="auto"/>
                <w:highlight w:val="none"/>
              </w:rPr>
              <w:t>与淮南经济技术开发区总体发展规划环境影响跟踪评价相符性分析</w:t>
            </w:r>
          </w:p>
          <w:p w14:paraId="56BB2A2A">
            <w:pPr>
              <w:bidi w:val="0"/>
              <w:rPr>
                <w:color w:val="auto"/>
                <w:highlight w:val="none"/>
              </w:rPr>
            </w:pPr>
            <w:r>
              <w:rPr>
                <w:rFonts w:hint="eastAsia"/>
                <w:color w:val="auto"/>
                <w:highlight w:val="none"/>
              </w:rPr>
              <w:t>2013年3月，中华人民共和国国务院办公厅以国办函</w:t>
            </w:r>
            <w:r>
              <w:rPr>
                <w:color w:val="auto"/>
                <w:highlight w:val="none"/>
              </w:rPr>
              <w:t>〔20</w:t>
            </w:r>
            <w:r>
              <w:rPr>
                <w:rFonts w:hint="eastAsia"/>
                <w:color w:val="auto"/>
                <w:highlight w:val="none"/>
                <w:lang w:val="en-US" w:eastAsia="zh-CN"/>
              </w:rPr>
              <w:t>13</w:t>
            </w:r>
            <w:r>
              <w:rPr>
                <w:color w:val="auto"/>
                <w:highlight w:val="none"/>
              </w:rPr>
              <w:t>〕</w:t>
            </w:r>
            <w:r>
              <w:rPr>
                <w:rFonts w:hint="eastAsia"/>
                <w:color w:val="auto"/>
                <w:highlight w:val="none"/>
              </w:rPr>
              <w:t>42号文同意安徽淮南经济开发区升级为国家级经济技术开发区，定名为淮南经济技术开发区，四至范围为：东至中兴路，南至合阜铁路，西至建兴路-国庆东路-建设路，北至电厂路。同时，根据《中国开发区审核公告目录》（2018年版），淮南经济技术开发区的主导产业为专用设备、医药，核准面积4.29km</w:t>
            </w:r>
            <w:r>
              <w:rPr>
                <w:rFonts w:hint="eastAsia"/>
                <w:color w:val="auto"/>
                <w:highlight w:val="none"/>
                <w:vertAlign w:val="superscript"/>
              </w:rPr>
              <w:t>2</w:t>
            </w:r>
            <w:r>
              <w:rPr>
                <w:rFonts w:hint="eastAsia"/>
                <w:color w:val="auto"/>
                <w:highlight w:val="none"/>
              </w:rPr>
              <w:t>。</w:t>
            </w:r>
            <w:r>
              <w:rPr>
                <w:color w:val="auto"/>
                <w:highlight w:val="none"/>
              </w:rPr>
              <w:t>淮南经济技术开发区总体规划</w:t>
            </w:r>
            <w:r>
              <w:rPr>
                <w:rFonts w:hint="eastAsia"/>
                <w:color w:val="auto"/>
                <w:highlight w:val="none"/>
                <w:lang w:eastAsia="zh-CN"/>
              </w:rPr>
              <w:t>（</w:t>
            </w:r>
            <w:r>
              <w:rPr>
                <w:rFonts w:hint="eastAsia"/>
                <w:color w:val="auto"/>
                <w:highlight w:val="none"/>
                <w:lang w:val="en-US" w:eastAsia="zh-CN"/>
              </w:rPr>
              <w:t>2015-2020</w:t>
            </w:r>
            <w:r>
              <w:rPr>
                <w:rFonts w:hint="eastAsia"/>
                <w:color w:val="auto"/>
                <w:highlight w:val="none"/>
                <w:lang w:eastAsia="zh-CN"/>
              </w:rPr>
              <w:t>）</w:t>
            </w:r>
            <w:r>
              <w:rPr>
                <w:rFonts w:hint="eastAsia"/>
                <w:color w:val="auto"/>
                <w:highlight w:val="none"/>
                <w:lang w:val="en-US" w:eastAsia="zh-CN"/>
              </w:rPr>
              <w:t>用地与</w:t>
            </w:r>
            <w:r>
              <w:rPr>
                <w:color w:val="auto"/>
                <w:highlight w:val="none"/>
              </w:rPr>
              <w:t>本项目相对位置图见附图</w:t>
            </w:r>
            <w:r>
              <w:rPr>
                <w:rFonts w:hint="eastAsia"/>
                <w:color w:val="auto"/>
                <w:highlight w:val="none"/>
                <w:lang w:val="en-US" w:eastAsia="zh-CN"/>
              </w:rPr>
              <w:t>5</w:t>
            </w:r>
            <w:r>
              <w:rPr>
                <w:color w:val="auto"/>
                <w:highlight w:val="none"/>
              </w:rPr>
              <w:t>。</w:t>
            </w:r>
          </w:p>
          <w:p w14:paraId="35FD12ED">
            <w:pPr>
              <w:pStyle w:val="73"/>
              <w:ind w:firstLine="480"/>
              <w:rPr>
                <w:color w:val="auto"/>
                <w:highlight w:val="none"/>
              </w:rPr>
            </w:pPr>
            <w:r>
              <w:rPr>
                <w:color w:val="auto"/>
                <w:highlight w:val="none"/>
              </w:rPr>
              <w:t>根据《淮南经济技术开发区总体发展规划环境影响跟踪评价》，其相符性如下表。</w:t>
            </w:r>
          </w:p>
          <w:p w14:paraId="6ED6FACB">
            <w:pPr>
              <w:pStyle w:val="74"/>
              <w:spacing w:line="240" w:lineRule="auto"/>
              <w:rPr>
                <w:rFonts w:hint="eastAsia"/>
                <w:color w:val="auto"/>
                <w:highlight w:val="none"/>
              </w:rPr>
            </w:pPr>
            <w:r>
              <w:rPr>
                <w:rFonts w:hint="eastAsia"/>
                <w:color w:val="auto"/>
                <w:highlight w:val="none"/>
              </w:rPr>
              <w:t>表1-</w:t>
            </w:r>
            <w:r>
              <w:rPr>
                <w:rFonts w:hint="eastAsia"/>
                <w:color w:val="auto"/>
                <w:highlight w:val="none"/>
                <w:lang w:val="en-US" w:eastAsia="zh-CN"/>
              </w:rPr>
              <w:t>4</w:t>
            </w:r>
            <w:r>
              <w:rPr>
                <w:rFonts w:hint="eastAsia"/>
                <w:color w:val="auto"/>
                <w:highlight w:val="none"/>
              </w:rPr>
              <w:t xml:space="preserve"> 与淮南经济技术开发区总体发展规划环境影响跟踪评价相符性分析</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4427"/>
              <w:gridCol w:w="3159"/>
            </w:tblGrid>
            <w:tr w14:paraId="5416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noWrap w:val="0"/>
                  <w:vAlign w:val="center"/>
                </w:tcPr>
                <w:p w14:paraId="62FF2E76">
                  <w:pPr>
                    <w:pStyle w:val="78"/>
                    <w:rPr>
                      <w:rFonts w:hint="eastAsia"/>
                      <w:color w:val="auto"/>
                      <w:highlight w:val="none"/>
                    </w:rPr>
                  </w:pPr>
                  <w:r>
                    <w:rPr>
                      <w:rFonts w:hint="eastAsia"/>
                      <w:color w:val="auto"/>
                      <w:highlight w:val="none"/>
                    </w:rPr>
                    <w:t>序号</w:t>
                  </w:r>
                </w:p>
              </w:tc>
              <w:tc>
                <w:tcPr>
                  <w:tcW w:w="2710" w:type="pct"/>
                  <w:noWrap w:val="0"/>
                  <w:vAlign w:val="center"/>
                </w:tcPr>
                <w:p w14:paraId="3876780F">
                  <w:pPr>
                    <w:pStyle w:val="78"/>
                    <w:rPr>
                      <w:rFonts w:hint="eastAsia"/>
                      <w:color w:val="auto"/>
                      <w:highlight w:val="none"/>
                    </w:rPr>
                  </w:pPr>
                  <w:r>
                    <w:rPr>
                      <w:rFonts w:hint="eastAsia"/>
                      <w:color w:val="auto"/>
                      <w:highlight w:val="none"/>
                    </w:rPr>
                    <w:t>相关要求</w:t>
                  </w:r>
                </w:p>
              </w:tc>
              <w:tc>
                <w:tcPr>
                  <w:tcW w:w="1934" w:type="pct"/>
                  <w:noWrap w:val="0"/>
                  <w:vAlign w:val="center"/>
                </w:tcPr>
                <w:p w14:paraId="0963DCD7">
                  <w:pPr>
                    <w:pStyle w:val="78"/>
                    <w:rPr>
                      <w:rFonts w:hint="eastAsia"/>
                      <w:color w:val="auto"/>
                      <w:highlight w:val="none"/>
                    </w:rPr>
                  </w:pPr>
                  <w:r>
                    <w:rPr>
                      <w:rFonts w:hint="eastAsia"/>
                      <w:color w:val="auto"/>
                      <w:highlight w:val="none"/>
                    </w:rPr>
                    <w:t>符合性分析</w:t>
                  </w:r>
                </w:p>
              </w:tc>
            </w:tr>
            <w:tr w14:paraId="77C13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noWrap w:val="0"/>
                  <w:vAlign w:val="center"/>
                </w:tcPr>
                <w:p w14:paraId="30EB88B2">
                  <w:pPr>
                    <w:pStyle w:val="78"/>
                    <w:rPr>
                      <w:color w:val="auto"/>
                      <w:highlight w:val="none"/>
                    </w:rPr>
                  </w:pPr>
                  <w:r>
                    <w:rPr>
                      <w:rFonts w:hint="eastAsia"/>
                      <w:color w:val="auto"/>
                      <w:highlight w:val="none"/>
                    </w:rPr>
                    <w:t>1</w:t>
                  </w:r>
                </w:p>
              </w:tc>
              <w:tc>
                <w:tcPr>
                  <w:tcW w:w="2710" w:type="pct"/>
                  <w:noWrap w:val="0"/>
                  <w:vAlign w:val="center"/>
                </w:tcPr>
                <w:p w14:paraId="6621EE41">
                  <w:pPr>
                    <w:pStyle w:val="78"/>
                    <w:rPr>
                      <w:rFonts w:hint="eastAsia"/>
                      <w:color w:val="auto"/>
                      <w:highlight w:val="none"/>
                    </w:rPr>
                  </w:pPr>
                  <w:r>
                    <w:rPr>
                      <w:rFonts w:hint="eastAsia"/>
                      <w:color w:val="auto"/>
                      <w:highlight w:val="none"/>
                    </w:rPr>
                    <w:t>优先引入符合开发区产业定位（六大主导产业：生物医药、纺织服装、化学工业、机械电子与新型材料、食品加工、商贸流通）的项目；禁止引入电子元件材料制造等可能涉及重金属的项目、水泥陶瓷等高耗能高污染企业。</w:t>
                  </w:r>
                </w:p>
              </w:tc>
              <w:tc>
                <w:tcPr>
                  <w:tcW w:w="1934" w:type="pct"/>
                  <w:vMerge w:val="restart"/>
                  <w:noWrap w:val="0"/>
                  <w:vAlign w:val="center"/>
                </w:tcPr>
                <w:p w14:paraId="3713BFB2">
                  <w:pPr>
                    <w:pStyle w:val="78"/>
                    <w:rPr>
                      <w:rFonts w:hint="eastAsia"/>
                      <w:color w:val="auto"/>
                      <w:highlight w:val="none"/>
                    </w:rPr>
                  </w:pPr>
                  <w:r>
                    <w:rPr>
                      <w:rFonts w:hint="eastAsia" w:ascii="Times New Roman" w:hAnsi="Times New Roman" w:eastAsia="宋体" w:cs="Times New Roman"/>
                      <w:color w:val="auto"/>
                      <w:highlight w:val="none"/>
                    </w:rPr>
                    <w:t>本项目</w:t>
                  </w:r>
                  <w:r>
                    <w:rPr>
                      <w:rFonts w:hint="eastAsia"/>
                    </w:rPr>
                    <w:t>属于</w:t>
                  </w:r>
                  <w:r>
                    <w:rPr>
                      <w:color w:val="auto"/>
                      <w:highlight w:val="none"/>
                    </w:rPr>
                    <w:t>C29</w:t>
                  </w:r>
                  <w:r>
                    <w:rPr>
                      <w:rFonts w:hint="eastAsia"/>
                      <w:color w:val="auto"/>
                      <w:highlight w:val="none"/>
                      <w:lang w:val="en-US" w:eastAsia="zh-CN"/>
                    </w:rPr>
                    <w:t>29</w:t>
                  </w:r>
                  <w:r>
                    <w:rPr>
                      <w:rFonts w:hint="eastAsia"/>
                      <w:color w:val="auto"/>
                      <w:highlight w:val="none"/>
                    </w:rPr>
                    <w:t xml:space="preserve"> </w:t>
                  </w:r>
                  <w:r>
                    <w:rPr>
                      <w:rFonts w:hint="eastAsia" w:ascii="宋体" w:hAnsi="宋体" w:cs="宋体"/>
                      <w:color w:val="auto"/>
                      <w:kern w:val="0"/>
                      <w:highlight w:val="none"/>
                      <w:lang w:val="en-US" w:eastAsia="zh-CN"/>
                    </w:rPr>
                    <w:t>塑料零件及其他塑料制品制造、</w:t>
                  </w:r>
                  <w:r>
                    <w:rPr>
                      <w:color w:val="auto"/>
                    </w:rPr>
                    <w:t>C2924</w:t>
                  </w:r>
                  <w:r>
                    <w:rPr>
                      <w:rFonts w:hint="eastAsia"/>
                      <w:color w:val="auto"/>
                    </w:rPr>
                    <w:t xml:space="preserve"> </w:t>
                  </w:r>
                  <w:r>
                    <w:rPr>
                      <w:rFonts w:hint="eastAsia" w:ascii="宋体" w:hAnsi="宋体" w:cs="宋体"/>
                      <w:color w:val="auto"/>
                      <w:kern w:val="0"/>
                    </w:rPr>
                    <w:t>泡沫塑料制造</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不属于优先引入类，</w:t>
                  </w:r>
                  <w:r>
                    <w:rPr>
                      <w:rFonts w:hint="eastAsia" w:ascii="Times New Roman" w:hAnsi="Times New Roman" w:eastAsia="宋体" w:cs="Times New Roman"/>
                      <w:color w:val="auto"/>
                      <w:highlight w:val="none"/>
                      <w:lang w:val="en-US" w:eastAsia="zh-CN"/>
                    </w:rPr>
                    <w:t>不属于</w:t>
                  </w:r>
                  <w:r>
                    <w:rPr>
                      <w:rFonts w:hint="eastAsia" w:ascii="Times New Roman" w:hAnsi="Times New Roman" w:eastAsia="宋体" w:cs="Times New Roman"/>
                      <w:color w:val="auto"/>
                      <w:highlight w:val="none"/>
                    </w:rPr>
                    <w:t>电子元件材料制造等可能涉及重金属的项目、水</w:t>
                  </w:r>
                  <w:r>
                    <w:rPr>
                      <w:rFonts w:hint="eastAsia"/>
                      <w:color w:val="auto"/>
                      <w:highlight w:val="none"/>
                    </w:rPr>
                    <w:t>泥陶瓷等高耗能高污染企业</w:t>
                  </w:r>
                  <w:r>
                    <w:rPr>
                      <w:rFonts w:hint="eastAsia"/>
                      <w:color w:val="auto"/>
                      <w:highlight w:val="none"/>
                      <w:lang w:eastAsia="zh-CN"/>
                    </w:rPr>
                    <w:t>，</w:t>
                  </w:r>
                  <w:r>
                    <w:rPr>
                      <w:rFonts w:hint="eastAsia"/>
                      <w:color w:val="auto"/>
                      <w:highlight w:val="none"/>
                      <w:lang w:val="en-US" w:eastAsia="zh-CN"/>
                    </w:rPr>
                    <w:t>可视为允许类，</w:t>
                  </w:r>
                  <w:r>
                    <w:rPr>
                      <w:rFonts w:hint="eastAsia"/>
                      <w:color w:val="auto"/>
                      <w:highlight w:val="none"/>
                    </w:rPr>
                    <w:t>符合开发区产业定位。</w:t>
                  </w:r>
                </w:p>
              </w:tc>
            </w:tr>
            <w:tr w14:paraId="7A031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noWrap w:val="0"/>
                  <w:vAlign w:val="center"/>
                </w:tcPr>
                <w:p w14:paraId="47FA4FCC">
                  <w:pPr>
                    <w:pStyle w:val="78"/>
                    <w:rPr>
                      <w:color w:val="auto"/>
                      <w:highlight w:val="none"/>
                    </w:rPr>
                  </w:pPr>
                  <w:r>
                    <w:rPr>
                      <w:rFonts w:hint="eastAsia"/>
                      <w:color w:val="auto"/>
                      <w:highlight w:val="none"/>
                    </w:rPr>
                    <w:t>2</w:t>
                  </w:r>
                </w:p>
              </w:tc>
              <w:tc>
                <w:tcPr>
                  <w:tcW w:w="2710" w:type="pct"/>
                  <w:noWrap w:val="0"/>
                  <w:vAlign w:val="center"/>
                </w:tcPr>
                <w:p w14:paraId="64C13549">
                  <w:pPr>
                    <w:pStyle w:val="78"/>
                    <w:rPr>
                      <w:rFonts w:hint="eastAsia"/>
                      <w:color w:val="auto"/>
                      <w:highlight w:val="none"/>
                    </w:rPr>
                  </w:pPr>
                  <w:r>
                    <w:rPr>
                      <w:rFonts w:hint="eastAsia"/>
                      <w:color w:val="auto"/>
                      <w:highlight w:val="none"/>
                    </w:rPr>
                    <w:t>淮南经济技术开发区功能定位：全国重要的能源基地、先进制造业基地、煤化工及化工新材料基地和创新基地，全国重要的商品粮基地和农副产品加工基地，全省重要的生物医药基地。加强重点产业基地建设，培育壮大机械制造、新能源汽车及汽车零部件、煤化工及化工新材料、硅基新材料基地、商贸物流及电子信息、新能源等产业。</w:t>
                  </w:r>
                </w:p>
              </w:tc>
              <w:tc>
                <w:tcPr>
                  <w:tcW w:w="1934" w:type="pct"/>
                  <w:vMerge w:val="continue"/>
                  <w:noWrap w:val="0"/>
                  <w:vAlign w:val="center"/>
                </w:tcPr>
                <w:p w14:paraId="5095AF8C">
                  <w:pPr>
                    <w:pStyle w:val="78"/>
                    <w:rPr>
                      <w:rFonts w:hint="eastAsia"/>
                      <w:color w:val="auto"/>
                      <w:highlight w:val="none"/>
                    </w:rPr>
                  </w:pPr>
                </w:p>
              </w:tc>
            </w:tr>
            <w:tr w14:paraId="37977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noWrap w:val="0"/>
                  <w:vAlign w:val="center"/>
                </w:tcPr>
                <w:p w14:paraId="67171F05">
                  <w:pPr>
                    <w:pStyle w:val="78"/>
                    <w:rPr>
                      <w:color w:val="auto"/>
                      <w:highlight w:val="none"/>
                    </w:rPr>
                  </w:pPr>
                  <w:r>
                    <w:rPr>
                      <w:rFonts w:hint="eastAsia"/>
                      <w:color w:val="auto"/>
                      <w:highlight w:val="none"/>
                    </w:rPr>
                    <w:t>3</w:t>
                  </w:r>
                </w:p>
              </w:tc>
              <w:tc>
                <w:tcPr>
                  <w:tcW w:w="2710" w:type="pct"/>
                  <w:noWrap w:val="0"/>
                  <w:vAlign w:val="center"/>
                </w:tcPr>
                <w:p w14:paraId="473E17E0">
                  <w:pPr>
                    <w:pStyle w:val="78"/>
                    <w:rPr>
                      <w:rFonts w:hint="eastAsia"/>
                      <w:color w:val="auto"/>
                      <w:highlight w:val="none"/>
                    </w:rPr>
                  </w:pPr>
                  <w:r>
                    <w:rPr>
                      <w:rFonts w:hint="eastAsia"/>
                      <w:color w:val="auto"/>
                      <w:highlight w:val="none"/>
                    </w:rPr>
                    <w:t>加强现有企业无组织废气的收集和处理，同时加强废气处理设施的维护，确保有组织废气及厂界无组织废气污染物达标排放。</w:t>
                  </w:r>
                </w:p>
              </w:tc>
              <w:tc>
                <w:tcPr>
                  <w:tcW w:w="1934" w:type="pct"/>
                  <w:noWrap w:val="0"/>
                  <w:vAlign w:val="center"/>
                </w:tcPr>
                <w:p w14:paraId="6716A37A">
                  <w:pPr>
                    <w:pStyle w:val="78"/>
                    <w:rPr>
                      <w:color w:val="auto"/>
                      <w:highlight w:val="none"/>
                    </w:rPr>
                  </w:pPr>
                  <w:r>
                    <w:rPr>
                      <w:rFonts w:hint="eastAsia"/>
                      <w:color w:val="auto"/>
                      <w:highlight w:val="none"/>
                      <w:lang w:val="en-US" w:eastAsia="zh-CN"/>
                    </w:rPr>
                    <w:t>本项目通过设置集气罩（EPS包装材料生产线发泡机）、集气管道（EPS包装材料生产线成型机、烘房，EPP汽车零配件成型机）对产生的非甲烷总烃进行有效收集，可有效减少无组织废气对周边环境的影响</w:t>
                  </w:r>
                </w:p>
              </w:tc>
            </w:tr>
            <w:tr w14:paraId="172A2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noWrap w:val="0"/>
                  <w:vAlign w:val="center"/>
                </w:tcPr>
                <w:p w14:paraId="0335DE7D">
                  <w:pPr>
                    <w:pStyle w:val="78"/>
                    <w:rPr>
                      <w:color w:val="auto"/>
                      <w:highlight w:val="none"/>
                    </w:rPr>
                  </w:pPr>
                  <w:r>
                    <w:rPr>
                      <w:rFonts w:hint="eastAsia"/>
                      <w:color w:val="auto"/>
                      <w:highlight w:val="none"/>
                    </w:rPr>
                    <w:t>4</w:t>
                  </w:r>
                </w:p>
              </w:tc>
              <w:tc>
                <w:tcPr>
                  <w:tcW w:w="2710" w:type="pct"/>
                  <w:noWrap w:val="0"/>
                  <w:vAlign w:val="center"/>
                </w:tcPr>
                <w:p w14:paraId="44E8EB83">
                  <w:pPr>
                    <w:pStyle w:val="78"/>
                    <w:rPr>
                      <w:rFonts w:hint="eastAsia"/>
                      <w:color w:val="auto"/>
                      <w:highlight w:val="none"/>
                    </w:rPr>
                  </w:pPr>
                  <w:r>
                    <w:rPr>
                      <w:rFonts w:hint="eastAsia"/>
                      <w:color w:val="auto"/>
                      <w:highlight w:val="none"/>
                    </w:rPr>
                    <w:t>严禁生活污水和生产废水直排；加强水环境风险管控，区内企业严格按照项目环评建设事故应急并保证其不被占用。</w:t>
                  </w:r>
                </w:p>
              </w:tc>
              <w:tc>
                <w:tcPr>
                  <w:tcW w:w="1934" w:type="pct"/>
                  <w:noWrap w:val="0"/>
                  <w:vAlign w:val="center"/>
                </w:tcPr>
                <w:p w14:paraId="306388E3">
                  <w:pPr>
                    <w:pStyle w:val="51"/>
                    <w:bidi w:val="0"/>
                    <w:rPr>
                      <w:rFonts w:hint="eastAsia" w:eastAsia="宋体"/>
                      <w:color w:val="auto"/>
                      <w:highlight w:val="none"/>
                      <w:lang w:eastAsia="zh-CN"/>
                    </w:rPr>
                  </w:pPr>
                  <w:r>
                    <w:rPr>
                      <w:rFonts w:hint="eastAsia"/>
                      <w:lang w:eastAsia="zh-CN"/>
                    </w:rPr>
                    <w:t>本项目</w:t>
                  </w:r>
                  <w:r>
                    <w:rPr>
                      <w:rFonts w:hint="eastAsia"/>
                      <w:lang w:val="en-US" w:eastAsia="zh-CN"/>
                    </w:rPr>
                    <w:t>无生产废水外排，</w:t>
                  </w:r>
                  <w:r>
                    <w:rPr>
                      <w:rFonts w:hint="eastAsia"/>
                      <w:lang w:eastAsia="zh-CN"/>
                    </w:rPr>
                    <w:t>生活污水经化粪池处理后</w:t>
                  </w:r>
                  <w:r>
                    <w:t>排入</w:t>
                  </w:r>
                  <w:r>
                    <w:rPr>
                      <w:rFonts w:hint="eastAsia"/>
                      <w:lang w:val="en-US" w:eastAsia="zh-CN"/>
                    </w:rPr>
                    <w:t>市政</w:t>
                  </w:r>
                  <w:r>
                    <w:t>污水管网后进入淮南经济开发区污水处理厂（三万吨污水处理厂）处理达标后尾水排入淮河。</w:t>
                  </w:r>
                </w:p>
              </w:tc>
            </w:tr>
            <w:tr w14:paraId="7744A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noWrap w:val="0"/>
                  <w:vAlign w:val="center"/>
                </w:tcPr>
                <w:p w14:paraId="469F5A0F">
                  <w:pPr>
                    <w:pStyle w:val="78"/>
                    <w:rPr>
                      <w:color w:val="auto"/>
                      <w:highlight w:val="none"/>
                    </w:rPr>
                  </w:pPr>
                  <w:r>
                    <w:rPr>
                      <w:rFonts w:hint="eastAsia"/>
                      <w:color w:val="auto"/>
                      <w:highlight w:val="none"/>
                    </w:rPr>
                    <w:t>5</w:t>
                  </w:r>
                </w:p>
              </w:tc>
              <w:tc>
                <w:tcPr>
                  <w:tcW w:w="2710" w:type="pct"/>
                  <w:noWrap w:val="0"/>
                  <w:vAlign w:val="center"/>
                </w:tcPr>
                <w:p w14:paraId="77A43283">
                  <w:pPr>
                    <w:pStyle w:val="78"/>
                    <w:rPr>
                      <w:rFonts w:hint="eastAsia"/>
                      <w:color w:val="auto"/>
                      <w:highlight w:val="none"/>
                    </w:rPr>
                  </w:pPr>
                  <w:r>
                    <w:rPr>
                      <w:rFonts w:hint="eastAsia"/>
                      <w:color w:val="auto"/>
                      <w:highlight w:val="none"/>
                    </w:rPr>
                    <w:t>合理设置绿化隔离带；加强对区内噪声控制，规范社会生活噪声排放行为；加大噪声管理的宣传、严格控制，避免噪声干扰正常工作环境。</w:t>
                  </w:r>
                </w:p>
              </w:tc>
              <w:tc>
                <w:tcPr>
                  <w:tcW w:w="1934" w:type="pct"/>
                  <w:noWrap w:val="0"/>
                  <w:vAlign w:val="center"/>
                </w:tcPr>
                <w:p w14:paraId="2222E448">
                  <w:pPr>
                    <w:pStyle w:val="78"/>
                    <w:rPr>
                      <w:rFonts w:hint="eastAsia"/>
                      <w:color w:val="auto"/>
                      <w:highlight w:val="none"/>
                    </w:rPr>
                  </w:pPr>
                  <w:r>
                    <w:rPr>
                      <w:rFonts w:hint="eastAsia"/>
                      <w:color w:val="auto"/>
                      <w:highlight w:val="none"/>
                    </w:rPr>
                    <w:t>本项目通过选用低噪声设备、厂房隔声、减震减少噪声对周边环境的影响。</w:t>
                  </w:r>
                </w:p>
              </w:tc>
            </w:tr>
          </w:tbl>
          <w:p w14:paraId="7AFEE21F">
            <w:pPr>
              <w:numPr>
                <w:ilvl w:val="0"/>
                <w:numId w:val="2"/>
              </w:numPr>
              <w:bidi w:val="0"/>
              <w:rPr>
                <w:rFonts w:hint="eastAsia"/>
                <w:b/>
                <w:bCs/>
                <w:lang w:val="en-US" w:eastAsia="zh-CN"/>
              </w:rPr>
            </w:pPr>
            <w:r>
              <w:rPr>
                <w:rFonts w:hint="eastAsia"/>
                <w:b/>
                <w:bCs/>
                <w:lang w:val="en-US" w:eastAsia="zh-CN"/>
              </w:rPr>
              <w:t>与《淮南经济技术开发区环境影响区域评估报告》相符性分析</w:t>
            </w:r>
          </w:p>
          <w:p w14:paraId="54CBDB22">
            <w:pPr>
              <w:bidi w:val="0"/>
              <w:rPr>
                <w:rFonts w:hint="eastAsia"/>
                <w:lang w:val="en-US" w:eastAsia="zh-CN"/>
              </w:rPr>
            </w:pPr>
            <w:r>
              <w:rPr>
                <w:rFonts w:hint="eastAsia"/>
                <w:lang w:val="en-US" w:eastAsia="zh-CN"/>
              </w:rPr>
              <w:t>《淮南经济技术开发区环境影响区域评估报告》依据《安徽省生态环境厅关于推行“环境影响区域评估+环境标准”工作的通知》(皖环发[2021]23 号)要求针对性得出了生态空间准入清单和环境准入清单，汇总如下表，经对比分析可知，本项目符合《淮南经济技术开发区环境影响区域评估报告》中明确的生态空间准入清单和环境准入清单各项要求。</w:t>
            </w:r>
          </w:p>
          <w:p w14:paraId="017C0C9F">
            <w:pPr>
              <w:rPr>
                <w:b/>
                <w:bCs/>
              </w:rPr>
            </w:pPr>
            <w:r>
              <w:rPr>
                <w:rFonts w:hint="eastAsia"/>
                <w:b/>
                <w:bCs/>
                <w:color w:val="auto"/>
                <w:highlight w:val="none"/>
              </w:rPr>
              <w:t>表1-</w:t>
            </w:r>
            <w:r>
              <w:rPr>
                <w:rFonts w:hint="eastAsia"/>
                <w:b/>
                <w:bCs/>
                <w:color w:val="auto"/>
                <w:highlight w:val="none"/>
                <w:lang w:val="en-US" w:eastAsia="zh-CN"/>
              </w:rPr>
              <w:t>5</w:t>
            </w:r>
            <w:r>
              <w:rPr>
                <w:rFonts w:hint="eastAsia"/>
                <w:b/>
                <w:bCs/>
                <w:color w:val="auto"/>
                <w:highlight w:val="none"/>
              </w:rPr>
              <w:t xml:space="preserve"> 与</w:t>
            </w:r>
            <w:r>
              <w:rPr>
                <w:rFonts w:hint="eastAsia"/>
                <w:b/>
                <w:bCs/>
                <w:lang w:val="en-US" w:eastAsia="zh-CN"/>
              </w:rPr>
              <w:t>《淮南经济技术开发区环境影响区域评估报告》</w:t>
            </w:r>
            <w:r>
              <w:rPr>
                <w:rFonts w:hint="eastAsia"/>
                <w:b/>
                <w:bCs/>
                <w:color w:val="auto"/>
                <w:highlight w:val="none"/>
              </w:rPr>
              <w:t>相符性分析</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1"/>
              <w:gridCol w:w="1369"/>
              <w:gridCol w:w="2917"/>
              <w:gridCol w:w="2704"/>
              <w:gridCol w:w="576"/>
            </w:tblGrid>
            <w:tr w14:paraId="05EC1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A93AB27">
                  <w:pPr>
                    <w:pStyle w:val="47"/>
                    <w:bidi w:val="0"/>
                    <w:jc w:val="center"/>
                    <w:rPr>
                      <w:rFonts w:hint="eastAsia"/>
                      <w:lang w:val="en-US" w:eastAsia="zh-CN"/>
                    </w:rPr>
                  </w:pPr>
                  <w:r>
                    <w:rPr>
                      <w:rFonts w:hint="eastAsia"/>
                      <w:lang w:val="en-US" w:eastAsia="zh-CN"/>
                    </w:rPr>
                    <w:t>类别</w:t>
                  </w:r>
                </w:p>
              </w:tc>
              <w:tc>
                <w:tcPr>
                  <w:tcW w:w="0" w:type="auto"/>
                  <w:vAlign w:val="center"/>
                </w:tcPr>
                <w:p w14:paraId="56EC4722">
                  <w:pPr>
                    <w:pStyle w:val="47"/>
                    <w:bidi w:val="0"/>
                    <w:jc w:val="center"/>
                    <w:rPr>
                      <w:rFonts w:hint="default"/>
                      <w:lang w:val="en-US" w:eastAsia="zh-CN"/>
                    </w:rPr>
                  </w:pPr>
                  <w:r>
                    <w:rPr>
                      <w:rFonts w:hint="eastAsia"/>
                      <w:lang w:val="en-US" w:eastAsia="zh-CN"/>
                    </w:rPr>
                    <w:t>保护对象及要求</w:t>
                  </w:r>
                </w:p>
              </w:tc>
              <w:tc>
                <w:tcPr>
                  <w:tcW w:w="0" w:type="auto"/>
                  <w:vAlign w:val="center"/>
                </w:tcPr>
                <w:p w14:paraId="412653B9">
                  <w:pPr>
                    <w:pStyle w:val="47"/>
                    <w:bidi w:val="0"/>
                    <w:jc w:val="center"/>
                    <w:rPr>
                      <w:rFonts w:hint="eastAsia"/>
                      <w:lang w:val="en-US" w:eastAsia="zh-CN"/>
                    </w:rPr>
                  </w:pPr>
                  <w:r>
                    <w:rPr>
                      <w:rFonts w:hint="eastAsia"/>
                      <w:lang w:val="en-US" w:eastAsia="zh-CN"/>
                    </w:rPr>
                    <w:t>管制要求</w:t>
                  </w:r>
                </w:p>
              </w:tc>
              <w:tc>
                <w:tcPr>
                  <w:tcW w:w="0" w:type="auto"/>
                  <w:vAlign w:val="center"/>
                </w:tcPr>
                <w:p w14:paraId="42E3F57A">
                  <w:pPr>
                    <w:pStyle w:val="47"/>
                    <w:bidi w:val="0"/>
                    <w:jc w:val="center"/>
                    <w:rPr>
                      <w:rFonts w:hint="default"/>
                      <w:lang w:val="en-US" w:eastAsia="zh-CN"/>
                    </w:rPr>
                  </w:pPr>
                  <w:r>
                    <w:rPr>
                      <w:rFonts w:hint="eastAsia"/>
                      <w:lang w:val="en-US" w:eastAsia="zh-CN"/>
                    </w:rPr>
                    <w:t>本项目情况</w:t>
                  </w:r>
                </w:p>
              </w:tc>
              <w:tc>
                <w:tcPr>
                  <w:tcW w:w="0" w:type="auto"/>
                  <w:vAlign w:val="center"/>
                </w:tcPr>
                <w:p w14:paraId="2E562560">
                  <w:pPr>
                    <w:pStyle w:val="47"/>
                    <w:bidi w:val="0"/>
                    <w:jc w:val="center"/>
                    <w:rPr>
                      <w:rFonts w:hint="default"/>
                      <w:lang w:val="en-US" w:eastAsia="zh-CN"/>
                    </w:rPr>
                  </w:pPr>
                  <w:r>
                    <w:rPr>
                      <w:rFonts w:hint="eastAsia"/>
                      <w:lang w:val="en-US" w:eastAsia="zh-CN"/>
                    </w:rPr>
                    <w:t>符合性分析</w:t>
                  </w:r>
                </w:p>
              </w:tc>
            </w:tr>
            <w:tr w14:paraId="5E7C8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22E5D085">
                  <w:pPr>
                    <w:pStyle w:val="47"/>
                    <w:bidi w:val="0"/>
                    <w:jc w:val="center"/>
                    <w:rPr>
                      <w:rFonts w:hint="eastAsia"/>
                    </w:rPr>
                  </w:pPr>
                  <w:r>
                    <w:rPr>
                      <w:rFonts w:hint="eastAsia"/>
                    </w:rPr>
                    <w:t>生态空间布局</w:t>
                  </w:r>
                </w:p>
              </w:tc>
              <w:tc>
                <w:tcPr>
                  <w:tcW w:w="0" w:type="auto"/>
                  <w:vAlign w:val="center"/>
                </w:tcPr>
                <w:p w14:paraId="371378C4">
                  <w:pPr>
                    <w:pStyle w:val="47"/>
                    <w:bidi w:val="0"/>
                    <w:jc w:val="center"/>
                    <w:rPr>
                      <w:rFonts w:hint="eastAsia"/>
                    </w:rPr>
                  </w:pPr>
                  <w:r>
                    <w:rPr>
                      <w:rFonts w:hint="eastAsia"/>
                    </w:rPr>
                    <w:t>开发区内的生态环境，以及绿化防护、调节气候、蓄纳洪水等功能</w:t>
                  </w:r>
                </w:p>
              </w:tc>
              <w:tc>
                <w:tcPr>
                  <w:tcW w:w="0" w:type="auto"/>
                  <w:vAlign w:val="center"/>
                </w:tcPr>
                <w:p w14:paraId="3E711E92">
                  <w:pPr>
                    <w:pStyle w:val="47"/>
                    <w:bidi w:val="0"/>
                    <w:jc w:val="center"/>
                    <w:rPr>
                      <w:rFonts w:hint="eastAsia"/>
                    </w:rPr>
                  </w:pPr>
                  <w:r>
                    <w:rPr>
                      <w:rFonts w:hint="eastAsia"/>
                    </w:rPr>
                    <w:t>限建区</w:t>
                  </w:r>
                  <w:r>
                    <w:rPr>
                      <w:rFonts w:hint="eastAsia"/>
                      <w:lang w:eastAsia="zh-CN"/>
                    </w:rPr>
                    <w:t>，</w:t>
                  </w:r>
                  <w:r>
                    <w:rPr>
                      <w:rFonts w:hint="eastAsia"/>
                    </w:rPr>
                    <w:t>不得建设与其用地类别建设内容要求不相符的项目，限制大规模的城镇开发建设活动，维护区域范围生态绿地和生态廊道的连通性。</w:t>
                  </w:r>
                </w:p>
              </w:tc>
              <w:tc>
                <w:tcPr>
                  <w:tcW w:w="0" w:type="auto"/>
                  <w:vAlign w:val="center"/>
                </w:tcPr>
                <w:p w14:paraId="674E4694">
                  <w:pPr>
                    <w:pStyle w:val="47"/>
                    <w:bidi w:val="0"/>
                    <w:jc w:val="center"/>
                    <w:rPr>
                      <w:rFonts w:hint="default" w:eastAsia="宋体"/>
                      <w:lang w:val="en-US" w:eastAsia="zh-CN"/>
                    </w:rPr>
                  </w:pPr>
                  <w:r>
                    <w:rPr>
                      <w:rFonts w:hint="eastAsia"/>
                      <w:lang w:val="en-US" w:eastAsia="zh-CN"/>
                    </w:rPr>
                    <w:t>本项目位于淮南经济技术开发区吉兴路西侧3号，本项目利用现有厂房及空地，不涉及大规模开发建设活动。</w:t>
                  </w:r>
                </w:p>
              </w:tc>
              <w:tc>
                <w:tcPr>
                  <w:tcW w:w="0" w:type="auto"/>
                  <w:vAlign w:val="center"/>
                </w:tcPr>
                <w:p w14:paraId="41B1C1E3">
                  <w:pPr>
                    <w:pStyle w:val="47"/>
                    <w:bidi w:val="0"/>
                    <w:jc w:val="center"/>
                    <w:rPr>
                      <w:rFonts w:hint="eastAsia" w:eastAsia="宋体"/>
                      <w:lang w:val="en-US" w:eastAsia="zh-CN"/>
                    </w:rPr>
                  </w:pPr>
                  <w:r>
                    <w:rPr>
                      <w:rFonts w:hint="eastAsia"/>
                      <w:lang w:val="en-US" w:eastAsia="zh-CN"/>
                    </w:rPr>
                    <w:t>符合</w:t>
                  </w:r>
                </w:p>
              </w:tc>
            </w:tr>
            <w:tr w14:paraId="306C0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7B656DE7">
                  <w:pPr>
                    <w:pStyle w:val="47"/>
                    <w:bidi w:val="0"/>
                    <w:jc w:val="center"/>
                    <w:rPr>
                      <w:rFonts w:hint="eastAsia"/>
                    </w:rPr>
                  </w:pPr>
                </w:p>
              </w:tc>
              <w:tc>
                <w:tcPr>
                  <w:tcW w:w="0" w:type="auto"/>
                  <w:vAlign w:val="center"/>
                </w:tcPr>
                <w:p w14:paraId="46F222A9">
                  <w:pPr>
                    <w:pStyle w:val="47"/>
                    <w:bidi w:val="0"/>
                    <w:jc w:val="center"/>
                    <w:rPr>
                      <w:rFonts w:hint="default" w:eastAsia="宋体"/>
                      <w:lang w:val="en-US" w:eastAsia="zh-CN"/>
                    </w:rPr>
                  </w:pPr>
                  <w:r>
                    <w:rPr>
                      <w:rFonts w:hint="eastAsia"/>
                    </w:rPr>
                    <w:t>淮河干流堤防外缘线1公里</w:t>
                  </w:r>
                  <w:r>
                    <w:rPr>
                      <w:rFonts w:hint="eastAsia"/>
                      <w:lang w:val="en-US" w:eastAsia="zh-CN"/>
                    </w:rPr>
                    <w:t>范围内</w:t>
                  </w:r>
                </w:p>
              </w:tc>
              <w:tc>
                <w:tcPr>
                  <w:tcW w:w="0" w:type="auto"/>
                  <w:vAlign w:val="center"/>
                </w:tcPr>
                <w:p w14:paraId="3674B865">
                  <w:pPr>
                    <w:pStyle w:val="47"/>
                    <w:bidi w:val="0"/>
                    <w:jc w:val="center"/>
                    <w:rPr>
                      <w:rFonts w:hint="eastAsia"/>
                    </w:rPr>
                  </w:pPr>
                  <w:r>
                    <w:rPr>
                      <w:rFonts w:hint="eastAsia"/>
                      <w:lang w:eastAsia="zh-CN"/>
                    </w:rPr>
                    <w:t>“</w:t>
                  </w:r>
                  <w:r>
                    <w:rPr>
                      <w:rFonts w:hint="eastAsia"/>
                    </w:rPr>
                    <w:t>禁新建</w:t>
                  </w:r>
                  <w:r>
                    <w:rPr>
                      <w:rFonts w:hint="eastAsia"/>
                      <w:lang w:eastAsia="zh-CN"/>
                    </w:rPr>
                    <w:t>”</w:t>
                  </w:r>
                  <w:r>
                    <w:rPr>
                      <w:rFonts w:hint="eastAsia"/>
                    </w:rPr>
                    <w:t>不得布局新的工业园区。已批未开工的项目，依法停止建设支持重新选址</w:t>
                  </w:r>
                </w:p>
              </w:tc>
              <w:tc>
                <w:tcPr>
                  <w:tcW w:w="0" w:type="auto"/>
                  <w:vAlign w:val="center"/>
                </w:tcPr>
                <w:p w14:paraId="145A21ED">
                  <w:pPr>
                    <w:pStyle w:val="47"/>
                    <w:bidi w:val="0"/>
                    <w:jc w:val="center"/>
                    <w:rPr>
                      <w:rFonts w:hint="eastAsia"/>
                    </w:rPr>
                  </w:pPr>
                  <w:r>
                    <w:rPr>
                      <w:rFonts w:hint="eastAsia"/>
                    </w:rPr>
                    <w:t>本项目距离淮河最近距离约</w:t>
                  </w:r>
                  <w:r>
                    <w:rPr>
                      <w:rFonts w:hint="eastAsia"/>
                      <w:lang w:val="en-US" w:eastAsia="zh-CN"/>
                    </w:rPr>
                    <w:t>5.8</w:t>
                  </w:r>
                  <w:r>
                    <w:rPr>
                      <w:rFonts w:hint="eastAsia"/>
                    </w:rPr>
                    <w:t>km，不在淮河岸线一公里范围内。</w:t>
                  </w:r>
                </w:p>
              </w:tc>
              <w:tc>
                <w:tcPr>
                  <w:tcW w:w="0" w:type="auto"/>
                  <w:vAlign w:val="center"/>
                </w:tcPr>
                <w:p w14:paraId="1FC77D6A">
                  <w:pPr>
                    <w:pStyle w:val="47"/>
                    <w:bidi w:val="0"/>
                    <w:jc w:val="center"/>
                    <w:rPr>
                      <w:rFonts w:hint="default" w:eastAsia="宋体"/>
                      <w:lang w:val="en-US" w:eastAsia="zh-CN"/>
                    </w:rPr>
                  </w:pPr>
                  <w:r>
                    <w:rPr>
                      <w:rFonts w:hint="eastAsia"/>
                      <w:lang w:val="en-US" w:eastAsia="zh-CN"/>
                    </w:rPr>
                    <w:t>符合</w:t>
                  </w:r>
                </w:p>
              </w:tc>
            </w:tr>
            <w:tr w14:paraId="52E37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vAlign w:val="center"/>
                </w:tcPr>
                <w:p w14:paraId="5F533B31">
                  <w:pPr>
                    <w:pStyle w:val="47"/>
                    <w:bidi w:val="0"/>
                    <w:jc w:val="center"/>
                    <w:rPr>
                      <w:rFonts w:hint="eastAsia"/>
                      <w:lang w:val="en-US" w:eastAsia="zh-CN"/>
                    </w:rPr>
                  </w:pPr>
                  <w:r>
                    <w:rPr>
                      <w:rFonts w:hint="eastAsia"/>
                      <w:lang w:val="en-US" w:eastAsia="zh-CN"/>
                    </w:rPr>
                    <w:t>产业空间结构</w:t>
                  </w:r>
                </w:p>
              </w:tc>
              <w:tc>
                <w:tcPr>
                  <w:tcW w:w="0" w:type="auto"/>
                  <w:vAlign w:val="center"/>
                </w:tcPr>
                <w:p w14:paraId="30D4862E">
                  <w:pPr>
                    <w:pStyle w:val="47"/>
                    <w:bidi w:val="0"/>
                    <w:jc w:val="center"/>
                    <w:rPr>
                      <w:rFonts w:hint="eastAsia"/>
                    </w:rPr>
                  </w:pPr>
                  <w:r>
                    <w:rPr>
                      <w:rFonts w:hint="eastAsia"/>
                    </w:rPr>
                    <w:t>严格控制产业用地</w:t>
                  </w:r>
                  <w:r>
                    <w:rPr>
                      <w:rFonts w:hint="eastAsia"/>
                      <w:lang w:val="en-US" w:eastAsia="zh-CN"/>
                    </w:rPr>
                    <w:t>边界</w:t>
                  </w:r>
                  <w:r>
                    <w:rPr>
                      <w:rFonts w:hint="eastAsia"/>
                    </w:rPr>
                    <w:t>，强化规划指导，限制占用生态和生活营地。提高环境准入门槛，引进项目应符合环境准入负面清单。落实入区企业污染减缓措施，加强环境保护管理，建立健全区域风险防范体系。</w:t>
                  </w:r>
                </w:p>
              </w:tc>
              <w:tc>
                <w:tcPr>
                  <w:tcW w:w="0" w:type="auto"/>
                  <w:vAlign w:val="center"/>
                </w:tcPr>
                <w:p w14:paraId="586B163D">
                  <w:pPr>
                    <w:pStyle w:val="47"/>
                    <w:bidi w:val="0"/>
                    <w:jc w:val="center"/>
                    <w:rPr>
                      <w:rFonts w:hint="eastAsia" w:eastAsia="宋体"/>
                      <w:lang w:val="en-US" w:eastAsia="zh-CN"/>
                    </w:rPr>
                  </w:pPr>
                  <w:r>
                    <w:rPr>
                      <w:rFonts w:hint="eastAsia"/>
                      <w:highlight w:val="none"/>
                      <w:lang w:val="en-US" w:eastAsia="zh-CN"/>
                    </w:rPr>
                    <w:t>本项目位于食品加工工业园内现有已建厂房及空地，不占用生态和生活营地，属于</w:t>
                  </w:r>
                  <w:r>
                    <w:rPr>
                      <w:color w:val="auto"/>
                      <w:highlight w:val="none"/>
                    </w:rPr>
                    <w:t>C29</w:t>
                  </w:r>
                  <w:r>
                    <w:rPr>
                      <w:rFonts w:hint="eastAsia"/>
                      <w:color w:val="auto"/>
                      <w:highlight w:val="none"/>
                      <w:lang w:val="en-US" w:eastAsia="zh-CN"/>
                    </w:rPr>
                    <w:t>29</w:t>
                  </w:r>
                  <w:r>
                    <w:rPr>
                      <w:rFonts w:hint="eastAsia"/>
                      <w:color w:val="auto"/>
                      <w:highlight w:val="none"/>
                    </w:rPr>
                    <w:t xml:space="preserve"> </w:t>
                  </w:r>
                  <w:r>
                    <w:rPr>
                      <w:rFonts w:hint="eastAsia" w:ascii="宋体" w:hAnsi="宋体" w:cs="宋体"/>
                      <w:color w:val="auto"/>
                      <w:kern w:val="0"/>
                      <w:highlight w:val="none"/>
                      <w:lang w:val="en-US" w:eastAsia="zh-CN"/>
                    </w:rPr>
                    <w:t>塑料零件及其他塑料制品制造、</w:t>
                  </w:r>
                  <w:r>
                    <w:rPr>
                      <w:color w:val="auto"/>
                    </w:rPr>
                    <w:t>C2924</w:t>
                  </w:r>
                  <w:r>
                    <w:rPr>
                      <w:rFonts w:hint="eastAsia"/>
                      <w:color w:val="auto"/>
                    </w:rPr>
                    <w:t xml:space="preserve"> </w:t>
                  </w:r>
                  <w:r>
                    <w:rPr>
                      <w:rFonts w:hint="eastAsia" w:ascii="宋体" w:hAnsi="宋体" w:cs="宋体"/>
                      <w:color w:val="auto"/>
                      <w:kern w:val="0"/>
                    </w:rPr>
                    <w:t>泡沫塑料制造</w:t>
                  </w:r>
                  <w:r>
                    <w:rPr>
                      <w:rFonts w:hint="eastAsia"/>
                      <w:highlight w:val="none"/>
                      <w:lang w:val="en-US" w:eastAsia="zh-CN"/>
                    </w:rPr>
                    <w:t>，</w:t>
                  </w:r>
                  <w:r>
                    <w:rPr>
                      <w:rFonts w:hint="eastAsia"/>
                      <w:color w:val="auto"/>
                      <w:highlight w:val="none"/>
                    </w:rPr>
                    <w:t>与</w:t>
                  </w:r>
                  <w:r>
                    <w:rPr>
                      <w:rFonts w:hint="eastAsia"/>
                      <w:color w:val="auto"/>
                    </w:rPr>
                    <w:t>园区主导产业不违背，可视为允许类</w:t>
                  </w:r>
                  <w:r>
                    <w:rPr>
                      <w:rFonts w:hint="eastAsia"/>
                      <w:color w:val="auto"/>
                      <w:lang w:eastAsia="zh-CN"/>
                    </w:rPr>
                    <w:t>。</w:t>
                  </w:r>
                </w:p>
              </w:tc>
              <w:tc>
                <w:tcPr>
                  <w:tcW w:w="0" w:type="auto"/>
                  <w:vAlign w:val="center"/>
                </w:tcPr>
                <w:p w14:paraId="30BBA12D">
                  <w:pPr>
                    <w:pStyle w:val="47"/>
                    <w:bidi w:val="0"/>
                    <w:jc w:val="center"/>
                    <w:rPr>
                      <w:rFonts w:hint="eastAsia" w:eastAsia="宋体"/>
                      <w:lang w:val="en-US" w:eastAsia="zh-CN"/>
                    </w:rPr>
                  </w:pPr>
                  <w:r>
                    <w:rPr>
                      <w:rFonts w:hint="eastAsia"/>
                      <w:lang w:val="en-US" w:eastAsia="zh-CN"/>
                    </w:rPr>
                    <w:t>符合</w:t>
                  </w:r>
                </w:p>
              </w:tc>
            </w:tr>
            <w:tr w14:paraId="6B4F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0" w:type="auto"/>
                  <w:gridSpan w:val="2"/>
                  <w:vMerge w:val="restart"/>
                  <w:vAlign w:val="center"/>
                </w:tcPr>
                <w:p w14:paraId="5E83CD59">
                  <w:pPr>
                    <w:pStyle w:val="47"/>
                    <w:bidi w:val="0"/>
                    <w:jc w:val="center"/>
                    <w:rPr>
                      <w:rFonts w:hint="eastAsia"/>
                      <w:lang w:val="en-US" w:eastAsia="zh-CN"/>
                    </w:rPr>
                  </w:pPr>
                  <w:r>
                    <w:rPr>
                      <w:rFonts w:hint="eastAsia"/>
                      <w:lang w:val="en-US" w:eastAsia="zh-CN"/>
                    </w:rPr>
                    <w:t>其他要求</w:t>
                  </w:r>
                </w:p>
              </w:tc>
              <w:tc>
                <w:tcPr>
                  <w:tcW w:w="0" w:type="auto"/>
                  <w:vAlign w:val="center"/>
                </w:tcPr>
                <w:p w14:paraId="52121646">
                  <w:pPr>
                    <w:pStyle w:val="47"/>
                    <w:bidi w:val="0"/>
                    <w:jc w:val="center"/>
                    <w:rPr>
                      <w:rFonts w:hint="eastAsia"/>
                      <w:lang w:val="en-US" w:eastAsia="zh-CN"/>
                    </w:rPr>
                  </w:pPr>
                  <w:r>
                    <w:rPr>
                      <w:rFonts w:hint="eastAsia"/>
                    </w:rPr>
                    <w:t>区内部分紧邻规划居住用地等环境敏感目标的工业用地，严格限制涉及使用危险化学品的企业进</w:t>
                  </w:r>
                  <w:r>
                    <w:rPr>
                      <w:rFonts w:hint="eastAsia"/>
                      <w:lang w:val="en-US" w:eastAsia="zh-CN"/>
                    </w:rPr>
                    <w:t>入</w:t>
                  </w:r>
                </w:p>
              </w:tc>
              <w:tc>
                <w:tcPr>
                  <w:tcW w:w="0" w:type="auto"/>
                  <w:vMerge w:val="restart"/>
                  <w:vAlign w:val="center"/>
                </w:tcPr>
                <w:p w14:paraId="28B6A0CF">
                  <w:pPr>
                    <w:pStyle w:val="47"/>
                    <w:bidi w:val="0"/>
                    <w:jc w:val="center"/>
                    <w:rPr>
                      <w:rFonts w:hint="default" w:eastAsia="宋体"/>
                      <w:lang w:val="en-US" w:eastAsia="zh-CN"/>
                    </w:rPr>
                  </w:pPr>
                  <w:r>
                    <w:rPr>
                      <w:rFonts w:hint="eastAsia"/>
                      <w:lang w:val="en-US" w:eastAsia="zh-CN"/>
                    </w:rPr>
                    <w:t>本项目</w:t>
                  </w:r>
                  <w:r>
                    <w:rPr>
                      <w:rFonts w:hint="eastAsia"/>
                      <w:highlight w:val="none"/>
                      <w:lang w:val="en-US" w:eastAsia="zh-CN"/>
                    </w:rPr>
                    <w:t>属于</w:t>
                  </w:r>
                  <w:r>
                    <w:rPr>
                      <w:color w:val="auto"/>
                      <w:highlight w:val="none"/>
                    </w:rPr>
                    <w:t>C29</w:t>
                  </w:r>
                  <w:r>
                    <w:rPr>
                      <w:rFonts w:hint="eastAsia"/>
                      <w:color w:val="auto"/>
                      <w:highlight w:val="none"/>
                      <w:lang w:val="en-US" w:eastAsia="zh-CN"/>
                    </w:rPr>
                    <w:t>29</w:t>
                  </w:r>
                  <w:r>
                    <w:rPr>
                      <w:rFonts w:hint="eastAsia"/>
                      <w:color w:val="auto"/>
                      <w:highlight w:val="none"/>
                    </w:rPr>
                    <w:t xml:space="preserve"> </w:t>
                  </w:r>
                  <w:r>
                    <w:rPr>
                      <w:rFonts w:hint="eastAsia" w:ascii="宋体" w:hAnsi="宋体" w:cs="宋体"/>
                      <w:color w:val="auto"/>
                      <w:kern w:val="0"/>
                      <w:highlight w:val="none"/>
                      <w:lang w:val="en-US" w:eastAsia="zh-CN"/>
                    </w:rPr>
                    <w:t>塑料零件及其他塑料制品制造、</w:t>
                  </w:r>
                  <w:r>
                    <w:rPr>
                      <w:color w:val="auto"/>
                    </w:rPr>
                    <w:t>C2924</w:t>
                  </w:r>
                  <w:r>
                    <w:rPr>
                      <w:rFonts w:hint="eastAsia"/>
                      <w:color w:val="auto"/>
                    </w:rPr>
                    <w:t xml:space="preserve"> </w:t>
                  </w:r>
                  <w:r>
                    <w:rPr>
                      <w:rFonts w:hint="eastAsia" w:ascii="宋体" w:hAnsi="宋体" w:cs="宋体"/>
                      <w:color w:val="auto"/>
                      <w:kern w:val="0"/>
                    </w:rPr>
                    <w:t>泡沫塑料制造</w:t>
                  </w:r>
                  <w:r>
                    <w:rPr>
                      <w:rFonts w:hint="eastAsia" w:ascii="宋体" w:hAnsi="宋体" w:cs="宋体"/>
                      <w:color w:val="auto"/>
                      <w:kern w:val="0"/>
                      <w:lang w:eastAsia="zh-CN"/>
                    </w:rPr>
                    <w:t>，</w:t>
                  </w:r>
                  <w:r>
                    <w:rPr>
                      <w:rFonts w:hint="eastAsia" w:ascii="宋体" w:hAnsi="宋体" w:cs="宋体"/>
                      <w:color w:val="auto"/>
                      <w:kern w:val="0"/>
                      <w:lang w:val="en-US" w:eastAsia="zh-CN"/>
                    </w:rPr>
                    <w:t>不使用危险化学品。项目用地类型为工业用地，且周边500m范围内无环境保护目标。</w:t>
                  </w:r>
                </w:p>
              </w:tc>
              <w:tc>
                <w:tcPr>
                  <w:tcW w:w="0" w:type="auto"/>
                  <w:vMerge w:val="restart"/>
                  <w:vAlign w:val="center"/>
                </w:tcPr>
                <w:p w14:paraId="710E5B0C">
                  <w:pPr>
                    <w:pStyle w:val="47"/>
                    <w:bidi w:val="0"/>
                    <w:jc w:val="center"/>
                    <w:rPr>
                      <w:rFonts w:hint="eastAsia" w:eastAsia="宋体"/>
                      <w:lang w:val="en-US" w:eastAsia="zh-CN"/>
                    </w:rPr>
                  </w:pPr>
                  <w:r>
                    <w:rPr>
                      <w:rFonts w:hint="eastAsia"/>
                      <w:lang w:val="en-US" w:eastAsia="zh-CN"/>
                    </w:rPr>
                    <w:t>符合</w:t>
                  </w:r>
                </w:p>
              </w:tc>
            </w:tr>
            <w:tr w14:paraId="5FF1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1" w:hRule="atLeast"/>
              </w:trPr>
              <w:tc>
                <w:tcPr>
                  <w:tcW w:w="0" w:type="auto"/>
                  <w:gridSpan w:val="2"/>
                  <w:vMerge w:val="continue"/>
                  <w:vAlign w:val="center"/>
                </w:tcPr>
                <w:p w14:paraId="5089333B">
                  <w:pPr>
                    <w:jc w:val="center"/>
                  </w:pPr>
                </w:p>
              </w:tc>
              <w:tc>
                <w:tcPr>
                  <w:tcW w:w="0" w:type="auto"/>
                  <w:vAlign w:val="center"/>
                </w:tcPr>
                <w:p w14:paraId="0C57046F">
                  <w:pPr>
                    <w:pStyle w:val="47"/>
                    <w:bidi w:val="0"/>
                    <w:jc w:val="center"/>
                    <w:rPr>
                      <w:rFonts w:hint="eastAsia"/>
                      <w:color w:val="auto"/>
                      <w:highlight w:val="none"/>
                      <w:vertAlign w:val="baseline"/>
                    </w:rPr>
                  </w:pPr>
                  <w:r>
                    <w:rPr>
                      <w:rFonts w:hint="eastAsia"/>
                    </w:rPr>
                    <w:t>区内规划产业片区内与居住用地相邻的工业用地严格明确为无污染或低污染的二类工业用地，所属地块内的工业企业应达到二类工业用地企业要求，同时应加强企业附属绿地建设。</w:t>
                  </w:r>
                </w:p>
              </w:tc>
              <w:tc>
                <w:tcPr>
                  <w:tcW w:w="0" w:type="auto"/>
                  <w:vMerge w:val="continue"/>
                  <w:vAlign w:val="center"/>
                </w:tcPr>
                <w:p w14:paraId="7DD0EB54">
                  <w:pPr>
                    <w:jc w:val="center"/>
                    <w:rPr>
                      <w:rFonts w:hint="eastAsia"/>
                      <w:color w:val="auto"/>
                      <w:highlight w:val="none"/>
                      <w:vertAlign w:val="baseline"/>
                    </w:rPr>
                  </w:pPr>
                </w:p>
              </w:tc>
              <w:tc>
                <w:tcPr>
                  <w:tcW w:w="0" w:type="auto"/>
                  <w:vMerge w:val="continue"/>
                  <w:vAlign w:val="center"/>
                </w:tcPr>
                <w:p w14:paraId="250053C4">
                  <w:pPr>
                    <w:jc w:val="center"/>
                    <w:rPr>
                      <w:rFonts w:hint="eastAsia"/>
                      <w:color w:val="auto"/>
                      <w:highlight w:val="none"/>
                      <w:vertAlign w:val="baseline"/>
                    </w:rPr>
                  </w:pPr>
                </w:p>
              </w:tc>
            </w:tr>
          </w:tbl>
          <w:p w14:paraId="2C99DCFC">
            <w:pPr>
              <w:rPr>
                <w:rFonts w:hint="default"/>
                <w:lang w:val="en-US" w:eastAsia="zh-CN"/>
              </w:rPr>
            </w:pPr>
            <w:r>
              <w:rPr>
                <w:rFonts w:hint="eastAsia"/>
                <w:b/>
                <w:bCs/>
                <w:color w:val="auto"/>
                <w:highlight w:val="none"/>
              </w:rPr>
              <w:t>表1-</w:t>
            </w:r>
            <w:r>
              <w:rPr>
                <w:rFonts w:hint="eastAsia"/>
                <w:b/>
                <w:bCs/>
                <w:color w:val="auto"/>
                <w:highlight w:val="none"/>
                <w:lang w:val="en-US" w:eastAsia="zh-CN"/>
              </w:rPr>
              <w:t>6</w:t>
            </w:r>
            <w:r>
              <w:rPr>
                <w:rFonts w:hint="eastAsia"/>
                <w:b/>
                <w:bCs/>
                <w:color w:val="auto"/>
                <w:highlight w:val="none"/>
              </w:rPr>
              <w:t xml:space="preserve"> </w:t>
            </w:r>
            <w:r>
              <w:rPr>
                <w:rFonts w:hint="eastAsia"/>
                <w:b/>
                <w:bCs/>
                <w:color w:val="auto"/>
                <w:highlight w:val="none"/>
                <w:lang w:val="en-US" w:eastAsia="zh-CN"/>
              </w:rPr>
              <w:t>与《环境影响区域评估报告》中环境准入清单符合性分析</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4557"/>
              <w:gridCol w:w="1515"/>
              <w:gridCol w:w="765"/>
            </w:tblGrid>
            <w:tr w14:paraId="635E9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034AAF1B">
                  <w:pPr>
                    <w:pStyle w:val="47"/>
                    <w:bidi w:val="0"/>
                    <w:jc w:val="center"/>
                    <w:rPr>
                      <w:rFonts w:hint="default"/>
                      <w:lang w:val="en-US" w:eastAsia="zh-CN"/>
                    </w:rPr>
                  </w:pPr>
                  <w:r>
                    <w:rPr>
                      <w:rFonts w:hint="eastAsia"/>
                      <w:lang w:val="en-US" w:eastAsia="zh-CN"/>
                    </w:rPr>
                    <w:t>清单类型</w:t>
                  </w:r>
                </w:p>
              </w:tc>
              <w:tc>
                <w:tcPr>
                  <w:tcW w:w="4557" w:type="dxa"/>
                  <w:vAlign w:val="center"/>
                </w:tcPr>
                <w:p w14:paraId="605E2DAF">
                  <w:pPr>
                    <w:pStyle w:val="47"/>
                    <w:bidi w:val="0"/>
                    <w:jc w:val="center"/>
                    <w:rPr>
                      <w:rFonts w:hint="default"/>
                      <w:lang w:val="en-US" w:eastAsia="zh-CN"/>
                    </w:rPr>
                  </w:pPr>
                  <w:r>
                    <w:rPr>
                      <w:rFonts w:hint="eastAsia"/>
                      <w:lang w:val="en-US" w:eastAsia="zh-CN"/>
                    </w:rPr>
                    <w:t>准入清单、控制要求</w:t>
                  </w:r>
                </w:p>
              </w:tc>
              <w:tc>
                <w:tcPr>
                  <w:tcW w:w="1515" w:type="dxa"/>
                  <w:vAlign w:val="center"/>
                </w:tcPr>
                <w:p w14:paraId="781FE113">
                  <w:pPr>
                    <w:pStyle w:val="47"/>
                    <w:bidi w:val="0"/>
                    <w:jc w:val="center"/>
                    <w:rPr>
                      <w:rFonts w:hint="default"/>
                      <w:lang w:val="en-US" w:eastAsia="zh-CN"/>
                    </w:rPr>
                  </w:pPr>
                  <w:r>
                    <w:rPr>
                      <w:rFonts w:hint="eastAsia"/>
                      <w:lang w:val="en-US" w:eastAsia="zh-CN"/>
                    </w:rPr>
                    <w:t>本项目情况</w:t>
                  </w:r>
                </w:p>
              </w:tc>
              <w:tc>
                <w:tcPr>
                  <w:tcW w:w="765" w:type="dxa"/>
                  <w:vAlign w:val="center"/>
                </w:tcPr>
                <w:p w14:paraId="0FEE38E2">
                  <w:pPr>
                    <w:pStyle w:val="47"/>
                    <w:bidi w:val="0"/>
                    <w:jc w:val="center"/>
                    <w:rPr>
                      <w:rFonts w:hint="default"/>
                      <w:lang w:val="en-US" w:eastAsia="zh-CN"/>
                    </w:rPr>
                  </w:pPr>
                  <w:r>
                    <w:rPr>
                      <w:rFonts w:hint="eastAsia"/>
                      <w:lang w:val="en-US" w:eastAsia="zh-CN"/>
                    </w:rPr>
                    <w:t>符合性分析</w:t>
                  </w:r>
                </w:p>
              </w:tc>
            </w:tr>
            <w:tr w14:paraId="14C7C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restart"/>
                  <w:vAlign w:val="center"/>
                </w:tcPr>
                <w:p w14:paraId="2883C47A">
                  <w:pPr>
                    <w:pStyle w:val="47"/>
                    <w:bidi w:val="0"/>
                    <w:jc w:val="center"/>
                    <w:rPr>
                      <w:rFonts w:hint="default"/>
                      <w:lang w:val="en-US" w:eastAsia="zh-CN"/>
                    </w:rPr>
                  </w:pPr>
                  <w:r>
                    <w:rPr>
                      <w:rFonts w:hint="eastAsia"/>
                      <w:lang w:val="en-US" w:eastAsia="zh-CN"/>
                    </w:rPr>
                    <w:t>鼓励类</w:t>
                  </w:r>
                </w:p>
              </w:tc>
              <w:tc>
                <w:tcPr>
                  <w:tcW w:w="4557" w:type="dxa"/>
                  <w:vAlign w:val="center"/>
                </w:tcPr>
                <w:p w14:paraId="0B14FE6E">
                  <w:pPr>
                    <w:pStyle w:val="47"/>
                    <w:bidi w:val="0"/>
                    <w:jc w:val="center"/>
                    <w:rPr>
                      <w:rFonts w:hint="default"/>
                      <w:lang w:val="en-US" w:eastAsia="zh-CN"/>
                    </w:rPr>
                  </w:pPr>
                  <w:r>
                    <w:rPr>
                      <w:rFonts w:hint="default"/>
                      <w:lang w:val="en-US" w:eastAsia="zh-CN"/>
                    </w:rPr>
                    <w:t>符合开发区产业定位(六大主导产业)的项目</w:t>
                  </w:r>
                  <w:r>
                    <w:rPr>
                      <w:rFonts w:hint="eastAsia"/>
                      <w:lang w:val="en-US" w:eastAsia="zh-CN"/>
                    </w:rPr>
                    <w:t>；</w:t>
                  </w:r>
                  <w:r>
                    <w:rPr>
                      <w:rFonts w:hint="default"/>
                      <w:lang w:val="en-US" w:eastAsia="zh-CN"/>
                    </w:rPr>
                    <w:t>科技合量高、产品附加值高的项目、能源资源消耗少、排污小的企业</w:t>
                  </w:r>
                  <w:r>
                    <w:rPr>
                      <w:rFonts w:hint="eastAsia"/>
                      <w:lang w:val="en-US" w:eastAsia="zh-CN"/>
                    </w:rPr>
                    <w:t>；</w:t>
                  </w:r>
                </w:p>
                <w:p w14:paraId="3E61809A">
                  <w:pPr>
                    <w:pStyle w:val="47"/>
                    <w:bidi w:val="0"/>
                    <w:jc w:val="center"/>
                    <w:rPr>
                      <w:rFonts w:hint="default"/>
                      <w:lang w:val="en-US" w:eastAsia="zh-CN"/>
                    </w:rPr>
                  </w:pPr>
                  <w:r>
                    <w:rPr>
                      <w:rFonts w:hint="default"/>
                      <w:lang w:val="en-US" w:eastAsia="zh-CN"/>
                    </w:rPr>
                    <w:t>符合产业定位且属于《产业结构调整指导目录》(2024 年本)、《战略性新兴产业分类(2018)》(国家统计局令第 23 号)等政策文件中的项目</w:t>
                  </w:r>
                </w:p>
              </w:tc>
              <w:tc>
                <w:tcPr>
                  <w:tcW w:w="1515" w:type="dxa"/>
                  <w:vMerge w:val="restart"/>
                  <w:vAlign w:val="center"/>
                </w:tcPr>
                <w:p w14:paraId="535ACED8">
                  <w:pPr>
                    <w:pStyle w:val="47"/>
                    <w:bidi w:val="0"/>
                    <w:jc w:val="center"/>
                    <w:rPr>
                      <w:rFonts w:hint="eastAsia"/>
                      <w:lang w:val="en-US" w:eastAsia="zh-CN"/>
                    </w:rPr>
                  </w:pPr>
                  <w:r>
                    <w:rPr>
                      <w:rFonts w:hint="eastAsia"/>
                      <w:lang w:val="en-US" w:eastAsia="zh-CN"/>
                    </w:rPr>
                    <w:t>本项目属于</w:t>
                  </w:r>
                  <w:r>
                    <w:t>C29</w:t>
                  </w:r>
                  <w:r>
                    <w:rPr>
                      <w:rFonts w:hint="eastAsia"/>
                      <w:lang w:val="en-US" w:eastAsia="zh-CN"/>
                    </w:rPr>
                    <w:t>29</w:t>
                  </w:r>
                  <w:r>
                    <w:rPr>
                      <w:rFonts w:hint="eastAsia"/>
                    </w:rPr>
                    <w:t xml:space="preserve"> </w:t>
                  </w:r>
                  <w:r>
                    <w:rPr>
                      <w:rFonts w:hint="eastAsia"/>
                      <w:lang w:val="en-US" w:eastAsia="zh-CN"/>
                    </w:rPr>
                    <w:t>塑料零件及其他塑料制品制造、</w:t>
                  </w:r>
                  <w:r>
                    <w:t>C2924</w:t>
                  </w:r>
                  <w:r>
                    <w:rPr>
                      <w:rFonts w:hint="eastAsia"/>
                    </w:rPr>
                    <w:t xml:space="preserve"> 泡沫塑料制造</w:t>
                  </w:r>
                  <w:r>
                    <w:rPr>
                      <w:rFonts w:hint="eastAsia"/>
                      <w:lang w:eastAsia="zh-CN"/>
                    </w:rPr>
                    <w:t>。对照《产业结构调整指导目录》(2024 年本)，本项目</w:t>
                  </w:r>
                  <w:r>
                    <w:rPr>
                      <w:rFonts w:hint="eastAsia"/>
                      <w:lang w:val="en-US" w:eastAsia="zh-CN"/>
                    </w:rPr>
                    <w:t>不属于</w:t>
                  </w:r>
                  <w:r>
                    <w:rPr>
                      <w:rFonts w:hint="eastAsia"/>
                      <w:lang w:eastAsia="zh-CN"/>
                    </w:rPr>
                    <w:t>鼓励类、限制类和淘汰类；</w:t>
                  </w:r>
                  <w:r>
                    <w:rPr>
                      <w:rFonts w:hint="eastAsia"/>
                      <w:lang w:val="en-US" w:eastAsia="zh-CN"/>
                    </w:rPr>
                    <w:t>对照《外商投资产业指导目录（2017年修订）》《市场准入负面清单(2020年版)》，本项目不属于禁止或淘汰类项目、产品、工艺和设备。不属于国家、安徽省明确规定不得审批的建设项目。</w:t>
                  </w:r>
                </w:p>
                <w:p w14:paraId="7FDE1681">
                  <w:pPr>
                    <w:pStyle w:val="47"/>
                    <w:bidi w:val="0"/>
                    <w:jc w:val="center"/>
                    <w:rPr>
                      <w:rFonts w:hint="default"/>
                      <w:lang w:val="en-US" w:eastAsia="zh-CN"/>
                    </w:rPr>
                  </w:pPr>
                  <w:r>
                    <w:rPr>
                      <w:rFonts w:hint="eastAsia"/>
                      <w:lang w:val="en-US" w:eastAsia="zh-CN"/>
                    </w:rPr>
                    <w:t>本项目</w:t>
                  </w:r>
                  <w:r>
                    <w:rPr>
                      <w:rFonts w:hint="eastAsia"/>
                      <w:lang w:eastAsia="zh-CN"/>
                    </w:rPr>
                    <w:t>符合国家有关法律、法规和政策规定的项目，视为允许类，符合国家产业政策。</w:t>
                  </w:r>
                </w:p>
              </w:tc>
              <w:tc>
                <w:tcPr>
                  <w:tcW w:w="765" w:type="dxa"/>
                  <w:vMerge w:val="restart"/>
                  <w:vAlign w:val="center"/>
                </w:tcPr>
                <w:p w14:paraId="1259AD76">
                  <w:pPr>
                    <w:pStyle w:val="47"/>
                    <w:bidi w:val="0"/>
                    <w:jc w:val="center"/>
                    <w:rPr>
                      <w:rFonts w:hint="default"/>
                      <w:lang w:val="en-US" w:eastAsia="zh-CN"/>
                    </w:rPr>
                  </w:pPr>
                  <w:r>
                    <w:rPr>
                      <w:rFonts w:hint="eastAsia"/>
                      <w:lang w:val="en-US" w:eastAsia="zh-CN"/>
                    </w:rPr>
                    <w:t>符合</w:t>
                  </w:r>
                </w:p>
              </w:tc>
            </w:tr>
            <w:tr w14:paraId="6C81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133" w:type="dxa"/>
                  <w:vMerge w:val="continue"/>
                  <w:vAlign w:val="center"/>
                </w:tcPr>
                <w:p w14:paraId="4ECAB9F8">
                  <w:pPr>
                    <w:pStyle w:val="47"/>
                    <w:bidi w:val="0"/>
                    <w:jc w:val="center"/>
                    <w:rPr>
                      <w:rFonts w:hint="eastAsia"/>
                      <w:lang w:val="en-US" w:eastAsia="zh-CN"/>
                    </w:rPr>
                  </w:pPr>
                </w:p>
              </w:tc>
              <w:tc>
                <w:tcPr>
                  <w:tcW w:w="4557" w:type="dxa"/>
                  <w:vAlign w:val="center"/>
                </w:tcPr>
                <w:p w14:paraId="73A65FBB">
                  <w:pPr>
                    <w:pStyle w:val="47"/>
                    <w:bidi w:val="0"/>
                    <w:jc w:val="center"/>
                    <w:rPr>
                      <w:rFonts w:hint="default"/>
                      <w:lang w:val="en-US" w:eastAsia="zh-CN"/>
                    </w:rPr>
                  </w:pPr>
                  <w:r>
                    <w:rPr>
                      <w:rFonts w:hint="eastAsia"/>
                      <w:lang w:val="en-US" w:eastAsia="zh-CN"/>
                    </w:rPr>
                    <w:t>生物医药：27 医药制造业；单纯药品复配；仅化学药品制剂制造；中药饮片加工无提炼工艺的；卫生材料及医药用品制造的；</w:t>
                  </w:r>
                </w:p>
              </w:tc>
              <w:tc>
                <w:tcPr>
                  <w:tcW w:w="1515" w:type="dxa"/>
                  <w:vMerge w:val="continue"/>
                  <w:vAlign w:val="center"/>
                </w:tcPr>
                <w:p w14:paraId="0DCEA1CC">
                  <w:pPr>
                    <w:pStyle w:val="47"/>
                    <w:bidi w:val="0"/>
                    <w:jc w:val="center"/>
                    <w:rPr>
                      <w:rFonts w:hint="default"/>
                      <w:lang w:val="en-US" w:eastAsia="zh-CN"/>
                    </w:rPr>
                  </w:pPr>
                </w:p>
              </w:tc>
              <w:tc>
                <w:tcPr>
                  <w:tcW w:w="765" w:type="dxa"/>
                  <w:vMerge w:val="continue"/>
                  <w:vAlign w:val="center"/>
                </w:tcPr>
                <w:p w14:paraId="3783A98E">
                  <w:pPr>
                    <w:pStyle w:val="47"/>
                    <w:bidi w:val="0"/>
                    <w:jc w:val="center"/>
                    <w:rPr>
                      <w:rFonts w:hint="default"/>
                      <w:lang w:val="en-US" w:eastAsia="zh-CN"/>
                    </w:rPr>
                  </w:pPr>
                </w:p>
              </w:tc>
            </w:tr>
            <w:tr w14:paraId="5B7BE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vAlign w:val="center"/>
                </w:tcPr>
                <w:p w14:paraId="66A4F15C">
                  <w:pPr>
                    <w:pStyle w:val="47"/>
                    <w:bidi w:val="0"/>
                    <w:jc w:val="center"/>
                    <w:rPr>
                      <w:rFonts w:hint="eastAsia"/>
                      <w:lang w:val="en-US" w:eastAsia="zh-CN"/>
                    </w:rPr>
                  </w:pPr>
                </w:p>
              </w:tc>
              <w:tc>
                <w:tcPr>
                  <w:tcW w:w="4557" w:type="dxa"/>
                  <w:vAlign w:val="center"/>
                </w:tcPr>
                <w:p w14:paraId="5F8BD676">
                  <w:pPr>
                    <w:pStyle w:val="47"/>
                    <w:bidi w:val="0"/>
                    <w:jc w:val="center"/>
                    <w:rPr>
                      <w:rFonts w:hint="default"/>
                      <w:lang w:val="en-US" w:eastAsia="zh-CN"/>
                    </w:rPr>
                  </w:pPr>
                  <w:r>
                    <w:rPr>
                      <w:rFonts w:hint="eastAsia"/>
                      <w:lang w:val="en-US" w:eastAsia="zh-CN"/>
                    </w:rPr>
                    <w:t>纺织服装：17 纺织业；176 针织品、编织品及其制品制造、177 家用纺织制成品制造、178 产业用纺织制成品制造等不涉及洗毛、脱胶、缫丝、染整工艺的、使用有机溶剂的涂层工艺的；</w:t>
                  </w:r>
                </w:p>
              </w:tc>
              <w:tc>
                <w:tcPr>
                  <w:tcW w:w="1515" w:type="dxa"/>
                  <w:vMerge w:val="continue"/>
                  <w:vAlign w:val="center"/>
                </w:tcPr>
                <w:p w14:paraId="50AE7BE4">
                  <w:pPr>
                    <w:pStyle w:val="47"/>
                    <w:bidi w:val="0"/>
                    <w:jc w:val="center"/>
                    <w:rPr>
                      <w:rFonts w:hint="default"/>
                      <w:lang w:val="en-US" w:eastAsia="zh-CN"/>
                    </w:rPr>
                  </w:pPr>
                </w:p>
              </w:tc>
              <w:tc>
                <w:tcPr>
                  <w:tcW w:w="765" w:type="dxa"/>
                  <w:vMerge w:val="continue"/>
                  <w:vAlign w:val="center"/>
                </w:tcPr>
                <w:p w14:paraId="51168282">
                  <w:pPr>
                    <w:pStyle w:val="47"/>
                    <w:bidi w:val="0"/>
                    <w:jc w:val="center"/>
                    <w:rPr>
                      <w:rFonts w:hint="default"/>
                      <w:lang w:val="en-US" w:eastAsia="zh-CN"/>
                    </w:rPr>
                  </w:pPr>
                </w:p>
              </w:tc>
            </w:tr>
            <w:tr w14:paraId="16DD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vAlign w:val="center"/>
                </w:tcPr>
                <w:p w14:paraId="6AFFD15A">
                  <w:pPr>
                    <w:pStyle w:val="47"/>
                    <w:bidi w:val="0"/>
                    <w:jc w:val="center"/>
                    <w:rPr>
                      <w:rFonts w:hint="eastAsia"/>
                      <w:lang w:val="en-US" w:eastAsia="zh-CN"/>
                    </w:rPr>
                  </w:pPr>
                </w:p>
              </w:tc>
              <w:tc>
                <w:tcPr>
                  <w:tcW w:w="4557" w:type="dxa"/>
                  <w:vAlign w:val="center"/>
                </w:tcPr>
                <w:p w14:paraId="34476B0B">
                  <w:pPr>
                    <w:pStyle w:val="47"/>
                    <w:bidi w:val="0"/>
                    <w:jc w:val="center"/>
                    <w:rPr>
                      <w:rFonts w:hint="default"/>
                      <w:lang w:val="en-US" w:eastAsia="zh-CN"/>
                    </w:rPr>
                  </w:pPr>
                  <w:r>
                    <w:rPr>
                      <w:rFonts w:hint="eastAsia"/>
                      <w:lang w:val="en-US" w:eastAsia="zh-CN"/>
                    </w:rPr>
                    <w:t>化学工业：26 化学原材科及化学制品制造业；单纯物理分商、物理提纯、混合、分装的</w:t>
                  </w:r>
                </w:p>
              </w:tc>
              <w:tc>
                <w:tcPr>
                  <w:tcW w:w="1515" w:type="dxa"/>
                  <w:vMerge w:val="continue"/>
                  <w:vAlign w:val="center"/>
                </w:tcPr>
                <w:p w14:paraId="677A02B8">
                  <w:pPr>
                    <w:pStyle w:val="47"/>
                    <w:bidi w:val="0"/>
                    <w:jc w:val="center"/>
                    <w:rPr>
                      <w:rFonts w:hint="default"/>
                      <w:lang w:val="en-US" w:eastAsia="zh-CN"/>
                    </w:rPr>
                  </w:pPr>
                </w:p>
              </w:tc>
              <w:tc>
                <w:tcPr>
                  <w:tcW w:w="765" w:type="dxa"/>
                  <w:vMerge w:val="continue"/>
                  <w:vAlign w:val="center"/>
                </w:tcPr>
                <w:p w14:paraId="5609E444">
                  <w:pPr>
                    <w:pStyle w:val="47"/>
                    <w:bidi w:val="0"/>
                    <w:jc w:val="center"/>
                    <w:rPr>
                      <w:rFonts w:hint="default"/>
                      <w:lang w:val="en-US" w:eastAsia="zh-CN"/>
                    </w:rPr>
                  </w:pPr>
                </w:p>
              </w:tc>
            </w:tr>
            <w:tr w14:paraId="09461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vAlign w:val="center"/>
                </w:tcPr>
                <w:p w14:paraId="63AD07D8">
                  <w:pPr>
                    <w:pStyle w:val="47"/>
                    <w:bidi w:val="0"/>
                    <w:jc w:val="center"/>
                    <w:rPr>
                      <w:rFonts w:hint="eastAsia"/>
                      <w:lang w:val="en-US" w:eastAsia="zh-CN"/>
                    </w:rPr>
                  </w:pPr>
                </w:p>
              </w:tc>
              <w:tc>
                <w:tcPr>
                  <w:tcW w:w="4557" w:type="dxa"/>
                  <w:vAlign w:val="center"/>
                </w:tcPr>
                <w:p w14:paraId="09F4E16D">
                  <w:pPr>
                    <w:pStyle w:val="47"/>
                    <w:bidi w:val="0"/>
                    <w:jc w:val="center"/>
                    <w:rPr>
                      <w:rFonts w:hint="eastAsia"/>
                      <w:lang w:val="en-US" w:eastAsia="zh-CN"/>
                    </w:rPr>
                  </w:pPr>
                  <w:r>
                    <w:rPr>
                      <w:rFonts w:hint="eastAsia"/>
                      <w:lang w:val="en-US" w:eastAsia="zh-CN"/>
                    </w:rPr>
                    <w:t>机械电子与新型材料：34 通用设备制造业；无电镀工艺且仅采用分割、焊接、组装工艺、使用非溶剂型低 VOCs 含量涂料的</w:t>
                  </w:r>
                </w:p>
                <w:p w14:paraId="784A7E2E">
                  <w:pPr>
                    <w:pStyle w:val="47"/>
                    <w:bidi w:val="0"/>
                    <w:jc w:val="center"/>
                    <w:rPr>
                      <w:rFonts w:hint="eastAsia"/>
                      <w:lang w:val="en-US" w:eastAsia="zh-CN"/>
                    </w:rPr>
                  </w:pPr>
                  <w:r>
                    <w:rPr>
                      <w:rFonts w:hint="eastAsia"/>
                      <w:lang w:val="en-US" w:eastAsia="zh-CN"/>
                    </w:rPr>
                    <w:t>35 专用设备制造业；351采矿、冶金建筑专用设备制造、358 医疗仪器设备及器械制造等无电镀工艺且采用分割、焊接、组装工艺、使用非溶剂型低VOCs 含量涂料的</w:t>
                  </w:r>
                </w:p>
                <w:p w14:paraId="2D280AC3">
                  <w:pPr>
                    <w:pStyle w:val="47"/>
                    <w:bidi w:val="0"/>
                    <w:jc w:val="center"/>
                    <w:rPr>
                      <w:rFonts w:hint="eastAsia"/>
                      <w:lang w:val="en-US" w:eastAsia="zh-CN"/>
                    </w:rPr>
                  </w:pPr>
                  <w:r>
                    <w:rPr>
                      <w:rFonts w:hint="eastAsia"/>
                      <w:lang w:val="en-US" w:eastAsia="zh-CN"/>
                    </w:rPr>
                    <w:t>38 电气机械和器材制造业；389 其他电气机械及器材制造等无电镀工艺且仅采用分割、焊接、组装工艺、使用非溶剂型低 VOCs 含量涂料的；</w:t>
                  </w:r>
                </w:p>
                <w:p w14:paraId="285807E3">
                  <w:pPr>
                    <w:pStyle w:val="47"/>
                    <w:bidi w:val="0"/>
                    <w:jc w:val="center"/>
                    <w:rPr>
                      <w:rFonts w:hint="eastAsia"/>
                      <w:lang w:val="en-US" w:eastAsia="zh-CN"/>
                    </w:rPr>
                  </w:pPr>
                  <w:r>
                    <w:rPr>
                      <w:rFonts w:hint="eastAsia"/>
                      <w:lang w:val="en-US" w:eastAsia="zh-CN"/>
                    </w:rPr>
                    <w:t>39 计算机、通信和其他电子设备制造业；392 通信设备制造、393广播电视设备制造、394 雷达及配套设备制造、395 非专业视听设备制造、396 智能消费设备制造、399 其他电子设备制造</w:t>
                  </w:r>
                </w:p>
              </w:tc>
              <w:tc>
                <w:tcPr>
                  <w:tcW w:w="1515" w:type="dxa"/>
                  <w:vMerge w:val="continue"/>
                  <w:vAlign w:val="center"/>
                </w:tcPr>
                <w:p w14:paraId="6DCF4226">
                  <w:pPr>
                    <w:pStyle w:val="47"/>
                    <w:bidi w:val="0"/>
                    <w:jc w:val="center"/>
                    <w:rPr>
                      <w:rFonts w:hint="default"/>
                      <w:lang w:val="en-US" w:eastAsia="zh-CN"/>
                    </w:rPr>
                  </w:pPr>
                </w:p>
              </w:tc>
              <w:tc>
                <w:tcPr>
                  <w:tcW w:w="765" w:type="dxa"/>
                  <w:vMerge w:val="continue"/>
                  <w:vAlign w:val="center"/>
                </w:tcPr>
                <w:p w14:paraId="0183F4BB">
                  <w:pPr>
                    <w:pStyle w:val="47"/>
                    <w:bidi w:val="0"/>
                    <w:jc w:val="center"/>
                    <w:rPr>
                      <w:rFonts w:hint="default"/>
                      <w:lang w:val="en-US" w:eastAsia="zh-CN"/>
                    </w:rPr>
                  </w:pPr>
                </w:p>
              </w:tc>
            </w:tr>
            <w:tr w14:paraId="4882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vAlign w:val="center"/>
                </w:tcPr>
                <w:p w14:paraId="36EB3698">
                  <w:pPr>
                    <w:pStyle w:val="35"/>
                    <w:numPr>
                      <w:ilvl w:val="0"/>
                      <w:numId w:val="0"/>
                    </w:numPr>
                    <w:jc w:val="center"/>
                    <w:rPr>
                      <w:rFonts w:hint="eastAsia"/>
                      <w:vertAlign w:val="baseline"/>
                      <w:lang w:val="en-US" w:eastAsia="zh-CN"/>
                    </w:rPr>
                  </w:pPr>
                </w:p>
              </w:tc>
              <w:tc>
                <w:tcPr>
                  <w:tcW w:w="4557" w:type="dxa"/>
                  <w:vAlign w:val="center"/>
                </w:tcPr>
                <w:p w14:paraId="2C9C3138">
                  <w:pPr>
                    <w:pStyle w:val="47"/>
                    <w:bidi w:val="0"/>
                    <w:jc w:val="center"/>
                    <w:rPr>
                      <w:rFonts w:hint="default"/>
                      <w:lang w:val="en-US" w:eastAsia="zh-CN"/>
                    </w:rPr>
                  </w:pPr>
                  <w:r>
                    <w:rPr>
                      <w:rFonts w:hint="eastAsia"/>
                      <w:lang w:val="en-US" w:eastAsia="zh-CN"/>
                    </w:rPr>
                    <w:t>食品加工：14 食品制造业；142 糖果、巧克力及雪发制造、143 方便食品制造、144 乳制品制造、145 罐头食品制造</w:t>
                  </w:r>
                </w:p>
              </w:tc>
              <w:tc>
                <w:tcPr>
                  <w:tcW w:w="1515" w:type="dxa"/>
                  <w:vMerge w:val="continue"/>
                  <w:vAlign w:val="center"/>
                </w:tcPr>
                <w:p w14:paraId="312C7CB3">
                  <w:pPr>
                    <w:pStyle w:val="35"/>
                    <w:numPr>
                      <w:ilvl w:val="0"/>
                      <w:numId w:val="0"/>
                    </w:numPr>
                    <w:jc w:val="center"/>
                    <w:rPr>
                      <w:rFonts w:hint="default"/>
                      <w:vertAlign w:val="baseline"/>
                      <w:lang w:val="en-US" w:eastAsia="zh-CN"/>
                    </w:rPr>
                  </w:pPr>
                </w:p>
              </w:tc>
              <w:tc>
                <w:tcPr>
                  <w:tcW w:w="765" w:type="dxa"/>
                  <w:vMerge w:val="continue"/>
                  <w:vAlign w:val="center"/>
                </w:tcPr>
                <w:p w14:paraId="5C453E67">
                  <w:pPr>
                    <w:pStyle w:val="35"/>
                    <w:numPr>
                      <w:ilvl w:val="0"/>
                      <w:numId w:val="0"/>
                    </w:numPr>
                    <w:jc w:val="center"/>
                    <w:rPr>
                      <w:rFonts w:hint="default"/>
                      <w:vertAlign w:val="baseline"/>
                      <w:lang w:val="en-US" w:eastAsia="zh-CN"/>
                    </w:rPr>
                  </w:pPr>
                </w:p>
              </w:tc>
            </w:tr>
            <w:tr w14:paraId="27F5E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vAlign w:val="center"/>
                </w:tcPr>
                <w:p w14:paraId="6E5AFDEC">
                  <w:pPr>
                    <w:pStyle w:val="35"/>
                    <w:numPr>
                      <w:ilvl w:val="0"/>
                      <w:numId w:val="0"/>
                    </w:numPr>
                    <w:jc w:val="center"/>
                    <w:rPr>
                      <w:rFonts w:hint="eastAsia"/>
                      <w:vertAlign w:val="baseline"/>
                      <w:lang w:val="en-US" w:eastAsia="zh-CN"/>
                    </w:rPr>
                  </w:pPr>
                </w:p>
              </w:tc>
              <w:tc>
                <w:tcPr>
                  <w:tcW w:w="4557" w:type="dxa"/>
                  <w:vAlign w:val="center"/>
                </w:tcPr>
                <w:p w14:paraId="214EB09A">
                  <w:pPr>
                    <w:pStyle w:val="47"/>
                    <w:bidi w:val="0"/>
                    <w:jc w:val="center"/>
                    <w:rPr>
                      <w:rFonts w:hint="eastAsia"/>
                      <w:lang w:val="en-US" w:eastAsia="zh-CN"/>
                    </w:rPr>
                  </w:pPr>
                  <w:r>
                    <w:rPr>
                      <w:rFonts w:hint="eastAsia"/>
                      <w:lang w:val="en-US" w:eastAsia="zh-CN"/>
                    </w:rPr>
                    <w:t>商贸物流：81 机动车、电子产品和日用产品修理业；811汽车、摩托车等修理与维护</w:t>
                  </w:r>
                </w:p>
              </w:tc>
              <w:tc>
                <w:tcPr>
                  <w:tcW w:w="1515" w:type="dxa"/>
                  <w:vMerge w:val="continue"/>
                  <w:vAlign w:val="center"/>
                </w:tcPr>
                <w:p w14:paraId="0C36146E">
                  <w:pPr>
                    <w:pStyle w:val="35"/>
                    <w:numPr>
                      <w:ilvl w:val="0"/>
                      <w:numId w:val="0"/>
                    </w:numPr>
                    <w:jc w:val="center"/>
                    <w:rPr>
                      <w:rFonts w:hint="default"/>
                      <w:vertAlign w:val="baseline"/>
                      <w:lang w:val="en-US" w:eastAsia="zh-CN"/>
                    </w:rPr>
                  </w:pPr>
                </w:p>
              </w:tc>
              <w:tc>
                <w:tcPr>
                  <w:tcW w:w="765" w:type="dxa"/>
                  <w:vMerge w:val="continue"/>
                  <w:vAlign w:val="center"/>
                </w:tcPr>
                <w:p w14:paraId="1305BABE">
                  <w:pPr>
                    <w:pStyle w:val="35"/>
                    <w:numPr>
                      <w:ilvl w:val="0"/>
                      <w:numId w:val="0"/>
                    </w:numPr>
                    <w:jc w:val="center"/>
                    <w:rPr>
                      <w:rFonts w:hint="default"/>
                      <w:vertAlign w:val="baseline"/>
                      <w:lang w:val="en-US" w:eastAsia="zh-CN"/>
                    </w:rPr>
                  </w:pPr>
                </w:p>
              </w:tc>
            </w:tr>
            <w:tr w14:paraId="2477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3F428805">
                  <w:pPr>
                    <w:pStyle w:val="35"/>
                    <w:numPr>
                      <w:ilvl w:val="0"/>
                      <w:numId w:val="0"/>
                    </w:numPr>
                    <w:jc w:val="center"/>
                    <w:rPr>
                      <w:rFonts w:hint="default"/>
                      <w:vertAlign w:val="baseline"/>
                      <w:lang w:val="en-US" w:eastAsia="zh-CN"/>
                    </w:rPr>
                  </w:pPr>
                  <w:r>
                    <w:rPr>
                      <w:rFonts w:hint="eastAsia"/>
                      <w:vertAlign w:val="baseline"/>
                      <w:lang w:val="en-US" w:eastAsia="zh-CN"/>
                    </w:rPr>
                    <w:t>禁止类</w:t>
                  </w:r>
                </w:p>
              </w:tc>
              <w:tc>
                <w:tcPr>
                  <w:tcW w:w="4557" w:type="dxa"/>
                  <w:vAlign w:val="center"/>
                </w:tcPr>
                <w:p w14:paraId="45AE0C65">
                  <w:pPr>
                    <w:pStyle w:val="47"/>
                    <w:bidi w:val="0"/>
                    <w:jc w:val="center"/>
                    <w:rPr>
                      <w:rFonts w:hint="eastAsia"/>
                      <w:lang w:val="en-US" w:eastAsia="zh-CN"/>
                    </w:rPr>
                  </w:pPr>
                  <w:r>
                    <w:rPr>
                      <w:rFonts w:hint="eastAsia"/>
                      <w:lang w:val="en-US" w:eastAsia="zh-CN"/>
                    </w:rPr>
                    <w:t>禁止引入国家明令禁止建设成投资的、引入列入《产业结构调整指导目录》(2024年本)、《外商投资产业指导目录（2017年修订）》《市场准入负面清单(2020年版)》等相关产业政策中禁止或淘汰类项目、产品、工艺和设备。禁止引进国家、安徽省明确规定不得审批的建设项目。</w:t>
                  </w:r>
                </w:p>
                <w:p w14:paraId="631FFA9D">
                  <w:pPr>
                    <w:pStyle w:val="47"/>
                    <w:bidi w:val="0"/>
                    <w:jc w:val="center"/>
                    <w:rPr>
                      <w:rFonts w:hint="eastAsia"/>
                      <w:lang w:val="en-US" w:eastAsia="zh-CN"/>
                    </w:rPr>
                  </w:pPr>
                  <w:r>
                    <w:rPr>
                      <w:rFonts w:hint="eastAsia"/>
                      <w:lang w:val="en-US" w:eastAsia="zh-CN"/>
                    </w:rPr>
                    <w:t>生物医药：普用药品制造等污染严重的项目</w:t>
                  </w:r>
                </w:p>
                <w:p w14:paraId="791ADDE0">
                  <w:pPr>
                    <w:pStyle w:val="47"/>
                    <w:bidi w:val="0"/>
                    <w:jc w:val="center"/>
                    <w:rPr>
                      <w:rFonts w:hint="eastAsia"/>
                      <w:lang w:val="en-US" w:eastAsia="zh-CN"/>
                    </w:rPr>
                  </w:pPr>
                  <w:r>
                    <w:rPr>
                      <w:rFonts w:hint="eastAsia"/>
                      <w:lang w:val="en-US" w:eastAsia="zh-CN"/>
                    </w:rPr>
                    <w:t>纺织服装：涉及印染等污染重的项目。化学工业：农药制造等污染较重的化工类项目。</w:t>
                  </w:r>
                </w:p>
                <w:p w14:paraId="5BCDFE7B">
                  <w:pPr>
                    <w:pStyle w:val="47"/>
                    <w:bidi w:val="0"/>
                    <w:jc w:val="center"/>
                    <w:rPr>
                      <w:rFonts w:hint="eastAsia"/>
                      <w:lang w:val="en-US" w:eastAsia="zh-CN"/>
                    </w:rPr>
                  </w:pPr>
                  <w:r>
                    <w:rPr>
                      <w:rFonts w:hint="eastAsia"/>
                      <w:lang w:val="en-US" w:eastAsia="zh-CN"/>
                    </w:rPr>
                    <w:t>机械电子与新型材料：电于元件材料制造等可能涉及重金属的项目、水泥陶瓷等高耗能高污染企业。</w:t>
                  </w:r>
                </w:p>
                <w:p w14:paraId="2FBA13BB">
                  <w:pPr>
                    <w:pStyle w:val="47"/>
                    <w:bidi w:val="0"/>
                    <w:jc w:val="center"/>
                    <w:rPr>
                      <w:rFonts w:hint="eastAsia"/>
                      <w:lang w:val="en-US" w:eastAsia="zh-CN"/>
                    </w:rPr>
                  </w:pPr>
                  <w:r>
                    <w:rPr>
                      <w:rFonts w:hint="eastAsia"/>
                      <w:lang w:val="en-US" w:eastAsia="zh-CN"/>
                    </w:rPr>
                    <w:t>食品加工：涉及发酵等污染重的项目。商贸物流：转运石油、危险化学品等项目。</w:t>
                  </w:r>
                </w:p>
                <w:p w14:paraId="045FCA8C">
                  <w:pPr>
                    <w:pStyle w:val="47"/>
                    <w:bidi w:val="0"/>
                    <w:jc w:val="center"/>
                    <w:rPr>
                      <w:rFonts w:hint="default"/>
                      <w:lang w:val="en-US" w:eastAsia="zh-CN"/>
                    </w:rPr>
                  </w:pPr>
                  <w:r>
                    <w:rPr>
                      <w:rFonts w:hint="eastAsia"/>
                      <w:lang w:val="en-US" w:eastAsia="zh-CN"/>
                    </w:rPr>
                    <w:t>禁止引进化学制浆造纸企业和印染、制革、化工、电镀、酿造等污染严重的小型企业；严格限制在淮河流域新建印染、制草、化工、电钺、酿造等大中型项目或者其他污染严重的项目；建设该类项目的，应当事前征得省人民政府生态环境行政主管部门的同意，并按照规定办理有关手续。禁止其他涉及印染、制革、电镀等与主导产业定位不相符的高能耗、高污染制造项目。</w:t>
                  </w:r>
                </w:p>
              </w:tc>
              <w:tc>
                <w:tcPr>
                  <w:tcW w:w="1515" w:type="dxa"/>
                  <w:vMerge w:val="continue"/>
                  <w:vAlign w:val="center"/>
                </w:tcPr>
                <w:p w14:paraId="6DB178A3">
                  <w:pPr>
                    <w:pStyle w:val="35"/>
                    <w:numPr>
                      <w:ilvl w:val="0"/>
                      <w:numId w:val="0"/>
                    </w:numPr>
                    <w:jc w:val="center"/>
                    <w:rPr>
                      <w:rFonts w:hint="default"/>
                      <w:vertAlign w:val="baseline"/>
                      <w:lang w:val="en-US" w:eastAsia="zh-CN"/>
                    </w:rPr>
                  </w:pPr>
                </w:p>
              </w:tc>
              <w:tc>
                <w:tcPr>
                  <w:tcW w:w="765" w:type="dxa"/>
                  <w:vMerge w:val="continue"/>
                  <w:vAlign w:val="center"/>
                </w:tcPr>
                <w:p w14:paraId="49588E0A">
                  <w:pPr>
                    <w:pStyle w:val="35"/>
                    <w:numPr>
                      <w:ilvl w:val="0"/>
                      <w:numId w:val="0"/>
                    </w:numPr>
                    <w:jc w:val="center"/>
                    <w:rPr>
                      <w:rFonts w:hint="default"/>
                      <w:vertAlign w:val="baseline"/>
                      <w:lang w:val="en-US" w:eastAsia="zh-CN"/>
                    </w:rPr>
                  </w:pPr>
                </w:p>
              </w:tc>
            </w:tr>
            <w:tr w14:paraId="68139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26CD6584">
                  <w:pPr>
                    <w:pStyle w:val="35"/>
                    <w:numPr>
                      <w:ilvl w:val="0"/>
                      <w:numId w:val="0"/>
                    </w:numPr>
                    <w:jc w:val="center"/>
                    <w:rPr>
                      <w:rFonts w:hint="default"/>
                      <w:vertAlign w:val="baseline"/>
                      <w:lang w:val="en-US" w:eastAsia="zh-CN"/>
                    </w:rPr>
                  </w:pPr>
                  <w:r>
                    <w:rPr>
                      <w:rFonts w:hint="eastAsia"/>
                      <w:vertAlign w:val="baseline"/>
                      <w:lang w:val="en-US" w:eastAsia="zh-CN"/>
                    </w:rPr>
                    <w:t>限制类</w:t>
                  </w:r>
                </w:p>
              </w:tc>
              <w:tc>
                <w:tcPr>
                  <w:tcW w:w="4557" w:type="dxa"/>
                  <w:vAlign w:val="center"/>
                </w:tcPr>
                <w:p w14:paraId="1E4DE76C">
                  <w:pPr>
                    <w:pStyle w:val="47"/>
                    <w:bidi w:val="0"/>
                    <w:jc w:val="center"/>
                    <w:rPr>
                      <w:rFonts w:hint="eastAsia"/>
                      <w:lang w:val="en-US" w:eastAsia="zh-CN"/>
                    </w:rPr>
                  </w:pPr>
                  <w:r>
                    <w:rPr>
                      <w:rFonts w:hint="eastAsia"/>
                      <w:lang w:val="en-US" w:eastAsia="zh-CN"/>
                    </w:rPr>
                    <w:t>限制发展能源、资源消耗量或排污量较大但效益相对较好的企业，主要为除经开区规划六大主导产业外、非禁止类项目，具体项目引入器经充分环境影响论证。</w:t>
                  </w:r>
                </w:p>
              </w:tc>
              <w:tc>
                <w:tcPr>
                  <w:tcW w:w="1515" w:type="dxa"/>
                  <w:vMerge w:val="continue"/>
                  <w:vAlign w:val="center"/>
                </w:tcPr>
                <w:p w14:paraId="74D2A818">
                  <w:pPr>
                    <w:pStyle w:val="35"/>
                    <w:numPr>
                      <w:ilvl w:val="0"/>
                      <w:numId w:val="0"/>
                    </w:numPr>
                    <w:jc w:val="center"/>
                    <w:rPr>
                      <w:rFonts w:hint="default"/>
                      <w:vertAlign w:val="baseline"/>
                      <w:lang w:val="en-US" w:eastAsia="zh-CN"/>
                    </w:rPr>
                  </w:pPr>
                </w:p>
              </w:tc>
              <w:tc>
                <w:tcPr>
                  <w:tcW w:w="765" w:type="dxa"/>
                  <w:vMerge w:val="continue"/>
                  <w:vAlign w:val="center"/>
                </w:tcPr>
                <w:p w14:paraId="1DEC76F3">
                  <w:pPr>
                    <w:pStyle w:val="35"/>
                    <w:numPr>
                      <w:ilvl w:val="0"/>
                      <w:numId w:val="0"/>
                    </w:numPr>
                    <w:jc w:val="center"/>
                    <w:rPr>
                      <w:rFonts w:hint="default"/>
                      <w:vertAlign w:val="baseline"/>
                      <w:lang w:val="en-US" w:eastAsia="zh-CN"/>
                    </w:rPr>
                  </w:pPr>
                </w:p>
              </w:tc>
            </w:tr>
            <w:tr w14:paraId="3F79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0D6BFD91">
                  <w:pPr>
                    <w:pStyle w:val="35"/>
                    <w:numPr>
                      <w:ilvl w:val="0"/>
                      <w:numId w:val="0"/>
                    </w:numPr>
                    <w:jc w:val="center"/>
                    <w:rPr>
                      <w:rFonts w:hint="default"/>
                      <w:vertAlign w:val="baseline"/>
                      <w:lang w:val="en-US" w:eastAsia="zh-CN"/>
                    </w:rPr>
                  </w:pPr>
                  <w:r>
                    <w:rPr>
                      <w:rFonts w:hint="eastAsia"/>
                      <w:vertAlign w:val="baseline"/>
                      <w:lang w:val="en-US" w:eastAsia="zh-CN"/>
                    </w:rPr>
                    <w:t>新增或改扩建项目风险要求</w:t>
                  </w:r>
                </w:p>
              </w:tc>
              <w:tc>
                <w:tcPr>
                  <w:tcW w:w="4557" w:type="dxa"/>
                  <w:vAlign w:val="center"/>
                </w:tcPr>
                <w:p w14:paraId="15690063">
                  <w:pPr>
                    <w:pStyle w:val="47"/>
                    <w:bidi w:val="0"/>
                    <w:jc w:val="center"/>
                    <w:rPr>
                      <w:rFonts w:hint="default"/>
                      <w:lang w:val="en-US" w:eastAsia="zh-CN"/>
                    </w:rPr>
                  </w:pPr>
                  <w:r>
                    <w:rPr>
                      <w:rFonts w:hint="eastAsia"/>
                      <w:lang w:val="en-US" w:eastAsia="zh-CN"/>
                    </w:rPr>
                    <w:t>区内新增或改扩建存在环境风险的项目，在建设项目环评阶段须重点开展环境风险评价，与项目周边环境敏感目标之前控制合理的风险控制距离，提出并落实风险防范措施及应急联动要求，编制应急预案，并与经开区应急预案联动，在经开区进行环境风险源、应急设备、物资等的备案</w:t>
                  </w:r>
                </w:p>
              </w:tc>
              <w:tc>
                <w:tcPr>
                  <w:tcW w:w="1515" w:type="dxa"/>
                  <w:vAlign w:val="center"/>
                </w:tcPr>
                <w:p w14:paraId="1D0E7FFD">
                  <w:pPr>
                    <w:pStyle w:val="35"/>
                    <w:numPr>
                      <w:ilvl w:val="0"/>
                      <w:numId w:val="0"/>
                    </w:numPr>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本项目实施过程中注重环境风险管控，建立健全突发环境事件应急预案和应急体系、能力，加强同开发区应急预案联动</w:t>
                  </w:r>
                  <w:r>
                    <w:rPr>
                      <w:rFonts w:hint="eastAsia" w:ascii="Times New Roman" w:hAnsi="Times New Roman" w:eastAsia="宋体" w:cs="Times New Roman"/>
                      <w:b w:val="0"/>
                      <w:color w:val="auto"/>
                      <w:kern w:val="2"/>
                      <w:sz w:val="21"/>
                      <w:szCs w:val="21"/>
                      <w:lang w:val="en-US" w:eastAsia="zh-CN" w:bidi="ar-SA"/>
                    </w:rPr>
                    <w:t>；</w:t>
                  </w:r>
                  <w:r>
                    <w:rPr>
                      <w:rFonts w:hint="default" w:ascii="Times New Roman" w:hAnsi="Times New Roman" w:eastAsia="宋体" w:cs="Times New Roman"/>
                      <w:b w:val="0"/>
                      <w:color w:val="auto"/>
                      <w:kern w:val="2"/>
                      <w:sz w:val="21"/>
                      <w:szCs w:val="21"/>
                      <w:lang w:val="en-US" w:eastAsia="zh-CN" w:bidi="ar-SA"/>
                    </w:rPr>
                    <w:t>项目周边</w:t>
                  </w:r>
                  <w:r>
                    <w:rPr>
                      <w:rFonts w:hint="eastAsia" w:ascii="Times New Roman" w:cs="Times New Roman"/>
                      <w:b w:val="0"/>
                      <w:color w:val="auto"/>
                      <w:kern w:val="2"/>
                      <w:sz w:val="21"/>
                      <w:szCs w:val="21"/>
                      <w:lang w:val="en-US" w:eastAsia="zh-CN" w:bidi="ar-SA"/>
                    </w:rPr>
                    <w:t>500m范围内无</w:t>
                  </w:r>
                  <w:r>
                    <w:rPr>
                      <w:rFonts w:hint="default" w:ascii="Times New Roman" w:hAnsi="Times New Roman" w:eastAsia="宋体" w:cs="Times New Roman"/>
                      <w:b w:val="0"/>
                      <w:color w:val="auto"/>
                      <w:kern w:val="2"/>
                      <w:sz w:val="21"/>
                      <w:szCs w:val="21"/>
                      <w:lang w:val="en-US" w:eastAsia="zh-CN" w:bidi="ar-SA"/>
                    </w:rPr>
                    <w:t>环境敏感目标。</w:t>
                  </w:r>
                </w:p>
              </w:tc>
              <w:tc>
                <w:tcPr>
                  <w:tcW w:w="765" w:type="dxa"/>
                  <w:vAlign w:val="center"/>
                </w:tcPr>
                <w:p w14:paraId="03CCF6D9">
                  <w:pPr>
                    <w:pStyle w:val="35"/>
                    <w:numPr>
                      <w:ilvl w:val="0"/>
                      <w:numId w:val="0"/>
                    </w:numPr>
                    <w:jc w:val="center"/>
                    <w:rPr>
                      <w:rFonts w:hint="default"/>
                      <w:vertAlign w:val="baseline"/>
                      <w:lang w:val="en-US" w:eastAsia="zh-CN"/>
                    </w:rPr>
                  </w:pPr>
                  <w:r>
                    <w:rPr>
                      <w:rFonts w:hint="eastAsia"/>
                      <w:vertAlign w:val="baseline"/>
                      <w:lang w:val="en-US" w:eastAsia="zh-CN"/>
                    </w:rPr>
                    <w:t>符合</w:t>
                  </w:r>
                </w:p>
              </w:tc>
            </w:tr>
            <w:tr w14:paraId="7FB4C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19FC22E6">
                  <w:pPr>
                    <w:pStyle w:val="35"/>
                    <w:numPr>
                      <w:ilvl w:val="0"/>
                      <w:numId w:val="0"/>
                    </w:numPr>
                    <w:jc w:val="center"/>
                    <w:rPr>
                      <w:rFonts w:hint="default"/>
                      <w:vertAlign w:val="baseline"/>
                      <w:lang w:val="en-US" w:eastAsia="zh-CN"/>
                    </w:rPr>
                  </w:pPr>
                  <w:r>
                    <w:rPr>
                      <w:rFonts w:hint="eastAsia"/>
                      <w:vertAlign w:val="baseline"/>
                      <w:lang w:val="en-US" w:eastAsia="zh-CN"/>
                    </w:rPr>
                    <w:t>清洁生产要求</w:t>
                  </w:r>
                </w:p>
              </w:tc>
              <w:tc>
                <w:tcPr>
                  <w:tcW w:w="4557" w:type="dxa"/>
                  <w:vAlign w:val="center"/>
                </w:tcPr>
                <w:p w14:paraId="01D51CF0">
                  <w:pPr>
                    <w:pStyle w:val="47"/>
                    <w:bidi w:val="0"/>
                    <w:jc w:val="center"/>
                    <w:rPr>
                      <w:rFonts w:hint="eastAsia"/>
                      <w:lang w:val="en-US" w:eastAsia="zh-CN"/>
                    </w:rPr>
                  </w:pPr>
                  <w:r>
                    <w:rPr>
                      <w:rFonts w:hint="eastAsia"/>
                      <w:lang w:val="en-US" w:eastAsia="zh-CN"/>
                    </w:rPr>
                    <w:t>引进项目的清洁生产水平至少需达到同期国内先进水平(行业清洁生产标准)，优先引进清洁生产水平达到国际先进水平的项目，禁止引进低于国内先进水平的项目，严格审查入区企业行业类型和生产工艺，要求开发区入驻企业采用先进的生产工艺，在生产、产品和服务中最大限度的做到节能、减污、降耗、增效</w:t>
                  </w:r>
                </w:p>
              </w:tc>
              <w:tc>
                <w:tcPr>
                  <w:tcW w:w="1515" w:type="dxa"/>
                  <w:shd w:val="clear" w:color="auto" w:fill="auto"/>
                  <w:vAlign w:val="center"/>
                </w:tcPr>
                <w:p w14:paraId="3BA9DFFD">
                  <w:pPr>
                    <w:pStyle w:val="68"/>
                    <w:bidi w:val="0"/>
                    <w:ind w:firstLine="0" w:firstLineChars="0"/>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企业引进先进工艺设备，在生产、产品和服务中最大限度的做到节能、减污、降耗、增效。</w:t>
                  </w:r>
                </w:p>
              </w:tc>
              <w:tc>
                <w:tcPr>
                  <w:tcW w:w="765" w:type="dxa"/>
                  <w:vAlign w:val="center"/>
                </w:tcPr>
                <w:p w14:paraId="044BE7B5">
                  <w:pPr>
                    <w:pStyle w:val="35"/>
                    <w:numPr>
                      <w:ilvl w:val="0"/>
                      <w:numId w:val="0"/>
                    </w:numPr>
                    <w:jc w:val="center"/>
                    <w:rPr>
                      <w:rFonts w:hint="default"/>
                      <w:vertAlign w:val="baseline"/>
                      <w:lang w:val="en-US" w:eastAsia="zh-CN"/>
                    </w:rPr>
                  </w:pPr>
                  <w:r>
                    <w:rPr>
                      <w:rFonts w:hint="eastAsia"/>
                      <w:vertAlign w:val="baseline"/>
                      <w:lang w:val="en-US" w:eastAsia="zh-CN"/>
                    </w:rPr>
                    <w:t>符合</w:t>
                  </w:r>
                </w:p>
              </w:tc>
            </w:tr>
          </w:tbl>
          <w:p w14:paraId="6AE2DCE3">
            <w:pPr>
              <w:ind w:firstLine="0" w:firstLineChars="0"/>
              <w:rPr>
                <w:rFonts w:hint="eastAsia"/>
                <w:color w:val="auto"/>
                <w:highlight w:val="none"/>
              </w:rPr>
            </w:pPr>
          </w:p>
        </w:tc>
      </w:tr>
      <w:tr w14:paraId="41AB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1" w:type="dxa"/>
            <w:tcBorders>
              <w:tl2br w:val="nil"/>
              <w:tr2bl w:val="nil"/>
            </w:tcBorders>
            <w:vAlign w:val="center"/>
          </w:tcPr>
          <w:p w14:paraId="4AEA553C">
            <w:pPr>
              <w:ind w:firstLine="0" w:firstLineChars="0"/>
              <w:jc w:val="center"/>
              <w:rPr>
                <w:color w:val="auto"/>
                <w:highlight w:val="none"/>
              </w:rPr>
            </w:pPr>
            <w:r>
              <w:rPr>
                <w:rFonts w:hint="eastAsia"/>
                <w:color w:val="auto"/>
                <w:highlight w:val="none"/>
              </w:rPr>
              <w:t>其他符合性分析</w:t>
            </w:r>
          </w:p>
        </w:tc>
        <w:tc>
          <w:tcPr>
            <w:tcW w:w="7980" w:type="dxa"/>
            <w:gridSpan w:val="3"/>
            <w:tcBorders>
              <w:tl2br w:val="nil"/>
              <w:tr2bl w:val="nil"/>
            </w:tcBorders>
            <w:vAlign w:val="center"/>
          </w:tcPr>
          <w:p w14:paraId="6F915554">
            <w:pPr>
              <w:spacing w:line="460" w:lineRule="exact"/>
              <w:ind w:firstLine="480"/>
              <w:rPr>
                <w:b/>
                <w:bCs/>
                <w:color w:val="auto"/>
                <w:highlight w:val="none"/>
              </w:rPr>
            </w:pPr>
            <w:r>
              <w:rPr>
                <w:rFonts w:hint="eastAsia"/>
                <w:b/>
                <w:bCs/>
                <w:color w:val="auto"/>
                <w:highlight w:val="none"/>
              </w:rPr>
              <w:t>1、</w:t>
            </w:r>
            <w:r>
              <w:rPr>
                <w:b/>
                <w:bCs/>
                <w:color w:val="auto"/>
                <w:highlight w:val="none"/>
              </w:rPr>
              <w:t>产业政策</w:t>
            </w:r>
            <w:r>
              <w:rPr>
                <w:rFonts w:hint="eastAsia"/>
                <w:b/>
                <w:bCs/>
                <w:color w:val="auto"/>
                <w:highlight w:val="none"/>
              </w:rPr>
              <w:t>相符性</w:t>
            </w:r>
            <w:r>
              <w:rPr>
                <w:b/>
                <w:bCs/>
                <w:color w:val="auto"/>
                <w:highlight w:val="none"/>
              </w:rPr>
              <w:t>分析</w:t>
            </w:r>
          </w:p>
          <w:p w14:paraId="629C16D9">
            <w:pPr>
              <w:bidi w:val="0"/>
              <w:rPr>
                <w:color w:val="auto"/>
                <w:highlight w:val="none"/>
              </w:rPr>
            </w:pPr>
            <w:bookmarkStart w:id="0" w:name="_Toc20178_WPSOffice_Level2"/>
            <w:bookmarkStart w:id="1" w:name="_Toc3477_WPSOffice_Level3"/>
            <w:r>
              <w:t>根据《国民经济行业分类》（GB/T 4754-2017），本项目属于C29</w:t>
            </w:r>
            <w:r>
              <w:rPr>
                <w:rFonts w:hint="eastAsia"/>
              </w:rPr>
              <w:t>29</w:t>
            </w:r>
            <w:r>
              <w:rPr>
                <w:rFonts w:hint="eastAsia" w:ascii="宋体" w:hAnsi="宋体" w:cs="宋体"/>
                <w:kern w:val="0"/>
              </w:rPr>
              <w:t>塑料零件及其他塑料制品制造</w:t>
            </w:r>
            <w:r>
              <w:rPr>
                <w:rFonts w:hint="eastAsia" w:ascii="宋体" w:hAnsi="宋体" w:cs="宋体"/>
                <w:kern w:val="0"/>
                <w:lang w:eastAsia="zh-CN"/>
              </w:rPr>
              <w:t>、</w:t>
            </w:r>
            <w:r>
              <w:t>C2924</w:t>
            </w:r>
            <w:r>
              <w:rPr>
                <w:rFonts w:hint="eastAsia"/>
              </w:rPr>
              <w:t xml:space="preserve"> 泡沫塑料制造</w:t>
            </w:r>
            <w:r>
              <w:t>，</w:t>
            </w:r>
            <w:r>
              <w:rPr>
                <w:color w:val="auto"/>
              </w:rPr>
              <w:t>对照《产业结构调整指导目录（</w:t>
            </w:r>
            <w:r>
              <w:rPr>
                <w:rFonts w:hint="eastAsia"/>
                <w:color w:val="auto"/>
              </w:rPr>
              <w:t>2024</w:t>
            </w:r>
            <w:r>
              <w:rPr>
                <w:color w:val="auto"/>
              </w:rPr>
              <w:t>年本）》，</w:t>
            </w:r>
            <w:r>
              <w:rPr>
                <w:rFonts w:hint="eastAsia"/>
                <w:color w:val="auto"/>
              </w:rPr>
              <w:t>本项目不属于禁止类、限制类和淘汰类，可视为允许类项目。</w:t>
            </w:r>
            <w:r>
              <w:t>因此，项目建设符合国家及地方的产业政策。</w:t>
            </w:r>
          </w:p>
          <w:bookmarkEnd w:id="0"/>
          <w:bookmarkEnd w:id="1"/>
          <w:p w14:paraId="673EE5AC">
            <w:pPr>
              <w:spacing w:line="460" w:lineRule="exact"/>
              <w:ind w:firstLine="480"/>
              <w:rPr>
                <w:rFonts w:hint="eastAsia"/>
                <w:b/>
                <w:bCs/>
                <w:color w:val="auto"/>
                <w:highlight w:val="none"/>
                <w:lang w:val="en-US" w:eastAsia="zh-CN"/>
              </w:rPr>
            </w:pPr>
            <w:r>
              <w:rPr>
                <w:rFonts w:hint="eastAsia"/>
                <w:b/>
                <w:bCs/>
                <w:color w:val="auto"/>
                <w:highlight w:val="none"/>
                <w:lang w:val="en-US" w:eastAsia="zh-CN"/>
              </w:rPr>
              <w:t>2、淮南市“三区三线”相符性分析</w:t>
            </w:r>
          </w:p>
          <w:p w14:paraId="63CAEDDD">
            <w:pPr>
              <w:bidi w:val="0"/>
              <w:rPr>
                <w:rFonts w:hint="default"/>
                <w:b/>
                <w:bCs/>
                <w:color w:val="auto"/>
                <w:highlight w:val="none"/>
                <w:lang w:val="en-US" w:eastAsia="zh-CN"/>
              </w:rPr>
            </w:pPr>
            <w:r>
              <w:rPr>
                <w:rFonts w:hint="eastAsia"/>
                <w:lang w:val="en-US" w:eastAsia="zh-CN"/>
              </w:rPr>
              <w:t>本项目位于淮南经济技术开发区，用地性质为工业用地，根据《淮南市三区三线”划定方案》，本项目不在淮南市生态红线范围内。根据调查，建设项目影响范围内无重要生态影响功能区域，建设项目影响范围内无自然保护区、风景名胜区、森林公园、地质公园、重要湿地等特殊生态敏感区以及重要生态敏感区。因此，本项目的建设不违背生态红线区域保护规划的要求</w:t>
            </w:r>
          </w:p>
          <w:p w14:paraId="1D8DCA7B">
            <w:pPr>
              <w:spacing w:line="460" w:lineRule="exact"/>
              <w:ind w:firstLine="480"/>
              <w:rPr>
                <w:rFonts w:hint="eastAsia"/>
                <w:b/>
                <w:bCs/>
                <w:color w:val="auto"/>
                <w:highlight w:val="none"/>
                <w:lang w:val="en-US" w:eastAsia="zh-CN"/>
              </w:rPr>
            </w:pPr>
            <w:r>
              <w:rPr>
                <w:rFonts w:hint="eastAsia"/>
                <w:b/>
                <w:bCs/>
                <w:color w:val="auto"/>
                <w:highlight w:val="none"/>
                <w:lang w:val="en-US" w:eastAsia="zh-CN"/>
              </w:rPr>
              <w:drawing>
                <wp:anchor distT="0" distB="0" distL="114300" distR="114300" simplePos="0" relativeHeight="251675648" behindDoc="0" locked="0" layoutInCell="1" allowOverlap="1">
                  <wp:simplePos x="0" y="0"/>
                  <wp:positionH relativeFrom="column">
                    <wp:posOffset>684530</wp:posOffset>
                  </wp:positionH>
                  <wp:positionV relativeFrom="page">
                    <wp:posOffset>3373755</wp:posOffset>
                  </wp:positionV>
                  <wp:extent cx="3488055" cy="4214495"/>
                  <wp:effectExtent l="0" t="0" r="17145" b="14605"/>
                  <wp:wrapNone/>
                  <wp:docPr id="14" name="图片 14" descr="172595865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25958658056"/>
                          <pic:cNvPicPr>
                            <a:picLocks noChangeAspect="1"/>
                          </pic:cNvPicPr>
                        </pic:nvPicPr>
                        <pic:blipFill>
                          <a:blip r:embed="rId13"/>
                          <a:stretch>
                            <a:fillRect/>
                          </a:stretch>
                        </pic:blipFill>
                        <pic:spPr>
                          <a:xfrm>
                            <a:off x="0" y="0"/>
                            <a:ext cx="3488055" cy="4214495"/>
                          </a:xfrm>
                          <a:prstGeom prst="rect">
                            <a:avLst/>
                          </a:prstGeom>
                        </pic:spPr>
                      </pic:pic>
                    </a:graphicData>
                  </a:graphic>
                </wp:anchor>
              </w:drawing>
            </w:r>
          </w:p>
          <w:p w14:paraId="0F60E2C3">
            <w:pPr>
              <w:pStyle w:val="4"/>
              <w:rPr>
                <w:rFonts w:hint="eastAsia"/>
                <w:b/>
                <w:bCs/>
                <w:color w:val="auto"/>
                <w:highlight w:val="none"/>
                <w:lang w:val="en-US" w:eastAsia="zh-CN"/>
              </w:rPr>
            </w:pPr>
          </w:p>
          <w:p w14:paraId="1FE4F3EA">
            <w:pPr>
              <w:rPr>
                <w:rFonts w:hint="eastAsia"/>
                <w:b/>
                <w:bCs/>
                <w:color w:val="auto"/>
                <w:highlight w:val="none"/>
                <w:lang w:val="en-US" w:eastAsia="zh-CN"/>
              </w:rPr>
            </w:pPr>
          </w:p>
          <w:p w14:paraId="50059F52">
            <w:pPr>
              <w:pStyle w:val="4"/>
              <w:rPr>
                <w:rFonts w:hint="eastAsia"/>
                <w:b/>
                <w:bCs/>
                <w:color w:val="auto"/>
                <w:highlight w:val="none"/>
                <w:lang w:val="en-US" w:eastAsia="zh-CN"/>
              </w:rPr>
            </w:pPr>
          </w:p>
          <w:p w14:paraId="1B3FE498">
            <w:pPr>
              <w:rPr>
                <w:rFonts w:hint="eastAsia"/>
                <w:b/>
                <w:bCs/>
                <w:color w:val="auto"/>
                <w:highlight w:val="none"/>
                <w:lang w:val="en-US" w:eastAsia="zh-CN"/>
              </w:rPr>
            </w:pPr>
          </w:p>
          <w:p w14:paraId="4598A392">
            <w:pPr>
              <w:pStyle w:val="4"/>
              <w:rPr>
                <w:rFonts w:hint="eastAsia"/>
                <w:b/>
                <w:bCs/>
                <w:color w:val="auto"/>
                <w:highlight w:val="none"/>
                <w:lang w:val="en-US" w:eastAsia="zh-CN"/>
              </w:rPr>
            </w:pPr>
          </w:p>
          <w:p w14:paraId="2AF1CE10">
            <w:pPr>
              <w:rPr>
                <w:rFonts w:hint="eastAsia"/>
                <w:b/>
                <w:bCs/>
                <w:color w:val="auto"/>
                <w:highlight w:val="none"/>
                <w:lang w:val="en-US" w:eastAsia="zh-CN"/>
              </w:rPr>
            </w:pPr>
          </w:p>
          <w:p w14:paraId="24462EA6">
            <w:pPr>
              <w:pStyle w:val="4"/>
              <w:rPr>
                <w:rFonts w:hint="eastAsia"/>
                <w:b/>
                <w:bCs/>
                <w:color w:val="auto"/>
                <w:highlight w:val="none"/>
                <w:lang w:val="en-US" w:eastAsia="zh-CN"/>
              </w:rPr>
            </w:pPr>
          </w:p>
          <w:p w14:paraId="1298CCFF">
            <w:pPr>
              <w:rPr>
                <w:rFonts w:hint="eastAsia"/>
                <w:b/>
                <w:bCs/>
                <w:color w:val="auto"/>
                <w:highlight w:val="none"/>
                <w:lang w:val="en-US" w:eastAsia="zh-CN"/>
              </w:rPr>
            </w:pPr>
          </w:p>
          <w:p w14:paraId="79D0DA3B">
            <w:pPr>
              <w:pStyle w:val="4"/>
              <w:rPr>
                <w:rFonts w:hint="eastAsia"/>
                <w:lang w:val="en-US" w:eastAsia="zh-CN"/>
              </w:rPr>
            </w:pPr>
          </w:p>
          <w:p w14:paraId="08E6362B">
            <w:pPr>
              <w:spacing w:line="460" w:lineRule="exact"/>
              <w:ind w:firstLine="480"/>
              <w:rPr>
                <w:rFonts w:hint="eastAsia"/>
                <w:b/>
                <w:bCs/>
                <w:color w:val="auto"/>
                <w:highlight w:val="none"/>
                <w:lang w:val="en-US" w:eastAsia="zh-CN"/>
              </w:rPr>
            </w:pPr>
          </w:p>
          <w:p w14:paraId="4D79CFE3">
            <w:pPr>
              <w:spacing w:line="460" w:lineRule="exact"/>
              <w:ind w:firstLine="480"/>
              <w:rPr>
                <w:rFonts w:hint="eastAsia"/>
                <w:b/>
                <w:bCs/>
                <w:color w:val="auto"/>
                <w:highlight w:val="none"/>
                <w:lang w:val="en-US" w:eastAsia="zh-CN"/>
              </w:rPr>
            </w:pPr>
          </w:p>
          <w:p w14:paraId="42C285CA">
            <w:pPr>
              <w:spacing w:line="460" w:lineRule="exact"/>
              <w:ind w:firstLine="480"/>
              <w:rPr>
                <w:rFonts w:hint="eastAsia"/>
                <w:b/>
                <w:bCs/>
                <w:color w:val="auto"/>
                <w:highlight w:val="none"/>
                <w:lang w:val="en-US" w:eastAsia="zh-CN"/>
              </w:rPr>
            </w:pPr>
          </w:p>
          <w:p w14:paraId="43B0591F">
            <w:pPr>
              <w:pStyle w:val="4"/>
              <w:rPr>
                <w:rFonts w:hint="eastAsia"/>
                <w:b/>
                <w:bCs/>
                <w:color w:val="auto"/>
                <w:highlight w:val="none"/>
                <w:lang w:val="en-US" w:eastAsia="zh-CN"/>
              </w:rPr>
            </w:pPr>
          </w:p>
          <w:p w14:paraId="08C42B58">
            <w:pPr>
              <w:rPr>
                <w:rFonts w:hint="eastAsia"/>
                <w:b/>
                <w:bCs/>
                <w:color w:val="auto"/>
                <w:highlight w:val="none"/>
                <w:lang w:val="en-US" w:eastAsia="zh-CN"/>
              </w:rPr>
            </w:pPr>
          </w:p>
          <w:p w14:paraId="40AA9D3B">
            <w:pPr>
              <w:pStyle w:val="74"/>
              <w:bidi w:val="0"/>
              <w:jc w:val="center"/>
              <w:rPr>
                <w:rFonts w:hint="default"/>
                <w:lang w:val="en-US" w:eastAsia="zh-CN"/>
              </w:rPr>
            </w:pPr>
            <w:r>
              <w:rPr>
                <w:rFonts w:hint="eastAsia"/>
                <w:lang w:val="en-US" w:eastAsia="zh-CN"/>
              </w:rPr>
              <w:t>图1-2 淮南市“三区三线”</w:t>
            </w:r>
          </w:p>
          <w:p w14:paraId="5FB63B54">
            <w:pPr>
              <w:spacing w:line="460" w:lineRule="exact"/>
              <w:ind w:firstLine="480"/>
              <w:rPr>
                <w:b/>
                <w:bCs/>
                <w:color w:val="auto"/>
                <w:highlight w:val="none"/>
              </w:rPr>
            </w:pPr>
            <w:r>
              <w:rPr>
                <w:rFonts w:hint="eastAsia"/>
                <w:b/>
                <w:bCs/>
                <w:color w:val="auto"/>
                <w:highlight w:val="none"/>
                <w:lang w:val="en-US" w:eastAsia="zh-CN"/>
              </w:rPr>
              <w:t>3</w:t>
            </w:r>
            <w:r>
              <w:rPr>
                <w:rFonts w:hint="eastAsia"/>
                <w:b/>
                <w:bCs/>
                <w:color w:val="auto"/>
                <w:highlight w:val="none"/>
              </w:rPr>
              <w:t>、</w:t>
            </w:r>
            <w:r>
              <w:rPr>
                <w:b/>
                <w:bCs/>
                <w:color w:val="auto"/>
                <w:highlight w:val="none"/>
              </w:rPr>
              <w:t>与</w:t>
            </w:r>
            <w:r>
              <w:rPr>
                <w:rFonts w:hint="eastAsia"/>
                <w:b/>
                <w:bCs/>
                <w:color w:val="auto"/>
                <w:highlight w:val="none"/>
                <w:lang w:eastAsia="zh-CN"/>
              </w:rPr>
              <w:t>“</w:t>
            </w:r>
            <w:r>
              <w:rPr>
                <w:b/>
                <w:bCs/>
                <w:color w:val="auto"/>
                <w:highlight w:val="none"/>
              </w:rPr>
              <w:t>三线一单</w:t>
            </w:r>
            <w:r>
              <w:rPr>
                <w:rFonts w:hint="eastAsia"/>
                <w:b/>
                <w:bCs/>
                <w:color w:val="auto"/>
                <w:highlight w:val="none"/>
                <w:lang w:eastAsia="zh-CN"/>
              </w:rPr>
              <w:t>”</w:t>
            </w:r>
            <w:r>
              <w:rPr>
                <w:b/>
                <w:bCs/>
                <w:color w:val="auto"/>
                <w:highlight w:val="none"/>
              </w:rPr>
              <w:t>相符性分析</w:t>
            </w:r>
          </w:p>
          <w:p w14:paraId="71127643">
            <w:pPr>
              <w:spacing w:line="460" w:lineRule="exact"/>
              <w:ind w:firstLine="480"/>
              <w:rPr>
                <w:color w:val="auto"/>
                <w:sz w:val="24"/>
              </w:rPr>
            </w:pPr>
            <w:r>
              <w:rPr>
                <w:rFonts w:hint="eastAsia" w:ascii="Times New Roman" w:hAnsi="Times New Roman" w:eastAsia="宋体" w:cs="Times New Roman"/>
                <w:b/>
                <w:bCs/>
                <w:color w:val="auto"/>
                <w:highlight w:val="none"/>
              </w:rPr>
              <w:t>（1）与以改善环境质量为核心加强环境影响评价管理的通知相符性</w:t>
            </w:r>
          </w:p>
          <w:p w14:paraId="52F4628A">
            <w:pPr>
              <w:spacing w:line="360" w:lineRule="auto"/>
              <w:ind w:firstLine="480" w:firstLineChars="200"/>
              <w:rPr>
                <w:rFonts w:hint="default"/>
                <w:color w:val="auto"/>
              </w:rPr>
            </w:pPr>
            <w:r>
              <w:rPr>
                <w:color w:val="auto"/>
                <w:sz w:val="24"/>
              </w:rPr>
              <w:t>中华人民共和国环境保护部环环评</w:t>
            </w:r>
            <w:r>
              <w:rPr>
                <w:color w:val="auto"/>
                <w:highlight w:val="none"/>
                <w:lang w:val="zh-CN"/>
              </w:rPr>
              <w:t>〔201</w:t>
            </w:r>
            <w:r>
              <w:rPr>
                <w:color w:val="auto"/>
                <w:highlight w:val="none"/>
              </w:rPr>
              <w:t>6</w:t>
            </w:r>
            <w:r>
              <w:rPr>
                <w:color w:val="auto"/>
                <w:highlight w:val="none"/>
                <w:lang w:val="zh-CN"/>
              </w:rPr>
              <w:t>〕</w:t>
            </w:r>
            <w:r>
              <w:rPr>
                <w:color w:val="auto"/>
                <w:sz w:val="24"/>
              </w:rPr>
              <w:t>150号文《关于以改善环境质量为核心加强环境影响评价管理的通知》要求：为适应以改善环境质量为核心的环境管理要求，切实加强环境影响评价（以下简称环评）管理，落实</w:t>
            </w:r>
            <w:r>
              <w:rPr>
                <w:rFonts w:hint="eastAsia"/>
                <w:color w:val="auto"/>
                <w:sz w:val="24"/>
                <w:lang w:eastAsia="zh-CN"/>
              </w:rPr>
              <w:t>“</w:t>
            </w:r>
            <w:r>
              <w:rPr>
                <w:color w:val="auto"/>
                <w:sz w:val="24"/>
              </w:rPr>
              <w:t>生态保护红线、环境质量底线、资源利用上线和环境准入负面清单</w:t>
            </w:r>
            <w:r>
              <w:rPr>
                <w:rFonts w:hint="eastAsia"/>
                <w:color w:val="auto"/>
                <w:sz w:val="24"/>
                <w:lang w:eastAsia="zh-CN"/>
              </w:rPr>
              <w:t>”</w:t>
            </w:r>
            <w:r>
              <w:rPr>
                <w:color w:val="auto"/>
                <w:sz w:val="24"/>
              </w:rPr>
              <w:t>（以下简称</w:t>
            </w:r>
            <w:r>
              <w:rPr>
                <w:rFonts w:hint="eastAsia"/>
                <w:color w:val="auto"/>
                <w:sz w:val="24"/>
                <w:lang w:eastAsia="zh-CN"/>
              </w:rPr>
              <w:t>“</w:t>
            </w:r>
            <w:r>
              <w:rPr>
                <w:color w:val="auto"/>
                <w:sz w:val="24"/>
              </w:rPr>
              <w:t>三线一单</w:t>
            </w:r>
            <w:r>
              <w:rPr>
                <w:rFonts w:hint="eastAsia"/>
                <w:color w:val="auto"/>
                <w:sz w:val="24"/>
                <w:lang w:eastAsia="zh-CN"/>
              </w:rPr>
              <w:t>”</w:t>
            </w:r>
            <w:r>
              <w:rPr>
                <w:color w:val="auto"/>
                <w:sz w:val="24"/>
              </w:rPr>
              <w:t>）约束，建立项目环评审批与规划环评、现有项目环境管理、区域环境质量联动机制（以下简称</w:t>
            </w:r>
            <w:r>
              <w:rPr>
                <w:rFonts w:hint="eastAsia"/>
                <w:color w:val="auto"/>
                <w:sz w:val="24"/>
                <w:lang w:eastAsia="zh-CN"/>
              </w:rPr>
              <w:t>“</w:t>
            </w:r>
            <w:r>
              <w:rPr>
                <w:color w:val="auto"/>
                <w:sz w:val="24"/>
              </w:rPr>
              <w:t>三挂钩</w:t>
            </w:r>
            <w:r>
              <w:rPr>
                <w:rFonts w:hint="eastAsia"/>
                <w:color w:val="auto"/>
                <w:sz w:val="24"/>
                <w:lang w:eastAsia="zh-CN"/>
              </w:rPr>
              <w:t>”</w:t>
            </w:r>
            <w:r>
              <w:rPr>
                <w:color w:val="auto"/>
                <w:sz w:val="24"/>
              </w:rPr>
              <w:t>机制），更好地发挥环评制度从源头防范环境污染和生态破坏的作用，加快推进改善环境质量。</w:t>
            </w:r>
          </w:p>
          <w:p w14:paraId="1D5158B1">
            <w:pPr>
              <w:spacing w:line="460" w:lineRule="exact"/>
              <w:ind w:firstLine="480"/>
              <w:rPr>
                <w:b/>
                <w:bCs/>
                <w:color w:val="auto"/>
                <w:highlight w:val="none"/>
                <w:lang w:val="zh-CN"/>
              </w:rPr>
            </w:pPr>
            <w:r>
              <w:rPr>
                <w:rFonts w:hint="eastAsia"/>
                <w:b/>
                <w:bCs/>
                <w:color w:val="auto"/>
                <w:highlight w:val="none"/>
                <w:lang w:val="en-US" w:eastAsia="zh-CN"/>
              </w:rPr>
              <w:t>1）</w:t>
            </w:r>
            <w:r>
              <w:rPr>
                <w:b/>
                <w:bCs/>
                <w:color w:val="auto"/>
                <w:highlight w:val="none"/>
              </w:rPr>
              <w:t>生态保护红线</w:t>
            </w:r>
          </w:p>
          <w:p w14:paraId="3126021C">
            <w:pPr>
              <w:pStyle w:val="83"/>
              <w:bidi w:val="0"/>
              <w:rPr>
                <w:color w:val="auto"/>
                <w:highlight w:val="none"/>
              </w:rPr>
            </w:pPr>
            <w:r>
              <w:rPr>
                <w:color w:val="auto"/>
              </w:rPr>
              <w:t>本项目位于</w:t>
            </w:r>
            <w:r>
              <w:rPr>
                <w:rFonts w:hint="eastAsia"/>
                <w:color w:val="auto"/>
              </w:rPr>
              <w:t>安徽省</w:t>
            </w:r>
            <w:r>
              <w:rPr>
                <w:rFonts w:hint="eastAsia"/>
                <w:color w:val="auto"/>
                <w:lang w:eastAsia="zh-CN"/>
              </w:rPr>
              <w:t>淮南市</w:t>
            </w:r>
            <w:r>
              <w:rPr>
                <w:rFonts w:hint="eastAsia" w:cs="Times New Roman"/>
                <w:color w:val="000000" w:themeColor="text1"/>
                <w:kern w:val="0"/>
                <w:sz w:val="24"/>
                <w:highlight w:val="none"/>
                <w:lang w:val="en-US" w:eastAsia="zh-CN"/>
                <w14:textFill>
                  <w14:solidFill>
                    <w14:schemeClr w14:val="tx1"/>
                  </w14:solidFill>
                </w14:textFill>
              </w:rPr>
              <w:t>经济开发区</w:t>
            </w:r>
            <w:r>
              <w:rPr>
                <w:color w:val="auto"/>
              </w:rPr>
              <w:t>，不在生态红线范围内。根据调查，建设项目影响范围内无重要生态影响功能区域，建设项目影响范围内无自然保护区、风景名胜区、森林公园、地质公园、重要湿地等特殊生态敏感区以及重要生态敏感区。因此，本项目的建设不违背生态红线区域保护规划的要求。拟建项目与</w:t>
            </w:r>
            <w:r>
              <w:rPr>
                <w:rFonts w:hint="eastAsia"/>
                <w:color w:val="auto"/>
              </w:rPr>
              <w:t>淮南市</w:t>
            </w:r>
            <w:r>
              <w:rPr>
                <w:color w:val="auto"/>
              </w:rPr>
              <w:t>生态保护红线区域分布的相对位置关系见</w:t>
            </w:r>
            <w:r>
              <w:rPr>
                <w:rFonts w:hint="eastAsia"/>
                <w:color w:val="auto"/>
              </w:rPr>
              <w:t>附图</w:t>
            </w:r>
            <w:r>
              <w:rPr>
                <w:color w:val="auto"/>
              </w:rPr>
              <w:t>2</w:t>
            </w:r>
            <w:r>
              <w:rPr>
                <w:color w:val="auto"/>
                <w:lang w:val="zh-CN"/>
              </w:rPr>
              <w:t>。</w:t>
            </w:r>
          </w:p>
          <w:p w14:paraId="01F9851F">
            <w:pPr>
              <w:ind w:firstLine="480"/>
              <w:rPr>
                <w:b/>
                <w:bCs/>
                <w:color w:val="auto"/>
                <w:highlight w:val="none"/>
                <w:lang w:val="zh-CN"/>
              </w:rPr>
            </w:pPr>
            <w:r>
              <w:rPr>
                <w:rFonts w:hint="eastAsia"/>
                <w:b/>
                <w:bCs/>
                <w:color w:val="auto"/>
                <w:highlight w:val="none"/>
                <w:lang w:val="en-US" w:eastAsia="zh-CN"/>
              </w:rPr>
              <w:t>2）</w:t>
            </w:r>
            <w:r>
              <w:rPr>
                <w:b/>
                <w:bCs/>
                <w:color w:val="auto"/>
                <w:highlight w:val="none"/>
                <w:lang w:val="zh-CN"/>
              </w:rPr>
              <w:t>环境质量底线</w:t>
            </w:r>
          </w:p>
          <w:p w14:paraId="5E2AB573">
            <w:pPr>
              <w:ind w:firstLine="480"/>
              <w:rPr>
                <w:color w:val="auto"/>
                <w:highlight w:val="none"/>
              </w:rPr>
            </w:pPr>
            <w:r>
              <w:rPr>
                <w:rFonts w:hint="eastAsia" w:ascii="宋体" w:hAnsi="宋体" w:eastAsia="宋体" w:cs="宋体"/>
                <w:color w:val="auto"/>
                <w:kern w:val="2"/>
                <w:sz w:val="24"/>
                <w:szCs w:val="24"/>
              </w:rPr>
              <w:t>根据淮南市人民政府网站公布的《</w:t>
            </w:r>
            <w:r>
              <w:rPr>
                <w:rFonts w:hint="default" w:ascii="Times New Roman" w:hAnsi="Times New Roman" w:eastAsia="宋体" w:cs="Times New Roman"/>
                <w:color w:val="auto"/>
                <w:kern w:val="2"/>
                <w:sz w:val="24"/>
                <w:szCs w:val="24"/>
              </w:rPr>
              <w:t>202</w:t>
            </w:r>
            <w:r>
              <w:rPr>
                <w:rFonts w:hint="eastAsia" w:cs="Times New Roman"/>
                <w:color w:val="auto"/>
                <w:kern w:val="2"/>
                <w:sz w:val="24"/>
                <w:szCs w:val="24"/>
                <w:lang w:val="en-US" w:eastAsia="zh-CN"/>
              </w:rPr>
              <w:t>3</w:t>
            </w:r>
            <w:r>
              <w:rPr>
                <w:rFonts w:hint="eastAsia" w:ascii="宋体" w:hAnsi="宋体" w:eastAsia="宋体" w:cs="宋体"/>
                <w:color w:val="auto"/>
                <w:kern w:val="2"/>
                <w:sz w:val="24"/>
                <w:szCs w:val="24"/>
              </w:rPr>
              <w:t>年淮南市环境质量状况公报》，项目所在地的环境空气质量不达标，可吸入细颗粒物（</w:t>
            </w:r>
            <w:r>
              <w:rPr>
                <w:rFonts w:hint="default" w:ascii="Times New Roman" w:hAnsi="Times New Roman" w:eastAsia="宋体" w:cs="Times New Roman"/>
                <w:color w:val="auto"/>
                <w:kern w:val="2"/>
                <w:sz w:val="24"/>
                <w:szCs w:val="24"/>
              </w:rPr>
              <w:t>P</w:t>
            </w:r>
            <w:r>
              <w:rPr>
                <w:rFonts w:hint="eastAsia" w:cs="Times New Roman"/>
                <w:color w:val="auto"/>
                <w:kern w:val="2"/>
                <w:sz w:val="24"/>
                <w:szCs w:val="24"/>
                <w:lang w:val="en-US" w:eastAsia="zh-CN"/>
              </w:rPr>
              <w:t>M</w:t>
            </w:r>
            <w:r>
              <w:rPr>
                <w:rFonts w:hint="eastAsia" w:cs="Times New Roman"/>
                <w:color w:val="auto"/>
                <w:kern w:val="2"/>
                <w:sz w:val="24"/>
                <w:szCs w:val="24"/>
                <w:vertAlign w:val="subscript"/>
                <w:lang w:val="en-US" w:eastAsia="zh-CN"/>
              </w:rPr>
              <w:t>2.5</w:t>
            </w:r>
            <w:r>
              <w:rPr>
                <w:rFonts w:hint="eastAsia" w:ascii="宋体" w:hAnsi="宋体" w:eastAsia="宋体" w:cs="宋体"/>
                <w:color w:val="auto"/>
                <w:kern w:val="2"/>
                <w:sz w:val="24"/>
                <w:szCs w:val="24"/>
              </w:rPr>
              <w:t>）年均浓度超过《环境空气质量标准》（</w:t>
            </w:r>
            <w:r>
              <w:rPr>
                <w:rFonts w:hint="default" w:ascii="Times New Roman" w:hAnsi="Times New Roman" w:eastAsia="宋体" w:cs="Times New Roman"/>
                <w:color w:val="auto"/>
                <w:kern w:val="2"/>
                <w:sz w:val="24"/>
                <w:szCs w:val="24"/>
              </w:rPr>
              <w:t>GB3095-2012</w:t>
            </w:r>
            <w:r>
              <w:rPr>
                <w:rFonts w:hint="eastAsia" w:ascii="宋体" w:hAnsi="宋体" w:eastAsia="宋体" w:cs="宋体"/>
                <w:color w:val="auto"/>
                <w:kern w:val="2"/>
                <w:sz w:val="24"/>
                <w:szCs w:val="24"/>
              </w:rPr>
              <w:t>）及修改单中二级标准，超标</w:t>
            </w:r>
            <w:r>
              <w:rPr>
                <w:rFonts w:hint="eastAsia" w:ascii="宋体" w:hAnsi="宋体" w:cs="宋体"/>
                <w:color w:val="auto"/>
                <w:kern w:val="2"/>
                <w:sz w:val="24"/>
                <w:szCs w:val="24"/>
                <w:lang w:val="en-US" w:eastAsia="zh-CN"/>
              </w:rPr>
              <w:t>倍数0.11</w:t>
            </w:r>
            <w:r>
              <w:rPr>
                <w:rFonts w:hint="eastAsia" w:ascii="宋体" w:hAnsi="宋体" w:eastAsia="宋体" w:cs="宋体"/>
                <w:color w:val="auto"/>
                <w:kern w:val="2"/>
                <w:sz w:val="24"/>
                <w:szCs w:val="24"/>
              </w:rPr>
              <w:t>。全市8个国控断面中优良水质比例为87.5%，Ⅳ类水质比例12.5%，总体水质状况良好；11个省控断面中优良水质比例为100%，总体水质状况优；淮南市区域噪声昼间平均等效声级为</w:t>
            </w:r>
            <w:r>
              <w:rPr>
                <w:rFonts w:hint="eastAsia" w:cs="Times New Roman"/>
                <w:color w:val="auto"/>
                <w:kern w:val="2"/>
                <w:sz w:val="24"/>
                <w:szCs w:val="24"/>
                <w:lang w:val="en-US" w:eastAsia="zh-CN"/>
              </w:rPr>
              <w:t>51.2</w:t>
            </w:r>
            <w:r>
              <w:rPr>
                <w:rFonts w:hint="default" w:ascii="Times New Roman" w:hAnsi="Times New Roman" w:eastAsia="宋体" w:cs="Times New Roman"/>
                <w:color w:val="auto"/>
                <w:kern w:val="2"/>
                <w:sz w:val="24"/>
                <w:szCs w:val="24"/>
              </w:rPr>
              <w:t>dB</w:t>
            </w:r>
            <w:r>
              <w:rPr>
                <w:rFonts w:hint="eastAsia" w:ascii="宋体" w:hAnsi="宋体" w:eastAsia="宋体" w:cs="宋体"/>
                <w:color w:val="auto"/>
                <w:kern w:val="2"/>
                <w:sz w:val="24"/>
                <w:szCs w:val="24"/>
              </w:rPr>
              <w:t>（</w:t>
            </w:r>
            <w:r>
              <w:rPr>
                <w:rFonts w:hint="default" w:ascii="Times New Roman" w:hAnsi="Times New Roman" w:eastAsia="宋体" w:cs="Times New Roman"/>
                <w:color w:val="auto"/>
                <w:kern w:val="2"/>
                <w:sz w:val="24"/>
                <w:szCs w:val="24"/>
              </w:rPr>
              <w:t>A</w:t>
            </w:r>
            <w:r>
              <w:rPr>
                <w:rFonts w:hint="eastAsia" w:ascii="宋体" w:hAnsi="宋体" w:eastAsia="宋体" w:cs="宋体"/>
                <w:color w:val="auto"/>
                <w:kern w:val="2"/>
                <w:sz w:val="24"/>
                <w:szCs w:val="24"/>
              </w:rPr>
              <w:t>），噪声总体水平为二级，声环境质量较好。</w:t>
            </w:r>
            <w:r>
              <w:rPr>
                <w:rFonts w:hint="eastAsia"/>
                <w:color w:val="auto"/>
                <w:highlight w:val="none"/>
              </w:rPr>
              <w:t>具体见下表。</w:t>
            </w:r>
          </w:p>
          <w:p w14:paraId="44E525AC">
            <w:pPr>
              <w:pStyle w:val="49"/>
              <w:rPr>
                <w:color w:val="auto"/>
                <w:highlight w:val="none"/>
              </w:rPr>
            </w:pPr>
            <w:r>
              <w:rPr>
                <w:rFonts w:hint="eastAsia"/>
                <w:color w:val="auto"/>
                <w:highlight w:val="none"/>
              </w:rPr>
              <w:t>表1-</w:t>
            </w:r>
            <w:r>
              <w:rPr>
                <w:rFonts w:hint="eastAsia"/>
                <w:color w:val="auto"/>
                <w:highlight w:val="none"/>
                <w:lang w:val="en-US" w:eastAsia="zh-CN"/>
              </w:rPr>
              <w:t xml:space="preserve">7 </w:t>
            </w:r>
            <w:r>
              <w:rPr>
                <w:rFonts w:hint="eastAsia"/>
                <w:color w:val="auto"/>
                <w:highlight w:val="none"/>
              </w:rPr>
              <w:t>202</w:t>
            </w:r>
            <w:r>
              <w:rPr>
                <w:rFonts w:hint="eastAsia"/>
                <w:color w:val="auto"/>
                <w:highlight w:val="none"/>
                <w:lang w:val="en-US" w:eastAsia="zh-CN"/>
              </w:rPr>
              <w:t>3</w:t>
            </w:r>
            <w:r>
              <w:rPr>
                <w:rFonts w:hint="eastAsia"/>
                <w:color w:val="auto"/>
                <w:highlight w:val="none"/>
              </w:rPr>
              <w:t>年度环境质量状况</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1665"/>
              <w:gridCol w:w="970"/>
              <w:gridCol w:w="1288"/>
              <w:gridCol w:w="1513"/>
              <w:gridCol w:w="1527"/>
            </w:tblGrid>
            <w:tr w14:paraId="72562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noWrap w:val="0"/>
                  <w:vAlign w:val="center"/>
                </w:tcPr>
                <w:p w14:paraId="1BA338D7">
                  <w:pPr>
                    <w:pStyle w:val="78"/>
                    <w:rPr>
                      <w:color w:val="auto"/>
                      <w:highlight w:val="none"/>
                    </w:rPr>
                  </w:pPr>
                  <w:r>
                    <w:rPr>
                      <w:rFonts w:hint="eastAsia"/>
                      <w:color w:val="auto"/>
                      <w:highlight w:val="none"/>
                    </w:rPr>
                    <w:t>环境要素</w:t>
                  </w:r>
                </w:p>
              </w:tc>
              <w:tc>
                <w:tcPr>
                  <w:tcW w:w="1020" w:type="pct"/>
                  <w:noWrap w:val="0"/>
                  <w:vAlign w:val="center"/>
                </w:tcPr>
                <w:p w14:paraId="1285425C">
                  <w:pPr>
                    <w:pStyle w:val="78"/>
                    <w:rPr>
                      <w:color w:val="auto"/>
                      <w:highlight w:val="none"/>
                    </w:rPr>
                  </w:pPr>
                  <w:r>
                    <w:rPr>
                      <w:rFonts w:hint="eastAsia"/>
                      <w:color w:val="auto"/>
                      <w:highlight w:val="none"/>
                    </w:rPr>
                    <w:t>评价因子</w:t>
                  </w:r>
                </w:p>
              </w:tc>
              <w:tc>
                <w:tcPr>
                  <w:tcW w:w="594" w:type="pct"/>
                  <w:noWrap w:val="0"/>
                  <w:vAlign w:val="center"/>
                </w:tcPr>
                <w:p w14:paraId="29F5ECCE">
                  <w:pPr>
                    <w:pStyle w:val="78"/>
                    <w:rPr>
                      <w:color w:val="auto"/>
                      <w:highlight w:val="none"/>
                    </w:rPr>
                  </w:pPr>
                  <w:r>
                    <w:rPr>
                      <w:rFonts w:hint="eastAsia"/>
                      <w:color w:val="auto"/>
                      <w:highlight w:val="none"/>
                    </w:rPr>
                    <w:t>监测值</w:t>
                  </w:r>
                </w:p>
              </w:tc>
              <w:tc>
                <w:tcPr>
                  <w:tcW w:w="789" w:type="pct"/>
                  <w:noWrap w:val="0"/>
                  <w:vAlign w:val="center"/>
                </w:tcPr>
                <w:p w14:paraId="293E504A">
                  <w:pPr>
                    <w:pStyle w:val="78"/>
                    <w:rPr>
                      <w:color w:val="auto"/>
                      <w:highlight w:val="none"/>
                    </w:rPr>
                  </w:pPr>
                  <w:r>
                    <w:rPr>
                      <w:rFonts w:hint="eastAsia"/>
                      <w:color w:val="auto"/>
                      <w:highlight w:val="none"/>
                    </w:rPr>
                    <w:t>标准值</w:t>
                  </w:r>
                </w:p>
              </w:tc>
              <w:tc>
                <w:tcPr>
                  <w:tcW w:w="927" w:type="pct"/>
                  <w:noWrap w:val="0"/>
                  <w:vAlign w:val="center"/>
                </w:tcPr>
                <w:p w14:paraId="1578B551">
                  <w:pPr>
                    <w:pStyle w:val="78"/>
                    <w:rPr>
                      <w:color w:val="auto"/>
                      <w:highlight w:val="none"/>
                    </w:rPr>
                  </w:pPr>
                  <w:r>
                    <w:rPr>
                      <w:rFonts w:hint="eastAsia"/>
                      <w:color w:val="auto"/>
                      <w:highlight w:val="none"/>
                    </w:rPr>
                    <w:t>是否达标</w:t>
                  </w:r>
                </w:p>
              </w:tc>
              <w:tc>
                <w:tcPr>
                  <w:tcW w:w="934" w:type="pct"/>
                  <w:noWrap w:val="0"/>
                  <w:vAlign w:val="center"/>
                </w:tcPr>
                <w:p w14:paraId="35875C2C">
                  <w:pPr>
                    <w:pStyle w:val="78"/>
                    <w:rPr>
                      <w:rFonts w:hint="eastAsia" w:eastAsia="宋体"/>
                      <w:color w:val="auto"/>
                      <w:highlight w:val="none"/>
                      <w:lang w:val="en-US" w:eastAsia="zh-CN"/>
                    </w:rPr>
                  </w:pPr>
                  <w:r>
                    <w:rPr>
                      <w:rFonts w:hint="eastAsia"/>
                      <w:color w:val="auto"/>
                      <w:highlight w:val="none"/>
                    </w:rPr>
                    <w:t>超标</w:t>
                  </w:r>
                  <w:r>
                    <w:rPr>
                      <w:rFonts w:hint="eastAsia"/>
                      <w:color w:val="auto"/>
                      <w:highlight w:val="none"/>
                      <w:lang w:val="en-US" w:eastAsia="zh-CN"/>
                    </w:rPr>
                    <w:t>倍数</w:t>
                  </w:r>
                </w:p>
              </w:tc>
            </w:tr>
            <w:tr w14:paraId="6C9C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restart"/>
                  <w:noWrap w:val="0"/>
                  <w:vAlign w:val="center"/>
                </w:tcPr>
                <w:p w14:paraId="7DC186ED">
                  <w:pPr>
                    <w:pStyle w:val="78"/>
                    <w:rPr>
                      <w:color w:val="auto"/>
                      <w:highlight w:val="none"/>
                    </w:rPr>
                  </w:pPr>
                  <w:r>
                    <w:rPr>
                      <w:rFonts w:hint="eastAsia"/>
                      <w:color w:val="auto"/>
                      <w:highlight w:val="none"/>
                    </w:rPr>
                    <w:t>环境空气</w:t>
                  </w:r>
                </w:p>
              </w:tc>
              <w:tc>
                <w:tcPr>
                  <w:tcW w:w="1581" w:type="dxa"/>
                  <w:noWrap w:val="0"/>
                  <w:vAlign w:val="center"/>
                </w:tcPr>
                <w:p w14:paraId="41DFD297">
                  <w:pPr>
                    <w:pStyle w:val="78"/>
                    <w:ind w:firstLine="0" w:firstLineChars="0"/>
                    <w:rPr>
                      <w:rFonts w:hint="eastAsia"/>
                      <w:color w:val="auto"/>
                      <w:highlight w:val="none"/>
                    </w:rPr>
                  </w:pPr>
                  <w:r>
                    <w:rPr>
                      <w:color w:val="auto"/>
                      <w:highlight w:val="none"/>
                    </w:rPr>
                    <w:t>SO</w:t>
                  </w:r>
                  <w:r>
                    <w:rPr>
                      <w:color w:val="auto"/>
                      <w:highlight w:val="none"/>
                      <w:vertAlign w:val="subscript"/>
                    </w:rPr>
                    <w:t>2</w:t>
                  </w:r>
                  <w:r>
                    <w:rPr>
                      <w:rFonts w:hint="eastAsia"/>
                      <w:color w:val="auto"/>
                      <w:highlight w:val="none"/>
                    </w:rPr>
                    <w:t>(ug/m</w:t>
                  </w:r>
                  <w:r>
                    <w:rPr>
                      <w:rFonts w:hint="eastAsia"/>
                      <w:color w:val="auto"/>
                      <w:highlight w:val="none"/>
                      <w:vertAlign w:val="superscript"/>
                    </w:rPr>
                    <w:t>3</w:t>
                  </w:r>
                  <w:r>
                    <w:rPr>
                      <w:rFonts w:hint="eastAsia"/>
                      <w:color w:val="auto"/>
                      <w:highlight w:val="none"/>
                    </w:rPr>
                    <w:t>)</w:t>
                  </w:r>
                </w:p>
              </w:tc>
              <w:tc>
                <w:tcPr>
                  <w:tcW w:w="594" w:type="pct"/>
                  <w:noWrap w:val="0"/>
                  <w:vAlign w:val="center"/>
                </w:tcPr>
                <w:p w14:paraId="4CD070A0">
                  <w:pPr>
                    <w:pStyle w:val="78"/>
                    <w:rPr>
                      <w:color w:val="auto"/>
                      <w:highlight w:val="none"/>
                    </w:rPr>
                  </w:pPr>
                  <w:r>
                    <w:rPr>
                      <w:rFonts w:hint="eastAsia"/>
                      <w:color w:val="auto"/>
                      <w:highlight w:val="none"/>
                    </w:rPr>
                    <w:t>8</w:t>
                  </w:r>
                </w:p>
              </w:tc>
              <w:tc>
                <w:tcPr>
                  <w:tcW w:w="789" w:type="pct"/>
                  <w:noWrap w:val="0"/>
                  <w:vAlign w:val="center"/>
                </w:tcPr>
                <w:p w14:paraId="2CF65FBD">
                  <w:pPr>
                    <w:pStyle w:val="78"/>
                    <w:rPr>
                      <w:color w:val="auto"/>
                      <w:highlight w:val="none"/>
                    </w:rPr>
                  </w:pPr>
                  <w:r>
                    <w:rPr>
                      <w:rFonts w:hint="eastAsia"/>
                      <w:color w:val="auto"/>
                      <w:highlight w:val="none"/>
                    </w:rPr>
                    <w:t>60</w:t>
                  </w:r>
                </w:p>
              </w:tc>
              <w:tc>
                <w:tcPr>
                  <w:tcW w:w="927" w:type="pct"/>
                  <w:noWrap w:val="0"/>
                  <w:vAlign w:val="center"/>
                </w:tcPr>
                <w:p w14:paraId="71CEFA4B">
                  <w:pPr>
                    <w:pStyle w:val="78"/>
                    <w:rPr>
                      <w:color w:val="auto"/>
                      <w:highlight w:val="none"/>
                    </w:rPr>
                  </w:pPr>
                  <w:r>
                    <w:rPr>
                      <w:rFonts w:hint="eastAsia"/>
                      <w:color w:val="auto"/>
                      <w:highlight w:val="none"/>
                    </w:rPr>
                    <w:t>是</w:t>
                  </w:r>
                </w:p>
              </w:tc>
              <w:tc>
                <w:tcPr>
                  <w:tcW w:w="934" w:type="pct"/>
                  <w:noWrap w:val="0"/>
                  <w:vAlign w:val="center"/>
                </w:tcPr>
                <w:p w14:paraId="449FAA4A">
                  <w:pPr>
                    <w:pStyle w:val="78"/>
                    <w:rPr>
                      <w:color w:val="auto"/>
                      <w:highlight w:val="none"/>
                    </w:rPr>
                  </w:pPr>
                  <w:r>
                    <w:rPr>
                      <w:rFonts w:hint="eastAsia"/>
                      <w:color w:val="auto"/>
                      <w:highlight w:val="none"/>
                    </w:rPr>
                    <w:t>-</w:t>
                  </w:r>
                </w:p>
              </w:tc>
            </w:tr>
            <w:tr w14:paraId="4AD63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continue"/>
                  <w:noWrap w:val="0"/>
                  <w:vAlign w:val="center"/>
                </w:tcPr>
                <w:p w14:paraId="1945E745">
                  <w:pPr>
                    <w:pStyle w:val="78"/>
                    <w:rPr>
                      <w:rFonts w:hint="eastAsia"/>
                      <w:color w:val="auto"/>
                      <w:highlight w:val="none"/>
                    </w:rPr>
                  </w:pPr>
                </w:p>
              </w:tc>
              <w:tc>
                <w:tcPr>
                  <w:tcW w:w="1581" w:type="dxa"/>
                  <w:noWrap w:val="0"/>
                  <w:vAlign w:val="center"/>
                </w:tcPr>
                <w:p w14:paraId="41D1C163">
                  <w:pPr>
                    <w:pStyle w:val="78"/>
                    <w:ind w:firstLine="0" w:firstLineChars="0"/>
                    <w:rPr>
                      <w:rFonts w:hint="eastAsia"/>
                      <w:color w:val="auto"/>
                      <w:highlight w:val="none"/>
                    </w:rPr>
                  </w:pPr>
                  <w:r>
                    <w:rPr>
                      <w:color w:val="auto"/>
                      <w:highlight w:val="none"/>
                    </w:rPr>
                    <w:t>NO</w:t>
                  </w:r>
                  <w:r>
                    <w:rPr>
                      <w:color w:val="auto"/>
                      <w:highlight w:val="none"/>
                      <w:vertAlign w:val="subscript"/>
                    </w:rPr>
                    <w:t>2</w:t>
                  </w:r>
                  <w:r>
                    <w:rPr>
                      <w:rFonts w:hint="eastAsia"/>
                      <w:color w:val="auto"/>
                      <w:highlight w:val="none"/>
                    </w:rPr>
                    <w:t>(ug/m</w:t>
                  </w:r>
                  <w:r>
                    <w:rPr>
                      <w:rFonts w:hint="eastAsia"/>
                      <w:color w:val="auto"/>
                      <w:highlight w:val="none"/>
                      <w:vertAlign w:val="superscript"/>
                    </w:rPr>
                    <w:t>3</w:t>
                  </w:r>
                  <w:r>
                    <w:rPr>
                      <w:rFonts w:hint="eastAsia"/>
                      <w:color w:val="auto"/>
                      <w:highlight w:val="none"/>
                    </w:rPr>
                    <w:t>)</w:t>
                  </w:r>
                </w:p>
              </w:tc>
              <w:tc>
                <w:tcPr>
                  <w:tcW w:w="594" w:type="pct"/>
                  <w:noWrap w:val="0"/>
                  <w:vAlign w:val="center"/>
                </w:tcPr>
                <w:p w14:paraId="63B4799A">
                  <w:pPr>
                    <w:pStyle w:val="78"/>
                    <w:rPr>
                      <w:rFonts w:hint="default"/>
                      <w:color w:val="auto"/>
                      <w:highlight w:val="none"/>
                      <w:lang w:val="en-US"/>
                    </w:rPr>
                  </w:pPr>
                  <w:r>
                    <w:rPr>
                      <w:rFonts w:hint="eastAsia"/>
                      <w:color w:val="auto"/>
                      <w:highlight w:val="none"/>
                      <w:lang w:val="en-US" w:eastAsia="zh-CN"/>
                    </w:rPr>
                    <w:t>21</w:t>
                  </w:r>
                </w:p>
              </w:tc>
              <w:tc>
                <w:tcPr>
                  <w:tcW w:w="789" w:type="pct"/>
                  <w:noWrap w:val="0"/>
                  <w:vAlign w:val="center"/>
                </w:tcPr>
                <w:p w14:paraId="7F9B7D61">
                  <w:pPr>
                    <w:pStyle w:val="78"/>
                    <w:rPr>
                      <w:color w:val="auto"/>
                      <w:highlight w:val="none"/>
                    </w:rPr>
                  </w:pPr>
                  <w:r>
                    <w:rPr>
                      <w:rFonts w:hint="eastAsia"/>
                      <w:color w:val="auto"/>
                      <w:highlight w:val="none"/>
                    </w:rPr>
                    <w:t>40</w:t>
                  </w:r>
                </w:p>
              </w:tc>
              <w:tc>
                <w:tcPr>
                  <w:tcW w:w="927" w:type="pct"/>
                  <w:noWrap w:val="0"/>
                  <w:vAlign w:val="center"/>
                </w:tcPr>
                <w:p w14:paraId="7BAF7088">
                  <w:pPr>
                    <w:pStyle w:val="78"/>
                    <w:rPr>
                      <w:rFonts w:hint="eastAsia"/>
                      <w:color w:val="auto"/>
                      <w:highlight w:val="none"/>
                    </w:rPr>
                  </w:pPr>
                  <w:r>
                    <w:rPr>
                      <w:rFonts w:hint="eastAsia"/>
                      <w:color w:val="auto"/>
                      <w:highlight w:val="none"/>
                    </w:rPr>
                    <w:t>是</w:t>
                  </w:r>
                </w:p>
              </w:tc>
              <w:tc>
                <w:tcPr>
                  <w:tcW w:w="934" w:type="pct"/>
                  <w:noWrap w:val="0"/>
                  <w:vAlign w:val="center"/>
                </w:tcPr>
                <w:p w14:paraId="1B673B77">
                  <w:pPr>
                    <w:pStyle w:val="78"/>
                    <w:rPr>
                      <w:color w:val="auto"/>
                      <w:highlight w:val="none"/>
                    </w:rPr>
                  </w:pPr>
                  <w:r>
                    <w:rPr>
                      <w:rFonts w:hint="eastAsia"/>
                      <w:color w:val="auto"/>
                      <w:highlight w:val="none"/>
                    </w:rPr>
                    <w:t>-</w:t>
                  </w:r>
                </w:p>
              </w:tc>
            </w:tr>
            <w:tr w14:paraId="4570C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continue"/>
                  <w:noWrap w:val="0"/>
                  <w:vAlign w:val="center"/>
                </w:tcPr>
                <w:p w14:paraId="776831D0">
                  <w:pPr>
                    <w:pStyle w:val="78"/>
                    <w:rPr>
                      <w:rFonts w:hint="eastAsia"/>
                      <w:color w:val="auto"/>
                      <w:highlight w:val="none"/>
                    </w:rPr>
                  </w:pPr>
                </w:p>
              </w:tc>
              <w:tc>
                <w:tcPr>
                  <w:tcW w:w="1581" w:type="dxa"/>
                  <w:noWrap w:val="0"/>
                  <w:vAlign w:val="center"/>
                </w:tcPr>
                <w:p w14:paraId="0CC9BEFD">
                  <w:pPr>
                    <w:pStyle w:val="78"/>
                    <w:ind w:firstLine="0" w:firstLineChars="0"/>
                    <w:rPr>
                      <w:color w:val="auto"/>
                      <w:highlight w:val="none"/>
                    </w:rPr>
                  </w:pPr>
                  <w:r>
                    <w:rPr>
                      <w:color w:val="auto"/>
                      <w:highlight w:val="none"/>
                    </w:rPr>
                    <w:t>PM</w:t>
                  </w:r>
                  <w:r>
                    <w:rPr>
                      <w:color w:val="auto"/>
                      <w:highlight w:val="none"/>
                      <w:vertAlign w:val="subscript"/>
                    </w:rPr>
                    <w:t>10</w:t>
                  </w:r>
                  <w:r>
                    <w:rPr>
                      <w:rFonts w:hint="eastAsia"/>
                      <w:color w:val="auto"/>
                      <w:highlight w:val="none"/>
                    </w:rPr>
                    <w:t>(ug/m</w:t>
                  </w:r>
                  <w:r>
                    <w:rPr>
                      <w:rFonts w:hint="eastAsia"/>
                      <w:color w:val="auto"/>
                      <w:highlight w:val="none"/>
                      <w:vertAlign w:val="superscript"/>
                    </w:rPr>
                    <w:t>3</w:t>
                  </w:r>
                  <w:r>
                    <w:rPr>
                      <w:rFonts w:hint="eastAsia"/>
                      <w:color w:val="auto"/>
                      <w:highlight w:val="none"/>
                    </w:rPr>
                    <w:t>)</w:t>
                  </w:r>
                </w:p>
              </w:tc>
              <w:tc>
                <w:tcPr>
                  <w:tcW w:w="594" w:type="pct"/>
                  <w:noWrap w:val="0"/>
                  <w:vAlign w:val="center"/>
                </w:tcPr>
                <w:p w14:paraId="17D8D1B9">
                  <w:pPr>
                    <w:pStyle w:val="78"/>
                    <w:rPr>
                      <w:rFonts w:hint="default"/>
                      <w:color w:val="auto"/>
                      <w:highlight w:val="none"/>
                      <w:lang w:val="en-US"/>
                    </w:rPr>
                  </w:pPr>
                  <w:r>
                    <w:rPr>
                      <w:rFonts w:hint="eastAsia"/>
                      <w:color w:val="auto"/>
                      <w:highlight w:val="none"/>
                      <w:lang w:val="en-US" w:eastAsia="zh-CN"/>
                    </w:rPr>
                    <w:t>65.9</w:t>
                  </w:r>
                </w:p>
              </w:tc>
              <w:tc>
                <w:tcPr>
                  <w:tcW w:w="789" w:type="pct"/>
                  <w:noWrap w:val="0"/>
                  <w:vAlign w:val="center"/>
                </w:tcPr>
                <w:p w14:paraId="12DAD8FA">
                  <w:pPr>
                    <w:pStyle w:val="78"/>
                    <w:rPr>
                      <w:color w:val="auto"/>
                      <w:highlight w:val="none"/>
                    </w:rPr>
                  </w:pPr>
                  <w:r>
                    <w:rPr>
                      <w:rFonts w:hint="eastAsia"/>
                      <w:color w:val="auto"/>
                      <w:highlight w:val="none"/>
                    </w:rPr>
                    <w:t>70</w:t>
                  </w:r>
                </w:p>
              </w:tc>
              <w:tc>
                <w:tcPr>
                  <w:tcW w:w="927" w:type="pct"/>
                  <w:noWrap w:val="0"/>
                  <w:vAlign w:val="center"/>
                </w:tcPr>
                <w:p w14:paraId="4E34A71C">
                  <w:pPr>
                    <w:pStyle w:val="78"/>
                    <w:rPr>
                      <w:color w:val="auto"/>
                      <w:highlight w:val="none"/>
                    </w:rPr>
                  </w:pPr>
                  <w:r>
                    <w:rPr>
                      <w:rFonts w:hint="eastAsia"/>
                      <w:color w:val="auto"/>
                      <w:highlight w:val="none"/>
                    </w:rPr>
                    <w:t>是</w:t>
                  </w:r>
                </w:p>
              </w:tc>
              <w:tc>
                <w:tcPr>
                  <w:tcW w:w="934" w:type="pct"/>
                  <w:noWrap w:val="0"/>
                  <w:vAlign w:val="center"/>
                </w:tcPr>
                <w:p w14:paraId="40BFEFB6">
                  <w:pPr>
                    <w:pStyle w:val="78"/>
                    <w:rPr>
                      <w:rFonts w:hint="eastAsia"/>
                      <w:color w:val="auto"/>
                      <w:highlight w:val="none"/>
                      <w:lang w:eastAsia="zh-CN"/>
                    </w:rPr>
                  </w:pPr>
                  <w:r>
                    <w:rPr>
                      <w:rFonts w:hint="eastAsia"/>
                      <w:color w:val="auto"/>
                      <w:highlight w:val="none"/>
                      <w:lang w:val="en-US" w:eastAsia="zh-CN"/>
                    </w:rPr>
                    <w:t>-</w:t>
                  </w:r>
                </w:p>
              </w:tc>
            </w:tr>
            <w:tr w14:paraId="6EAFE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continue"/>
                  <w:noWrap w:val="0"/>
                  <w:vAlign w:val="center"/>
                </w:tcPr>
                <w:p w14:paraId="69F13113">
                  <w:pPr>
                    <w:pStyle w:val="78"/>
                    <w:rPr>
                      <w:rFonts w:hint="eastAsia"/>
                      <w:color w:val="auto"/>
                      <w:highlight w:val="none"/>
                    </w:rPr>
                  </w:pPr>
                </w:p>
              </w:tc>
              <w:tc>
                <w:tcPr>
                  <w:tcW w:w="1581" w:type="dxa"/>
                  <w:noWrap w:val="0"/>
                  <w:vAlign w:val="center"/>
                </w:tcPr>
                <w:p w14:paraId="4504FF98">
                  <w:pPr>
                    <w:pStyle w:val="78"/>
                    <w:ind w:firstLine="0" w:firstLineChars="0"/>
                    <w:rPr>
                      <w:color w:val="auto"/>
                      <w:highlight w:val="none"/>
                    </w:rPr>
                  </w:pPr>
                  <w:r>
                    <w:rPr>
                      <w:color w:val="auto"/>
                      <w:highlight w:val="none"/>
                    </w:rPr>
                    <w:t>P</w:t>
                  </w:r>
                  <w:r>
                    <w:rPr>
                      <w:rFonts w:hint="eastAsia"/>
                      <w:color w:val="auto"/>
                      <w:highlight w:val="none"/>
                      <w:lang w:val="en-US" w:eastAsia="zh-CN"/>
                    </w:rPr>
                    <w:t>M</w:t>
                  </w:r>
                  <w:r>
                    <w:rPr>
                      <w:rFonts w:hint="eastAsia"/>
                      <w:color w:val="auto"/>
                      <w:highlight w:val="none"/>
                      <w:vertAlign w:val="subscript"/>
                      <w:lang w:val="en-US" w:eastAsia="zh-CN"/>
                    </w:rPr>
                    <w:t>2.5</w:t>
                  </w:r>
                  <w:r>
                    <w:rPr>
                      <w:rFonts w:hint="eastAsia"/>
                      <w:color w:val="auto"/>
                      <w:highlight w:val="none"/>
                    </w:rPr>
                    <w:t>(ug/m</w:t>
                  </w:r>
                  <w:r>
                    <w:rPr>
                      <w:rFonts w:hint="eastAsia"/>
                      <w:color w:val="auto"/>
                      <w:highlight w:val="none"/>
                      <w:vertAlign w:val="superscript"/>
                    </w:rPr>
                    <w:t>3</w:t>
                  </w:r>
                  <w:r>
                    <w:rPr>
                      <w:rFonts w:hint="eastAsia"/>
                      <w:color w:val="auto"/>
                      <w:highlight w:val="none"/>
                    </w:rPr>
                    <w:t>)</w:t>
                  </w:r>
                </w:p>
              </w:tc>
              <w:tc>
                <w:tcPr>
                  <w:tcW w:w="594" w:type="pct"/>
                  <w:noWrap w:val="0"/>
                  <w:vAlign w:val="center"/>
                </w:tcPr>
                <w:p w14:paraId="187C4A0D">
                  <w:pPr>
                    <w:pStyle w:val="78"/>
                    <w:rPr>
                      <w:rFonts w:hint="default"/>
                      <w:color w:val="auto"/>
                      <w:highlight w:val="none"/>
                      <w:lang w:val="en-US"/>
                    </w:rPr>
                  </w:pPr>
                  <w:r>
                    <w:rPr>
                      <w:rFonts w:hint="eastAsia"/>
                      <w:color w:val="auto"/>
                      <w:highlight w:val="none"/>
                      <w:lang w:val="en-US" w:eastAsia="zh-CN"/>
                    </w:rPr>
                    <w:t>38.7</w:t>
                  </w:r>
                </w:p>
              </w:tc>
              <w:tc>
                <w:tcPr>
                  <w:tcW w:w="789" w:type="pct"/>
                  <w:noWrap w:val="0"/>
                  <w:vAlign w:val="center"/>
                </w:tcPr>
                <w:p w14:paraId="169EE493">
                  <w:pPr>
                    <w:pStyle w:val="78"/>
                    <w:rPr>
                      <w:color w:val="auto"/>
                      <w:highlight w:val="none"/>
                    </w:rPr>
                  </w:pPr>
                  <w:r>
                    <w:rPr>
                      <w:rFonts w:hint="eastAsia"/>
                      <w:color w:val="auto"/>
                      <w:highlight w:val="none"/>
                    </w:rPr>
                    <w:t>35</w:t>
                  </w:r>
                </w:p>
              </w:tc>
              <w:tc>
                <w:tcPr>
                  <w:tcW w:w="927" w:type="pct"/>
                  <w:noWrap w:val="0"/>
                  <w:vAlign w:val="center"/>
                </w:tcPr>
                <w:p w14:paraId="114206DA">
                  <w:pPr>
                    <w:pStyle w:val="78"/>
                    <w:rPr>
                      <w:color w:val="auto"/>
                      <w:highlight w:val="none"/>
                    </w:rPr>
                  </w:pPr>
                  <w:r>
                    <w:rPr>
                      <w:rFonts w:hint="eastAsia"/>
                      <w:color w:val="auto"/>
                      <w:highlight w:val="none"/>
                    </w:rPr>
                    <w:t>否</w:t>
                  </w:r>
                </w:p>
              </w:tc>
              <w:tc>
                <w:tcPr>
                  <w:tcW w:w="934" w:type="pct"/>
                  <w:noWrap w:val="0"/>
                  <w:vAlign w:val="center"/>
                </w:tcPr>
                <w:p w14:paraId="65821780">
                  <w:pPr>
                    <w:pStyle w:val="78"/>
                    <w:rPr>
                      <w:rFonts w:hint="default"/>
                      <w:color w:val="auto"/>
                      <w:highlight w:val="none"/>
                      <w:lang w:val="en-US"/>
                    </w:rPr>
                  </w:pPr>
                  <w:r>
                    <w:rPr>
                      <w:rFonts w:hint="eastAsia"/>
                      <w:color w:val="auto"/>
                      <w:highlight w:val="none"/>
                      <w:lang w:val="en-US" w:eastAsia="zh-CN"/>
                    </w:rPr>
                    <w:t>0.11</w:t>
                  </w:r>
                </w:p>
              </w:tc>
            </w:tr>
            <w:tr w14:paraId="25A0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continue"/>
                  <w:noWrap w:val="0"/>
                  <w:vAlign w:val="center"/>
                </w:tcPr>
                <w:p w14:paraId="35879AE0">
                  <w:pPr>
                    <w:pStyle w:val="78"/>
                    <w:rPr>
                      <w:rFonts w:hint="eastAsia"/>
                      <w:color w:val="auto"/>
                      <w:highlight w:val="none"/>
                    </w:rPr>
                  </w:pPr>
                </w:p>
              </w:tc>
              <w:tc>
                <w:tcPr>
                  <w:tcW w:w="1581" w:type="dxa"/>
                  <w:noWrap w:val="0"/>
                  <w:vAlign w:val="center"/>
                </w:tcPr>
                <w:p w14:paraId="45F8BBC3">
                  <w:pPr>
                    <w:pStyle w:val="78"/>
                    <w:ind w:firstLine="0" w:firstLineChars="0"/>
                    <w:rPr>
                      <w:rFonts w:hint="eastAsia"/>
                      <w:color w:val="auto"/>
                      <w:highlight w:val="none"/>
                    </w:rPr>
                  </w:pPr>
                  <w:r>
                    <w:rPr>
                      <w:color w:val="auto"/>
                      <w:highlight w:val="none"/>
                    </w:rPr>
                    <w:t>CO</w:t>
                  </w:r>
                  <w:r>
                    <w:rPr>
                      <w:rFonts w:hint="eastAsia"/>
                      <w:color w:val="auto"/>
                      <w:highlight w:val="none"/>
                    </w:rPr>
                    <w:t>（mg/m</w:t>
                  </w:r>
                  <w:r>
                    <w:rPr>
                      <w:rFonts w:hint="eastAsia"/>
                      <w:color w:val="auto"/>
                      <w:highlight w:val="none"/>
                      <w:vertAlign w:val="superscript"/>
                    </w:rPr>
                    <w:t>3</w:t>
                  </w:r>
                  <w:r>
                    <w:rPr>
                      <w:rFonts w:hint="eastAsia"/>
                      <w:color w:val="auto"/>
                      <w:highlight w:val="none"/>
                    </w:rPr>
                    <w:t>）</w:t>
                  </w:r>
                </w:p>
              </w:tc>
              <w:tc>
                <w:tcPr>
                  <w:tcW w:w="594" w:type="pct"/>
                  <w:noWrap w:val="0"/>
                  <w:vAlign w:val="center"/>
                </w:tcPr>
                <w:p w14:paraId="39FCBE9E">
                  <w:pPr>
                    <w:pStyle w:val="78"/>
                    <w:rPr>
                      <w:rFonts w:hint="default"/>
                      <w:color w:val="auto"/>
                      <w:highlight w:val="none"/>
                      <w:lang w:val="en-US"/>
                    </w:rPr>
                  </w:pPr>
                  <w:r>
                    <w:rPr>
                      <w:rFonts w:hint="eastAsia"/>
                      <w:color w:val="auto"/>
                      <w:highlight w:val="none"/>
                      <w:lang w:val="en-US" w:eastAsia="zh-CN"/>
                    </w:rPr>
                    <w:t>0.7</w:t>
                  </w:r>
                </w:p>
              </w:tc>
              <w:tc>
                <w:tcPr>
                  <w:tcW w:w="789" w:type="pct"/>
                  <w:noWrap w:val="0"/>
                  <w:vAlign w:val="center"/>
                </w:tcPr>
                <w:p w14:paraId="3A0C7D87">
                  <w:pPr>
                    <w:pStyle w:val="78"/>
                    <w:rPr>
                      <w:color w:val="auto"/>
                      <w:highlight w:val="none"/>
                    </w:rPr>
                  </w:pPr>
                  <w:r>
                    <w:rPr>
                      <w:rFonts w:hint="eastAsia"/>
                      <w:color w:val="auto"/>
                      <w:highlight w:val="none"/>
                    </w:rPr>
                    <w:t>4</w:t>
                  </w:r>
                </w:p>
              </w:tc>
              <w:tc>
                <w:tcPr>
                  <w:tcW w:w="927" w:type="pct"/>
                  <w:noWrap w:val="0"/>
                  <w:vAlign w:val="center"/>
                </w:tcPr>
                <w:p w14:paraId="1E503FF5">
                  <w:pPr>
                    <w:pStyle w:val="78"/>
                    <w:rPr>
                      <w:rFonts w:hint="eastAsia"/>
                      <w:color w:val="auto"/>
                      <w:highlight w:val="none"/>
                    </w:rPr>
                  </w:pPr>
                  <w:r>
                    <w:rPr>
                      <w:rFonts w:hint="eastAsia"/>
                      <w:color w:val="auto"/>
                      <w:highlight w:val="none"/>
                    </w:rPr>
                    <w:t>是</w:t>
                  </w:r>
                </w:p>
              </w:tc>
              <w:tc>
                <w:tcPr>
                  <w:tcW w:w="934" w:type="pct"/>
                  <w:noWrap w:val="0"/>
                  <w:vAlign w:val="center"/>
                </w:tcPr>
                <w:p w14:paraId="43FC0432">
                  <w:pPr>
                    <w:pStyle w:val="78"/>
                    <w:rPr>
                      <w:color w:val="auto"/>
                      <w:highlight w:val="none"/>
                    </w:rPr>
                  </w:pPr>
                  <w:r>
                    <w:rPr>
                      <w:rFonts w:hint="eastAsia"/>
                      <w:color w:val="auto"/>
                      <w:highlight w:val="none"/>
                    </w:rPr>
                    <w:t>-</w:t>
                  </w:r>
                </w:p>
              </w:tc>
            </w:tr>
            <w:tr w14:paraId="29C4B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continue"/>
                  <w:noWrap w:val="0"/>
                  <w:vAlign w:val="center"/>
                </w:tcPr>
                <w:p w14:paraId="0725192D">
                  <w:pPr>
                    <w:pStyle w:val="78"/>
                    <w:rPr>
                      <w:rFonts w:hint="eastAsia"/>
                      <w:color w:val="auto"/>
                      <w:highlight w:val="none"/>
                    </w:rPr>
                  </w:pPr>
                </w:p>
              </w:tc>
              <w:tc>
                <w:tcPr>
                  <w:tcW w:w="1581" w:type="dxa"/>
                  <w:noWrap w:val="0"/>
                  <w:vAlign w:val="center"/>
                </w:tcPr>
                <w:p w14:paraId="7221D6DF">
                  <w:pPr>
                    <w:pStyle w:val="78"/>
                    <w:ind w:firstLine="0" w:firstLineChars="0"/>
                    <w:rPr>
                      <w:color w:val="auto"/>
                      <w:highlight w:val="none"/>
                    </w:rPr>
                  </w:pPr>
                  <w:r>
                    <w:rPr>
                      <w:color w:val="auto"/>
                      <w:highlight w:val="none"/>
                    </w:rPr>
                    <w:t>O</w:t>
                  </w:r>
                  <w:r>
                    <w:rPr>
                      <w:color w:val="auto"/>
                      <w:highlight w:val="none"/>
                      <w:vertAlign w:val="subscript"/>
                    </w:rPr>
                    <w:t>3</w:t>
                  </w:r>
                  <w:r>
                    <w:rPr>
                      <w:rFonts w:hint="eastAsia"/>
                      <w:color w:val="auto"/>
                      <w:highlight w:val="none"/>
                    </w:rPr>
                    <w:t>(ug/m</w:t>
                  </w:r>
                  <w:r>
                    <w:rPr>
                      <w:rFonts w:hint="eastAsia"/>
                      <w:color w:val="auto"/>
                      <w:highlight w:val="none"/>
                      <w:vertAlign w:val="superscript"/>
                    </w:rPr>
                    <w:t>3</w:t>
                  </w:r>
                  <w:r>
                    <w:rPr>
                      <w:rFonts w:hint="eastAsia"/>
                      <w:color w:val="auto"/>
                      <w:highlight w:val="none"/>
                    </w:rPr>
                    <w:t>)</w:t>
                  </w:r>
                </w:p>
              </w:tc>
              <w:tc>
                <w:tcPr>
                  <w:tcW w:w="594" w:type="pct"/>
                  <w:noWrap w:val="0"/>
                  <w:vAlign w:val="center"/>
                </w:tcPr>
                <w:p w14:paraId="4504E674">
                  <w:pPr>
                    <w:pStyle w:val="78"/>
                    <w:rPr>
                      <w:rFonts w:hint="default"/>
                      <w:color w:val="auto"/>
                      <w:highlight w:val="none"/>
                      <w:lang w:val="en-US"/>
                    </w:rPr>
                  </w:pPr>
                  <w:r>
                    <w:rPr>
                      <w:rFonts w:hint="eastAsia"/>
                      <w:color w:val="auto"/>
                      <w:highlight w:val="none"/>
                      <w:lang w:eastAsia="zh-CN"/>
                    </w:rPr>
                    <w:t>1</w:t>
                  </w:r>
                  <w:r>
                    <w:rPr>
                      <w:rFonts w:hint="eastAsia"/>
                      <w:color w:val="auto"/>
                      <w:highlight w:val="none"/>
                      <w:lang w:val="en-US" w:eastAsia="zh-CN"/>
                    </w:rPr>
                    <w:t>57</w:t>
                  </w:r>
                </w:p>
              </w:tc>
              <w:tc>
                <w:tcPr>
                  <w:tcW w:w="789" w:type="pct"/>
                  <w:noWrap w:val="0"/>
                  <w:vAlign w:val="center"/>
                </w:tcPr>
                <w:p w14:paraId="681E7942">
                  <w:pPr>
                    <w:pStyle w:val="78"/>
                    <w:rPr>
                      <w:color w:val="auto"/>
                      <w:highlight w:val="none"/>
                    </w:rPr>
                  </w:pPr>
                  <w:r>
                    <w:rPr>
                      <w:rFonts w:hint="eastAsia"/>
                      <w:color w:val="auto"/>
                      <w:highlight w:val="none"/>
                    </w:rPr>
                    <w:t>160</w:t>
                  </w:r>
                </w:p>
              </w:tc>
              <w:tc>
                <w:tcPr>
                  <w:tcW w:w="927" w:type="pct"/>
                  <w:noWrap w:val="0"/>
                  <w:vAlign w:val="center"/>
                </w:tcPr>
                <w:p w14:paraId="20124ADC">
                  <w:pPr>
                    <w:pStyle w:val="78"/>
                    <w:rPr>
                      <w:color w:val="auto"/>
                      <w:highlight w:val="none"/>
                    </w:rPr>
                  </w:pPr>
                  <w:r>
                    <w:rPr>
                      <w:rFonts w:hint="eastAsia"/>
                      <w:color w:val="auto"/>
                      <w:highlight w:val="none"/>
                    </w:rPr>
                    <w:t>是</w:t>
                  </w:r>
                </w:p>
              </w:tc>
              <w:tc>
                <w:tcPr>
                  <w:tcW w:w="934" w:type="pct"/>
                  <w:noWrap w:val="0"/>
                  <w:vAlign w:val="center"/>
                </w:tcPr>
                <w:p w14:paraId="57781A0A">
                  <w:pPr>
                    <w:pStyle w:val="78"/>
                    <w:rPr>
                      <w:rFonts w:hint="eastAsia"/>
                      <w:color w:val="auto"/>
                      <w:highlight w:val="none"/>
                    </w:rPr>
                  </w:pPr>
                  <w:r>
                    <w:rPr>
                      <w:rFonts w:hint="eastAsia"/>
                      <w:color w:val="auto"/>
                      <w:highlight w:val="none"/>
                      <w:lang w:eastAsia="zh-CN"/>
                    </w:rPr>
                    <w:t>-</w:t>
                  </w:r>
                </w:p>
              </w:tc>
            </w:tr>
            <w:tr w14:paraId="1B903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noWrap w:val="0"/>
                  <w:vAlign w:val="center"/>
                </w:tcPr>
                <w:p w14:paraId="2A7DF295">
                  <w:pPr>
                    <w:pStyle w:val="78"/>
                    <w:rPr>
                      <w:rFonts w:hint="eastAsia"/>
                      <w:color w:val="auto"/>
                      <w:highlight w:val="none"/>
                    </w:rPr>
                  </w:pPr>
                  <w:r>
                    <w:rPr>
                      <w:rFonts w:hint="eastAsia"/>
                      <w:color w:val="auto"/>
                      <w:highlight w:val="none"/>
                    </w:rPr>
                    <w:t>声环境质量（</w:t>
                  </w:r>
                  <w:r>
                    <w:rPr>
                      <w:rFonts w:hint="eastAsia"/>
                      <w:color w:val="auto"/>
                      <w:highlight w:val="none"/>
                      <w:lang w:val="en-US" w:eastAsia="zh-CN"/>
                    </w:rPr>
                    <w:t>2类</w:t>
                  </w:r>
                  <w:r>
                    <w:rPr>
                      <w:rFonts w:hint="eastAsia"/>
                      <w:color w:val="auto"/>
                      <w:highlight w:val="none"/>
                    </w:rPr>
                    <w:t>）</w:t>
                  </w:r>
                </w:p>
              </w:tc>
              <w:tc>
                <w:tcPr>
                  <w:tcW w:w="1020" w:type="pct"/>
                  <w:noWrap w:val="0"/>
                  <w:vAlign w:val="center"/>
                </w:tcPr>
                <w:p w14:paraId="1B2DE46E">
                  <w:pPr>
                    <w:pStyle w:val="78"/>
                    <w:rPr>
                      <w:color w:val="auto"/>
                      <w:highlight w:val="none"/>
                    </w:rPr>
                  </w:pPr>
                  <w:r>
                    <w:rPr>
                      <w:color w:val="auto"/>
                      <w:highlight w:val="none"/>
                    </w:rPr>
                    <w:t>昼间平均等效声级dB（A）</w:t>
                  </w:r>
                </w:p>
              </w:tc>
              <w:tc>
                <w:tcPr>
                  <w:tcW w:w="594" w:type="pct"/>
                  <w:noWrap w:val="0"/>
                  <w:vAlign w:val="center"/>
                </w:tcPr>
                <w:p w14:paraId="0B7AD6EB">
                  <w:pPr>
                    <w:pStyle w:val="78"/>
                    <w:rPr>
                      <w:rFonts w:hint="default"/>
                      <w:color w:val="auto"/>
                      <w:highlight w:val="none"/>
                      <w:lang w:val="en-US"/>
                    </w:rPr>
                  </w:pPr>
                  <w:r>
                    <w:rPr>
                      <w:rFonts w:hint="eastAsia"/>
                      <w:color w:val="auto"/>
                      <w:highlight w:val="none"/>
                      <w:lang w:val="en-US" w:eastAsia="zh-CN"/>
                    </w:rPr>
                    <w:t>51.2</w:t>
                  </w:r>
                </w:p>
              </w:tc>
              <w:tc>
                <w:tcPr>
                  <w:tcW w:w="789" w:type="pct"/>
                  <w:noWrap w:val="0"/>
                  <w:vAlign w:val="center"/>
                </w:tcPr>
                <w:p w14:paraId="0745ACE8">
                  <w:pPr>
                    <w:pStyle w:val="78"/>
                    <w:rPr>
                      <w:color w:val="auto"/>
                      <w:highlight w:val="none"/>
                    </w:rPr>
                  </w:pPr>
                  <w:r>
                    <w:rPr>
                      <w:rFonts w:hint="eastAsia"/>
                      <w:color w:val="auto"/>
                      <w:highlight w:val="none"/>
                    </w:rPr>
                    <w:t>55</w:t>
                  </w:r>
                </w:p>
              </w:tc>
              <w:tc>
                <w:tcPr>
                  <w:tcW w:w="927" w:type="pct"/>
                  <w:noWrap w:val="0"/>
                  <w:vAlign w:val="center"/>
                </w:tcPr>
                <w:p w14:paraId="06C49269">
                  <w:pPr>
                    <w:pStyle w:val="78"/>
                    <w:rPr>
                      <w:color w:val="auto"/>
                      <w:highlight w:val="none"/>
                    </w:rPr>
                  </w:pPr>
                  <w:r>
                    <w:rPr>
                      <w:rFonts w:hint="eastAsia"/>
                      <w:color w:val="auto"/>
                      <w:highlight w:val="none"/>
                    </w:rPr>
                    <w:t>是</w:t>
                  </w:r>
                </w:p>
              </w:tc>
              <w:tc>
                <w:tcPr>
                  <w:tcW w:w="934" w:type="pct"/>
                  <w:noWrap w:val="0"/>
                  <w:vAlign w:val="center"/>
                </w:tcPr>
                <w:p w14:paraId="55777E1F">
                  <w:pPr>
                    <w:pStyle w:val="78"/>
                    <w:rPr>
                      <w:color w:val="auto"/>
                      <w:highlight w:val="none"/>
                    </w:rPr>
                  </w:pPr>
                  <w:r>
                    <w:rPr>
                      <w:rFonts w:hint="eastAsia"/>
                      <w:color w:val="auto"/>
                      <w:highlight w:val="none"/>
                    </w:rPr>
                    <w:t>-</w:t>
                  </w:r>
                </w:p>
              </w:tc>
            </w:tr>
            <w:tr w14:paraId="22E4B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noWrap w:val="0"/>
                  <w:vAlign w:val="center"/>
                </w:tcPr>
                <w:p w14:paraId="32C47F2C">
                  <w:pPr>
                    <w:pStyle w:val="78"/>
                    <w:rPr>
                      <w:rFonts w:hint="eastAsia"/>
                      <w:color w:val="auto"/>
                      <w:highlight w:val="none"/>
                    </w:rPr>
                  </w:pPr>
                  <w:r>
                    <w:rPr>
                      <w:color w:val="auto"/>
                      <w:highlight w:val="none"/>
                    </w:rPr>
                    <w:t>水环境质量</w:t>
                  </w:r>
                </w:p>
              </w:tc>
              <w:tc>
                <w:tcPr>
                  <w:tcW w:w="1020" w:type="pct"/>
                  <w:noWrap w:val="0"/>
                  <w:vAlign w:val="center"/>
                </w:tcPr>
                <w:p w14:paraId="17045C4E">
                  <w:pPr>
                    <w:pStyle w:val="78"/>
                    <w:ind w:firstLine="210" w:firstLineChars="100"/>
                    <w:jc w:val="both"/>
                    <w:rPr>
                      <w:rFonts w:hint="eastAsia"/>
                      <w:color w:val="auto"/>
                      <w:highlight w:val="none"/>
                    </w:rPr>
                  </w:pPr>
                  <w:r>
                    <w:rPr>
                      <w:rFonts w:hint="eastAsia"/>
                      <w:color w:val="auto"/>
                      <w:highlight w:val="none"/>
                    </w:rPr>
                    <w:t>淮河</w:t>
                  </w:r>
                </w:p>
              </w:tc>
              <w:tc>
                <w:tcPr>
                  <w:tcW w:w="3245" w:type="pct"/>
                  <w:gridSpan w:val="4"/>
                  <w:noWrap w:val="0"/>
                  <w:vAlign w:val="center"/>
                </w:tcPr>
                <w:p w14:paraId="4AAE07C1">
                  <w:pPr>
                    <w:pStyle w:val="78"/>
                    <w:rPr>
                      <w:rFonts w:hint="eastAsia"/>
                      <w:color w:val="auto"/>
                      <w:highlight w:val="none"/>
                    </w:rPr>
                  </w:pPr>
                  <w:r>
                    <w:rPr>
                      <w:color w:val="auto"/>
                      <w:highlight w:val="none"/>
                    </w:rPr>
                    <w:t>市辖淮河干流及其支流2</w:t>
                  </w:r>
                  <w:r>
                    <w:rPr>
                      <w:rFonts w:hint="eastAsia"/>
                      <w:color w:val="auto"/>
                      <w:highlight w:val="none"/>
                      <w:lang w:eastAsia="zh-CN"/>
                    </w:rPr>
                    <w:t>4</w:t>
                  </w:r>
                  <w:r>
                    <w:rPr>
                      <w:color w:val="auto"/>
                      <w:highlight w:val="none"/>
                    </w:rPr>
                    <w:t>个监测断面中Ⅰ-Ⅲ类水质比例为</w:t>
                  </w:r>
                  <w:r>
                    <w:rPr>
                      <w:rFonts w:hint="eastAsia"/>
                      <w:color w:val="auto"/>
                      <w:highlight w:val="none"/>
                      <w:lang w:val="en-US" w:eastAsia="zh-CN"/>
                    </w:rPr>
                    <w:t>84.5</w:t>
                  </w:r>
                  <w:r>
                    <w:rPr>
                      <w:color w:val="auto"/>
                      <w:highlight w:val="none"/>
                    </w:rPr>
                    <w:t>%，总体水质良好。</w:t>
                  </w:r>
                </w:p>
              </w:tc>
            </w:tr>
          </w:tbl>
          <w:p w14:paraId="44529ADE">
            <w:pPr>
              <w:bidi w:val="0"/>
              <w:rPr>
                <w:color w:val="auto"/>
                <w:highlight w:val="none"/>
                <w:lang w:val="zh-CN"/>
              </w:rPr>
            </w:pPr>
            <w:r>
              <w:rPr>
                <w:rFonts w:hint="eastAsia"/>
                <w:color w:val="000000" w:themeColor="text1"/>
                <w:highlight w:val="none"/>
                <w14:textFill>
                  <w14:solidFill>
                    <w14:schemeClr w14:val="tx1"/>
                  </w14:solidFill>
                </w14:textFill>
              </w:rPr>
              <w:t>本</w:t>
            </w:r>
            <w:r>
              <w:rPr>
                <w:rFonts w:hint="eastAsia"/>
                <w:color w:val="000000" w:themeColor="text1"/>
                <w:highlight w:val="none"/>
                <w:lang w:val="zh-CN"/>
                <w14:textFill>
                  <w14:solidFill>
                    <w14:schemeClr w14:val="tx1"/>
                  </w14:solidFill>
                </w14:textFill>
              </w:rPr>
              <w:t>项目运营过程中</w:t>
            </w:r>
            <w:r>
              <w:rPr>
                <w:rFonts w:hint="eastAsia"/>
                <w:color w:val="000000" w:themeColor="text1"/>
                <w:highlight w:val="none"/>
                <w:lang w:val="en-US" w:eastAsia="zh-CN"/>
                <w14:textFill>
                  <w14:solidFill>
                    <w14:schemeClr w14:val="tx1"/>
                  </w14:solidFill>
                </w14:textFill>
              </w:rPr>
              <w:t>污染物主要为有机废气（以非甲烷总烃计），项目有机废气收集后进入冷凝+二级活性炭装置处理后经21m排气筒排放；</w:t>
            </w:r>
            <w:r>
              <w:rPr>
                <w:color w:val="000000" w:themeColor="text1"/>
                <w:highlight w:val="none"/>
                <w:lang w:val="en" w:eastAsia="zh-CN"/>
                <w14:textFill>
                  <w14:solidFill>
                    <w14:schemeClr w14:val="tx1"/>
                  </w14:solidFill>
                </w14:textFill>
              </w:rPr>
              <w:t>噪声预测结果表明，在采取相应的隔声降噪措施处理后，生产过程中厂内各</w:t>
            </w:r>
            <w:r>
              <w:rPr>
                <w:color w:val="auto"/>
                <w:lang w:val="en" w:eastAsia="zh-CN"/>
              </w:rPr>
              <w:t>种设备运转产生的噪声均能满足《工业企业厂界环境噪声排放标准》</w:t>
            </w:r>
            <w:r>
              <w:rPr>
                <w:rFonts w:hint="eastAsia"/>
                <w:color w:val="auto"/>
                <w:lang w:val="en" w:eastAsia="zh-CN"/>
              </w:rPr>
              <w:t>（</w:t>
            </w:r>
            <w:r>
              <w:rPr>
                <w:color w:val="auto"/>
                <w:lang w:val="en" w:eastAsia="zh-CN"/>
              </w:rPr>
              <w:t>GB12348-2008</w:t>
            </w:r>
            <w:r>
              <w:rPr>
                <w:rFonts w:hint="eastAsia"/>
                <w:color w:val="auto"/>
                <w:lang w:val="en" w:eastAsia="zh-CN"/>
              </w:rPr>
              <w:t>）</w:t>
            </w:r>
            <w:r>
              <w:rPr>
                <w:color w:val="auto"/>
                <w:lang w:val="en" w:eastAsia="zh-CN"/>
              </w:rPr>
              <w:t>中3类标准的要求</w:t>
            </w:r>
            <w:r>
              <w:rPr>
                <w:rFonts w:hint="eastAsia"/>
                <w:color w:val="auto"/>
                <w:lang w:val="en" w:eastAsia="zh-CN"/>
              </w:rPr>
              <w:t>；</w:t>
            </w:r>
            <w:r>
              <w:rPr>
                <w:rFonts w:hint="eastAsia"/>
                <w:color w:val="auto"/>
                <w:highlight w:val="none"/>
                <w:lang w:val="en-US" w:eastAsia="zh-CN"/>
              </w:rPr>
              <w:t>生活污水经厂区现有化粪池处理后进入淮南市经济开发区污水处理管网，无生产废水产生；项目产生的废包装物、不合格品外售处理，废活性炭、废机油、废机油桶依托危废库暂存后委托有资质单位处置。</w:t>
            </w:r>
            <w:r>
              <w:rPr>
                <w:color w:val="auto"/>
                <w:lang w:val="en" w:eastAsia="zh-CN"/>
              </w:rPr>
              <w:t>项目实施后通过采取相应的污染防治措施，</w:t>
            </w:r>
            <w:r>
              <w:rPr>
                <w:rFonts w:hint="eastAsia"/>
                <w:color w:val="auto"/>
                <w:lang w:val="en-US" w:eastAsia="zh-CN"/>
              </w:rPr>
              <w:t>废气、</w:t>
            </w:r>
            <w:r>
              <w:rPr>
                <w:color w:val="auto"/>
                <w:lang w:val="en" w:eastAsia="zh-CN"/>
              </w:rPr>
              <w:t>废水、噪声可以做到稳定达标排放，不会降低评价区域大气、地表水及声环境质量原有功能级别。</w:t>
            </w:r>
          </w:p>
          <w:p w14:paraId="1A9E6753">
            <w:pPr>
              <w:ind w:firstLine="480"/>
              <w:rPr>
                <w:b/>
                <w:bCs/>
                <w:color w:val="auto"/>
                <w:highlight w:val="none"/>
                <w:lang w:val="zh-CN"/>
              </w:rPr>
            </w:pPr>
            <w:r>
              <w:rPr>
                <w:rFonts w:hint="eastAsia"/>
                <w:b/>
                <w:bCs/>
                <w:color w:val="auto"/>
                <w:highlight w:val="none"/>
                <w:lang w:val="en-US" w:eastAsia="zh-CN"/>
              </w:rPr>
              <w:t>3）</w:t>
            </w:r>
            <w:r>
              <w:rPr>
                <w:b/>
                <w:bCs/>
                <w:color w:val="auto"/>
                <w:highlight w:val="none"/>
                <w:lang w:val="zh-CN"/>
              </w:rPr>
              <w:t>资源利用上线</w:t>
            </w:r>
          </w:p>
          <w:p w14:paraId="67EDCDBA">
            <w:pPr>
              <w:ind w:firstLine="480"/>
              <w:rPr>
                <w:color w:val="auto"/>
                <w:highlight w:val="none"/>
                <w:lang w:val="zh-CN"/>
              </w:rPr>
            </w:pPr>
            <w:r>
              <w:rPr>
                <w:rFonts w:hint="eastAsia"/>
                <w:color w:val="auto"/>
                <w:highlight w:val="none"/>
                <w:lang w:val="zh-CN"/>
              </w:rPr>
              <w:t>项目采用的能源主要为电、水、</w:t>
            </w:r>
            <w:r>
              <w:rPr>
                <w:rFonts w:hint="eastAsia"/>
                <w:color w:val="auto"/>
                <w:highlight w:val="none"/>
                <w:lang w:val="en-US" w:eastAsia="zh-CN"/>
              </w:rPr>
              <w:t>蒸汽</w:t>
            </w:r>
            <w:r>
              <w:rPr>
                <w:rFonts w:hint="eastAsia"/>
                <w:color w:val="auto"/>
                <w:highlight w:val="none"/>
              </w:rPr>
              <w:t>，</w:t>
            </w:r>
            <w:r>
              <w:rPr>
                <w:rFonts w:hint="eastAsia"/>
                <w:color w:val="auto"/>
                <w:lang w:val="en-US" w:eastAsia="zh-CN"/>
              </w:rPr>
              <w:t>淮南经济开发区管委会经济发展局</w:t>
            </w:r>
            <w:r>
              <w:rPr>
                <w:color w:val="auto"/>
              </w:rPr>
              <w:t>对本项目予以备案，不涉及能源、水、土地等资源上线，项目原料均新料，所购买原料不含危险物质。</w:t>
            </w:r>
            <w:r>
              <w:rPr>
                <w:rFonts w:hint="eastAsia"/>
                <w:color w:val="auto"/>
                <w:highlight w:val="none"/>
                <w:lang w:val="zh-CN"/>
              </w:rPr>
              <w:t>项目对资源的使用较少、利用率较高，不触及资源利用上线。</w:t>
            </w:r>
          </w:p>
          <w:p w14:paraId="6F975265">
            <w:pPr>
              <w:ind w:firstLine="480"/>
              <w:rPr>
                <w:b/>
                <w:bCs/>
                <w:color w:val="auto"/>
                <w:highlight w:val="none"/>
                <w:lang w:val="zh-CN"/>
              </w:rPr>
            </w:pPr>
            <w:r>
              <w:rPr>
                <w:rFonts w:hint="eastAsia"/>
                <w:b/>
                <w:bCs/>
                <w:color w:val="auto"/>
                <w:highlight w:val="none"/>
                <w:lang w:val="en-US" w:eastAsia="zh-CN"/>
              </w:rPr>
              <w:t>4）</w:t>
            </w:r>
            <w:r>
              <w:rPr>
                <w:b/>
                <w:bCs/>
                <w:color w:val="auto"/>
                <w:highlight w:val="none"/>
                <w:lang w:val="zh-CN"/>
              </w:rPr>
              <w:t>生态环境准入清单</w:t>
            </w:r>
          </w:p>
          <w:p w14:paraId="53EE7539">
            <w:pPr>
              <w:bidi w:val="0"/>
              <w:rPr>
                <w:color w:val="auto"/>
              </w:rPr>
            </w:pPr>
            <w:r>
              <w:rPr>
                <w:rFonts w:hint="eastAsia"/>
                <w:color w:val="auto"/>
                <w:lang w:val="zh-CN" w:eastAsia="zh-CN"/>
              </w:rPr>
              <w:t>对照</w:t>
            </w:r>
            <w:r>
              <w:rPr>
                <w:color w:val="auto"/>
              </w:rPr>
              <w:t>《产业结构调整指导目录（20</w:t>
            </w:r>
            <w:r>
              <w:rPr>
                <w:rFonts w:hint="eastAsia"/>
                <w:color w:val="auto"/>
              </w:rPr>
              <w:t>24</w:t>
            </w:r>
            <w:r>
              <w:rPr>
                <w:color w:val="auto"/>
              </w:rPr>
              <w:t>年本）》，本项目不属于鼓励类、限制类和淘汰类，视为允许类，同时不在长江经济带市场准入禁止限制目录内，不属于环境准入负面清单中禁止入园企业。同时对照</w:t>
            </w:r>
            <w:r>
              <w:rPr>
                <w:rFonts w:hint="eastAsia"/>
                <w:b w:val="0"/>
                <w:bCs w:val="0"/>
                <w:lang w:val="en-US" w:eastAsia="zh-CN"/>
              </w:rPr>
              <w:t>《淮南经济技术开发区环境影响区域评估报告》</w:t>
            </w:r>
            <w:r>
              <w:rPr>
                <w:color w:val="auto"/>
              </w:rPr>
              <w:t>中环境准入清单，本项目不属于</w:t>
            </w:r>
            <w:r>
              <w:rPr>
                <w:rFonts w:hint="eastAsia"/>
                <w:color w:val="auto"/>
                <w:lang w:val="en-US" w:eastAsia="zh-CN"/>
              </w:rPr>
              <w:t>鼓励类、限制类、禁止类</w:t>
            </w:r>
            <w:r>
              <w:rPr>
                <w:rFonts w:hint="eastAsia"/>
                <w:color w:val="auto"/>
                <w:lang w:eastAsia="zh-CN"/>
              </w:rPr>
              <w:t>，</w:t>
            </w:r>
            <w:r>
              <w:rPr>
                <w:rFonts w:hint="eastAsia"/>
                <w:color w:val="auto"/>
                <w:lang w:val="en-US" w:eastAsia="zh-CN"/>
              </w:rPr>
              <w:t>可视为允许类</w:t>
            </w:r>
            <w:r>
              <w:rPr>
                <w:color w:val="auto"/>
              </w:rPr>
              <w:t>。</w:t>
            </w:r>
          </w:p>
          <w:p w14:paraId="28484A21">
            <w:pPr>
              <w:tabs>
                <w:tab w:val="left" w:pos="242"/>
              </w:tabs>
              <w:spacing w:before="2" w:line="387" w:lineRule="auto"/>
              <w:ind w:left="118" w:right="109" w:firstLine="478"/>
              <w:rPr>
                <w:rFonts w:hint="eastAsia" w:ascii="宋体" w:hAnsi="宋体" w:eastAsia="宋体" w:cs="宋体"/>
                <w:color w:val="auto"/>
                <w:spacing w:val="-4"/>
                <w:sz w:val="24"/>
                <w:szCs w:val="24"/>
                <w:highlight w:val="none"/>
                <w:lang w:val="en-US" w:eastAsia="zh-CN"/>
              </w:rPr>
            </w:pPr>
            <w:r>
              <w:rPr>
                <w:rFonts w:ascii="宋体" w:hAnsi="宋体" w:eastAsia="宋体" w:cs="宋体"/>
                <w:color w:val="auto"/>
                <w:spacing w:val="-8"/>
                <w:sz w:val="24"/>
                <w:szCs w:val="24"/>
                <w:highlight w:val="none"/>
              </w:rPr>
              <w:t>对照《</w:t>
            </w:r>
            <w:r>
              <w:rPr>
                <w:rFonts w:hint="eastAsia" w:ascii="宋体" w:hAnsi="宋体" w:eastAsia="宋体" w:cs="宋体"/>
                <w:color w:val="auto"/>
                <w:spacing w:val="-8"/>
                <w:sz w:val="24"/>
                <w:szCs w:val="24"/>
                <w:highlight w:val="none"/>
              </w:rPr>
              <w:t>淮南市生态环境分区管控成果动态更新准入清单</w:t>
            </w:r>
            <w:r>
              <w:rPr>
                <w:rFonts w:ascii="宋体" w:hAnsi="宋体" w:eastAsia="宋体" w:cs="宋体"/>
                <w:color w:val="auto"/>
                <w:spacing w:val="-4"/>
                <w:sz w:val="24"/>
                <w:szCs w:val="24"/>
                <w:highlight w:val="none"/>
              </w:rPr>
              <w:t>》</w:t>
            </w:r>
            <w:r>
              <w:rPr>
                <w:rFonts w:hint="eastAsia" w:ascii="宋体" w:hAnsi="宋体" w:cs="宋体"/>
                <w:color w:val="auto"/>
                <w:spacing w:val="-4"/>
                <w:sz w:val="24"/>
                <w:szCs w:val="24"/>
                <w:highlight w:val="none"/>
                <w:lang w:eastAsia="zh-CN"/>
              </w:rPr>
              <w:t>（</w:t>
            </w:r>
            <w:r>
              <w:rPr>
                <w:rFonts w:hint="eastAsia" w:ascii="宋体" w:hAnsi="宋体" w:cs="宋体"/>
                <w:color w:val="auto"/>
                <w:spacing w:val="-4"/>
                <w:sz w:val="24"/>
                <w:szCs w:val="24"/>
                <w:highlight w:val="none"/>
                <w:lang w:val="en-US" w:eastAsia="zh-CN"/>
              </w:rPr>
              <w:t>2023年10月</w:t>
            </w:r>
            <w:r>
              <w:rPr>
                <w:rFonts w:hint="eastAsia" w:ascii="宋体" w:hAnsi="宋体" w:cs="宋体"/>
                <w:color w:val="auto"/>
                <w:spacing w:val="-4"/>
                <w:sz w:val="24"/>
                <w:szCs w:val="24"/>
                <w:highlight w:val="none"/>
                <w:lang w:eastAsia="zh-CN"/>
              </w:rPr>
              <w:t>）</w:t>
            </w:r>
            <w:r>
              <w:rPr>
                <w:rFonts w:ascii="宋体" w:hAnsi="宋体" w:eastAsia="宋体" w:cs="宋体"/>
                <w:color w:val="auto"/>
                <w:spacing w:val="-4"/>
                <w:sz w:val="24"/>
                <w:szCs w:val="24"/>
                <w:highlight w:val="none"/>
              </w:rPr>
              <w:t>中相关成果，</w:t>
            </w:r>
            <w:r>
              <w:rPr>
                <w:rFonts w:hint="eastAsia" w:ascii="宋体" w:hAnsi="宋体" w:eastAsia="宋体" w:cs="宋体"/>
                <w:color w:val="auto"/>
                <w:spacing w:val="-4"/>
                <w:sz w:val="24"/>
                <w:szCs w:val="24"/>
                <w:highlight w:val="none"/>
                <w:lang w:val="en-US" w:eastAsia="zh-CN"/>
              </w:rPr>
              <w:t>淮南市经济技术</w:t>
            </w:r>
            <w:r>
              <w:rPr>
                <w:rFonts w:ascii="宋体" w:hAnsi="宋体" w:eastAsia="宋体" w:cs="宋体"/>
                <w:color w:val="auto"/>
                <w:spacing w:val="4"/>
                <w:sz w:val="24"/>
                <w:szCs w:val="24"/>
                <w:highlight w:val="none"/>
              </w:rPr>
              <w:t>开发区为</w:t>
            </w:r>
            <w:r>
              <w:rPr>
                <w:rFonts w:ascii="宋体" w:hAnsi="宋体" w:eastAsia="宋体" w:cs="宋体"/>
                <w:color w:val="auto"/>
                <w:spacing w:val="-7"/>
                <w:sz w:val="24"/>
                <w:szCs w:val="24"/>
                <w:highlight w:val="none"/>
              </w:rPr>
              <w:t>大气环境分区管控中的</w:t>
            </w:r>
            <w:r>
              <w:rPr>
                <w:rFonts w:hint="eastAsia" w:ascii="Times New Roman" w:hAnsi="Times New Roman" w:eastAsia="宋体" w:cs="Times New Roman"/>
                <w:color w:val="auto"/>
                <w:highlight w:val="none"/>
                <w:lang w:val="en-US" w:eastAsia="zh-CN"/>
              </w:rPr>
              <w:t>受体敏感重点管控区</w:t>
            </w:r>
            <w:r>
              <w:rPr>
                <w:rFonts w:ascii="宋体" w:hAnsi="宋体" w:eastAsia="宋体" w:cs="宋体"/>
                <w:color w:val="auto"/>
                <w:spacing w:val="-7"/>
                <w:sz w:val="24"/>
                <w:szCs w:val="24"/>
                <w:highlight w:val="none"/>
              </w:rPr>
              <w:t>(见附图</w:t>
            </w:r>
            <w:r>
              <w:rPr>
                <w:rFonts w:hint="eastAsia" w:ascii="宋体" w:hAnsi="宋体" w:cs="宋体"/>
                <w:color w:val="auto"/>
                <w:spacing w:val="-7"/>
                <w:sz w:val="24"/>
                <w:szCs w:val="24"/>
                <w:highlight w:val="none"/>
                <w:lang w:val="en-US" w:eastAsia="zh-CN"/>
              </w:rPr>
              <w:t>6</w:t>
            </w:r>
            <w:r>
              <w:rPr>
                <w:rFonts w:ascii="宋体" w:hAnsi="宋体" w:eastAsia="宋体" w:cs="宋体"/>
                <w:color w:val="auto"/>
                <w:spacing w:val="-7"/>
                <w:sz w:val="24"/>
                <w:szCs w:val="24"/>
                <w:highlight w:val="none"/>
              </w:rPr>
              <w:t>)</w:t>
            </w:r>
            <w:r>
              <w:rPr>
                <w:rFonts w:hint="eastAsia" w:ascii="宋体" w:hAnsi="宋体" w:eastAsia="宋体" w:cs="宋体"/>
                <w:color w:val="auto"/>
                <w:spacing w:val="-7"/>
                <w:sz w:val="24"/>
                <w:szCs w:val="24"/>
                <w:highlight w:val="none"/>
                <w:lang w:eastAsia="zh-CN"/>
              </w:rPr>
              <w:t>，</w:t>
            </w:r>
            <w:r>
              <w:rPr>
                <w:rFonts w:hint="eastAsia" w:ascii="宋体" w:hAnsi="宋体" w:eastAsia="宋体" w:cs="宋体"/>
                <w:color w:val="auto"/>
                <w:spacing w:val="-7"/>
                <w:sz w:val="24"/>
                <w:szCs w:val="24"/>
                <w:highlight w:val="none"/>
                <w:lang w:val="en-US" w:eastAsia="zh-CN"/>
              </w:rPr>
              <w:t>为</w:t>
            </w:r>
            <w:r>
              <w:rPr>
                <w:rFonts w:ascii="宋体" w:hAnsi="宋体" w:eastAsia="宋体" w:cs="宋体"/>
                <w:color w:val="auto"/>
                <w:spacing w:val="4"/>
                <w:sz w:val="24"/>
                <w:szCs w:val="24"/>
                <w:highlight w:val="none"/>
              </w:rPr>
              <w:t>水环境分区管控中的工业污染重点管控区</w:t>
            </w:r>
            <w:r>
              <w:rPr>
                <w:rFonts w:ascii="宋体" w:hAnsi="宋体" w:eastAsia="宋体" w:cs="宋体"/>
                <w:color w:val="auto"/>
                <w:spacing w:val="-7"/>
                <w:sz w:val="24"/>
                <w:szCs w:val="24"/>
                <w:highlight w:val="none"/>
              </w:rPr>
              <w:t>(见附图</w:t>
            </w:r>
            <w:r>
              <w:rPr>
                <w:rFonts w:hint="eastAsia" w:ascii="宋体" w:hAnsi="宋体" w:cs="宋体"/>
                <w:color w:val="auto"/>
                <w:spacing w:val="-7"/>
                <w:sz w:val="24"/>
                <w:szCs w:val="24"/>
                <w:highlight w:val="none"/>
                <w:lang w:val="en-US" w:eastAsia="zh-CN"/>
              </w:rPr>
              <w:t>7</w:t>
            </w:r>
            <w:r>
              <w:rPr>
                <w:rFonts w:ascii="宋体" w:hAnsi="宋体" w:eastAsia="宋体" w:cs="宋体"/>
                <w:color w:val="auto"/>
                <w:spacing w:val="-7"/>
                <w:sz w:val="24"/>
                <w:szCs w:val="24"/>
                <w:highlight w:val="none"/>
              </w:rPr>
              <w:t>)；</w:t>
            </w:r>
            <w:r>
              <w:rPr>
                <w:rFonts w:ascii="宋体" w:hAnsi="宋体" w:eastAsia="宋体" w:cs="宋体"/>
                <w:color w:val="auto"/>
                <w:spacing w:val="-4"/>
                <w:sz w:val="24"/>
                <w:szCs w:val="24"/>
                <w:highlight w:val="none"/>
              </w:rPr>
              <w:t>为土壤</w:t>
            </w:r>
            <w:r>
              <w:rPr>
                <w:rFonts w:hint="eastAsia" w:ascii="宋体" w:hAnsi="宋体" w:cs="宋体"/>
                <w:color w:val="auto"/>
                <w:spacing w:val="-4"/>
                <w:sz w:val="24"/>
                <w:szCs w:val="24"/>
                <w:highlight w:val="none"/>
                <w:lang w:val="en-US" w:eastAsia="zh-CN"/>
              </w:rPr>
              <w:t>污染风险分区管控中</w:t>
            </w:r>
            <w:r>
              <w:rPr>
                <w:rFonts w:hint="eastAsia"/>
                <w:color w:val="auto"/>
                <w:highlight w:val="none"/>
                <w:lang w:val="en-US" w:eastAsia="zh-CN"/>
              </w:rPr>
              <w:t>建设用地污染风险重点管控区</w:t>
            </w:r>
            <w:r>
              <w:rPr>
                <w:rFonts w:ascii="宋体" w:hAnsi="宋体" w:eastAsia="宋体" w:cs="宋体"/>
                <w:color w:val="auto"/>
                <w:spacing w:val="-4"/>
                <w:sz w:val="24"/>
                <w:szCs w:val="24"/>
                <w:highlight w:val="none"/>
              </w:rPr>
              <w:t>(见附图</w:t>
            </w:r>
            <w:r>
              <w:rPr>
                <w:rFonts w:hint="eastAsia" w:ascii="宋体" w:hAnsi="宋体" w:cs="宋体"/>
                <w:color w:val="auto"/>
                <w:spacing w:val="-4"/>
                <w:sz w:val="24"/>
                <w:szCs w:val="24"/>
                <w:highlight w:val="none"/>
                <w:lang w:val="en-US" w:eastAsia="zh-CN"/>
              </w:rPr>
              <w:t>8</w:t>
            </w:r>
            <w:r>
              <w:rPr>
                <w:rFonts w:ascii="宋体" w:hAnsi="宋体" w:eastAsia="宋体" w:cs="宋体"/>
                <w:color w:val="auto"/>
                <w:spacing w:val="-4"/>
                <w:sz w:val="24"/>
                <w:szCs w:val="24"/>
                <w:highlight w:val="none"/>
              </w:rPr>
              <w:t>)</w:t>
            </w:r>
            <w:r>
              <w:rPr>
                <w:rFonts w:hint="eastAsia" w:ascii="宋体" w:hAnsi="宋体" w:eastAsia="宋体" w:cs="宋体"/>
                <w:color w:val="auto"/>
                <w:spacing w:val="-4"/>
                <w:sz w:val="24"/>
                <w:szCs w:val="24"/>
                <w:highlight w:val="none"/>
                <w:lang w:eastAsia="zh-CN"/>
              </w:rPr>
              <w:t>；</w:t>
            </w:r>
            <w:r>
              <w:rPr>
                <w:rFonts w:hint="eastAsia" w:ascii="宋体" w:hAnsi="宋体" w:eastAsia="宋体" w:cs="宋体"/>
                <w:color w:val="auto"/>
                <w:spacing w:val="-4"/>
                <w:sz w:val="24"/>
                <w:szCs w:val="24"/>
                <w:highlight w:val="none"/>
                <w:lang w:val="en-US" w:eastAsia="zh-CN"/>
              </w:rPr>
              <w:t>生态管控单元中为重点管控单元（附图</w:t>
            </w:r>
            <w:r>
              <w:rPr>
                <w:rFonts w:hint="eastAsia" w:ascii="宋体" w:hAnsi="宋体" w:cs="宋体"/>
                <w:color w:val="auto"/>
                <w:spacing w:val="-4"/>
                <w:sz w:val="24"/>
                <w:szCs w:val="24"/>
                <w:highlight w:val="none"/>
                <w:lang w:val="en-US" w:eastAsia="zh-CN"/>
              </w:rPr>
              <w:t>9</w:t>
            </w:r>
            <w:r>
              <w:rPr>
                <w:rFonts w:hint="eastAsia" w:ascii="宋体" w:hAnsi="宋体" w:eastAsia="宋体" w:cs="宋体"/>
                <w:color w:val="auto"/>
                <w:spacing w:val="-4"/>
                <w:sz w:val="24"/>
                <w:szCs w:val="24"/>
                <w:highlight w:val="none"/>
                <w:lang w:val="en-US" w:eastAsia="zh-CN"/>
              </w:rPr>
              <w:t>）。</w:t>
            </w:r>
          </w:p>
          <w:p w14:paraId="3AB9488F">
            <w:pPr>
              <w:tabs>
                <w:tab w:val="left" w:pos="242"/>
              </w:tabs>
              <w:spacing w:before="2" w:line="387" w:lineRule="auto"/>
              <w:ind w:left="118" w:right="109" w:firstLine="478"/>
              <w:rPr>
                <w:rFonts w:hint="eastAsia"/>
                <w:color w:val="auto"/>
                <w:highlight w:val="none"/>
              </w:rPr>
            </w:pPr>
            <w:r>
              <w:rPr>
                <w:rFonts w:hint="eastAsia" w:ascii="宋体" w:hAnsi="宋体" w:eastAsia="宋体" w:cs="宋体"/>
                <w:color w:val="auto"/>
                <w:spacing w:val="-4"/>
                <w:sz w:val="24"/>
                <w:szCs w:val="24"/>
                <w:highlight w:val="none"/>
                <w:lang w:val="en-US" w:eastAsia="zh-CN"/>
              </w:rPr>
              <w:t>本项目位于淮南市经济技术开发区内，</w:t>
            </w:r>
            <w:r>
              <w:rPr>
                <w:rFonts w:hint="eastAsia"/>
                <w:color w:val="auto"/>
                <w:highlight w:val="none"/>
                <w:lang w:val="en-US" w:eastAsia="zh-CN"/>
              </w:rPr>
              <w:t>本项目</w:t>
            </w:r>
            <w:r>
              <w:rPr>
                <w:color w:val="auto"/>
                <w:highlight w:val="none"/>
              </w:rPr>
              <w:t>与淮南市</w:t>
            </w:r>
            <w:r>
              <w:rPr>
                <w:rFonts w:hint="eastAsia"/>
                <w:color w:val="auto"/>
                <w:highlight w:val="none"/>
                <w:lang w:eastAsia="zh-CN"/>
              </w:rPr>
              <w:t>“</w:t>
            </w:r>
            <w:r>
              <w:rPr>
                <w:color w:val="auto"/>
                <w:highlight w:val="none"/>
              </w:rPr>
              <w:t>三线一单</w:t>
            </w:r>
            <w:r>
              <w:rPr>
                <w:rStyle w:val="84"/>
                <w:color w:val="auto"/>
                <w:highlight w:val="none"/>
                <w:lang w:eastAsia="zh-CN"/>
              </w:rPr>
              <w:t>”</w:t>
            </w:r>
            <w:r>
              <w:rPr>
                <w:rFonts w:hint="eastAsia"/>
                <w:color w:val="auto"/>
                <w:highlight w:val="none"/>
                <w:lang w:val="en-US" w:eastAsia="zh-CN"/>
              </w:rPr>
              <w:t>各管控单元</w:t>
            </w:r>
            <w:r>
              <w:rPr>
                <w:rStyle w:val="84"/>
                <w:color w:val="auto"/>
                <w:highlight w:val="none"/>
              </w:rPr>
              <w:t>符合性分析见表1-</w:t>
            </w:r>
            <w:r>
              <w:rPr>
                <w:rStyle w:val="84"/>
                <w:rFonts w:hint="eastAsia"/>
                <w:color w:val="auto"/>
                <w:highlight w:val="none"/>
                <w:lang w:val="en-US" w:eastAsia="zh-CN"/>
              </w:rPr>
              <w:t>8</w:t>
            </w:r>
            <w:r>
              <w:rPr>
                <w:rStyle w:val="84"/>
                <w:rFonts w:eastAsia="宋体"/>
                <w:color w:val="auto"/>
                <w:highlight w:val="none"/>
                <w:lang w:eastAsia="zh-CN"/>
              </w:rPr>
              <w:t>。</w:t>
            </w:r>
          </w:p>
          <w:p w14:paraId="3F7CB8D4">
            <w:pPr>
              <w:bidi w:val="0"/>
              <w:spacing w:line="240" w:lineRule="auto"/>
              <w:ind w:left="0" w:leftChars="0" w:firstLine="0" w:firstLineChars="0"/>
              <w:jc w:val="center"/>
              <w:rPr>
                <w:rFonts w:hint="eastAsia"/>
                <w:b/>
                <w:bCs/>
                <w:color w:val="auto"/>
                <w:highlight w:val="none"/>
              </w:rPr>
            </w:pPr>
            <w:r>
              <w:rPr>
                <w:rFonts w:hint="eastAsia"/>
                <w:b/>
                <w:bCs/>
                <w:color w:val="auto"/>
                <w:highlight w:val="none"/>
                <w:lang w:val="en-US" w:eastAsia="zh-CN"/>
              </w:rPr>
              <w:t>表1-8 本项目与淮南市“三线一单”</w:t>
            </w:r>
            <w:r>
              <w:rPr>
                <w:rFonts w:hint="eastAsia" w:eastAsia="宋体"/>
                <w:b/>
                <w:bCs/>
                <w:color w:val="auto"/>
                <w:highlight w:val="none"/>
                <w:lang w:val="en-US" w:eastAsia="zh-CN"/>
              </w:rPr>
              <w:t>各管控单元符</w:t>
            </w:r>
            <w:r>
              <w:rPr>
                <w:rFonts w:hint="eastAsia"/>
                <w:b/>
                <w:bCs/>
                <w:color w:val="auto"/>
                <w:highlight w:val="none"/>
                <w:lang w:val="en-US" w:eastAsia="zh-CN"/>
              </w:rPr>
              <w:t>合性分析一览表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4404"/>
              <w:gridCol w:w="2138"/>
              <w:gridCol w:w="684"/>
            </w:tblGrid>
            <w:tr w14:paraId="4CD33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4" w:type="pct"/>
                  <w:noWrap w:val="0"/>
                  <w:vAlign w:val="center"/>
                </w:tcPr>
                <w:p w14:paraId="5B3A455C">
                  <w:pPr>
                    <w:pStyle w:val="78"/>
                    <w:bidi w:val="0"/>
                    <w:rPr>
                      <w:rFonts w:hint="eastAsia"/>
                      <w:color w:val="auto"/>
                      <w:highlight w:val="none"/>
                      <w:lang w:val="en-US" w:eastAsia="zh-CN"/>
                    </w:rPr>
                  </w:pPr>
                  <w:r>
                    <w:rPr>
                      <w:color w:val="auto"/>
                      <w:highlight w:val="none"/>
                      <w:lang w:val="en-US" w:eastAsia="zh-CN"/>
                    </w:rPr>
                    <w:t>管控单位分类</w:t>
                  </w:r>
                </w:p>
              </w:tc>
              <w:tc>
                <w:tcPr>
                  <w:tcW w:w="2696" w:type="pct"/>
                  <w:noWrap w:val="0"/>
                  <w:vAlign w:val="center"/>
                </w:tcPr>
                <w:p w14:paraId="450C6E1B">
                  <w:pPr>
                    <w:pStyle w:val="78"/>
                    <w:bidi w:val="0"/>
                    <w:rPr>
                      <w:rFonts w:hint="eastAsia"/>
                      <w:color w:val="auto"/>
                      <w:highlight w:val="none"/>
                      <w:lang w:val="en-US" w:eastAsia="zh-CN"/>
                    </w:rPr>
                  </w:pPr>
                  <w:r>
                    <w:rPr>
                      <w:color w:val="auto"/>
                      <w:highlight w:val="none"/>
                      <w:lang w:val="en-US" w:eastAsia="zh-CN"/>
                    </w:rPr>
                    <w:t>环境管控要求</w:t>
                  </w:r>
                </w:p>
              </w:tc>
              <w:tc>
                <w:tcPr>
                  <w:tcW w:w="1309" w:type="pct"/>
                  <w:noWrap w:val="0"/>
                  <w:vAlign w:val="center"/>
                </w:tcPr>
                <w:p w14:paraId="23360687">
                  <w:pPr>
                    <w:pStyle w:val="78"/>
                    <w:bidi w:val="0"/>
                    <w:rPr>
                      <w:rFonts w:hint="eastAsia"/>
                      <w:color w:val="auto"/>
                      <w:highlight w:val="none"/>
                      <w:lang w:val="en-US" w:eastAsia="zh-CN"/>
                    </w:rPr>
                  </w:pPr>
                  <w:r>
                    <w:rPr>
                      <w:color w:val="auto"/>
                      <w:highlight w:val="none"/>
                      <w:lang w:val="en-US" w:eastAsia="zh-CN"/>
                    </w:rPr>
                    <w:t>协调性分析</w:t>
                  </w:r>
                </w:p>
              </w:tc>
              <w:tc>
                <w:tcPr>
                  <w:tcW w:w="419" w:type="pct"/>
                  <w:noWrap w:val="0"/>
                  <w:vAlign w:val="center"/>
                </w:tcPr>
                <w:p w14:paraId="625C2D44">
                  <w:pPr>
                    <w:pStyle w:val="78"/>
                    <w:bidi w:val="0"/>
                    <w:rPr>
                      <w:rFonts w:hint="eastAsia"/>
                      <w:color w:val="auto"/>
                      <w:highlight w:val="none"/>
                      <w:lang w:val="en-US" w:eastAsia="zh-CN"/>
                    </w:rPr>
                  </w:pPr>
                  <w:r>
                    <w:rPr>
                      <w:color w:val="auto"/>
                      <w:highlight w:val="none"/>
                      <w:lang w:val="en-US" w:eastAsia="zh-CN"/>
                    </w:rPr>
                    <w:t>符合性分析</w:t>
                  </w:r>
                </w:p>
              </w:tc>
            </w:tr>
            <w:tr w14:paraId="61F70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4" w:type="pct"/>
                  <w:noWrap w:val="0"/>
                  <w:vAlign w:val="center"/>
                </w:tcPr>
                <w:p w14:paraId="2D4720F6">
                  <w:pPr>
                    <w:pStyle w:val="78"/>
                    <w:bidi w:val="0"/>
                    <w:rPr>
                      <w:rFonts w:hint="default"/>
                      <w:color w:val="auto"/>
                      <w:highlight w:val="none"/>
                      <w:lang w:val="en-US" w:eastAsia="zh-CN"/>
                    </w:rPr>
                  </w:pPr>
                  <w:r>
                    <w:rPr>
                      <w:rFonts w:hint="eastAsia"/>
                      <w:color w:val="auto"/>
                      <w:highlight w:val="none"/>
                      <w:lang w:val="en-US" w:eastAsia="zh-CN"/>
                    </w:rPr>
                    <w:t>水环境-工业污染重点管控区</w:t>
                  </w:r>
                </w:p>
              </w:tc>
              <w:tc>
                <w:tcPr>
                  <w:tcW w:w="2696" w:type="pct"/>
                  <w:noWrap w:val="0"/>
                  <w:vAlign w:val="center"/>
                </w:tcPr>
                <w:p w14:paraId="59D1BECA">
                  <w:pPr>
                    <w:pStyle w:val="78"/>
                    <w:bidi w:val="0"/>
                    <w:rPr>
                      <w:rFonts w:hint="eastAsia"/>
                      <w:color w:val="auto"/>
                      <w:highlight w:val="none"/>
                      <w:lang w:val="en-US" w:eastAsia="zh-CN"/>
                    </w:rPr>
                  </w:pPr>
                  <w:r>
                    <w:rPr>
                      <w:rFonts w:hint="eastAsia"/>
                      <w:color w:val="auto"/>
                      <w:highlight w:val="none"/>
                    </w:rPr>
                    <w:t>依据《中华人民共和国水污染防治法》《水污染防治行动计划》《安徽省水污染防治工作方案》及《淮南市水污染防治工作方案》对重点管控区实施管控；依据《安徽省淮河流域水污染防治条例》对淮河流域实施管控；依据开发区规划、规划环评及审查意见相关要求对开发区实施管控；落实《</w:t>
                  </w:r>
                  <w:r>
                    <w:rPr>
                      <w:rFonts w:hint="eastAsia"/>
                      <w:color w:val="auto"/>
                      <w:highlight w:val="none"/>
                      <w:lang w:eastAsia="zh-CN"/>
                    </w:rPr>
                    <w:t>“</w:t>
                  </w:r>
                  <w:r>
                    <w:rPr>
                      <w:rFonts w:hint="eastAsia"/>
                      <w:color w:val="auto"/>
                      <w:highlight w:val="none"/>
                      <w:lang w:val="en-US" w:eastAsia="zh-CN"/>
                    </w:rPr>
                    <w:t>十四五</w:t>
                  </w:r>
                  <w:r>
                    <w:rPr>
                      <w:rFonts w:hint="eastAsia"/>
                      <w:color w:val="auto"/>
                      <w:highlight w:val="none"/>
                      <w:lang w:eastAsia="zh-CN"/>
                    </w:rPr>
                    <w:t>”</w:t>
                  </w:r>
                  <w:r>
                    <w:rPr>
                      <w:rFonts w:hint="eastAsia"/>
                      <w:color w:val="auto"/>
                      <w:highlight w:val="none"/>
                    </w:rPr>
                    <w:t>生态环境保护规划》《安徽省</w:t>
                  </w:r>
                  <w:r>
                    <w:rPr>
                      <w:rFonts w:hint="eastAsia"/>
                      <w:color w:val="auto"/>
                      <w:highlight w:val="none"/>
                      <w:lang w:eastAsia="zh-CN"/>
                    </w:rPr>
                    <w:t>“</w:t>
                  </w:r>
                  <w:r>
                    <w:rPr>
                      <w:rFonts w:hint="eastAsia"/>
                      <w:color w:val="auto"/>
                      <w:highlight w:val="none"/>
                      <w:lang w:val="en-US" w:eastAsia="zh-CN"/>
                    </w:rPr>
                    <w:t>十四五</w:t>
                  </w:r>
                  <w:r>
                    <w:rPr>
                      <w:rFonts w:hint="eastAsia"/>
                      <w:color w:val="auto"/>
                      <w:highlight w:val="none"/>
                      <w:lang w:eastAsia="zh-CN"/>
                    </w:rPr>
                    <w:t>”</w:t>
                  </w:r>
                  <w:r>
                    <w:rPr>
                      <w:rFonts w:hint="eastAsia"/>
                      <w:color w:val="auto"/>
                      <w:highlight w:val="none"/>
                    </w:rPr>
                    <w:t>环境保护规划》《安徽省</w:t>
                  </w:r>
                  <w:r>
                    <w:rPr>
                      <w:rFonts w:hint="eastAsia"/>
                      <w:color w:val="auto"/>
                      <w:highlight w:val="none"/>
                      <w:lang w:eastAsia="zh-CN"/>
                    </w:rPr>
                    <w:t>“</w:t>
                  </w:r>
                  <w:r>
                    <w:rPr>
                      <w:rFonts w:hint="eastAsia"/>
                      <w:color w:val="auto"/>
                      <w:highlight w:val="none"/>
                      <w:lang w:val="en-US" w:eastAsia="zh-CN"/>
                    </w:rPr>
                    <w:t>十四五</w:t>
                  </w:r>
                  <w:r>
                    <w:rPr>
                      <w:rFonts w:hint="eastAsia"/>
                      <w:color w:val="auto"/>
                      <w:highlight w:val="none"/>
                      <w:lang w:eastAsia="zh-CN"/>
                    </w:rPr>
                    <w:t>”</w:t>
                  </w:r>
                  <w:r>
                    <w:rPr>
                      <w:rFonts w:hint="eastAsia"/>
                      <w:color w:val="auto"/>
                      <w:highlight w:val="none"/>
                    </w:rPr>
                    <w:t>节能减排实施方案》</w:t>
                  </w:r>
                  <w:r>
                    <w:rPr>
                      <w:rFonts w:hint="eastAsia"/>
                      <w:color w:val="auto"/>
                      <w:highlight w:val="none"/>
                      <w:lang w:eastAsia="zh-CN"/>
                    </w:rPr>
                    <w:t>《</w:t>
                  </w:r>
                  <w:r>
                    <w:rPr>
                      <w:rFonts w:hint="eastAsia"/>
                      <w:color w:val="auto"/>
                      <w:highlight w:val="none"/>
                      <w:lang w:val="en-US" w:eastAsia="zh-CN"/>
                    </w:rPr>
                    <w:t>安徽省“十四五”重点流域水生生态环境保护规划</w:t>
                  </w:r>
                  <w:r>
                    <w:rPr>
                      <w:rFonts w:hint="eastAsia"/>
                      <w:color w:val="auto"/>
                      <w:highlight w:val="none"/>
                      <w:lang w:eastAsia="zh-CN"/>
                    </w:rPr>
                    <w:t>》</w:t>
                  </w:r>
                  <w:r>
                    <w:rPr>
                      <w:rFonts w:hint="eastAsia"/>
                      <w:color w:val="auto"/>
                      <w:highlight w:val="none"/>
                    </w:rPr>
                    <w:t>等要求，新建、改建和扩建项目水污染物实施</w:t>
                  </w:r>
                  <w:r>
                    <w:rPr>
                      <w:rFonts w:hint="eastAsia"/>
                      <w:color w:val="auto"/>
                      <w:highlight w:val="none"/>
                      <w:lang w:eastAsia="zh-CN"/>
                    </w:rPr>
                    <w:t>“</w:t>
                  </w:r>
                  <w:r>
                    <w:rPr>
                      <w:rFonts w:hint="eastAsia"/>
                      <w:color w:val="auto"/>
                      <w:highlight w:val="none"/>
                    </w:rPr>
                    <w:t>等量替代</w:t>
                  </w:r>
                  <w:r>
                    <w:rPr>
                      <w:rFonts w:hint="eastAsia"/>
                      <w:color w:val="auto"/>
                      <w:highlight w:val="none"/>
                      <w:lang w:eastAsia="zh-CN"/>
                    </w:rPr>
                    <w:t>”</w:t>
                  </w:r>
                  <w:r>
                    <w:rPr>
                      <w:rFonts w:hint="eastAsia"/>
                      <w:color w:val="auto"/>
                      <w:highlight w:val="none"/>
                    </w:rPr>
                    <w:t>。</w:t>
                  </w:r>
                </w:p>
              </w:tc>
              <w:tc>
                <w:tcPr>
                  <w:tcW w:w="1309" w:type="pct"/>
                  <w:noWrap w:val="0"/>
                  <w:vAlign w:val="center"/>
                </w:tcPr>
                <w:p w14:paraId="07712205">
                  <w:pPr>
                    <w:pStyle w:val="78"/>
                    <w:bidi w:val="0"/>
                    <w:rPr>
                      <w:rFonts w:hint="eastAsia" w:eastAsia="宋体"/>
                      <w:color w:val="auto"/>
                      <w:highlight w:val="none"/>
                      <w:lang w:val="en-US" w:eastAsia="zh-CN"/>
                    </w:rPr>
                  </w:pPr>
                  <w:r>
                    <w:rPr>
                      <w:rFonts w:hint="eastAsia"/>
                      <w:color w:val="auto"/>
                      <w:highlight w:val="none"/>
                      <w:lang w:val="en-US" w:eastAsia="zh-CN"/>
                    </w:rPr>
                    <w:t>本</w:t>
                  </w:r>
                  <w:r>
                    <w:rPr>
                      <w:rFonts w:hint="default"/>
                      <w:color w:val="auto"/>
                      <w:highlight w:val="none"/>
                    </w:rPr>
                    <w:t>项目</w:t>
                  </w:r>
                  <w:r>
                    <w:rPr>
                      <w:rFonts w:hint="eastAsia"/>
                      <w:color w:val="auto"/>
                      <w:highlight w:val="none"/>
                      <w:lang w:val="en-US" w:eastAsia="zh-CN"/>
                    </w:rPr>
                    <w:t>无生产废水外排，生活污水经厂区现有化粪池处理后进入园区污水处理管网</w:t>
                  </w:r>
                  <w:r>
                    <w:t>后进入淮南经济开发区污水处理厂（三万吨污水处理厂）处理达标后尾水排入淮河</w:t>
                  </w:r>
                  <w:r>
                    <w:rPr>
                      <w:rFonts w:hint="eastAsia"/>
                      <w:lang w:eastAsia="zh-CN"/>
                    </w:rPr>
                    <w:t>。</w:t>
                  </w:r>
                </w:p>
              </w:tc>
              <w:tc>
                <w:tcPr>
                  <w:tcW w:w="419" w:type="pct"/>
                  <w:noWrap w:val="0"/>
                  <w:vAlign w:val="center"/>
                </w:tcPr>
                <w:p w14:paraId="29E4C603">
                  <w:pPr>
                    <w:pStyle w:val="78"/>
                    <w:bidi w:val="0"/>
                    <w:rPr>
                      <w:rFonts w:hint="eastAsia"/>
                      <w:color w:val="auto"/>
                      <w:highlight w:val="none"/>
                      <w:lang w:val="en-US" w:eastAsia="zh-CN"/>
                    </w:rPr>
                  </w:pPr>
                  <w:r>
                    <w:rPr>
                      <w:color w:val="auto"/>
                      <w:highlight w:val="none"/>
                      <w:lang w:val="en-US" w:eastAsia="zh-CN"/>
                    </w:rPr>
                    <w:t>符合</w:t>
                  </w:r>
                </w:p>
              </w:tc>
            </w:tr>
            <w:tr w14:paraId="2924D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4" w:type="pct"/>
                  <w:noWrap w:val="0"/>
                  <w:vAlign w:val="center"/>
                </w:tcPr>
                <w:p w14:paraId="5DE5EA55">
                  <w:pPr>
                    <w:pStyle w:val="78"/>
                    <w:bidi w:val="0"/>
                    <w:rPr>
                      <w:rFonts w:hint="default"/>
                      <w:color w:val="auto"/>
                      <w:highlight w:val="none"/>
                      <w:lang w:val="en-US" w:eastAsia="zh-CN"/>
                    </w:rPr>
                  </w:pPr>
                  <w:r>
                    <w:rPr>
                      <w:rFonts w:hint="eastAsia" w:ascii="Times New Roman" w:hAnsi="Times New Roman" w:eastAsia="宋体" w:cs="Times New Roman"/>
                      <w:color w:val="auto"/>
                      <w:highlight w:val="none"/>
                      <w:lang w:val="en-US" w:eastAsia="zh-CN"/>
                    </w:rPr>
                    <w:t>大气环境-受体敏感重点管控区</w:t>
                  </w:r>
                </w:p>
              </w:tc>
              <w:tc>
                <w:tcPr>
                  <w:tcW w:w="2696" w:type="pct"/>
                  <w:noWrap w:val="0"/>
                  <w:vAlign w:val="center"/>
                </w:tcPr>
                <w:p w14:paraId="57B0A1B9">
                  <w:pPr>
                    <w:pStyle w:val="78"/>
                    <w:bidi w:val="0"/>
                    <w:rPr>
                      <w:rFonts w:hint="eastAsia" w:eastAsia="宋体"/>
                      <w:color w:val="auto"/>
                      <w:highlight w:val="none"/>
                      <w:lang w:val="en-US" w:eastAsia="zh-CN"/>
                    </w:rPr>
                  </w:pPr>
                  <w:r>
                    <w:rPr>
                      <w:rFonts w:hint="eastAsia" w:ascii="Times New Roman" w:hAnsi="Times New Roman" w:eastAsia="宋体" w:cs="Times New Roman"/>
                      <w:color w:val="auto"/>
                      <w:highlight w:val="none"/>
                    </w:rPr>
                    <w:t>落实</w:t>
                  </w:r>
                  <w:r>
                    <w:rPr>
                      <w:rFonts w:hint="eastAsia"/>
                      <w:color w:val="auto"/>
                      <w:highlight w:val="none"/>
                    </w:rPr>
                    <w:t>《中华人民共和国</w:t>
                  </w:r>
                  <w:r>
                    <w:rPr>
                      <w:rFonts w:hint="eastAsia"/>
                      <w:color w:val="auto"/>
                      <w:highlight w:val="none"/>
                      <w:lang w:val="en-US" w:eastAsia="zh-CN"/>
                    </w:rPr>
                    <w:t>大气</w:t>
                  </w:r>
                  <w:r>
                    <w:rPr>
                      <w:rFonts w:hint="eastAsia"/>
                      <w:color w:val="auto"/>
                      <w:highlight w:val="none"/>
                    </w:rPr>
                    <w:t>污染防治法》</w:t>
                  </w:r>
                  <w:r>
                    <w:rPr>
                      <w:rFonts w:hint="eastAsia" w:ascii="Times New Roman" w:hAnsi="Times New Roman" w:eastAsia="宋体" w:cs="Times New Roman"/>
                      <w:color w:val="auto"/>
                      <w:highlight w:val="none"/>
                    </w:rPr>
                    <w:t>《安徽省大气污染防治条例》《</w:t>
                  </w:r>
                  <w:r>
                    <w:rPr>
                      <w:rFonts w:hint="eastAsia" w:cs="Times New Roman"/>
                      <w:color w:val="auto"/>
                      <w:highlight w:val="none"/>
                      <w:lang w:eastAsia="zh-CN"/>
                    </w:rPr>
                    <w:t>“</w:t>
                  </w:r>
                  <w:r>
                    <w:rPr>
                      <w:rFonts w:hint="eastAsia" w:ascii="Times New Roman" w:hAnsi="Times New Roman" w:eastAsia="宋体" w:cs="Times New Roman"/>
                      <w:color w:val="auto"/>
                      <w:highlight w:val="none"/>
                    </w:rPr>
                    <w:t>十</w:t>
                  </w:r>
                  <w:r>
                    <w:rPr>
                      <w:rFonts w:hint="eastAsia" w:cs="Times New Roman"/>
                      <w:color w:val="auto"/>
                      <w:highlight w:val="none"/>
                      <w:lang w:val="en-US" w:eastAsia="zh-CN"/>
                    </w:rPr>
                    <w:t>四</w:t>
                  </w:r>
                  <w:r>
                    <w:rPr>
                      <w:rFonts w:hint="eastAsia" w:ascii="Times New Roman" w:hAnsi="Times New Roman" w:eastAsia="宋体" w:cs="Times New Roman"/>
                      <w:color w:val="auto"/>
                      <w:highlight w:val="none"/>
                    </w:rPr>
                    <w:t>五</w:t>
                  </w:r>
                  <w:r>
                    <w:rPr>
                      <w:rFonts w:hint="eastAsia" w:cs="Times New Roman"/>
                      <w:color w:val="auto"/>
                      <w:highlight w:val="none"/>
                      <w:lang w:eastAsia="zh-CN"/>
                    </w:rPr>
                    <w:t>”</w:t>
                  </w:r>
                  <w:r>
                    <w:rPr>
                      <w:rFonts w:hint="eastAsia" w:ascii="Times New Roman" w:hAnsi="Times New Roman" w:eastAsia="宋体" w:cs="Times New Roman"/>
                      <w:color w:val="auto"/>
                      <w:highlight w:val="none"/>
                    </w:rPr>
                    <w:t>生态环境保护规划》《安徽省</w:t>
                  </w:r>
                  <w:r>
                    <w:rPr>
                      <w:rFonts w:hint="eastAsia" w:cs="Times New Roman"/>
                      <w:color w:val="auto"/>
                      <w:highlight w:val="none"/>
                      <w:lang w:eastAsia="zh-CN"/>
                    </w:rPr>
                    <w:t>“</w:t>
                  </w:r>
                  <w:r>
                    <w:rPr>
                      <w:rFonts w:hint="eastAsia" w:ascii="Times New Roman" w:hAnsi="Times New Roman" w:eastAsia="宋体" w:cs="Times New Roman"/>
                      <w:color w:val="auto"/>
                      <w:highlight w:val="none"/>
                    </w:rPr>
                    <w:t>十</w:t>
                  </w:r>
                  <w:r>
                    <w:rPr>
                      <w:rFonts w:hint="eastAsia" w:cs="Times New Roman"/>
                      <w:color w:val="auto"/>
                      <w:highlight w:val="none"/>
                      <w:lang w:val="en-US" w:eastAsia="zh-CN"/>
                    </w:rPr>
                    <w:t>四</w:t>
                  </w:r>
                  <w:r>
                    <w:rPr>
                      <w:rFonts w:hint="eastAsia" w:ascii="Times New Roman" w:hAnsi="Times New Roman" w:eastAsia="宋体" w:cs="Times New Roman"/>
                      <w:color w:val="auto"/>
                      <w:highlight w:val="none"/>
                    </w:rPr>
                    <w:t>五</w:t>
                  </w:r>
                  <w:r>
                    <w:rPr>
                      <w:rFonts w:hint="eastAsia" w:cs="Times New Roman"/>
                      <w:color w:val="auto"/>
                      <w:highlight w:val="none"/>
                      <w:lang w:eastAsia="zh-CN"/>
                    </w:rPr>
                    <w:t>”</w:t>
                  </w:r>
                  <w:r>
                    <w:rPr>
                      <w:rFonts w:hint="eastAsia" w:cs="Times New Roman"/>
                      <w:color w:val="auto"/>
                      <w:highlight w:val="none"/>
                      <w:lang w:val="en-US" w:eastAsia="zh-CN"/>
                    </w:rPr>
                    <w:t>节能减排实施方案</w:t>
                  </w:r>
                  <w:r>
                    <w:rPr>
                      <w:rFonts w:hint="eastAsia" w:ascii="Times New Roman" w:hAnsi="Times New Roman" w:eastAsia="宋体" w:cs="Times New Roman"/>
                      <w:color w:val="auto"/>
                      <w:highlight w:val="none"/>
                    </w:rPr>
                    <w:t>》《安徽省打赢蓝天保卫战三年行动计划实施方案》《淮南市大气污染防治条例》《重点行业挥发性有机物综合治理方案》等要求</w:t>
                  </w:r>
                  <w:r>
                    <w:rPr>
                      <w:rFonts w:hint="eastAsia" w:cs="Times New Roman"/>
                      <w:color w:val="auto"/>
                      <w:highlight w:val="none"/>
                      <w:lang w:eastAsia="zh-CN"/>
                    </w:rPr>
                    <w:t>。</w:t>
                  </w:r>
                </w:p>
              </w:tc>
              <w:tc>
                <w:tcPr>
                  <w:tcW w:w="1309" w:type="pct"/>
                  <w:noWrap w:val="0"/>
                  <w:vAlign w:val="center"/>
                </w:tcPr>
                <w:p w14:paraId="0BAA7F31">
                  <w:pPr>
                    <w:pStyle w:val="78"/>
                    <w:bidi w:val="0"/>
                    <w:rPr>
                      <w:rFonts w:hint="default"/>
                      <w:color w:val="auto"/>
                      <w:highlight w:val="none"/>
                      <w:lang w:val="en-US" w:eastAsia="zh-CN"/>
                    </w:rPr>
                  </w:pPr>
                  <w:r>
                    <w:rPr>
                      <w:rFonts w:hint="eastAsia"/>
                      <w:color w:val="auto"/>
                      <w:highlight w:val="none"/>
                      <w:lang w:val="en-US" w:eastAsia="zh-CN"/>
                    </w:rPr>
                    <w:t>本项目位于</w:t>
                  </w:r>
                  <w:r>
                    <w:rPr>
                      <w:rFonts w:hint="eastAsia" w:eastAsia="宋体"/>
                      <w:color w:val="auto"/>
                      <w:highlight w:val="none"/>
                      <w:lang w:val="en-US" w:eastAsia="zh-CN"/>
                    </w:rPr>
                    <w:t>淮南市经济技术开发区，</w:t>
                  </w:r>
                  <w:r>
                    <w:rPr>
                      <w:rFonts w:hint="eastAsia"/>
                      <w:color w:val="auto"/>
                      <w:highlight w:val="none"/>
                      <w:lang w:val="en-US" w:eastAsia="zh-CN"/>
                    </w:rPr>
                    <w:t>不属于重点管控区中禁止类、限制类、退出类，项目采用先进生产工艺，产生的有机废气收集后进入冷凝+二级活性炭装置处理后达标排放。</w:t>
                  </w:r>
                </w:p>
              </w:tc>
              <w:tc>
                <w:tcPr>
                  <w:tcW w:w="419" w:type="pct"/>
                  <w:noWrap w:val="0"/>
                  <w:vAlign w:val="center"/>
                </w:tcPr>
                <w:p w14:paraId="4657DE4A">
                  <w:pPr>
                    <w:pStyle w:val="78"/>
                    <w:bidi w:val="0"/>
                    <w:rPr>
                      <w:rFonts w:hint="eastAsia"/>
                      <w:color w:val="auto"/>
                      <w:highlight w:val="none"/>
                      <w:lang w:val="en-US" w:eastAsia="zh-CN"/>
                    </w:rPr>
                  </w:pPr>
                  <w:r>
                    <w:rPr>
                      <w:color w:val="auto"/>
                      <w:highlight w:val="none"/>
                      <w:lang w:val="en-US" w:eastAsia="zh-CN"/>
                    </w:rPr>
                    <w:t>符合</w:t>
                  </w:r>
                </w:p>
              </w:tc>
            </w:tr>
            <w:tr w14:paraId="4C30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4" w:type="pct"/>
                  <w:noWrap w:val="0"/>
                  <w:vAlign w:val="center"/>
                </w:tcPr>
                <w:p w14:paraId="6C1F870A">
                  <w:pPr>
                    <w:pStyle w:val="78"/>
                    <w:bidi w:val="0"/>
                    <w:rPr>
                      <w:rFonts w:hint="default"/>
                      <w:color w:val="auto"/>
                      <w:highlight w:val="none"/>
                      <w:lang w:val="en-US" w:eastAsia="zh-CN"/>
                    </w:rPr>
                  </w:pPr>
                  <w:r>
                    <w:rPr>
                      <w:color w:val="auto"/>
                      <w:highlight w:val="none"/>
                      <w:lang w:val="en-US" w:eastAsia="zh-CN"/>
                    </w:rPr>
                    <w:t>土壤环境</w:t>
                  </w:r>
                  <w:r>
                    <w:rPr>
                      <w:rFonts w:hint="eastAsia"/>
                      <w:color w:val="auto"/>
                      <w:highlight w:val="none"/>
                      <w:lang w:val="en-US" w:eastAsia="zh-CN"/>
                    </w:rPr>
                    <w:t>-建设用地污染风险重点管控区</w:t>
                  </w:r>
                </w:p>
              </w:tc>
              <w:tc>
                <w:tcPr>
                  <w:tcW w:w="2696" w:type="pct"/>
                  <w:noWrap w:val="0"/>
                  <w:vAlign w:val="center"/>
                </w:tcPr>
                <w:p w14:paraId="547A968F">
                  <w:pPr>
                    <w:pStyle w:val="78"/>
                    <w:bidi w:val="0"/>
                    <w:rPr>
                      <w:rFonts w:hint="eastAsia"/>
                      <w:color w:val="auto"/>
                      <w:highlight w:val="none"/>
                      <w:lang w:val="en-US" w:eastAsia="zh-CN"/>
                    </w:rPr>
                  </w:pPr>
                  <w:r>
                    <w:rPr>
                      <w:rFonts w:hint="eastAsia"/>
                      <w:color w:val="auto"/>
                      <w:highlight w:val="none"/>
                      <w:lang w:val="en-US" w:eastAsia="zh-CN"/>
                    </w:rPr>
                    <w:t>落实</w:t>
                  </w:r>
                  <w:r>
                    <w:rPr>
                      <w:color w:val="auto"/>
                      <w:highlight w:val="none"/>
                      <w:lang w:val="en-US" w:eastAsia="zh-CN"/>
                    </w:rPr>
                    <w:t>《中华人民共和国土壤污染防治法》《土壤污染防治行动计划》《安徽省土壤污染防治工作方案》《安徽省</w:t>
                  </w:r>
                  <w:r>
                    <w:rPr>
                      <w:rFonts w:hint="eastAsia"/>
                      <w:color w:val="auto"/>
                      <w:highlight w:val="none"/>
                      <w:lang w:val="en-US" w:eastAsia="zh-CN"/>
                    </w:rPr>
                    <w:t>“十四五”土壤、地下水和农村生态环境保护规划</w:t>
                  </w:r>
                  <w:r>
                    <w:rPr>
                      <w:color w:val="auto"/>
                      <w:highlight w:val="none"/>
                      <w:lang w:val="en-US" w:eastAsia="zh-CN"/>
                    </w:rPr>
                    <w:t>》</w:t>
                  </w:r>
                  <w:r>
                    <w:rPr>
                      <w:rFonts w:hint="eastAsia"/>
                      <w:color w:val="auto"/>
                      <w:highlight w:val="none"/>
                      <w:lang w:val="en-US" w:eastAsia="zh-CN"/>
                    </w:rPr>
                    <w:t>《工矿用地土壤环境管理办法（试行）》</w:t>
                  </w:r>
                  <w:r>
                    <w:rPr>
                      <w:color w:val="auto"/>
                      <w:highlight w:val="none"/>
                      <w:lang w:val="en-US" w:eastAsia="zh-CN"/>
                    </w:rPr>
                    <w:t>等要求</w:t>
                  </w:r>
                  <w:r>
                    <w:rPr>
                      <w:rFonts w:hint="eastAsia"/>
                      <w:color w:val="auto"/>
                      <w:highlight w:val="none"/>
                      <w:lang w:val="en-US" w:eastAsia="zh-CN"/>
                    </w:rPr>
                    <w:t>。</w:t>
                  </w:r>
                </w:p>
              </w:tc>
              <w:tc>
                <w:tcPr>
                  <w:tcW w:w="1309" w:type="pct"/>
                  <w:noWrap w:val="0"/>
                  <w:vAlign w:val="center"/>
                </w:tcPr>
                <w:p w14:paraId="4B980F72">
                  <w:pPr>
                    <w:pStyle w:val="78"/>
                    <w:bidi w:val="0"/>
                    <w:rPr>
                      <w:rFonts w:hint="default"/>
                      <w:color w:val="auto"/>
                      <w:highlight w:val="none"/>
                      <w:lang w:val="en-US" w:eastAsia="zh-CN"/>
                    </w:rPr>
                  </w:pPr>
                  <w:r>
                    <w:rPr>
                      <w:rFonts w:hint="eastAsia"/>
                      <w:color w:val="auto"/>
                      <w:highlight w:val="none"/>
                      <w:lang w:val="en-US" w:eastAsia="zh-CN"/>
                    </w:rPr>
                    <w:t>本项目厂区采取分区防渗处理：危废贮存间重点防渗；生产车间一般防渗，土壤污染风险较小。</w:t>
                  </w:r>
                </w:p>
              </w:tc>
              <w:tc>
                <w:tcPr>
                  <w:tcW w:w="419" w:type="pct"/>
                  <w:noWrap w:val="0"/>
                  <w:vAlign w:val="center"/>
                </w:tcPr>
                <w:p w14:paraId="1BF85030">
                  <w:pPr>
                    <w:pStyle w:val="78"/>
                    <w:bidi w:val="0"/>
                    <w:rPr>
                      <w:rFonts w:hint="eastAsia"/>
                      <w:color w:val="auto"/>
                      <w:highlight w:val="none"/>
                      <w:lang w:val="en-US" w:eastAsia="zh-CN"/>
                    </w:rPr>
                  </w:pPr>
                  <w:r>
                    <w:rPr>
                      <w:color w:val="auto"/>
                      <w:highlight w:val="none"/>
                      <w:lang w:val="en-US" w:eastAsia="zh-CN"/>
                    </w:rPr>
                    <w:t>符合</w:t>
                  </w:r>
                </w:p>
              </w:tc>
            </w:tr>
          </w:tbl>
          <w:p w14:paraId="4FEAC2C8">
            <w:pPr>
              <w:bidi w:val="0"/>
              <w:rPr>
                <w:rFonts w:hint="default"/>
                <w:b/>
                <w:bCs/>
                <w:color w:val="auto"/>
              </w:rPr>
            </w:pPr>
            <w:r>
              <w:rPr>
                <w:rFonts w:hint="default"/>
                <w:b/>
                <w:bCs/>
                <w:color w:val="auto"/>
              </w:rPr>
              <w:t>（2）</w:t>
            </w:r>
            <w:r>
              <w:rPr>
                <w:rFonts w:hint="eastAsia"/>
                <w:b/>
                <w:bCs/>
                <w:color w:val="auto"/>
                <w:lang w:val="en-US" w:eastAsia="zh-CN"/>
              </w:rPr>
              <w:t>生态环境分区管控</w:t>
            </w:r>
            <w:r>
              <w:rPr>
                <w:rFonts w:hint="default"/>
                <w:b/>
                <w:bCs/>
                <w:color w:val="auto"/>
              </w:rPr>
              <w:t>相符性</w:t>
            </w:r>
          </w:p>
          <w:p w14:paraId="365FA965">
            <w:pPr>
              <w:bidi w:val="0"/>
              <w:rPr>
                <w:rFonts w:hint="eastAsia"/>
                <w:color w:val="auto"/>
              </w:rPr>
            </w:pPr>
            <w:r>
              <w:rPr>
                <w:rFonts w:hint="eastAsia"/>
                <w:color w:val="auto"/>
              </w:rPr>
              <w:t>根据安徽省</w:t>
            </w:r>
            <w:r>
              <w:rPr>
                <w:rFonts w:hint="eastAsia"/>
                <w:color w:val="auto"/>
                <w:lang w:eastAsia="zh-CN"/>
              </w:rPr>
              <w:t>“</w:t>
            </w:r>
            <w:r>
              <w:rPr>
                <w:rFonts w:hint="eastAsia"/>
                <w:color w:val="auto"/>
              </w:rPr>
              <w:t>三线一单</w:t>
            </w:r>
            <w:r>
              <w:rPr>
                <w:rFonts w:hint="eastAsia"/>
                <w:color w:val="auto"/>
                <w:lang w:eastAsia="zh-CN"/>
              </w:rPr>
              <w:t>”</w:t>
            </w:r>
            <w:r>
              <w:rPr>
                <w:rFonts w:hint="eastAsia"/>
                <w:color w:val="auto"/>
              </w:rPr>
              <w:t>公众服务平台查询，本项目所在区域环境管控单元编码为：ZH34040</w:t>
            </w:r>
            <w:r>
              <w:rPr>
                <w:rFonts w:hint="eastAsia"/>
                <w:color w:val="auto"/>
                <w:lang w:val="en-US" w:eastAsia="zh-CN"/>
              </w:rPr>
              <w:t>210006</w:t>
            </w:r>
            <w:r>
              <w:rPr>
                <w:rFonts w:hint="eastAsia"/>
                <w:color w:val="auto"/>
              </w:rPr>
              <w:t>，与</w:t>
            </w:r>
            <w:r>
              <w:rPr>
                <w:rFonts w:hint="eastAsia"/>
                <w:color w:val="auto"/>
                <w:lang w:eastAsia="zh-CN"/>
              </w:rPr>
              <w:t>“</w:t>
            </w:r>
            <w:r>
              <w:rPr>
                <w:rFonts w:hint="eastAsia"/>
                <w:color w:val="auto"/>
              </w:rPr>
              <w:t>三线一单</w:t>
            </w:r>
            <w:r>
              <w:rPr>
                <w:rFonts w:hint="eastAsia"/>
                <w:color w:val="auto"/>
                <w:lang w:eastAsia="zh-CN"/>
              </w:rPr>
              <w:t>”</w:t>
            </w:r>
            <w:r>
              <w:rPr>
                <w:rFonts w:hint="eastAsia"/>
                <w:color w:val="auto"/>
              </w:rPr>
              <w:t>成果数据分析，与1个环境管控单元存在交叠，其中优先保护类0个，重点管控类1个，一般管控类0个。根据淮南市</w:t>
            </w:r>
            <w:r>
              <w:rPr>
                <w:rFonts w:hint="eastAsia"/>
                <w:color w:val="auto"/>
                <w:lang w:eastAsia="zh-CN"/>
              </w:rPr>
              <w:t>“</w:t>
            </w:r>
            <w:r>
              <w:rPr>
                <w:rFonts w:hint="eastAsia"/>
                <w:color w:val="auto"/>
              </w:rPr>
              <w:t>三线一单</w:t>
            </w:r>
            <w:r>
              <w:rPr>
                <w:rFonts w:hint="eastAsia"/>
                <w:color w:val="auto"/>
                <w:lang w:eastAsia="zh-CN"/>
              </w:rPr>
              <w:t>”</w:t>
            </w:r>
            <w:r>
              <w:rPr>
                <w:rFonts w:hint="eastAsia"/>
                <w:color w:val="auto"/>
              </w:rPr>
              <w:t>图集</w:t>
            </w:r>
            <w:r>
              <w:rPr>
                <w:rFonts w:hint="eastAsia"/>
                <w:color w:val="auto"/>
                <w:lang w:val="en-US" w:eastAsia="zh-CN"/>
              </w:rPr>
              <w:t>，对照</w:t>
            </w:r>
            <w:r>
              <w:rPr>
                <w:rFonts w:hint="eastAsia"/>
                <w:color w:val="auto"/>
              </w:rPr>
              <w:t>安徽</w:t>
            </w:r>
            <w:r>
              <w:rPr>
                <w:rFonts w:hint="eastAsia"/>
                <w:color w:val="auto"/>
                <w:lang w:eastAsia="zh-CN"/>
              </w:rPr>
              <w:t>“</w:t>
            </w:r>
            <w:r>
              <w:rPr>
                <w:rFonts w:hint="eastAsia"/>
                <w:color w:val="auto"/>
              </w:rPr>
              <w:t>三线一单</w:t>
            </w:r>
            <w:r>
              <w:rPr>
                <w:rFonts w:hint="eastAsia"/>
                <w:color w:val="auto"/>
                <w:lang w:eastAsia="zh-CN"/>
              </w:rPr>
              <w:t>”</w:t>
            </w:r>
            <w:r>
              <w:rPr>
                <w:rFonts w:hint="eastAsia"/>
                <w:color w:val="auto"/>
              </w:rPr>
              <w:t>管控要求查询报告</w:t>
            </w:r>
            <w:r>
              <w:rPr>
                <w:rFonts w:hint="eastAsia"/>
                <w:color w:val="auto"/>
                <w:lang w:val="en-US" w:eastAsia="zh-CN"/>
              </w:rPr>
              <w:t>内容要求</w:t>
            </w:r>
            <w:r>
              <w:rPr>
                <w:rFonts w:hint="eastAsia"/>
                <w:color w:val="auto"/>
              </w:rPr>
              <w:t>，本次环评筛选了与本项目有关的管控</w:t>
            </w:r>
            <w:r>
              <w:rPr>
                <w:rFonts w:hint="eastAsia"/>
                <w:color w:val="auto"/>
                <w:lang w:val="en-US" w:eastAsia="zh-CN"/>
              </w:rPr>
              <w:t>要求</w:t>
            </w:r>
            <w:r>
              <w:rPr>
                <w:rFonts w:hint="eastAsia"/>
                <w:color w:val="auto"/>
              </w:rPr>
              <w:t>单元生态环境准入清单进行分析，详见下表。</w:t>
            </w:r>
          </w:p>
          <w:p w14:paraId="6647766F">
            <w:pPr>
              <w:pStyle w:val="9"/>
              <w:jc w:val="center"/>
              <w:rPr>
                <w:rFonts w:hint="eastAsia" w:eastAsia="宋体"/>
                <w:lang w:eastAsia="zh-CN"/>
              </w:rPr>
            </w:pPr>
            <w:r>
              <w:rPr>
                <w:rFonts w:hint="eastAsia" w:eastAsia="宋体"/>
                <w:lang w:eastAsia="zh-CN"/>
              </w:rPr>
              <w:drawing>
                <wp:inline distT="0" distB="0" distL="114300" distR="114300">
                  <wp:extent cx="4678680" cy="3457575"/>
                  <wp:effectExtent l="0" t="0" r="7620" b="9525"/>
                  <wp:docPr id="24" name="图片 24" descr="172543232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25432329619"/>
                          <pic:cNvPicPr>
                            <a:picLocks noChangeAspect="1"/>
                          </pic:cNvPicPr>
                        </pic:nvPicPr>
                        <pic:blipFill>
                          <a:blip r:embed="rId14"/>
                          <a:stretch>
                            <a:fillRect/>
                          </a:stretch>
                        </pic:blipFill>
                        <pic:spPr>
                          <a:xfrm>
                            <a:off x="0" y="0"/>
                            <a:ext cx="4678680" cy="3457575"/>
                          </a:xfrm>
                          <a:prstGeom prst="rect">
                            <a:avLst/>
                          </a:prstGeom>
                        </pic:spPr>
                      </pic:pic>
                    </a:graphicData>
                  </a:graphic>
                </wp:inline>
              </w:drawing>
            </w:r>
          </w:p>
          <w:p w14:paraId="0BC7BBED">
            <w:pPr>
              <w:pStyle w:val="74"/>
              <w:bidi w:val="0"/>
              <w:rPr>
                <w:rFonts w:hint="default"/>
                <w:lang w:val="en-US" w:eastAsia="zh-CN"/>
              </w:rPr>
            </w:pPr>
            <w:r>
              <w:rPr>
                <w:rFonts w:hint="eastAsia"/>
                <w:lang w:val="en-US" w:eastAsia="zh-CN"/>
              </w:rPr>
              <w:t>图1-3 本项目在生态环境分区管控单元的点位图</w:t>
            </w:r>
          </w:p>
          <w:p w14:paraId="394C2E74">
            <w:pPr>
              <w:pStyle w:val="74"/>
              <w:bidi w:val="0"/>
            </w:pPr>
            <w:r>
              <w:rPr>
                <w:rFonts w:hint="eastAsia"/>
                <w:lang w:val="en-US" w:eastAsia="zh-CN"/>
              </w:rPr>
              <w:t>表1-9 本项目与生态管控单元的符合性分析</w:t>
            </w:r>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722"/>
              <w:gridCol w:w="2966"/>
              <w:gridCol w:w="2586"/>
              <w:gridCol w:w="940"/>
            </w:tblGrid>
            <w:tr w14:paraId="24432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79" w:type="pct"/>
                  <w:noWrap w:val="0"/>
                  <w:vAlign w:val="center"/>
                </w:tcPr>
                <w:p w14:paraId="5E867179">
                  <w:pPr>
                    <w:pStyle w:val="47"/>
                    <w:bidi w:val="0"/>
                  </w:pPr>
                  <w:r>
                    <w:rPr>
                      <w:rFonts w:hint="eastAsia"/>
                      <w:lang w:val="en-US" w:eastAsia="zh-CN"/>
                    </w:rPr>
                    <w:t>区域管控要求</w:t>
                  </w:r>
                </w:p>
              </w:tc>
              <w:tc>
                <w:tcPr>
                  <w:tcW w:w="442" w:type="pct"/>
                  <w:noWrap w:val="0"/>
                  <w:vAlign w:val="center"/>
                </w:tcPr>
                <w:p w14:paraId="682E19D8">
                  <w:pPr>
                    <w:pStyle w:val="47"/>
                    <w:bidi w:val="0"/>
                  </w:pPr>
                  <w:r>
                    <w:rPr>
                      <w:rFonts w:hint="eastAsia"/>
                      <w:lang w:val="en-US" w:eastAsia="zh-CN"/>
                    </w:rPr>
                    <w:t>管控</w:t>
                  </w:r>
                </w:p>
                <w:p w14:paraId="51A58017">
                  <w:pPr>
                    <w:pStyle w:val="47"/>
                    <w:bidi w:val="0"/>
                  </w:pPr>
                  <w:r>
                    <w:rPr>
                      <w:rFonts w:hint="eastAsia"/>
                      <w:lang w:val="en-US" w:eastAsia="zh-CN"/>
                    </w:rPr>
                    <w:t>类别</w:t>
                  </w:r>
                </w:p>
              </w:tc>
              <w:tc>
                <w:tcPr>
                  <w:tcW w:w="1817" w:type="pct"/>
                  <w:noWrap w:val="0"/>
                  <w:vAlign w:val="center"/>
                </w:tcPr>
                <w:p w14:paraId="325A286D">
                  <w:pPr>
                    <w:pStyle w:val="47"/>
                    <w:bidi w:val="0"/>
                  </w:pPr>
                  <w:r>
                    <w:rPr>
                      <w:rFonts w:hint="eastAsia"/>
                      <w:lang w:val="en-US" w:eastAsia="zh-CN"/>
                    </w:rPr>
                    <w:t>管控要求</w:t>
                  </w:r>
                </w:p>
              </w:tc>
              <w:tc>
                <w:tcPr>
                  <w:tcW w:w="1584" w:type="pct"/>
                  <w:noWrap w:val="0"/>
                  <w:vAlign w:val="center"/>
                </w:tcPr>
                <w:p w14:paraId="7E93912D">
                  <w:pPr>
                    <w:pStyle w:val="47"/>
                    <w:bidi w:val="0"/>
                  </w:pPr>
                  <w:r>
                    <w:t>协调性分析</w:t>
                  </w:r>
                </w:p>
              </w:tc>
              <w:tc>
                <w:tcPr>
                  <w:tcW w:w="576" w:type="pct"/>
                  <w:noWrap w:val="0"/>
                  <w:vAlign w:val="center"/>
                </w:tcPr>
                <w:p w14:paraId="429C9780">
                  <w:pPr>
                    <w:pStyle w:val="47"/>
                    <w:bidi w:val="0"/>
                  </w:pPr>
                  <w:r>
                    <w:t>符合性分析</w:t>
                  </w:r>
                </w:p>
              </w:tc>
            </w:tr>
            <w:tr w14:paraId="51662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vMerge w:val="restart"/>
                  <w:noWrap w:val="0"/>
                  <w:vAlign w:val="center"/>
                </w:tcPr>
                <w:p w14:paraId="74895FB8">
                  <w:pPr>
                    <w:pStyle w:val="47"/>
                    <w:bidi w:val="0"/>
                    <w:rPr>
                      <w:rFonts w:hint="default"/>
                      <w:lang w:val="en-US" w:eastAsia="zh-CN"/>
                    </w:rPr>
                  </w:pPr>
                  <w:r>
                    <w:t>重点管控单元</w:t>
                  </w:r>
                  <w:r>
                    <w:rPr>
                      <w:rFonts w:hint="eastAsia"/>
                      <w:lang w:val="en-US" w:eastAsia="zh-CN"/>
                    </w:rPr>
                    <w:t>3</w:t>
                  </w:r>
                </w:p>
              </w:tc>
              <w:tc>
                <w:tcPr>
                  <w:tcW w:w="442" w:type="pct"/>
                  <w:vMerge w:val="restart"/>
                  <w:noWrap w:val="0"/>
                  <w:vAlign w:val="center"/>
                </w:tcPr>
                <w:p w14:paraId="2E9FBDA9">
                  <w:pPr>
                    <w:pStyle w:val="47"/>
                    <w:bidi w:val="0"/>
                  </w:pPr>
                  <w:r>
                    <w:rPr>
                      <w:rFonts w:hint="eastAsia"/>
                      <w:lang w:val="en-US" w:eastAsia="zh-CN"/>
                    </w:rPr>
                    <w:t>空间布局约束</w:t>
                  </w:r>
                </w:p>
              </w:tc>
              <w:tc>
                <w:tcPr>
                  <w:tcW w:w="1817" w:type="pct"/>
                  <w:noWrap w:val="0"/>
                  <w:vAlign w:val="center"/>
                </w:tcPr>
                <w:p w14:paraId="7F6102C4">
                  <w:pPr>
                    <w:pStyle w:val="47"/>
                    <w:bidi w:val="0"/>
                    <w:rPr>
                      <w:rFonts w:hint="eastAsia"/>
                      <w:lang w:val="en-US" w:eastAsia="zh-CN"/>
                    </w:rPr>
                  </w:pPr>
                  <w:r>
                    <w:rPr>
                      <w:rFonts w:hint="eastAsia"/>
                      <w:lang w:val="en-US" w:eastAsia="zh-CN"/>
                    </w:rPr>
                    <w:t>3严禁新增钢铁、焦化、电解铝、铸造、水泥和平板玻璃等产能；严格执行钢铁、水泥、平板玻璃等行业产能置换实施办法。</w:t>
                  </w:r>
                </w:p>
                <w:p w14:paraId="5BA90590">
                  <w:pPr>
                    <w:pStyle w:val="47"/>
                    <w:bidi w:val="0"/>
                  </w:pPr>
                  <w:r>
                    <w:rPr>
                      <w:rFonts w:hint="eastAsia"/>
                      <w:lang w:val="en-US" w:eastAsia="zh-CN"/>
                    </w:rPr>
                    <w:t>4严格执行国家关于“两高”产业准入目录和产能总量控制政策措施。严禁新增钢铁、焦化、电解铝、铸造、水泥和平板玻璃等产能;新、改、扩建涉及大宗物料运输的建设项目，原则上不得采用公路运输。</w:t>
                  </w:r>
                </w:p>
              </w:tc>
              <w:tc>
                <w:tcPr>
                  <w:tcW w:w="1584" w:type="pct"/>
                  <w:noWrap w:val="0"/>
                  <w:vAlign w:val="center"/>
                </w:tcPr>
                <w:p w14:paraId="00793653">
                  <w:pPr>
                    <w:pStyle w:val="47"/>
                    <w:bidi w:val="0"/>
                    <w:rPr>
                      <w:rFonts w:hint="default"/>
                      <w:lang w:val="en-US"/>
                    </w:rPr>
                  </w:pPr>
                  <w:r>
                    <w:rPr>
                      <w:rFonts w:hint="eastAsia"/>
                      <w:lang w:val="en-US" w:eastAsia="zh-CN"/>
                    </w:rPr>
                    <w:t>对照《安徽省“两高”项目管理目录（试行）》，本项目不属于两高项目。项目物料运输采用公路运输，运输车辆选用新能源或达到国六标准车辆。</w:t>
                  </w:r>
                </w:p>
              </w:tc>
              <w:tc>
                <w:tcPr>
                  <w:tcW w:w="576" w:type="pct"/>
                  <w:noWrap w:val="0"/>
                  <w:vAlign w:val="center"/>
                </w:tcPr>
                <w:p w14:paraId="1F20CD95">
                  <w:pPr>
                    <w:pStyle w:val="47"/>
                    <w:bidi w:val="0"/>
                  </w:pPr>
                  <w:r>
                    <w:t>符合</w:t>
                  </w:r>
                </w:p>
              </w:tc>
            </w:tr>
            <w:tr w14:paraId="02BE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vMerge w:val="continue"/>
                  <w:noWrap w:val="0"/>
                  <w:vAlign w:val="center"/>
                </w:tcPr>
                <w:p w14:paraId="1EC97111">
                  <w:pPr>
                    <w:pStyle w:val="47"/>
                    <w:bidi w:val="0"/>
                  </w:pPr>
                </w:p>
              </w:tc>
              <w:tc>
                <w:tcPr>
                  <w:tcW w:w="442" w:type="pct"/>
                  <w:vMerge w:val="continue"/>
                  <w:noWrap w:val="0"/>
                  <w:vAlign w:val="center"/>
                </w:tcPr>
                <w:p w14:paraId="22957378">
                  <w:pPr>
                    <w:pStyle w:val="47"/>
                    <w:bidi w:val="0"/>
                  </w:pPr>
                </w:p>
              </w:tc>
              <w:tc>
                <w:tcPr>
                  <w:tcW w:w="1817" w:type="pct"/>
                  <w:noWrap w:val="0"/>
                  <w:vAlign w:val="center"/>
                </w:tcPr>
                <w:p w14:paraId="7353AA24">
                  <w:pPr>
                    <w:pStyle w:val="47"/>
                    <w:bidi w:val="0"/>
                  </w:pPr>
                  <w:r>
                    <w:rPr>
                      <w:rFonts w:hint="eastAsia"/>
                    </w:rPr>
                    <w:t>9严格控制新增</w:t>
                  </w:r>
                  <w:r>
                    <w:rPr>
                      <w:rFonts w:hint="eastAsia"/>
                      <w:lang w:eastAsia="zh-CN"/>
                    </w:rPr>
                    <w:t>“</w:t>
                  </w:r>
                  <w:r>
                    <w:rPr>
                      <w:rFonts w:hint="eastAsia"/>
                    </w:rPr>
                    <w:t>两高</w:t>
                  </w:r>
                  <w:r>
                    <w:rPr>
                      <w:rFonts w:hint="eastAsia"/>
                      <w:lang w:eastAsia="zh-CN"/>
                    </w:rPr>
                    <w:t>”</w:t>
                  </w:r>
                  <w:r>
                    <w:rPr>
                      <w:rFonts w:hint="eastAsia"/>
                    </w:rPr>
                    <w:t>项目审批，认真分析评估拟建项目必要性、可行性和对产业高质量发展、能耗双控、碳排放和环境质量的影响，严格审查项目是否符合产业政策、产业规划、</w:t>
                  </w:r>
                  <w:r>
                    <w:rPr>
                      <w:rFonts w:hint="eastAsia"/>
                      <w:lang w:eastAsia="zh-CN"/>
                    </w:rPr>
                    <w:t>“</w:t>
                  </w:r>
                  <w:r>
                    <w:rPr>
                      <w:rFonts w:hint="eastAsia"/>
                    </w:rPr>
                    <w:t>三线一单</w:t>
                  </w:r>
                  <w:r>
                    <w:rPr>
                      <w:rFonts w:hint="eastAsia"/>
                      <w:lang w:eastAsia="zh-CN"/>
                    </w:rPr>
                    <w:t>”</w:t>
                  </w:r>
                  <w:r>
                    <w:rPr>
                      <w:rFonts w:hint="eastAsia"/>
                    </w:rPr>
                    <w:t>、规划环评要求，是否依法依规落实产能置换、能耗置换、煤炭消费减量替代、污染物排放区域削减等要求。对已建成投产的存量</w:t>
                  </w:r>
                  <w:r>
                    <w:rPr>
                      <w:rFonts w:hint="eastAsia"/>
                      <w:lang w:eastAsia="zh-CN"/>
                    </w:rPr>
                    <w:t>“</w:t>
                  </w:r>
                  <w:r>
                    <w:rPr>
                      <w:rFonts w:hint="eastAsia"/>
                    </w:rPr>
                    <w:t>两高</w:t>
                  </w:r>
                  <w:r>
                    <w:rPr>
                      <w:rFonts w:hint="eastAsia"/>
                      <w:lang w:eastAsia="zh-CN"/>
                    </w:rPr>
                    <w:t>”</w:t>
                  </w:r>
                  <w:r>
                    <w:rPr>
                      <w:rFonts w:hint="eastAsia"/>
                    </w:rPr>
                    <w:t>项目，有节能减排潜力的加快改造升级，属于落后产能的加快淘汰。</w:t>
                  </w:r>
                </w:p>
              </w:tc>
              <w:tc>
                <w:tcPr>
                  <w:tcW w:w="1584" w:type="pct"/>
                  <w:noWrap w:val="0"/>
                  <w:vAlign w:val="center"/>
                </w:tcPr>
                <w:p w14:paraId="5292AFF2">
                  <w:pPr>
                    <w:pStyle w:val="47"/>
                    <w:bidi w:val="0"/>
                  </w:pPr>
                  <w:r>
                    <w:rPr>
                      <w:rFonts w:hint="eastAsia"/>
                      <w:lang w:val="en-US" w:eastAsia="zh-CN"/>
                    </w:rPr>
                    <w:t>对照《安徽省“两高”项目管理目录（试行）》，本项目不属于两高项目。</w:t>
                  </w:r>
                </w:p>
              </w:tc>
              <w:tc>
                <w:tcPr>
                  <w:tcW w:w="576" w:type="pct"/>
                  <w:noWrap w:val="0"/>
                  <w:vAlign w:val="center"/>
                </w:tcPr>
                <w:p w14:paraId="2A2F9DA1">
                  <w:pPr>
                    <w:pStyle w:val="47"/>
                    <w:bidi w:val="0"/>
                  </w:pPr>
                  <w:r>
                    <w:t>符合</w:t>
                  </w:r>
                </w:p>
              </w:tc>
            </w:tr>
            <w:tr w14:paraId="3EFF3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vMerge w:val="continue"/>
                  <w:noWrap w:val="0"/>
                  <w:vAlign w:val="center"/>
                </w:tcPr>
                <w:p w14:paraId="426B5324">
                  <w:pPr>
                    <w:pStyle w:val="47"/>
                    <w:bidi w:val="0"/>
                  </w:pPr>
                </w:p>
              </w:tc>
              <w:tc>
                <w:tcPr>
                  <w:tcW w:w="442" w:type="pct"/>
                  <w:vMerge w:val="continue"/>
                  <w:noWrap w:val="0"/>
                  <w:vAlign w:val="center"/>
                </w:tcPr>
                <w:p w14:paraId="2DCBFCB2">
                  <w:pPr>
                    <w:pStyle w:val="47"/>
                    <w:bidi w:val="0"/>
                  </w:pPr>
                </w:p>
              </w:tc>
              <w:tc>
                <w:tcPr>
                  <w:tcW w:w="1817" w:type="pct"/>
                  <w:noWrap w:val="0"/>
                  <w:vAlign w:val="center"/>
                </w:tcPr>
                <w:p w14:paraId="7694A490">
                  <w:pPr>
                    <w:pStyle w:val="47"/>
                    <w:bidi w:val="0"/>
                    <w:rPr>
                      <w:rFonts w:hint="eastAsia"/>
                      <w:lang w:eastAsia="zh-CN"/>
                    </w:rPr>
                  </w:pPr>
                  <w:r>
                    <w:rPr>
                      <w:rFonts w:hint="eastAsia"/>
                    </w:rPr>
                    <w:t>12禁止新建、扩建分散燃煤供热锅炉</w:t>
                  </w:r>
                  <w:r>
                    <w:rPr>
                      <w:rFonts w:hint="eastAsia"/>
                      <w:lang w:eastAsia="zh-CN"/>
                    </w:rPr>
                    <w:t>。</w:t>
                  </w:r>
                </w:p>
              </w:tc>
              <w:tc>
                <w:tcPr>
                  <w:tcW w:w="1584" w:type="pct"/>
                  <w:noWrap w:val="0"/>
                  <w:vAlign w:val="center"/>
                </w:tcPr>
                <w:p w14:paraId="34AD8759">
                  <w:pPr>
                    <w:pStyle w:val="47"/>
                    <w:bidi w:val="0"/>
                    <w:rPr>
                      <w:rFonts w:hint="default"/>
                      <w:lang w:val="en-US" w:eastAsia="zh-CN"/>
                    </w:rPr>
                  </w:pPr>
                  <w:r>
                    <w:rPr>
                      <w:rFonts w:hint="eastAsia"/>
                      <w:lang w:val="en-US" w:eastAsia="zh-CN"/>
                    </w:rPr>
                    <w:t>本项目蒸汽由园区供给，开发区供热管网已覆盖全区。</w:t>
                  </w:r>
                </w:p>
              </w:tc>
              <w:tc>
                <w:tcPr>
                  <w:tcW w:w="576" w:type="pct"/>
                  <w:noWrap w:val="0"/>
                  <w:vAlign w:val="center"/>
                </w:tcPr>
                <w:p w14:paraId="2D662E86">
                  <w:pPr>
                    <w:pStyle w:val="47"/>
                    <w:bidi w:val="0"/>
                  </w:pPr>
                  <w:r>
                    <w:t>符合</w:t>
                  </w:r>
                </w:p>
              </w:tc>
            </w:tr>
            <w:tr w14:paraId="0CBF0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vMerge w:val="continue"/>
                  <w:noWrap w:val="0"/>
                  <w:vAlign w:val="center"/>
                </w:tcPr>
                <w:p w14:paraId="3B93B8CB">
                  <w:pPr>
                    <w:pStyle w:val="47"/>
                    <w:bidi w:val="0"/>
                  </w:pPr>
                </w:p>
              </w:tc>
              <w:tc>
                <w:tcPr>
                  <w:tcW w:w="442" w:type="pct"/>
                  <w:vMerge w:val="restart"/>
                  <w:noWrap w:val="0"/>
                  <w:vAlign w:val="center"/>
                </w:tcPr>
                <w:p w14:paraId="3578EE69">
                  <w:pPr>
                    <w:pStyle w:val="47"/>
                    <w:bidi w:val="0"/>
                  </w:pPr>
                  <w:r>
                    <w:rPr>
                      <w:rFonts w:hint="eastAsia"/>
                    </w:rPr>
                    <w:t>污染物排放管控</w:t>
                  </w:r>
                </w:p>
              </w:tc>
              <w:tc>
                <w:tcPr>
                  <w:tcW w:w="1817" w:type="pct"/>
                  <w:noWrap w:val="0"/>
                  <w:vAlign w:val="center"/>
                </w:tcPr>
                <w:p w14:paraId="5B6DFD8E">
                  <w:pPr>
                    <w:pStyle w:val="47"/>
                    <w:bidi w:val="0"/>
                  </w:pPr>
                  <w:r>
                    <w:rPr>
                      <w:rFonts w:hint="eastAsia"/>
                      <w:lang w:val="en-US" w:eastAsia="zh-CN"/>
                    </w:rPr>
                    <w:t>49新建、改建、扩建排放重点大气污染物的项目不符合总量控制要求的，不得通过环境影响评价。</w:t>
                  </w:r>
                </w:p>
              </w:tc>
              <w:tc>
                <w:tcPr>
                  <w:tcW w:w="1584" w:type="pct"/>
                  <w:noWrap w:val="0"/>
                  <w:vAlign w:val="center"/>
                </w:tcPr>
                <w:p w14:paraId="3607D360">
                  <w:pPr>
                    <w:pStyle w:val="47"/>
                    <w:bidi w:val="0"/>
                    <w:rPr>
                      <w:rFonts w:hint="default"/>
                      <w:lang w:val="en-US" w:eastAsia="zh-CN"/>
                    </w:rPr>
                  </w:pPr>
                  <w:r>
                    <w:rPr>
                      <w:rFonts w:hint="eastAsia"/>
                      <w:lang w:val="en-US" w:eastAsia="zh-CN"/>
                    </w:rPr>
                    <w:t>本项目目前正积极履行环评手续</w:t>
                  </w:r>
                </w:p>
              </w:tc>
              <w:tc>
                <w:tcPr>
                  <w:tcW w:w="576" w:type="pct"/>
                  <w:noWrap w:val="0"/>
                  <w:vAlign w:val="center"/>
                </w:tcPr>
                <w:p w14:paraId="3ED1BAC8">
                  <w:pPr>
                    <w:pStyle w:val="47"/>
                    <w:bidi w:val="0"/>
                  </w:pPr>
                  <w:r>
                    <w:t>符合</w:t>
                  </w:r>
                </w:p>
              </w:tc>
            </w:tr>
            <w:tr w14:paraId="51002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vMerge w:val="continue"/>
                  <w:noWrap w:val="0"/>
                  <w:vAlign w:val="center"/>
                </w:tcPr>
                <w:p w14:paraId="3619556F">
                  <w:pPr>
                    <w:pStyle w:val="47"/>
                    <w:bidi w:val="0"/>
                  </w:pPr>
                </w:p>
              </w:tc>
              <w:tc>
                <w:tcPr>
                  <w:tcW w:w="442" w:type="pct"/>
                  <w:vMerge w:val="continue"/>
                  <w:noWrap w:val="0"/>
                  <w:vAlign w:val="center"/>
                </w:tcPr>
                <w:p w14:paraId="267E063F">
                  <w:pPr>
                    <w:pStyle w:val="47"/>
                    <w:bidi w:val="0"/>
                    <w:rPr>
                      <w:rFonts w:hint="eastAsia"/>
                    </w:rPr>
                  </w:pPr>
                </w:p>
              </w:tc>
              <w:tc>
                <w:tcPr>
                  <w:tcW w:w="1817" w:type="pct"/>
                  <w:noWrap w:val="0"/>
                  <w:vAlign w:val="center"/>
                </w:tcPr>
                <w:p w14:paraId="46D25586">
                  <w:pPr>
                    <w:pStyle w:val="47"/>
                    <w:bidi w:val="0"/>
                    <w:rPr>
                      <w:rFonts w:hint="eastAsia"/>
                      <w:lang w:val="en-US" w:eastAsia="zh-CN"/>
                    </w:rPr>
                  </w:pPr>
                  <w:r>
                    <w:rPr>
                      <w:rFonts w:hint="eastAsia"/>
                      <w:lang w:val="en-US" w:eastAsia="zh-CN"/>
                    </w:rPr>
                    <w:t>54全面推动挥发性有机物纳入排污许可管理。禁止建设生产和使用高挥发油墨、胶粘剂、清洗剂等项目。加快推进石化、化工性有机物含量涂料、涂装、医药、包装印刷和油品储运销等重点行业挥发性有机物深度治理，全面提升废气收集率、治理设施同步运行率和去除率，提高水性、高固体分、无溶剂、粉末、辐射固化等低挥发性有机物含量产品的比重。加大工业涂装、包装印刷等行业低挥发性有机物含量原辅材料替代力度，严格执行涂料、油墨、胶粘剂、清洗剂挥发性有机物含量限值标准，确保生产销售、进口、使用符合标准的产品。到2025年，溶剂型工业涂料、油墨使用比例分别降低20个、10个百分点。溶剂型胶粘剂使用量降低20%。55实行重点排放源排放浓度与去除效率双重控制。车间或生产设施收集排放的废气，VOCs初始排放速率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584" w:type="pct"/>
                  <w:noWrap w:val="0"/>
                  <w:vAlign w:val="center"/>
                </w:tcPr>
                <w:p w14:paraId="4C67B44D">
                  <w:pPr>
                    <w:pStyle w:val="47"/>
                    <w:bidi w:val="0"/>
                    <w:rPr>
                      <w:rFonts w:hint="default"/>
                      <w:lang w:val="en-US"/>
                    </w:rPr>
                  </w:pPr>
                  <w:r>
                    <w:rPr>
                      <w:rFonts w:hint="eastAsia"/>
                      <w:lang w:val="en-US" w:eastAsia="zh-CN"/>
                    </w:rPr>
                    <w:t>项目按照要求进行排污许可管理。项目不使用高挥发油墨、胶粘剂、清洗剂等项目。项目废气经有效收集后进入冷凝+二级活性炭装置，废气治理效率为97.5%。</w:t>
                  </w:r>
                </w:p>
              </w:tc>
              <w:tc>
                <w:tcPr>
                  <w:tcW w:w="576" w:type="pct"/>
                  <w:noWrap w:val="0"/>
                  <w:vAlign w:val="center"/>
                </w:tcPr>
                <w:p w14:paraId="5CD11994">
                  <w:pPr>
                    <w:pStyle w:val="47"/>
                    <w:bidi w:val="0"/>
                    <w:rPr>
                      <w:rFonts w:hint="eastAsia"/>
                      <w:lang w:val="en-US" w:eastAsia="zh-CN"/>
                    </w:rPr>
                  </w:pPr>
                  <w:r>
                    <w:rPr>
                      <w:rFonts w:hint="eastAsia"/>
                      <w:lang w:val="en-US" w:eastAsia="zh-CN"/>
                    </w:rPr>
                    <w:t>符合</w:t>
                  </w:r>
                </w:p>
              </w:tc>
            </w:tr>
            <w:tr w14:paraId="7AA3B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vMerge w:val="continue"/>
                  <w:noWrap w:val="0"/>
                  <w:vAlign w:val="center"/>
                </w:tcPr>
                <w:p w14:paraId="66FA8AF0">
                  <w:pPr>
                    <w:pStyle w:val="47"/>
                    <w:bidi w:val="0"/>
                  </w:pPr>
                </w:p>
              </w:tc>
              <w:tc>
                <w:tcPr>
                  <w:tcW w:w="442" w:type="pct"/>
                  <w:vMerge w:val="continue"/>
                  <w:noWrap w:val="0"/>
                  <w:vAlign w:val="center"/>
                </w:tcPr>
                <w:p w14:paraId="2F0CC262">
                  <w:pPr>
                    <w:pStyle w:val="47"/>
                    <w:bidi w:val="0"/>
                    <w:rPr>
                      <w:rFonts w:hint="eastAsia"/>
                    </w:rPr>
                  </w:pPr>
                </w:p>
              </w:tc>
              <w:tc>
                <w:tcPr>
                  <w:tcW w:w="1817" w:type="pct"/>
                  <w:noWrap w:val="0"/>
                  <w:vAlign w:val="center"/>
                </w:tcPr>
                <w:p w14:paraId="6ACED8A0">
                  <w:pPr>
                    <w:pStyle w:val="47"/>
                    <w:bidi w:val="0"/>
                    <w:rPr>
                      <w:rFonts w:hint="eastAsia"/>
                      <w:lang w:val="en-US" w:eastAsia="zh-CN"/>
                    </w:rPr>
                  </w:pPr>
                  <w:r>
                    <w:rPr>
                      <w:rFonts w:hint="eastAsia"/>
                      <w:lang w:val="en-US" w:eastAsia="zh-CN"/>
                    </w:rPr>
                    <w:t>59按《挥发性有机物无组织排放控制标准》(GB37822-2019)要求，做好VOCs物料储存、物料转移和输送、工艺过程、设备与管线组件、敞开液面VOCs排放，以及VOCs无组织排放废气收集处理系统要求。</w:t>
                  </w:r>
                </w:p>
              </w:tc>
              <w:tc>
                <w:tcPr>
                  <w:tcW w:w="1584" w:type="pct"/>
                  <w:noWrap w:val="0"/>
                  <w:vAlign w:val="center"/>
                </w:tcPr>
                <w:p w14:paraId="0E28BD37">
                  <w:pPr>
                    <w:pStyle w:val="47"/>
                    <w:bidi w:val="0"/>
                    <w:rPr>
                      <w:rFonts w:hint="default"/>
                      <w:lang w:val="en-US" w:eastAsia="zh-CN"/>
                    </w:rPr>
                  </w:pPr>
                  <w:r>
                    <w:rPr>
                      <w:rFonts w:hint="eastAsia"/>
                      <w:lang w:val="en-US" w:eastAsia="zh-CN"/>
                    </w:rPr>
                    <w:t>项目废气经集气罩、管道收集可有效减少废气有组织排放量。</w:t>
                  </w:r>
                </w:p>
              </w:tc>
              <w:tc>
                <w:tcPr>
                  <w:tcW w:w="576" w:type="pct"/>
                  <w:noWrap w:val="0"/>
                  <w:vAlign w:val="center"/>
                </w:tcPr>
                <w:p w14:paraId="0CA90614">
                  <w:pPr>
                    <w:pStyle w:val="47"/>
                    <w:bidi w:val="0"/>
                    <w:rPr>
                      <w:rFonts w:hint="default"/>
                      <w:lang w:val="en-US" w:eastAsia="zh-CN"/>
                    </w:rPr>
                  </w:pPr>
                  <w:r>
                    <w:rPr>
                      <w:rFonts w:hint="eastAsia"/>
                      <w:lang w:val="en-US" w:eastAsia="zh-CN"/>
                    </w:rPr>
                    <w:t>符合</w:t>
                  </w:r>
                </w:p>
              </w:tc>
            </w:tr>
          </w:tbl>
          <w:p w14:paraId="3F2409C0">
            <w:pPr>
              <w:ind w:firstLine="480"/>
              <w:rPr>
                <w:rFonts w:hint="eastAsia"/>
                <w:color w:val="auto"/>
                <w:highlight w:val="none"/>
              </w:rPr>
            </w:pPr>
            <w:r>
              <w:rPr>
                <w:rFonts w:hint="eastAsia"/>
                <w:color w:val="auto"/>
                <w:highlight w:val="none"/>
              </w:rPr>
              <w:t>综上所述，本项目符合</w:t>
            </w:r>
            <w:r>
              <w:rPr>
                <w:rFonts w:hint="eastAsia"/>
                <w:color w:val="auto"/>
                <w:highlight w:val="none"/>
                <w:lang w:eastAsia="zh-CN"/>
              </w:rPr>
              <w:t>“</w:t>
            </w:r>
            <w:r>
              <w:rPr>
                <w:rFonts w:hint="eastAsia"/>
                <w:color w:val="auto"/>
                <w:highlight w:val="none"/>
              </w:rPr>
              <w:t>三线一单</w:t>
            </w:r>
            <w:r>
              <w:rPr>
                <w:rFonts w:hint="eastAsia"/>
                <w:color w:val="auto"/>
                <w:highlight w:val="none"/>
                <w:lang w:eastAsia="zh-CN"/>
              </w:rPr>
              <w:t>”</w:t>
            </w:r>
            <w:r>
              <w:rPr>
                <w:rFonts w:hint="eastAsia"/>
                <w:color w:val="auto"/>
                <w:highlight w:val="none"/>
              </w:rPr>
              <w:t>的管理要求。</w:t>
            </w:r>
          </w:p>
          <w:p w14:paraId="3171D98E">
            <w:pPr>
              <w:bidi w:val="0"/>
              <w:rPr>
                <w:rFonts w:hint="default" w:ascii="Times New Roman" w:hAnsi="Times New Roman" w:eastAsia="宋体" w:cs="Times New Roman"/>
                <w:b/>
                <w:bCs/>
                <w:color w:val="000000"/>
                <w:kern w:val="2"/>
                <w:szCs w:val="24"/>
              </w:rPr>
            </w:pPr>
            <w:r>
              <w:rPr>
                <w:rFonts w:hint="eastAsia"/>
                <w:b/>
                <w:bCs/>
                <w:lang w:val="en-US" w:eastAsia="zh-CN"/>
              </w:rPr>
              <w:t>3、与《安徽省淮河流域水污染防治条例》相符性</w:t>
            </w:r>
          </w:p>
          <w:p w14:paraId="224E520D">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安徽省第十三届人民代表大会常务委员会第六次会议通过了《安徽省淮河流域水污染防治条例》，</w:t>
            </w:r>
            <w:r>
              <w:rPr>
                <w:rFonts w:hint="default" w:ascii="Times New Roman" w:hAnsi="Times New Roman" w:eastAsia="宋体" w:cs="Times New Roman"/>
                <w:kern w:val="2"/>
                <w:sz w:val="24"/>
                <w:szCs w:val="24"/>
                <w:lang w:val="en-US" w:eastAsia="zh-CN" w:bidi="ar"/>
              </w:rPr>
              <w:t>2019</w:t>
            </w:r>
            <w:r>
              <w:rPr>
                <w:rFonts w:hint="eastAsia" w:ascii="宋体" w:hAnsi="宋体" w:eastAsia="宋体" w:cs="宋体"/>
                <w:kern w:val="2"/>
                <w:sz w:val="24"/>
                <w:szCs w:val="24"/>
                <w:lang w:val="en-US" w:eastAsia="zh-CN" w:bidi="ar"/>
              </w:rPr>
              <w:t>年</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月</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日实施。项目与《安徽省淮河流域水污染防治条例》符合性分析见下表。</w:t>
            </w:r>
          </w:p>
          <w:p w14:paraId="7CADEF5F">
            <w:pPr>
              <w:pStyle w:val="87"/>
              <w:spacing w:afterLines="0"/>
              <w:rPr>
                <w:rFonts w:hint="default"/>
                <w:sz w:val="24"/>
                <w:szCs w:val="24"/>
              </w:rPr>
            </w:pPr>
            <w:r>
              <w:rPr>
                <w:rFonts w:hint="default"/>
                <w:sz w:val="24"/>
                <w:szCs w:val="24"/>
              </w:rPr>
              <w:t>表1-</w:t>
            </w:r>
            <w:r>
              <w:rPr>
                <w:rFonts w:hint="eastAsia"/>
                <w:sz w:val="24"/>
                <w:szCs w:val="24"/>
                <w:lang w:val="en-US" w:eastAsia="zh-CN"/>
              </w:rPr>
              <w:t>10</w:t>
            </w:r>
            <w:r>
              <w:rPr>
                <w:rFonts w:hint="default"/>
                <w:sz w:val="24"/>
                <w:szCs w:val="24"/>
              </w:rPr>
              <w:t xml:space="preserve"> 本项目与《淮河流域水污染防治暂行条例》符合性分析</w:t>
            </w:r>
          </w:p>
          <w:tbl>
            <w:tblPr>
              <w:tblStyle w:val="26"/>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38"/>
              <w:gridCol w:w="4344"/>
              <w:gridCol w:w="2395"/>
              <w:gridCol w:w="783"/>
            </w:tblGrid>
            <w:tr w14:paraId="6717A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9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84DA34">
                  <w:pPr>
                    <w:pStyle w:val="51"/>
                    <w:bidi w:val="0"/>
                    <w:rPr>
                      <w:rFonts w:hint="default"/>
                    </w:rPr>
                  </w:pPr>
                  <w:r>
                    <w:rPr>
                      <w:rFonts w:hint="default"/>
                    </w:rPr>
                    <w:t>条款</w:t>
                  </w:r>
                </w:p>
              </w:tc>
              <w:tc>
                <w:tcPr>
                  <w:tcW w:w="26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8A0756">
                  <w:pPr>
                    <w:pStyle w:val="51"/>
                    <w:bidi w:val="0"/>
                    <w:rPr>
                      <w:rFonts w:hint="default"/>
                    </w:rPr>
                  </w:pPr>
                  <w:r>
                    <w:rPr>
                      <w:rFonts w:hint="default"/>
                    </w:rPr>
                    <w:t>条例内容</w:t>
                  </w:r>
                </w:p>
              </w:tc>
              <w:tc>
                <w:tcPr>
                  <w:tcW w:w="146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779EF3">
                  <w:pPr>
                    <w:pStyle w:val="51"/>
                    <w:bidi w:val="0"/>
                    <w:rPr>
                      <w:rFonts w:hint="default"/>
                    </w:rPr>
                  </w:pPr>
                  <w:r>
                    <w:rPr>
                      <w:rFonts w:hint="default"/>
                    </w:rPr>
                    <w:t>项目建设情况</w:t>
                  </w:r>
                </w:p>
              </w:tc>
              <w:tc>
                <w:tcPr>
                  <w:tcW w:w="47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C750BB">
                  <w:pPr>
                    <w:pStyle w:val="51"/>
                    <w:bidi w:val="0"/>
                    <w:rPr>
                      <w:rFonts w:hint="default"/>
                    </w:rPr>
                  </w:pPr>
                  <w:r>
                    <w:rPr>
                      <w:rFonts w:hint="default"/>
                    </w:rPr>
                    <w:t>符合</w:t>
                  </w:r>
                </w:p>
                <w:p w14:paraId="6047BF4D">
                  <w:pPr>
                    <w:pStyle w:val="51"/>
                    <w:bidi w:val="0"/>
                    <w:rPr>
                      <w:rFonts w:hint="default"/>
                    </w:rPr>
                  </w:pPr>
                  <w:r>
                    <w:rPr>
                      <w:rFonts w:hint="default"/>
                    </w:rPr>
                    <w:t>性分析</w:t>
                  </w:r>
                </w:p>
              </w:tc>
            </w:tr>
            <w:tr w14:paraId="47285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9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10E1AA">
                  <w:pPr>
                    <w:pStyle w:val="51"/>
                    <w:bidi w:val="0"/>
                    <w:rPr>
                      <w:rFonts w:hint="default"/>
                    </w:rPr>
                  </w:pPr>
                  <w:r>
                    <w:rPr>
                      <w:rFonts w:hint="default"/>
                    </w:rPr>
                    <w:t>第十三条</w:t>
                  </w:r>
                </w:p>
              </w:tc>
              <w:tc>
                <w:tcPr>
                  <w:tcW w:w="26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C16561">
                  <w:pPr>
                    <w:pStyle w:val="51"/>
                    <w:bidi w:val="0"/>
                    <w:rPr>
                      <w:rFonts w:hint="default"/>
                    </w:rPr>
                  </w:pPr>
                  <w:r>
                    <w:rPr>
                      <w:rFonts w:hint="default"/>
                    </w:rPr>
                    <w:t>严格限制在淮河流域新建印染、制革、化工、电镀、酿造等大中型项目或者其他污染严重的项目；建设该类项目的，应当事前征得省人民政府生态环境行政主管部门的同意，并按照规定办理有关手续</w:t>
                  </w:r>
                </w:p>
              </w:tc>
              <w:tc>
                <w:tcPr>
                  <w:tcW w:w="146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323703">
                  <w:pPr>
                    <w:pStyle w:val="51"/>
                    <w:bidi w:val="0"/>
                    <w:rPr>
                      <w:rFonts w:hint="eastAsia" w:eastAsia="宋体"/>
                      <w:lang w:eastAsia="zh-CN"/>
                    </w:rPr>
                  </w:pPr>
                  <w:r>
                    <w:rPr>
                      <w:rFonts w:hint="default"/>
                    </w:rPr>
                    <w:t>本项目属于</w:t>
                  </w:r>
                  <w:r>
                    <w:t>C29</w:t>
                  </w:r>
                  <w:r>
                    <w:rPr>
                      <w:rFonts w:hint="eastAsia"/>
                    </w:rPr>
                    <w:t>29</w:t>
                  </w:r>
                  <w:r>
                    <w:rPr>
                      <w:rFonts w:hint="eastAsia" w:ascii="宋体" w:hAnsi="宋体" w:cs="宋体"/>
                      <w:kern w:val="0"/>
                    </w:rPr>
                    <w:t>塑料零件及其他塑料制品制造</w:t>
                  </w:r>
                  <w:r>
                    <w:rPr>
                      <w:rFonts w:hint="eastAsia" w:ascii="宋体" w:hAnsi="宋体" w:cs="宋体"/>
                      <w:kern w:val="0"/>
                      <w:lang w:eastAsia="zh-CN"/>
                    </w:rPr>
                    <w:t>、</w:t>
                  </w:r>
                  <w:r>
                    <w:t>C2924</w:t>
                  </w:r>
                  <w:r>
                    <w:rPr>
                      <w:rFonts w:hint="eastAsia"/>
                    </w:rPr>
                    <w:t>泡沫塑料制造</w:t>
                  </w:r>
                  <w:r>
                    <w:rPr>
                      <w:rFonts w:hint="default"/>
                      <w:highlight w:val="none"/>
                    </w:rPr>
                    <w:t>，不属于印</w:t>
                  </w:r>
                  <w:r>
                    <w:rPr>
                      <w:rFonts w:hint="default"/>
                    </w:rPr>
                    <w:t>染、制革、化工、电镀、酿造等大中型项目或者其他污染严重的项目</w:t>
                  </w:r>
                  <w:r>
                    <w:rPr>
                      <w:rFonts w:hint="eastAsia"/>
                      <w:lang w:eastAsia="zh-CN"/>
                    </w:rPr>
                    <w:t>。</w:t>
                  </w:r>
                </w:p>
              </w:tc>
              <w:tc>
                <w:tcPr>
                  <w:tcW w:w="47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4C8D1C">
                  <w:pPr>
                    <w:pStyle w:val="51"/>
                    <w:bidi w:val="0"/>
                    <w:rPr>
                      <w:rFonts w:hint="default"/>
                    </w:rPr>
                  </w:pPr>
                  <w:r>
                    <w:rPr>
                      <w:rFonts w:hint="default"/>
                    </w:rPr>
                    <w:t>符合</w:t>
                  </w:r>
                </w:p>
              </w:tc>
            </w:tr>
            <w:tr w14:paraId="6ABC5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91"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5D92E8">
                  <w:pPr>
                    <w:pStyle w:val="51"/>
                    <w:bidi w:val="0"/>
                    <w:rPr>
                      <w:rFonts w:hint="default"/>
                    </w:rPr>
                  </w:pPr>
                  <w:r>
                    <w:rPr>
                      <w:rFonts w:hint="default"/>
                    </w:rPr>
                    <w:t>第十四</w:t>
                  </w:r>
                </w:p>
                <w:p w14:paraId="5F6EED1E">
                  <w:pPr>
                    <w:pStyle w:val="51"/>
                    <w:bidi w:val="0"/>
                    <w:rPr>
                      <w:rFonts w:hint="default"/>
                    </w:rPr>
                  </w:pPr>
                  <w:r>
                    <w:rPr>
                      <w:rFonts w:hint="default"/>
                    </w:rPr>
                    <w:t>条</w:t>
                  </w:r>
                </w:p>
              </w:tc>
              <w:tc>
                <w:tcPr>
                  <w:tcW w:w="26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655AB0">
                  <w:pPr>
                    <w:pStyle w:val="51"/>
                    <w:bidi w:val="0"/>
                    <w:rPr>
                      <w:rFonts w:hint="default"/>
                    </w:rPr>
                  </w:pPr>
                  <w:r>
                    <w:rPr>
                      <w:rFonts w:hint="default"/>
                    </w:rPr>
                    <w:t>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w:t>
                  </w:r>
                </w:p>
              </w:tc>
              <w:tc>
                <w:tcPr>
                  <w:tcW w:w="146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9F0B4A">
                  <w:pPr>
                    <w:pStyle w:val="51"/>
                    <w:bidi w:val="0"/>
                    <w:rPr>
                      <w:rFonts w:hint="default"/>
                      <w:lang w:val="en-US" w:eastAsia="zh-CN"/>
                    </w:rPr>
                  </w:pPr>
                  <w:r>
                    <w:rPr>
                      <w:rFonts w:hint="eastAsia"/>
                      <w:lang w:val="en-US" w:eastAsia="zh-CN"/>
                    </w:rPr>
                    <w:t>本项目目前正积极履行环评手续，严格遵守“三同时”制度。</w:t>
                  </w:r>
                </w:p>
              </w:tc>
              <w:tc>
                <w:tcPr>
                  <w:tcW w:w="47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AE77E3">
                  <w:pPr>
                    <w:pStyle w:val="51"/>
                    <w:bidi w:val="0"/>
                    <w:ind w:left="0" w:leftChars="0" w:firstLine="0" w:firstLineChars="0"/>
                    <w:jc w:val="center"/>
                    <w:rPr>
                      <w:rFonts w:hint="default"/>
                    </w:rPr>
                  </w:pPr>
                  <w:r>
                    <w:rPr>
                      <w:rFonts w:hint="default"/>
                    </w:rPr>
                    <w:t>符合</w:t>
                  </w:r>
                </w:p>
              </w:tc>
            </w:tr>
            <w:tr w14:paraId="52ED5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91"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4CF3CF">
                  <w:pPr>
                    <w:pStyle w:val="51"/>
                    <w:bidi w:val="0"/>
                    <w:rPr>
                      <w:rFonts w:hint="default"/>
                    </w:rPr>
                  </w:pPr>
                </w:p>
              </w:tc>
              <w:tc>
                <w:tcPr>
                  <w:tcW w:w="26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6CF78D">
                  <w:pPr>
                    <w:pStyle w:val="51"/>
                    <w:bidi w:val="0"/>
                    <w:rPr>
                      <w:rFonts w:hint="default"/>
                    </w:rPr>
                  </w:pPr>
                  <w:r>
                    <w:rPr>
                      <w:rFonts w:hint="default"/>
                    </w:rPr>
                    <w:t>新建、扩建、改建项目，除执行前款规定外，还应当遵守下列规定：</w:t>
                  </w:r>
                </w:p>
                <w:p w14:paraId="6CA4D479">
                  <w:pPr>
                    <w:pStyle w:val="51"/>
                    <w:bidi w:val="0"/>
                    <w:rPr>
                      <w:rFonts w:hint="default"/>
                    </w:rPr>
                  </w:pPr>
                  <w:r>
                    <w:rPr>
                      <w:rFonts w:hint="default"/>
                    </w:rPr>
                    <w:t>（一）新建项目的选址应符合城市总体规划，避开饮用水水源地和对环境有特殊要求的功能区；</w:t>
                  </w:r>
                </w:p>
                <w:p w14:paraId="2CBF342C">
                  <w:pPr>
                    <w:pStyle w:val="51"/>
                    <w:bidi w:val="0"/>
                    <w:rPr>
                      <w:rFonts w:hint="default"/>
                    </w:rPr>
                  </w:pPr>
                  <w:r>
                    <w:rPr>
                      <w:rFonts w:hint="default"/>
                    </w:rPr>
                    <w:t>（二）采用资源利用率高、污染物排放量少的先进设备和先进工艺；</w:t>
                  </w:r>
                </w:p>
                <w:p w14:paraId="171E3004">
                  <w:pPr>
                    <w:pStyle w:val="51"/>
                    <w:bidi w:val="0"/>
                    <w:rPr>
                      <w:rFonts w:hint="default"/>
                    </w:rPr>
                  </w:pPr>
                  <w:r>
                    <w:rPr>
                      <w:rFonts w:hint="default"/>
                    </w:rPr>
                    <w:t>（三）改建、扩建项目和技改项目应当把水污染治理纳入项目内容。</w:t>
                  </w:r>
                </w:p>
                <w:p w14:paraId="088A720B">
                  <w:pPr>
                    <w:pStyle w:val="51"/>
                    <w:bidi w:val="0"/>
                    <w:rPr>
                      <w:rFonts w:hint="default"/>
                    </w:rPr>
                  </w:pPr>
                  <w:r>
                    <w:rPr>
                      <w:rFonts w:hint="default"/>
                    </w:rPr>
                    <w:t>工程配套建设的水污染防治设施竣工后，建设单位应当按照国务院生态环境行政主管部门规定的标准和程序进行验收。验收合格后，方可投入使用；未经验收或者</w:t>
                  </w:r>
                </w:p>
                <w:p w14:paraId="02056D4D">
                  <w:pPr>
                    <w:pStyle w:val="51"/>
                    <w:bidi w:val="0"/>
                    <w:rPr>
                      <w:rFonts w:hint="default"/>
                      <w:lang w:val="zh-CN"/>
                    </w:rPr>
                  </w:pPr>
                  <w:r>
                    <w:rPr>
                      <w:rFonts w:hint="default"/>
                    </w:rPr>
                    <w:t>验收不合格的，不得投入生产或者使用</w:t>
                  </w:r>
                </w:p>
              </w:tc>
              <w:tc>
                <w:tcPr>
                  <w:tcW w:w="146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88C218">
                  <w:pPr>
                    <w:pStyle w:val="51"/>
                    <w:bidi w:val="0"/>
                    <w:rPr>
                      <w:rFonts w:hint="default"/>
                    </w:rPr>
                  </w:pPr>
                  <w:r>
                    <w:rPr>
                      <w:rFonts w:hint="default"/>
                    </w:rPr>
                    <w:t>本项目选址位于淮南市</w:t>
                  </w:r>
                  <w:r>
                    <w:rPr>
                      <w:rFonts w:hint="eastAsia"/>
                      <w:lang w:val="en-US" w:eastAsia="zh-CN"/>
                    </w:rPr>
                    <w:t>经济开发区</w:t>
                  </w:r>
                  <w:r>
                    <w:rPr>
                      <w:rFonts w:hint="default"/>
                    </w:rPr>
                    <w:t>，符合用地和产业规划，评价范围内不涉及饮用水水源地和对环境有特殊要求的功能区。</w:t>
                  </w:r>
                  <w:r>
                    <w:rPr>
                      <w:rFonts w:hint="eastAsia"/>
                      <w:lang w:val="en-US" w:eastAsia="zh-CN"/>
                    </w:rPr>
                    <w:t>项目</w:t>
                  </w:r>
                  <w:r>
                    <w:rPr>
                      <w:rFonts w:hint="default"/>
                    </w:rPr>
                    <w:t>采用资源利用率高，污染物排放量少的先进设备和先进工艺。</w:t>
                  </w:r>
                </w:p>
                <w:p w14:paraId="03345DEE">
                  <w:pPr>
                    <w:pStyle w:val="51"/>
                    <w:bidi w:val="0"/>
                    <w:rPr>
                      <w:rFonts w:hint="eastAsia" w:eastAsia="宋体"/>
                      <w:lang w:val="zh-CN" w:eastAsia="zh-CN"/>
                    </w:rPr>
                  </w:pPr>
                  <w:r>
                    <w:rPr>
                      <w:rFonts w:hint="default"/>
                    </w:rPr>
                    <w:t>项目按照国务院生态环境行政主管部门规定的标准和程序进行验收。验收合格后，方可投入使用；未经验收或者验收不合格的，不得投入生产或者使用</w:t>
                  </w:r>
                  <w:r>
                    <w:rPr>
                      <w:rFonts w:hint="eastAsia"/>
                      <w:lang w:eastAsia="zh-CN"/>
                    </w:rPr>
                    <w:t>。</w:t>
                  </w:r>
                </w:p>
              </w:tc>
              <w:tc>
                <w:tcPr>
                  <w:tcW w:w="47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984B0D">
                  <w:pPr>
                    <w:pStyle w:val="51"/>
                    <w:bidi w:val="0"/>
                    <w:rPr>
                      <w:rFonts w:hint="default"/>
                      <w:lang w:val="zh-CN"/>
                    </w:rPr>
                  </w:pPr>
                  <w:r>
                    <w:rPr>
                      <w:rFonts w:hint="default"/>
                    </w:rPr>
                    <w:t>符合</w:t>
                  </w:r>
                </w:p>
              </w:tc>
            </w:tr>
            <w:tr w14:paraId="5D6917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9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FB71B1">
                  <w:pPr>
                    <w:pStyle w:val="51"/>
                    <w:bidi w:val="0"/>
                    <w:rPr>
                      <w:rFonts w:hint="default"/>
                    </w:rPr>
                  </w:pPr>
                  <w:r>
                    <w:rPr>
                      <w:rFonts w:hint="default"/>
                    </w:rPr>
                    <w:t>第十五条</w:t>
                  </w:r>
                </w:p>
                <w:p w14:paraId="0D2EE957">
                  <w:pPr>
                    <w:pStyle w:val="51"/>
                    <w:bidi w:val="0"/>
                    <w:rPr>
                      <w:rFonts w:hint="default"/>
                      <w:lang w:val="zh-CN"/>
                    </w:rPr>
                  </w:pPr>
                  <w:r>
                    <w:rPr>
                      <w:rFonts w:hint="default"/>
                    </w:rPr>
                    <w:t>条</w:t>
                  </w:r>
                </w:p>
              </w:tc>
              <w:tc>
                <w:tcPr>
                  <w:tcW w:w="26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CB0A31">
                  <w:pPr>
                    <w:pStyle w:val="51"/>
                    <w:bidi w:val="0"/>
                    <w:rPr>
                      <w:rFonts w:hint="default"/>
                      <w:lang w:val="zh-CN"/>
                    </w:rPr>
                  </w:pPr>
                  <w:r>
                    <w:rPr>
                      <w:rFonts w:hint="default"/>
                      <w:lang w:val="zh-CN"/>
                    </w:rPr>
                    <w:t>所有排污单位的污水治理设施，应当确保正常运转，达标排放</w:t>
                  </w:r>
                </w:p>
              </w:tc>
              <w:tc>
                <w:tcPr>
                  <w:tcW w:w="146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38D9D8">
                  <w:pPr>
                    <w:pStyle w:val="51"/>
                    <w:bidi w:val="0"/>
                    <w:rPr>
                      <w:rFonts w:hint="eastAsia" w:eastAsia="宋体"/>
                      <w:lang w:val="zh-CN" w:eastAsia="zh-CN"/>
                    </w:rPr>
                  </w:pPr>
                  <w:r>
                    <w:rPr>
                      <w:rFonts w:hint="eastAsia"/>
                      <w:lang w:val="en-US" w:eastAsia="zh-CN"/>
                    </w:rPr>
                    <w:t>本项</w:t>
                  </w:r>
                  <w:r>
                    <w:rPr>
                      <w:rFonts w:hint="eastAsia"/>
                      <w:highlight w:val="none"/>
                      <w:lang w:val="en-US" w:eastAsia="zh-CN"/>
                    </w:rPr>
                    <w:t>目无生产废水外排，</w:t>
                  </w:r>
                  <w:r>
                    <w:rPr>
                      <w:rFonts w:hint="eastAsia"/>
                      <w:color w:val="auto"/>
                      <w:highlight w:val="none"/>
                      <w:lang w:val="en-US" w:eastAsia="zh-CN"/>
                    </w:rPr>
                    <w:t>生活污水经厂区现有化粪池处理后进入园区污水处理管网</w:t>
                  </w:r>
                  <w:r>
                    <w:t>后进入淮南经济开发区污水处理厂（三万吨污水处理厂）处理达标后尾水排入淮河</w:t>
                  </w:r>
                  <w:r>
                    <w:rPr>
                      <w:rFonts w:hint="eastAsia"/>
                      <w:lang w:eastAsia="zh-CN"/>
                    </w:rPr>
                    <w:t>。</w:t>
                  </w:r>
                </w:p>
              </w:tc>
              <w:tc>
                <w:tcPr>
                  <w:tcW w:w="47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368B29">
                  <w:pPr>
                    <w:pStyle w:val="51"/>
                    <w:bidi w:val="0"/>
                    <w:rPr>
                      <w:rFonts w:hint="default"/>
                      <w:lang w:val="zh-CN"/>
                    </w:rPr>
                  </w:pPr>
                  <w:r>
                    <w:rPr>
                      <w:rFonts w:hint="default"/>
                    </w:rPr>
                    <w:t>符合</w:t>
                  </w:r>
                </w:p>
              </w:tc>
            </w:tr>
            <w:tr w14:paraId="510F9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9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2E0A4E">
                  <w:pPr>
                    <w:pStyle w:val="51"/>
                    <w:bidi w:val="0"/>
                    <w:rPr>
                      <w:rFonts w:hint="default"/>
                      <w:lang w:val="zh-CN"/>
                    </w:rPr>
                  </w:pPr>
                  <w:r>
                    <w:rPr>
                      <w:rFonts w:hint="default"/>
                    </w:rPr>
                    <w:t>第十七条</w:t>
                  </w:r>
                </w:p>
              </w:tc>
              <w:tc>
                <w:tcPr>
                  <w:tcW w:w="26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5384CC">
                  <w:pPr>
                    <w:pStyle w:val="51"/>
                    <w:bidi w:val="0"/>
                    <w:rPr>
                      <w:rFonts w:hint="default"/>
                      <w:lang w:val="zh-CN"/>
                    </w:rPr>
                  </w:pPr>
                  <w:r>
                    <w:rPr>
                      <w:rFonts w:hint="default"/>
                    </w:rPr>
                    <w:t>在饮用水水源保护区内，禁止设置排污口。在风景名胜区水体、重要渔业水体和其他具有特殊经济文化价值的水体的保护区内，不得新建排污口。在保护区附近新建排污口，应当保证保护区水体不受污染</w:t>
                  </w:r>
                </w:p>
              </w:tc>
              <w:tc>
                <w:tcPr>
                  <w:tcW w:w="146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ECAC8B">
                  <w:pPr>
                    <w:pStyle w:val="51"/>
                    <w:bidi w:val="0"/>
                    <w:rPr>
                      <w:rFonts w:hint="eastAsia" w:eastAsia="宋体"/>
                      <w:lang w:val="zh-CN" w:eastAsia="zh-CN"/>
                    </w:rPr>
                  </w:pPr>
                  <w:r>
                    <w:rPr>
                      <w:rFonts w:hint="default"/>
                    </w:rPr>
                    <w:t>本项目不新建排污口</w:t>
                  </w:r>
                  <w:r>
                    <w:rPr>
                      <w:rFonts w:hint="eastAsia"/>
                      <w:lang w:eastAsia="zh-CN"/>
                    </w:rPr>
                    <w:t>。</w:t>
                  </w:r>
                </w:p>
              </w:tc>
              <w:tc>
                <w:tcPr>
                  <w:tcW w:w="47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91206A">
                  <w:pPr>
                    <w:pStyle w:val="51"/>
                    <w:bidi w:val="0"/>
                    <w:rPr>
                      <w:rFonts w:hint="default"/>
                      <w:lang w:val="zh-CN"/>
                    </w:rPr>
                  </w:pPr>
                  <w:r>
                    <w:rPr>
                      <w:rFonts w:hint="default"/>
                    </w:rPr>
                    <w:t>符合</w:t>
                  </w:r>
                </w:p>
              </w:tc>
            </w:tr>
            <w:tr w14:paraId="3496B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9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F2C21C">
                  <w:pPr>
                    <w:pStyle w:val="51"/>
                    <w:bidi w:val="0"/>
                    <w:rPr>
                      <w:rFonts w:hint="default"/>
                      <w:lang w:val="zh-CN"/>
                    </w:rPr>
                  </w:pPr>
                  <w:r>
                    <w:rPr>
                      <w:rFonts w:hint="default"/>
                    </w:rPr>
                    <w:t>第十九条</w:t>
                  </w:r>
                </w:p>
              </w:tc>
              <w:tc>
                <w:tcPr>
                  <w:tcW w:w="26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A022FD">
                  <w:pPr>
                    <w:pStyle w:val="51"/>
                    <w:bidi w:val="0"/>
                    <w:rPr>
                      <w:rFonts w:hint="default"/>
                    </w:rPr>
                  </w:pPr>
                  <w:r>
                    <w:rPr>
                      <w:rFonts w:hint="default"/>
                    </w:rPr>
                    <w:t>禁止下列行为：</w:t>
                  </w:r>
                </w:p>
                <w:p w14:paraId="209DA2B4">
                  <w:pPr>
                    <w:pStyle w:val="51"/>
                    <w:bidi w:val="0"/>
                    <w:rPr>
                      <w:rFonts w:hint="default"/>
                    </w:rPr>
                  </w:pPr>
                  <w:r>
                    <w:rPr>
                      <w:rFonts w:hint="default"/>
                    </w:rPr>
                    <w:t>（一）向水体排放或者倾倒油类、酸液、碱液和其他有毒有害液体；（二）在水体中清洗装贮过有毒有害污染物的车辆、船舶和容器；（三）向水体排放、倾倒含有汞、镉、砷、铬、铅、氰化物、黄磷等可溶性剧毒废液或者将上述物质直接埋入地下；（四）向水体排放、倾倒工业废渣、城镇垃圾和其他废弃物；（五）向水体排放、倾倒放射性固体废弃物或者放射性废水；（六）利用渗井、渗坑、裂隙、溶洞、塌陷区和废弃矿坑排放、倾倒，或者利用无防渗措施的沟渠、坑塘输送或者存贮含毒污染物或者病原体的废水和其他废弃物；（七）在河流、湖泊、运河、渠道、水库最高水位线以下的滩地和岸坡堆放、贮存固体废弃物和其他污染物；（八）围湖和其他破坏水环境生态平衡的活动；</w:t>
                  </w:r>
                </w:p>
                <w:p w14:paraId="1D611391">
                  <w:pPr>
                    <w:pStyle w:val="51"/>
                    <w:bidi w:val="0"/>
                    <w:rPr>
                      <w:rFonts w:hint="default"/>
                      <w:lang w:val="zh-CN"/>
                    </w:rPr>
                  </w:pPr>
                  <w:r>
                    <w:rPr>
                      <w:rFonts w:hint="default"/>
                    </w:rPr>
                    <w:t>（九）引进不符合国家环境保护规定要求的技术和设备；（十）法律、法规禁止的其他行为</w:t>
                  </w:r>
                </w:p>
              </w:tc>
              <w:tc>
                <w:tcPr>
                  <w:tcW w:w="146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99B70D">
                  <w:pPr>
                    <w:pStyle w:val="51"/>
                    <w:bidi w:val="0"/>
                    <w:rPr>
                      <w:rFonts w:hint="eastAsia" w:eastAsia="宋体"/>
                      <w:lang w:val="zh-CN" w:eastAsia="zh-CN"/>
                    </w:rPr>
                  </w:pPr>
                  <w:r>
                    <w:rPr>
                      <w:rFonts w:hint="default"/>
                    </w:rPr>
                    <w:t>项目严格遵守《安徽省淮河流域水污染防治条例》，不得有明令禁止的违法行为</w:t>
                  </w:r>
                  <w:r>
                    <w:rPr>
                      <w:rFonts w:hint="eastAsia"/>
                      <w:lang w:eastAsia="zh-CN"/>
                    </w:rPr>
                    <w:t>。</w:t>
                  </w:r>
                </w:p>
              </w:tc>
              <w:tc>
                <w:tcPr>
                  <w:tcW w:w="47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DE8741">
                  <w:pPr>
                    <w:pStyle w:val="51"/>
                    <w:bidi w:val="0"/>
                    <w:rPr>
                      <w:rFonts w:hint="default"/>
                      <w:lang w:val="zh-CN"/>
                    </w:rPr>
                  </w:pPr>
                  <w:r>
                    <w:rPr>
                      <w:rFonts w:hint="default"/>
                    </w:rPr>
                    <w:t>符合</w:t>
                  </w:r>
                </w:p>
              </w:tc>
            </w:tr>
          </w:tbl>
          <w:p w14:paraId="6CB5F8E9">
            <w:pPr>
              <w:widowControl/>
              <w:snapToGrid w:val="0"/>
              <w:spacing w:before="0" w:beforeAutospacing="0" w:after="0" w:afterAutospacing="0" w:line="360" w:lineRule="auto"/>
              <w:ind w:left="0" w:firstLine="482" w:firstLineChars="200"/>
              <w:rPr>
                <w:rFonts w:hint="default" w:ascii="Times New Roman" w:hAnsi="Times New Roman" w:cs="Times New Roman"/>
                <w:b/>
                <w:bCs/>
                <w:kern w:val="2"/>
                <w:sz w:val="24"/>
                <w:szCs w:val="24"/>
              </w:rPr>
            </w:pPr>
            <w:r>
              <w:rPr>
                <w:rFonts w:hint="eastAsia"/>
                <w:b/>
                <w:bCs/>
                <w:lang w:val="en-US" w:eastAsia="zh-CN"/>
              </w:rPr>
              <w:t>4、</w:t>
            </w:r>
            <w:r>
              <w:rPr>
                <w:rFonts w:hint="eastAsia" w:ascii="宋体" w:hAnsi="宋体" w:eastAsia="宋体" w:cs="宋体"/>
                <w:b/>
                <w:bCs/>
                <w:kern w:val="2"/>
                <w:sz w:val="24"/>
                <w:szCs w:val="24"/>
              </w:rPr>
              <w:t>与相关政策符合性</w:t>
            </w:r>
          </w:p>
          <w:p w14:paraId="762E53AD">
            <w:pPr>
              <w:keepNext w:val="0"/>
              <w:keepLines w:val="0"/>
              <w:widowControl w:val="0"/>
              <w:suppressLineNumbers w:val="0"/>
              <w:adjustRightInd w:val="0"/>
              <w:spacing w:before="0" w:beforeAutospacing="0" w:after="0" w:afterAutospacing="0" w:line="460" w:lineRule="exact"/>
              <w:ind w:left="0" w:right="0" w:firstLine="480" w:firstLineChars="200"/>
              <w:jc w:val="left"/>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项目与相关政策要求的符合性分析如下：</w:t>
            </w:r>
          </w:p>
          <w:p w14:paraId="1B2612F3">
            <w:pPr>
              <w:keepNext w:val="0"/>
              <w:keepLines w:val="0"/>
              <w:widowControl w:val="0"/>
              <w:suppressLineNumbers w:val="0"/>
              <w:adjustRightInd w:val="0"/>
              <w:spacing w:before="0" w:beforeAutospacing="0" w:after="0" w:afterAutospacing="0" w:line="460" w:lineRule="exact"/>
              <w:ind w:left="0" w:right="0" w:firstLine="482" w:firstLineChars="200"/>
              <w:jc w:val="center"/>
              <w:rPr>
                <w:rFonts w:hint="default" w:ascii="Times New Roman" w:hAnsi="Times New Roman" w:cs="Times New Roman"/>
                <w:b/>
                <w:bCs/>
                <w:kern w:val="2"/>
                <w:sz w:val="24"/>
                <w:szCs w:val="24"/>
              </w:rPr>
            </w:pPr>
            <w:r>
              <w:rPr>
                <w:rFonts w:hint="eastAsia" w:ascii="宋体" w:hAnsi="宋体" w:eastAsia="宋体" w:cs="宋体"/>
                <w:b/>
                <w:bCs/>
                <w:kern w:val="2"/>
                <w:sz w:val="24"/>
                <w:szCs w:val="24"/>
                <w:lang w:val="en-US" w:eastAsia="zh-CN" w:bidi="ar"/>
              </w:rPr>
              <w:t>表</w:t>
            </w:r>
            <w:r>
              <w:rPr>
                <w:rFonts w:hint="default" w:ascii="Times New Roman" w:hAnsi="Times New Roman" w:eastAsia="宋体" w:cs="Times New Roman"/>
                <w:b/>
                <w:bCs w:val="0"/>
                <w:kern w:val="2"/>
                <w:sz w:val="24"/>
                <w:szCs w:val="24"/>
                <w:lang w:val="en-US" w:eastAsia="zh-CN" w:bidi="ar"/>
              </w:rPr>
              <w:t>1-</w:t>
            </w:r>
            <w:r>
              <w:rPr>
                <w:rFonts w:hint="eastAsia" w:cs="Times New Roman"/>
                <w:b/>
                <w:bCs w:val="0"/>
                <w:kern w:val="2"/>
                <w:sz w:val="24"/>
                <w:szCs w:val="24"/>
                <w:lang w:val="en-US" w:eastAsia="zh-CN" w:bidi="ar"/>
              </w:rPr>
              <w:t>11</w:t>
            </w:r>
            <w:r>
              <w:rPr>
                <w:rFonts w:hint="default" w:ascii="Times New Roman" w:hAnsi="Times New Roman" w:eastAsia="宋体" w:cs="Times New Roman"/>
                <w:b/>
                <w:bCs/>
                <w:kern w:val="2"/>
                <w:sz w:val="24"/>
                <w:szCs w:val="24"/>
                <w:lang w:val="en-US" w:eastAsia="zh-CN" w:bidi="ar"/>
              </w:rPr>
              <w:t xml:space="preserve"> </w:t>
            </w:r>
            <w:r>
              <w:rPr>
                <w:rFonts w:hint="eastAsia" w:ascii="宋体" w:hAnsi="宋体" w:eastAsia="宋体" w:cs="宋体"/>
                <w:b/>
                <w:bCs/>
                <w:kern w:val="2"/>
                <w:sz w:val="24"/>
                <w:szCs w:val="24"/>
                <w:lang w:val="en-US" w:eastAsia="zh-CN" w:bidi="ar"/>
              </w:rPr>
              <w:t>项目与相关政策符合性分析表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4180"/>
              <w:gridCol w:w="2021"/>
              <w:gridCol w:w="765"/>
            </w:tblGrid>
            <w:tr w14:paraId="02E3C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82" w:type="dxa"/>
                  <w:tcBorders>
                    <w:top w:val="single" w:color="auto" w:sz="4" w:space="0"/>
                    <w:left w:val="single" w:color="auto" w:sz="4" w:space="0"/>
                    <w:bottom w:val="single" w:color="auto" w:sz="4" w:space="0"/>
                    <w:right w:val="single" w:color="auto" w:sz="4" w:space="0"/>
                  </w:tcBorders>
                  <w:noWrap w:val="0"/>
                  <w:vAlign w:val="center"/>
                </w:tcPr>
                <w:p w14:paraId="11FEF151">
                  <w:pPr>
                    <w:pStyle w:val="51"/>
                    <w:bidi w:val="0"/>
                    <w:rPr>
                      <w:rFonts w:hint="default"/>
                    </w:rPr>
                  </w:pPr>
                  <w:r>
                    <w:rPr>
                      <w:rFonts w:hint="eastAsia"/>
                      <w:lang w:val="en-US" w:eastAsia="zh-CN"/>
                    </w:rPr>
                    <w:t>文件名称</w:t>
                  </w:r>
                </w:p>
              </w:tc>
              <w:tc>
                <w:tcPr>
                  <w:tcW w:w="4111" w:type="dxa"/>
                  <w:tcBorders>
                    <w:top w:val="single" w:color="auto" w:sz="4" w:space="0"/>
                    <w:left w:val="single" w:color="auto" w:sz="4" w:space="0"/>
                    <w:bottom w:val="single" w:color="auto" w:sz="4" w:space="0"/>
                    <w:right w:val="single" w:color="auto" w:sz="4" w:space="0"/>
                  </w:tcBorders>
                  <w:noWrap w:val="0"/>
                  <w:vAlign w:val="center"/>
                </w:tcPr>
                <w:p w14:paraId="4E7D8182">
                  <w:pPr>
                    <w:pStyle w:val="51"/>
                    <w:bidi w:val="0"/>
                    <w:rPr>
                      <w:rFonts w:hint="default"/>
                    </w:rPr>
                  </w:pPr>
                  <w:r>
                    <w:rPr>
                      <w:rFonts w:hint="eastAsia"/>
                      <w:lang w:val="en-US" w:eastAsia="zh-CN"/>
                    </w:rPr>
                    <w:t>相关要求</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4A8BC9FF">
                  <w:pPr>
                    <w:pStyle w:val="51"/>
                    <w:bidi w:val="0"/>
                    <w:rPr>
                      <w:rFonts w:hint="default"/>
                    </w:rPr>
                  </w:pPr>
                  <w:r>
                    <w:rPr>
                      <w:rFonts w:hint="eastAsia"/>
                      <w:lang w:val="en-US" w:eastAsia="zh-CN"/>
                    </w:rPr>
                    <w:t>项目建设情况</w:t>
                  </w:r>
                </w:p>
              </w:tc>
              <w:tc>
                <w:tcPr>
                  <w:tcW w:w="752" w:type="dxa"/>
                  <w:tcBorders>
                    <w:top w:val="single" w:color="auto" w:sz="4" w:space="0"/>
                    <w:left w:val="single" w:color="auto" w:sz="4" w:space="0"/>
                    <w:bottom w:val="single" w:color="auto" w:sz="4" w:space="0"/>
                    <w:right w:val="single" w:color="auto" w:sz="4" w:space="0"/>
                  </w:tcBorders>
                  <w:noWrap w:val="0"/>
                  <w:vAlign w:val="center"/>
                </w:tcPr>
                <w:p w14:paraId="1DB27ED2">
                  <w:pPr>
                    <w:pStyle w:val="51"/>
                    <w:bidi w:val="0"/>
                    <w:rPr>
                      <w:rFonts w:hint="default"/>
                    </w:rPr>
                  </w:pPr>
                  <w:r>
                    <w:rPr>
                      <w:rFonts w:hint="eastAsia"/>
                      <w:lang w:val="en-US" w:eastAsia="zh-CN"/>
                    </w:rPr>
                    <w:t>符合性</w:t>
                  </w:r>
                </w:p>
              </w:tc>
            </w:tr>
            <w:tr w14:paraId="53A24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82" w:type="dxa"/>
                  <w:vMerge w:val="restart"/>
                  <w:tcBorders>
                    <w:top w:val="single" w:color="auto" w:sz="4" w:space="0"/>
                    <w:left w:val="single" w:color="auto" w:sz="4" w:space="0"/>
                    <w:right w:val="single" w:color="auto" w:sz="4" w:space="0"/>
                  </w:tcBorders>
                  <w:noWrap w:val="0"/>
                  <w:vAlign w:val="center"/>
                </w:tcPr>
                <w:p w14:paraId="461AFFB0">
                  <w:pPr>
                    <w:pStyle w:val="51"/>
                    <w:bidi w:val="0"/>
                    <w:rPr>
                      <w:rFonts w:hint="default"/>
                    </w:rPr>
                  </w:pPr>
                  <w:r>
                    <w:rPr>
                      <w:rFonts w:hint="eastAsia"/>
                      <w:lang w:val="en-US" w:eastAsia="zh-CN"/>
                    </w:rPr>
                    <w:t>《挥发性有机污染物无组织排放控制标准》（</w:t>
                  </w:r>
                  <w:r>
                    <w:rPr>
                      <w:rFonts w:hint="default"/>
                      <w:lang w:val="en-US" w:eastAsia="zh-CN"/>
                    </w:rPr>
                    <w:t>GB37822-2019</w:t>
                  </w:r>
                  <w:r>
                    <w:rPr>
                      <w:rFonts w:hint="eastAsia"/>
                      <w:lang w:val="en-US" w:eastAsia="zh-CN"/>
                    </w:rPr>
                    <w:t>）</w:t>
                  </w:r>
                </w:p>
              </w:tc>
              <w:tc>
                <w:tcPr>
                  <w:tcW w:w="4111" w:type="dxa"/>
                  <w:tcBorders>
                    <w:top w:val="single" w:color="auto" w:sz="4" w:space="0"/>
                    <w:left w:val="single" w:color="auto" w:sz="4" w:space="0"/>
                    <w:bottom w:val="single" w:color="auto" w:sz="4" w:space="0"/>
                    <w:right w:val="single" w:color="auto" w:sz="4" w:space="0"/>
                  </w:tcBorders>
                  <w:noWrap w:val="0"/>
                  <w:vAlign w:val="center"/>
                </w:tcPr>
                <w:p w14:paraId="4945D2A2">
                  <w:pPr>
                    <w:pStyle w:val="51"/>
                    <w:bidi w:val="0"/>
                    <w:rPr>
                      <w:rFonts w:hint="default" w:eastAsia="宋体"/>
                      <w:lang w:val="en-US" w:eastAsia="zh-CN"/>
                    </w:rPr>
                  </w:pPr>
                  <w:r>
                    <w:rPr>
                      <w:rFonts w:hint="eastAsia"/>
                      <w:lang w:val="en-US" w:eastAsia="zh-CN"/>
                    </w:rPr>
                    <w:t>物料储存：</w:t>
                  </w:r>
                  <w:r>
                    <w:rPr>
                      <w:lang w:eastAsia="en-US"/>
                    </w:rPr>
                    <w:t>VOCs</w:t>
                  </w:r>
                  <w:r>
                    <w:t>物料应储存于密闭的包装袋、料仓中盛装</w:t>
                  </w:r>
                  <w:r>
                    <w:rPr>
                      <w:lang w:eastAsia="en-US"/>
                    </w:rPr>
                    <w:t>VOCs</w:t>
                  </w:r>
                  <w:r>
                    <w:t>物料的包装袋应存放于室内。盛装</w:t>
                  </w:r>
                  <w:r>
                    <w:rPr>
                      <w:lang w:eastAsia="en-US"/>
                    </w:rPr>
                    <w:t>VOCs</w:t>
                  </w:r>
                  <w:r>
                    <w:t>物料的包装袋在非取用状态时应加盖、封口，保持密闭</w:t>
                  </w:r>
                  <w:r>
                    <w:rPr>
                      <w:rFonts w:hint="eastAsia"/>
                      <w:lang w:eastAsia="zh-CN"/>
                    </w:rPr>
                    <w:t>。</w:t>
                  </w:r>
                  <w:r>
                    <w:rPr>
                      <w:lang w:eastAsia="en-US"/>
                    </w:rPr>
                    <w:t>VOCs</w:t>
                  </w:r>
                  <w:r>
                    <w:t>物料储罐应密封良好</w:t>
                  </w:r>
                  <w:r>
                    <w:rPr>
                      <w:rFonts w:hint="eastAsia"/>
                      <w:lang w:eastAsia="zh-CN"/>
                    </w:rPr>
                    <w:t>，</w:t>
                  </w:r>
                  <w:r>
                    <w:rPr>
                      <w:lang w:eastAsia="en-US"/>
                    </w:rPr>
                    <w:t>VOCs</w:t>
                  </w:r>
                  <w:r>
                    <w:t>物料储库、料仓应满足</w:t>
                  </w:r>
                  <w:r>
                    <w:rPr>
                      <w:lang w:eastAsia="en-US"/>
                    </w:rPr>
                    <w:t>3.6</w:t>
                  </w:r>
                  <w:r>
                    <w:t>条对密闭空间的要求</w:t>
                  </w:r>
                </w:p>
              </w:tc>
              <w:tc>
                <w:tcPr>
                  <w:tcW w:w="1988" w:type="dxa"/>
                  <w:tcBorders>
                    <w:top w:val="single" w:color="auto" w:sz="4" w:space="0"/>
                    <w:left w:val="single" w:color="auto" w:sz="4" w:space="0"/>
                    <w:right w:val="single" w:color="auto" w:sz="4" w:space="0"/>
                  </w:tcBorders>
                  <w:noWrap w:val="0"/>
                  <w:vAlign w:val="center"/>
                </w:tcPr>
                <w:p w14:paraId="5F41A20E">
                  <w:pPr>
                    <w:pStyle w:val="43"/>
                    <w:rPr>
                      <w:rFonts w:hint="default"/>
                    </w:rPr>
                  </w:pPr>
                  <w:r>
                    <w:rPr>
                      <w:rFonts w:hint="eastAsia"/>
                      <w:b w:val="0"/>
                      <w:bCs/>
                      <w:color w:val="auto"/>
                      <w:lang w:val="en-US" w:eastAsia="zh-CN"/>
                    </w:rPr>
                    <w:t>项目</w:t>
                  </w:r>
                  <w:r>
                    <w:rPr>
                      <w:b w:val="0"/>
                      <w:bCs/>
                      <w:color w:val="auto"/>
                    </w:rPr>
                    <w:t>使用的</w:t>
                  </w:r>
                  <w:r>
                    <w:rPr>
                      <w:rFonts w:hint="eastAsia"/>
                      <w:b w:val="0"/>
                      <w:bCs/>
                      <w:color w:val="auto"/>
                      <w:lang w:val="en-US" w:eastAsia="zh-CN"/>
                    </w:rPr>
                    <w:t>是</w:t>
                  </w:r>
                  <w:r>
                    <w:rPr>
                      <w:b w:val="0"/>
                      <w:bCs/>
                      <w:color w:val="auto"/>
                      <w:highlight w:val="none"/>
                      <w:lang w:eastAsia="en-US"/>
                    </w:rPr>
                    <w:t>EPS</w:t>
                  </w:r>
                  <w:r>
                    <w:rPr>
                      <w:rFonts w:hint="eastAsia"/>
                      <w:b w:val="0"/>
                      <w:bCs/>
                      <w:color w:val="auto"/>
                      <w:highlight w:val="none"/>
                      <w:lang w:val="en-US" w:eastAsia="zh-CN"/>
                    </w:rPr>
                    <w:t>珠粒及EPP粒</w:t>
                  </w:r>
                  <w:r>
                    <w:rPr>
                      <w:b w:val="0"/>
                      <w:bCs/>
                      <w:color w:val="auto"/>
                      <w:highlight w:val="none"/>
                    </w:rPr>
                    <w:t>料原料</w:t>
                  </w:r>
                  <w:r>
                    <w:rPr>
                      <w:b w:val="0"/>
                      <w:bCs/>
                      <w:color w:val="auto"/>
                    </w:rPr>
                    <w:t>，常温下不易挥发，采用包装袋密封储存在原料</w:t>
                  </w:r>
                  <w:r>
                    <w:rPr>
                      <w:rFonts w:hint="eastAsia"/>
                      <w:b w:val="0"/>
                      <w:bCs/>
                      <w:color w:val="auto"/>
                    </w:rPr>
                    <w:t>区内</w:t>
                  </w:r>
                </w:p>
              </w:tc>
              <w:tc>
                <w:tcPr>
                  <w:tcW w:w="752" w:type="dxa"/>
                  <w:vMerge w:val="restart"/>
                  <w:tcBorders>
                    <w:top w:val="single" w:color="auto" w:sz="4" w:space="0"/>
                    <w:left w:val="single" w:color="auto" w:sz="4" w:space="0"/>
                    <w:right w:val="single" w:color="auto" w:sz="4" w:space="0"/>
                  </w:tcBorders>
                  <w:noWrap w:val="0"/>
                  <w:vAlign w:val="center"/>
                </w:tcPr>
                <w:p w14:paraId="7C766015">
                  <w:pPr>
                    <w:pStyle w:val="51"/>
                    <w:bidi w:val="0"/>
                    <w:rPr>
                      <w:rFonts w:hint="default"/>
                    </w:rPr>
                  </w:pPr>
                  <w:r>
                    <w:rPr>
                      <w:rFonts w:hint="eastAsia"/>
                      <w:lang w:val="en-US" w:eastAsia="zh-CN"/>
                    </w:rPr>
                    <w:t>符合</w:t>
                  </w:r>
                </w:p>
              </w:tc>
            </w:tr>
            <w:tr w14:paraId="5F9A5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82" w:type="dxa"/>
                  <w:vMerge w:val="continue"/>
                  <w:tcBorders>
                    <w:left w:val="single" w:color="auto" w:sz="4" w:space="0"/>
                    <w:right w:val="single" w:color="auto" w:sz="4" w:space="0"/>
                  </w:tcBorders>
                  <w:noWrap w:val="0"/>
                  <w:vAlign w:val="center"/>
                </w:tcPr>
                <w:p w14:paraId="7C7962C6">
                  <w:pPr>
                    <w:pStyle w:val="51"/>
                    <w:bidi w:val="0"/>
                    <w:rPr>
                      <w:rFonts w:hint="eastAsia"/>
                      <w:lang w:val="en-US" w:eastAsia="zh-CN"/>
                    </w:rPr>
                  </w:pPr>
                </w:p>
              </w:tc>
              <w:tc>
                <w:tcPr>
                  <w:tcW w:w="41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2FE6C3">
                  <w:pPr>
                    <w:pStyle w:val="51"/>
                    <w:bidi w:val="0"/>
                    <w:rPr>
                      <w:rFonts w:hint="eastAsia"/>
                      <w:lang w:val="zh-TW" w:eastAsia="zh-TW"/>
                    </w:rPr>
                  </w:pPr>
                  <w:r>
                    <w:rPr>
                      <w:rFonts w:hint="eastAsia"/>
                      <w:lang w:val="en-US" w:eastAsia="zh-CN"/>
                    </w:rPr>
                    <w:t>基本要求：</w:t>
                  </w:r>
                  <w:r>
                    <w:rPr>
                      <w:rFonts w:hint="eastAsia"/>
                    </w:rPr>
                    <w:t>粒状</w:t>
                  </w:r>
                  <w:r>
                    <w:rPr>
                      <w:lang w:eastAsia="en-US"/>
                    </w:rPr>
                    <w:t>VOCs</w:t>
                  </w:r>
                  <w:r>
                    <w:t>物料</w:t>
                  </w:r>
                </w:p>
                <w:p w14:paraId="0508385D">
                  <w:pPr>
                    <w:pStyle w:val="51"/>
                    <w:bidi w:val="0"/>
                    <w:rPr>
                      <w:rFonts w:hint="default" w:ascii="Times New Roman" w:hAnsi="Times New Roman" w:eastAsia="宋体" w:cs="Times New Roman"/>
                      <w:spacing w:val="-2"/>
                      <w:kern w:val="2"/>
                      <w:szCs w:val="18"/>
                      <w:lang w:val="en-US" w:eastAsia="zh-CN" w:bidi="ar-SA"/>
                    </w:rPr>
                  </w:pPr>
                  <w:r>
                    <w:t>采用密闭的包装袋进行转移</w:t>
                  </w:r>
                </w:p>
              </w:tc>
              <w:tc>
                <w:tcPr>
                  <w:tcW w:w="1988" w:type="dxa"/>
                  <w:tcBorders>
                    <w:left w:val="single" w:color="auto" w:sz="4" w:space="0"/>
                    <w:right w:val="single" w:color="auto" w:sz="4" w:space="0"/>
                  </w:tcBorders>
                  <w:shd w:val="clear" w:color="auto" w:fill="auto"/>
                  <w:noWrap w:val="0"/>
                  <w:vAlign w:val="center"/>
                </w:tcPr>
                <w:p w14:paraId="015696A1">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color w:val="auto"/>
                    </w:rPr>
                    <w:t>使用密闭的包装袋进行转移</w:t>
                  </w:r>
                </w:p>
              </w:tc>
              <w:tc>
                <w:tcPr>
                  <w:tcW w:w="752" w:type="dxa"/>
                  <w:vMerge w:val="continue"/>
                  <w:tcBorders>
                    <w:left w:val="single" w:color="auto" w:sz="4" w:space="0"/>
                    <w:right w:val="single" w:color="auto" w:sz="4" w:space="0"/>
                  </w:tcBorders>
                  <w:noWrap w:val="0"/>
                  <w:vAlign w:val="center"/>
                </w:tcPr>
                <w:p w14:paraId="115D1BDF">
                  <w:pPr>
                    <w:pStyle w:val="51"/>
                    <w:bidi w:val="0"/>
                    <w:rPr>
                      <w:rFonts w:hint="eastAsia"/>
                      <w:lang w:val="en-US" w:eastAsia="zh-CN"/>
                    </w:rPr>
                  </w:pPr>
                </w:p>
              </w:tc>
            </w:tr>
            <w:tr w14:paraId="6CFC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82" w:type="dxa"/>
                  <w:vMerge w:val="continue"/>
                  <w:tcBorders>
                    <w:left w:val="single" w:color="auto" w:sz="4" w:space="0"/>
                    <w:right w:val="single" w:color="auto" w:sz="4" w:space="0"/>
                  </w:tcBorders>
                  <w:noWrap w:val="0"/>
                  <w:vAlign w:val="center"/>
                </w:tcPr>
                <w:p w14:paraId="5334949E">
                  <w:pPr>
                    <w:pStyle w:val="51"/>
                    <w:bidi w:val="0"/>
                    <w:rPr>
                      <w:rFonts w:hint="eastAsia"/>
                      <w:lang w:val="en-US" w:eastAsia="zh-CN"/>
                    </w:rPr>
                  </w:pPr>
                </w:p>
              </w:tc>
              <w:tc>
                <w:tcPr>
                  <w:tcW w:w="41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0DF64D">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b w:val="0"/>
                      <w:bCs/>
                      <w:color w:val="auto"/>
                      <w:lang w:eastAsia="en-US"/>
                    </w:rPr>
                    <w:t>VOCs</w:t>
                  </w:r>
                  <w:r>
                    <w:rPr>
                      <w:b w:val="0"/>
                      <w:bCs/>
                      <w:color w:val="auto"/>
                    </w:rPr>
                    <w:t>废气收集处理系统与生产工艺设备同步运行。</w:t>
                  </w:r>
                  <w:r>
                    <w:rPr>
                      <w:b w:val="0"/>
                      <w:bCs/>
                      <w:color w:val="auto"/>
                      <w:lang w:eastAsia="en-US"/>
                    </w:rPr>
                    <w:t>VOCs</w:t>
                  </w:r>
                  <w:r>
                    <w:rPr>
                      <w:b w:val="0"/>
                      <w:bCs/>
                      <w:color w:val="auto"/>
                    </w:rPr>
                    <w:t>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988" w:type="dxa"/>
                  <w:tcBorders>
                    <w:left w:val="single" w:color="auto" w:sz="4" w:space="0"/>
                    <w:right w:val="single" w:color="auto" w:sz="4" w:space="0"/>
                  </w:tcBorders>
                  <w:shd w:val="clear" w:color="auto" w:fill="auto"/>
                  <w:noWrap w:val="0"/>
                  <w:vAlign w:val="center"/>
                </w:tcPr>
                <w:p w14:paraId="0E7FAA83">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b w:val="0"/>
                      <w:bCs/>
                      <w:color w:val="auto"/>
                      <w:lang w:eastAsia="en-US"/>
                    </w:rPr>
                    <w:t>VOCs</w:t>
                  </w:r>
                  <w:r>
                    <w:rPr>
                      <w:b w:val="0"/>
                      <w:bCs/>
                      <w:color w:val="auto"/>
                    </w:rPr>
                    <w:t>废气收集处理系统与生产工艺设备同步运行。若废气处理系统发生故障或检修时，生产设备会停止运行。</w:t>
                  </w:r>
                </w:p>
              </w:tc>
              <w:tc>
                <w:tcPr>
                  <w:tcW w:w="752" w:type="dxa"/>
                  <w:vMerge w:val="continue"/>
                  <w:tcBorders>
                    <w:left w:val="single" w:color="auto" w:sz="4" w:space="0"/>
                    <w:right w:val="single" w:color="auto" w:sz="4" w:space="0"/>
                  </w:tcBorders>
                  <w:noWrap w:val="0"/>
                  <w:vAlign w:val="center"/>
                </w:tcPr>
                <w:p w14:paraId="1C6C15FE">
                  <w:pPr>
                    <w:pStyle w:val="51"/>
                    <w:bidi w:val="0"/>
                    <w:rPr>
                      <w:rFonts w:hint="eastAsia"/>
                      <w:lang w:val="en-US" w:eastAsia="zh-CN"/>
                    </w:rPr>
                  </w:pPr>
                </w:p>
              </w:tc>
            </w:tr>
            <w:tr w14:paraId="389BA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82" w:type="dxa"/>
                  <w:vMerge w:val="continue"/>
                  <w:tcBorders>
                    <w:left w:val="single" w:color="auto" w:sz="4" w:space="0"/>
                    <w:right w:val="single" w:color="auto" w:sz="4" w:space="0"/>
                  </w:tcBorders>
                  <w:noWrap w:val="0"/>
                  <w:vAlign w:val="center"/>
                </w:tcPr>
                <w:p w14:paraId="795D43B7">
                  <w:pPr>
                    <w:pStyle w:val="51"/>
                    <w:bidi w:val="0"/>
                    <w:rPr>
                      <w:rFonts w:hint="eastAsia"/>
                      <w:lang w:val="en-US" w:eastAsia="zh-CN"/>
                    </w:rPr>
                  </w:pPr>
                </w:p>
              </w:tc>
              <w:tc>
                <w:tcPr>
                  <w:tcW w:w="41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26CE67">
                  <w:pPr>
                    <w:pStyle w:val="43"/>
                    <w:rPr>
                      <w:rFonts w:hint="eastAsia" w:eastAsia="宋体"/>
                      <w:b w:val="0"/>
                      <w:bCs/>
                      <w:color w:val="auto"/>
                      <w:lang w:val="zh-TW" w:eastAsia="zh-CN"/>
                    </w:rPr>
                  </w:pPr>
                  <w:r>
                    <w:rPr>
                      <w:b w:val="0"/>
                      <w:bCs/>
                      <w:color w:val="auto"/>
                    </w:rPr>
                    <w:t>记录要求</w:t>
                  </w:r>
                  <w:r>
                    <w:rPr>
                      <w:rFonts w:hint="eastAsia"/>
                      <w:b w:val="0"/>
                      <w:bCs/>
                      <w:color w:val="auto"/>
                      <w:lang w:eastAsia="zh-CN"/>
                    </w:rPr>
                    <w:t>：</w:t>
                  </w:r>
                </w:p>
                <w:p w14:paraId="08F589DE">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b w:val="0"/>
                      <w:bCs/>
                      <w:color w:val="auto"/>
                    </w:rPr>
                    <w:t>企业应</w:t>
                  </w:r>
                  <w:r>
                    <w:rPr>
                      <w:rFonts w:hint="eastAsia"/>
                      <w:b w:val="0"/>
                      <w:bCs/>
                      <w:color w:val="auto"/>
                    </w:rPr>
                    <w:t>建立台账</w:t>
                  </w:r>
                  <w:r>
                    <w:rPr>
                      <w:b w:val="0"/>
                      <w:bCs/>
                      <w:color w:val="auto"/>
                    </w:rPr>
                    <w:t>，记录废气收集系统、</w:t>
                  </w:r>
                  <w:r>
                    <w:rPr>
                      <w:b w:val="0"/>
                      <w:bCs/>
                      <w:color w:val="auto"/>
                      <w:lang w:eastAsia="en-US"/>
                    </w:rPr>
                    <w:t>VOCs</w:t>
                  </w:r>
                  <w:r>
                    <w:rPr>
                      <w:b w:val="0"/>
                      <w:bCs/>
                      <w:color w:val="auto"/>
                    </w:rPr>
                    <w:t>处理设施的主要运行和维护信息，如运行时间、废气处理量、操作温度、停留时间、吸附剂再生/更换周期和更换量等关键运行参数。</w:t>
                  </w:r>
                  <w:r>
                    <w:rPr>
                      <w:rFonts w:hint="eastAsia"/>
                      <w:b w:val="0"/>
                      <w:bCs/>
                      <w:color w:val="auto"/>
                    </w:rPr>
                    <w:t>台账</w:t>
                  </w:r>
                  <w:r>
                    <w:rPr>
                      <w:b w:val="0"/>
                      <w:bCs/>
                      <w:color w:val="auto"/>
                    </w:rPr>
                    <w:t>保存期限不少于3年</w:t>
                  </w:r>
                </w:p>
              </w:tc>
              <w:tc>
                <w:tcPr>
                  <w:tcW w:w="1988" w:type="dxa"/>
                  <w:tcBorders>
                    <w:left w:val="single" w:color="auto" w:sz="4" w:space="0"/>
                    <w:right w:val="single" w:color="auto" w:sz="4" w:space="0"/>
                  </w:tcBorders>
                  <w:shd w:val="clear" w:color="auto" w:fill="auto"/>
                  <w:noWrap w:val="0"/>
                  <w:vAlign w:val="center"/>
                </w:tcPr>
                <w:p w14:paraId="5DBD6425">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b w:val="0"/>
                      <w:bCs/>
                      <w:color w:val="auto"/>
                    </w:rPr>
                    <w:t>本次评价要求企业</w:t>
                  </w:r>
                  <w:r>
                    <w:rPr>
                      <w:rFonts w:hint="eastAsia"/>
                      <w:b w:val="0"/>
                      <w:bCs/>
                      <w:color w:val="auto"/>
                    </w:rPr>
                    <w:t>建立台账</w:t>
                  </w:r>
                  <w:r>
                    <w:rPr>
                      <w:b w:val="0"/>
                      <w:bCs/>
                      <w:color w:val="auto"/>
                    </w:rPr>
                    <w:t>记录相关信息</w:t>
                  </w:r>
                  <w:r>
                    <w:rPr>
                      <w:rFonts w:hint="eastAsia"/>
                      <w:b w:val="0"/>
                      <w:bCs/>
                      <w:color w:val="auto"/>
                      <w:lang w:eastAsia="zh-CN"/>
                    </w:rPr>
                    <w:t>。</w:t>
                  </w:r>
                </w:p>
              </w:tc>
              <w:tc>
                <w:tcPr>
                  <w:tcW w:w="752" w:type="dxa"/>
                  <w:vMerge w:val="continue"/>
                  <w:tcBorders>
                    <w:left w:val="single" w:color="auto" w:sz="4" w:space="0"/>
                    <w:right w:val="single" w:color="auto" w:sz="4" w:space="0"/>
                  </w:tcBorders>
                  <w:noWrap w:val="0"/>
                  <w:vAlign w:val="center"/>
                </w:tcPr>
                <w:p w14:paraId="450403A1">
                  <w:pPr>
                    <w:pStyle w:val="51"/>
                    <w:bidi w:val="0"/>
                    <w:rPr>
                      <w:rFonts w:hint="eastAsia"/>
                      <w:lang w:val="en-US" w:eastAsia="zh-CN"/>
                    </w:rPr>
                  </w:pPr>
                </w:p>
              </w:tc>
            </w:tr>
            <w:tr w14:paraId="2772F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82" w:type="dxa"/>
                  <w:vMerge w:val="continue"/>
                  <w:tcBorders>
                    <w:left w:val="single" w:color="auto" w:sz="4" w:space="0"/>
                    <w:bottom w:val="single" w:color="auto" w:sz="4" w:space="0"/>
                    <w:right w:val="single" w:color="auto" w:sz="4" w:space="0"/>
                  </w:tcBorders>
                  <w:noWrap w:val="0"/>
                  <w:vAlign w:val="center"/>
                </w:tcPr>
                <w:p w14:paraId="0097B079">
                  <w:pPr>
                    <w:pStyle w:val="51"/>
                    <w:bidi w:val="0"/>
                    <w:rPr>
                      <w:rFonts w:hint="eastAsia"/>
                      <w:lang w:val="en-US" w:eastAsia="zh-CN"/>
                    </w:rPr>
                  </w:pPr>
                </w:p>
              </w:tc>
              <w:tc>
                <w:tcPr>
                  <w:tcW w:w="41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5FC27C">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有机聚合物产品用于制品生产的过程，在混合/混炼、塑炼/塑化/熔化、加工成型(挤出、注射、压制、压延、发泡、纺丝等)等作业中应采用密闭设备或在密闭空间内操作，废气应排至 VOCs 废气收集处理系统；无法密闭的，应采取局部气体收集措施，废气应排至VOCs废气收集处理系统。</w:t>
                  </w:r>
                </w:p>
              </w:tc>
              <w:tc>
                <w:tcPr>
                  <w:tcW w:w="1988" w:type="dxa"/>
                  <w:vMerge w:val="restart"/>
                  <w:tcBorders>
                    <w:left w:val="single" w:color="auto" w:sz="4" w:space="0"/>
                    <w:right w:val="single" w:color="auto" w:sz="4" w:space="0"/>
                  </w:tcBorders>
                  <w:shd w:val="clear" w:color="auto" w:fill="auto"/>
                  <w:noWrap w:val="0"/>
                  <w:vAlign w:val="center"/>
                </w:tcPr>
                <w:p w14:paraId="53E0869E">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color w:val="000000" w:themeColor="text1"/>
                      <w:lang w:val="en-US" w:eastAsia="zh-CN"/>
                      <w14:textFill>
                        <w14:solidFill>
                          <w14:schemeClr w14:val="tx1"/>
                        </w14:solidFill>
                      </w14:textFill>
                    </w:rPr>
                    <w:t>本项目设</w:t>
                  </w:r>
                  <w:r>
                    <w:rPr>
                      <w:rFonts w:hint="eastAsia"/>
                      <w:color w:val="auto"/>
                      <w:highlight w:val="none"/>
                      <w:lang w:val="en-US" w:eastAsia="zh-CN"/>
                    </w:rPr>
                    <w:t>置集气罩（EPS包装材料生产线发泡机）、集气管道（EPS包装材料生产线成型机、烘房，EPP汽车零配件成型机）对产生的非甲烷总烃进行有效收集，有机废气收集后经冷凝+二级活性炭装置吸附处理后达标排放</w:t>
                  </w:r>
                  <w:r>
                    <w:rPr>
                      <w:rFonts w:hint="eastAsia"/>
                      <w:color w:val="000000" w:themeColor="text1"/>
                      <w:lang w:val="en-US" w:eastAsia="zh-CN"/>
                      <w14:textFill>
                        <w14:solidFill>
                          <w14:schemeClr w14:val="tx1"/>
                        </w14:solidFill>
                      </w14:textFill>
                    </w:rPr>
                    <w:t>；废气收集系统应与</w:t>
                  </w:r>
                  <w:r>
                    <w:rPr>
                      <w:rFonts w:hint="eastAsia"/>
                      <w:lang w:val="en-US" w:eastAsia="zh-CN"/>
                    </w:rPr>
                    <w:t>生产设备同步运行，当发生故障维修时，应同步停止生产设备的运行。</w:t>
                  </w:r>
                </w:p>
              </w:tc>
              <w:tc>
                <w:tcPr>
                  <w:tcW w:w="752" w:type="dxa"/>
                  <w:vMerge w:val="continue"/>
                  <w:tcBorders>
                    <w:left w:val="single" w:color="auto" w:sz="4" w:space="0"/>
                    <w:right w:val="single" w:color="auto" w:sz="4" w:space="0"/>
                  </w:tcBorders>
                  <w:noWrap w:val="0"/>
                  <w:vAlign w:val="center"/>
                </w:tcPr>
                <w:p w14:paraId="0E7F023D">
                  <w:pPr>
                    <w:pStyle w:val="51"/>
                    <w:bidi w:val="0"/>
                    <w:rPr>
                      <w:rFonts w:hint="eastAsia"/>
                      <w:lang w:val="en-US" w:eastAsia="zh-CN"/>
                    </w:rPr>
                  </w:pPr>
                </w:p>
              </w:tc>
            </w:tr>
            <w:tr w14:paraId="3A2DA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82" w:type="dxa"/>
                  <w:vMerge w:val="restart"/>
                  <w:tcBorders>
                    <w:top w:val="nil"/>
                    <w:left w:val="single" w:color="auto" w:sz="4" w:space="0"/>
                    <w:bottom w:val="single" w:color="auto" w:sz="4" w:space="0"/>
                    <w:right w:val="single" w:color="auto" w:sz="4" w:space="0"/>
                  </w:tcBorders>
                  <w:noWrap w:val="0"/>
                  <w:vAlign w:val="center"/>
                </w:tcPr>
                <w:p w14:paraId="636B40CC">
                  <w:pPr>
                    <w:pStyle w:val="51"/>
                    <w:bidi w:val="0"/>
                    <w:rPr>
                      <w:rFonts w:hint="default"/>
                    </w:rPr>
                  </w:pPr>
                  <w:r>
                    <w:rPr>
                      <w:rFonts w:hint="eastAsia"/>
                      <w:lang w:val="en-US" w:eastAsia="zh-CN"/>
                    </w:rPr>
                    <w:t>《重点行业挥发性有机物治理环境管理技术规范》（DB34/T4230.1-2022）</w:t>
                  </w:r>
                </w:p>
              </w:tc>
              <w:tc>
                <w:tcPr>
                  <w:tcW w:w="4111" w:type="dxa"/>
                  <w:tcBorders>
                    <w:top w:val="single" w:color="auto" w:sz="4" w:space="0"/>
                    <w:left w:val="single" w:color="auto" w:sz="4" w:space="0"/>
                    <w:bottom w:val="single" w:color="auto" w:sz="4" w:space="0"/>
                    <w:right w:val="single" w:color="auto" w:sz="4" w:space="0"/>
                  </w:tcBorders>
                  <w:noWrap w:val="0"/>
                  <w:vAlign w:val="center"/>
                </w:tcPr>
                <w:p w14:paraId="00CD16C7">
                  <w:pPr>
                    <w:pStyle w:val="51"/>
                    <w:bidi w:val="0"/>
                    <w:jc w:val="both"/>
                    <w:rPr>
                      <w:rFonts w:hint="eastAsia"/>
                      <w:lang w:val="en-US" w:eastAsia="zh-CN"/>
                    </w:rPr>
                  </w:pPr>
                  <w:r>
                    <w:rPr>
                      <w:rFonts w:hint="eastAsia"/>
                      <w:lang w:val="en-US" w:eastAsia="zh-CN"/>
                    </w:rPr>
                    <w:t>4.2过程控制</w:t>
                  </w:r>
                </w:p>
                <w:p w14:paraId="0F67B2E4">
                  <w:pPr>
                    <w:pStyle w:val="51"/>
                    <w:bidi w:val="0"/>
                    <w:rPr>
                      <w:rFonts w:hint="eastAsia"/>
                      <w:lang w:val="en-US" w:eastAsia="zh-CN"/>
                    </w:rPr>
                  </w:pPr>
                  <w:r>
                    <w:rPr>
                      <w:rFonts w:hint="eastAsia"/>
                      <w:lang w:val="en-US" w:eastAsia="zh-CN"/>
                    </w:rPr>
                    <w:t>4.2.1废气收集系统应与生产设备同步运行，当发生故障维修时，应同步停止生产设备的运行。</w:t>
                  </w:r>
                </w:p>
                <w:p w14:paraId="2BA33ACB">
                  <w:pPr>
                    <w:pStyle w:val="51"/>
                    <w:bidi w:val="0"/>
                    <w:rPr>
                      <w:rFonts w:hint="default"/>
                      <w:lang w:val="en-US"/>
                    </w:rPr>
                  </w:pPr>
                  <w:r>
                    <w:rPr>
                      <w:rFonts w:hint="eastAsia"/>
                      <w:lang w:val="en-US" w:eastAsia="zh-CN"/>
                    </w:rPr>
                    <w:t>4.2.2尽可能采用“减风增浓、密闭操作”，提高设备的密闭性</w:t>
                  </w:r>
                </w:p>
              </w:tc>
              <w:tc>
                <w:tcPr>
                  <w:tcW w:w="1988" w:type="dxa"/>
                  <w:vMerge w:val="continue"/>
                  <w:tcBorders>
                    <w:left w:val="single" w:color="auto" w:sz="4" w:space="0"/>
                    <w:right w:val="single" w:color="auto" w:sz="4" w:space="0"/>
                  </w:tcBorders>
                  <w:noWrap w:val="0"/>
                  <w:vAlign w:val="center"/>
                </w:tcPr>
                <w:p w14:paraId="51DD2B7D">
                  <w:pPr>
                    <w:pStyle w:val="51"/>
                    <w:bidi w:val="0"/>
                    <w:rPr>
                      <w:rFonts w:hint="default"/>
                      <w:lang w:val="en-US"/>
                    </w:rPr>
                  </w:pPr>
                </w:p>
              </w:tc>
              <w:tc>
                <w:tcPr>
                  <w:tcW w:w="752" w:type="dxa"/>
                  <w:vMerge w:val="continue"/>
                  <w:tcBorders>
                    <w:left w:val="single" w:color="auto" w:sz="4" w:space="0"/>
                    <w:right w:val="single" w:color="auto" w:sz="4" w:space="0"/>
                  </w:tcBorders>
                  <w:noWrap w:val="0"/>
                  <w:vAlign w:val="center"/>
                </w:tcPr>
                <w:p w14:paraId="3D80870F">
                  <w:pPr>
                    <w:pStyle w:val="51"/>
                    <w:bidi w:val="0"/>
                    <w:rPr>
                      <w:rFonts w:hint="default"/>
                    </w:rPr>
                  </w:pPr>
                </w:p>
              </w:tc>
            </w:tr>
            <w:tr w14:paraId="6ED0C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82" w:type="dxa"/>
                  <w:vMerge w:val="continue"/>
                  <w:tcBorders>
                    <w:top w:val="nil"/>
                    <w:left w:val="single" w:color="auto" w:sz="4" w:space="0"/>
                    <w:bottom w:val="single" w:color="auto" w:sz="4" w:space="0"/>
                    <w:right w:val="single" w:color="auto" w:sz="4" w:space="0"/>
                  </w:tcBorders>
                  <w:noWrap w:val="0"/>
                  <w:vAlign w:val="center"/>
                </w:tcPr>
                <w:p w14:paraId="040AA57B">
                  <w:pPr>
                    <w:pStyle w:val="51"/>
                    <w:bidi w:val="0"/>
                    <w:rPr>
                      <w:rFonts w:hint="default"/>
                    </w:rPr>
                  </w:pPr>
                </w:p>
              </w:tc>
              <w:tc>
                <w:tcPr>
                  <w:tcW w:w="4111" w:type="dxa"/>
                  <w:tcBorders>
                    <w:top w:val="single" w:color="auto" w:sz="4" w:space="0"/>
                    <w:left w:val="single" w:color="auto" w:sz="4" w:space="0"/>
                    <w:bottom w:val="single" w:color="auto" w:sz="4" w:space="0"/>
                    <w:right w:val="single" w:color="auto" w:sz="4" w:space="0"/>
                  </w:tcBorders>
                  <w:noWrap w:val="0"/>
                  <w:vAlign w:val="center"/>
                </w:tcPr>
                <w:p w14:paraId="3112F4C7">
                  <w:pPr>
                    <w:pStyle w:val="51"/>
                    <w:bidi w:val="0"/>
                    <w:jc w:val="both"/>
                    <w:rPr>
                      <w:rFonts w:hint="eastAsia"/>
                      <w:lang w:val="en-US" w:eastAsia="zh-CN"/>
                    </w:rPr>
                  </w:pPr>
                  <w:r>
                    <w:rPr>
                      <w:rFonts w:hint="eastAsia"/>
                      <w:lang w:val="en-US" w:eastAsia="zh-CN"/>
                    </w:rPr>
                    <w:t>4.3 末端治理</w:t>
                  </w:r>
                </w:p>
                <w:p w14:paraId="30EBAC57">
                  <w:pPr>
                    <w:pStyle w:val="51"/>
                    <w:bidi w:val="0"/>
                    <w:rPr>
                      <w:rFonts w:hint="eastAsia"/>
                      <w:lang w:val="en-US" w:eastAsia="zh-CN"/>
                    </w:rPr>
                  </w:pPr>
                  <w:r>
                    <w:rPr>
                      <w:rFonts w:hint="eastAsia"/>
                      <w:lang w:val="en-US" w:eastAsia="zh-CN"/>
                    </w:rPr>
                    <w:t>4.3.1 工艺过程废气应收集后排入废气处理系统处理。</w:t>
                  </w:r>
                </w:p>
                <w:p w14:paraId="004BB3B1">
                  <w:pPr>
                    <w:pStyle w:val="51"/>
                    <w:bidi w:val="0"/>
                    <w:rPr>
                      <w:rFonts w:hint="default"/>
                    </w:rPr>
                  </w:pPr>
                  <w:r>
                    <w:rPr>
                      <w:rFonts w:hint="eastAsia"/>
                      <w:lang w:val="en-US" w:eastAsia="zh-CN"/>
                    </w:rPr>
                    <w:t>4.3.2 宜采用吸附、燃烧、喷淋吸收、生物、臭氧化、光氧化、等离子等技术中、低浓度有机废气宜采用吸附浓缩一燃烧技术处理；</w:t>
                  </w:r>
                  <w:r>
                    <w:rPr>
                      <w:rFonts w:hint="default"/>
                      <w:lang w:val="en-US" w:eastAsia="zh-CN"/>
                    </w:rPr>
                    <w:t>VOCs</w:t>
                  </w:r>
                  <w:r>
                    <w:rPr>
                      <w:rFonts w:hint="eastAsia"/>
                      <w:lang w:val="en-US" w:eastAsia="zh-CN"/>
                    </w:rPr>
                    <w:t>治理效率。</w:t>
                  </w:r>
                </w:p>
              </w:tc>
              <w:tc>
                <w:tcPr>
                  <w:tcW w:w="1988" w:type="dxa"/>
                  <w:vMerge w:val="continue"/>
                  <w:tcBorders>
                    <w:left w:val="single" w:color="auto" w:sz="4" w:space="0"/>
                    <w:bottom w:val="single" w:color="auto" w:sz="4" w:space="0"/>
                    <w:right w:val="single" w:color="auto" w:sz="4" w:space="0"/>
                  </w:tcBorders>
                  <w:noWrap w:val="0"/>
                  <w:vAlign w:val="center"/>
                </w:tcPr>
                <w:p w14:paraId="728C4878">
                  <w:pPr>
                    <w:pStyle w:val="51"/>
                    <w:bidi w:val="0"/>
                    <w:rPr>
                      <w:rFonts w:hint="default"/>
                    </w:rPr>
                  </w:pPr>
                </w:p>
              </w:tc>
              <w:tc>
                <w:tcPr>
                  <w:tcW w:w="752" w:type="dxa"/>
                  <w:vMerge w:val="continue"/>
                  <w:tcBorders>
                    <w:left w:val="single" w:color="auto" w:sz="4" w:space="0"/>
                    <w:bottom w:val="single" w:color="auto" w:sz="4" w:space="0"/>
                    <w:right w:val="single" w:color="auto" w:sz="4" w:space="0"/>
                  </w:tcBorders>
                  <w:noWrap w:val="0"/>
                  <w:vAlign w:val="center"/>
                </w:tcPr>
                <w:p w14:paraId="4EAF0415">
                  <w:pPr>
                    <w:pStyle w:val="51"/>
                    <w:bidi w:val="0"/>
                    <w:rPr>
                      <w:rFonts w:hint="default"/>
                    </w:rPr>
                  </w:pPr>
                </w:p>
              </w:tc>
            </w:tr>
            <w:tr w14:paraId="347A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82" w:type="dxa"/>
                  <w:vMerge w:val="restart"/>
                  <w:tcBorders>
                    <w:top w:val="nil"/>
                    <w:left w:val="single" w:color="auto" w:sz="4" w:space="0"/>
                    <w:right w:val="single" w:color="auto" w:sz="4" w:space="0"/>
                  </w:tcBorders>
                  <w:noWrap w:val="0"/>
                  <w:vAlign w:val="center"/>
                </w:tcPr>
                <w:p w14:paraId="3FEFF23D">
                  <w:pPr>
                    <w:pStyle w:val="51"/>
                    <w:bidi w:val="0"/>
                    <w:rPr>
                      <w:rFonts w:hint="default"/>
                    </w:rPr>
                  </w:pPr>
                  <w:r>
                    <w:rPr>
                      <w:rFonts w:hint="eastAsia"/>
                      <w:color w:val="auto"/>
                    </w:rPr>
                    <w:t>《重点行业挥发性有机物综合治理方案》的通知（环大气</w:t>
                  </w:r>
                  <w:r>
                    <w:rPr>
                      <w:color w:val="auto"/>
                      <w:highlight w:val="none"/>
                      <w:lang w:val="zh-CN"/>
                    </w:rPr>
                    <w:t>〔201</w:t>
                  </w:r>
                  <w:r>
                    <w:rPr>
                      <w:rFonts w:hint="eastAsia"/>
                      <w:color w:val="auto"/>
                      <w:highlight w:val="none"/>
                      <w:lang w:val="en-US" w:eastAsia="zh-CN"/>
                    </w:rPr>
                    <w:t>9</w:t>
                  </w:r>
                  <w:r>
                    <w:rPr>
                      <w:color w:val="auto"/>
                      <w:highlight w:val="none"/>
                      <w:lang w:val="zh-CN"/>
                    </w:rPr>
                    <w:t>〕</w:t>
                  </w:r>
                  <w:r>
                    <w:rPr>
                      <w:rFonts w:hint="eastAsia"/>
                      <w:color w:val="auto"/>
                    </w:rPr>
                    <w:t>53号）</w:t>
                  </w:r>
                </w:p>
              </w:tc>
              <w:tc>
                <w:tcPr>
                  <w:tcW w:w="4111" w:type="dxa"/>
                  <w:tcBorders>
                    <w:top w:val="single" w:color="auto" w:sz="4" w:space="0"/>
                    <w:left w:val="single" w:color="auto" w:sz="4" w:space="0"/>
                    <w:bottom w:val="single" w:color="auto" w:sz="4" w:space="0"/>
                    <w:right w:val="single" w:color="auto" w:sz="4" w:space="0"/>
                  </w:tcBorders>
                  <w:noWrap w:val="0"/>
                  <w:vAlign w:val="center"/>
                </w:tcPr>
                <w:p w14:paraId="5CC068A0">
                  <w:pPr>
                    <w:pStyle w:val="51"/>
                    <w:bidi w:val="0"/>
                    <w:rPr>
                      <w:rFonts w:hint="eastAsia"/>
                      <w:lang w:val="en-US" w:eastAsia="zh-CN"/>
                    </w:rPr>
                  </w:pPr>
                  <w:r>
                    <w:rPr>
                      <w:rFonts w:hint="eastAsia"/>
                    </w:rPr>
                    <w:t>全面加强无组织排放控制。通过采取设备与场所密闭、工艺改进、废气有效收集等措施，削减VOCs无组织排放。</w:t>
                  </w:r>
                </w:p>
              </w:tc>
              <w:tc>
                <w:tcPr>
                  <w:tcW w:w="1988" w:type="dxa"/>
                  <w:tcBorders>
                    <w:left w:val="single" w:color="auto" w:sz="4" w:space="0"/>
                    <w:bottom w:val="single" w:color="auto" w:sz="4" w:space="0"/>
                    <w:right w:val="single" w:color="auto" w:sz="4" w:space="0"/>
                  </w:tcBorders>
                  <w:noWrap w:val="0"/>
                  <w:vAlign w:val="center"/>
                </w:tcPr>
                <w:p w14:paraId="47031F9B">
                  <w:pPr>
                    <w:pStyle w:val="51"/>
                    <w:bidi w:val="0"/>
                    <w:rPr>
                      <w:rFonts w:hint="default" w:eastAsia="宋体"/>
                      <w:lang w:val="en-US" w:eastAsia="zh-CN"/>
                    </w:rPr>
                  </w:pPr>
                  <w:r>
                    <w:rPr>
                      <w:rFonts w:hint="eastAsia"/>
                      <w:lang w:val="en-US" w:eastAsia="zh-CN"/>
                    </w:rPr>
                    <w:t>项目</w:t>
                  </w:r>
                  <w:r>
                    <w:rPr>
                      <w:rFonts w:hint="eastAsia"/>
                      <w:color w:val="000000" w:themeColor="text1"/>
                      <w:lang w:val="en-US" w:eastAsia="zh-CN"/>
                      <w14:textFill>
                        <w14:solidFill>
                          <w14:schemeClr w14:val="tx1"/>
                        </w14:solidFill>
                      </w14:textFill>
                    </w:rPr>
                    <w:t>设</w:t>
                  </w:r>
                  <w:r>
                    <w:rPr>
                      <w:rFonts w:hint="eastAsia"/>
                      <w:color w:val="auto"/>
                      <w:highlight w:val="none"/>
                      <w:lang w:val="en-US" w:eastAsia="zh-CN"/>
                    </w:rPr>
                    <w:t>置集气罩（EPS包装材料生产线发泡机）、集气管道（EPS包装材料生产线成型机、烘房，EPP汽车零配件成型机）对产生的非甲烷总烃进行有效收集。</w:t>
                  </w:r>
                </w:p>
              </w:tc>
              <w:tc>
                <w:tcPr>
                  <w:tcW w:w="752" w:type="dxa"/>
                  <w:tcBorders>
                    <w:left w:val="single" w:color="auto" w:sz="4" w:space="0"/>
                    <w:bottom w:val="single" w:color="auto" w:sz="4" w:space="0"/>
                    <w:right w:val="single" w:color="auto" w:sz="4" w:space="0"/>
                  </w:tcBorders>
                  <w:noWrap w:val="0"/>
                  <w:vAlign w:val="center"/>
                </w:tcPr>
                <w:p w14:paraId="6B0BE0C0">
                  <w:pPr>
                    <w:pStyle w:val="51"/>
                    <w:bidi w:val="0"/>
                    <w:rPr>
                      <w:rFonts w:hint="default"/>
                      <w:lang w:val="en-US" w:eastAsia="zh-CN"/>
                    </w:rPr>
                  </w:pPr>
                  <w:r>
                    <w:rPr>
                      <w:rFonts w:hint="eastAsia"/>
                    </w:rPr>
                    <w:t>符合</w:t>
                  </w:r>
                </w:p>
              </w:tc>
            </w:tr>
            <w:tr w14:paraId="6787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82" w:type="dxa"/>
                  <w:vMerge w:val="continue"/>
                  <w:tcBorders>
                    <w:left w:val="single" w:color="auto" w:sz="4" w:space="0"/>
                    <w:right w:val="single" w:color="auto" w:sz="4" w:space="0"/>
                  </w:tcBorders>
                  <w:noWrap w:val="0"/>
                  <w:vAlign w:val="center"/>
                </w:tcPr>
                <w:p w14:paraId="0253B613">
                  <w:pPr>
                    <w:pStyle w:val="51"/>
                    <w:bidi w:val="0"/>
                    <w:rPr>
                      <w:rFonts w:hint="eastAsia"/>
                      <w:color w:val="auto"/>
                    </w:rPr>
                  </w:pPr>
                </w:p>
              </w:tc>
              <w:tc>
                <w:tcPr>
                  <w:tcW w:w="4111" w:type="dxa"/>
                  <w:tcBorders>
                    <w:top w:val="single" w:color="auto" w:sz="4" w:space="0"/>
                    <w:left w:val="single" w:color="auto" w:sz="4" w:space="0"/>
                    <w:bottom w:val="single" w:color="auto" w:sz="4" w:space="0"/>
                    <w:right w:val="single" w:color="auto" w:sz="4" w:space="0"/>
                  </w:tcBorders>
                  <w:noWrap w:val="0"/>
                  <w:vAlign w:val="center"/>
                </w:tcPr>
                <w:p w14:paraId="3D2CF3D1">
                  <w:pPr>
                    <w:pStyle w:val="51"/>
                    <w:bidi w:val="0"/>
                    <w:rPr>
                      <w:rFonts w:hint="eastAsia"/>
                      <w:lang w:val="en-US" w:eastAsia="zh-CN"/>
                    </w:rPr>
                  </w:pPr>
                  <w:r>
                    <w:rPr>
                      <w:rFonts w:hint="eastAsia"/>
                    </w:rPr>
                    <w:t>提高废气收集率。遵循</w:t>
                  </w:r>
                  <w:r>
                    <w:rPr>
                      <w:rFonts w:hint="eastAsia"/>
                      <w:lang w:eastAsia="zh-CN"/>
                    </w:rPr>
                    <w:t>“</w:t>
                  </w:r>
                  <w:r>
                    <w:rPr>
                      <w:rFonts w:hint="eastAsia"/>
                    </w:rPr>
                    <w:t>应收尽收、分质收集</w:t>
                  </w:r>
                  <w:r>
                    <w:rPr>
                      <w:rFonts w:hint="eastAsia"/>
                      <w:lang w:eastAsia="zh-CN"/>
                    </w:rPr>
                    <w:t>”</w:t>
                  </w:r>
                  <w:r>
                    <w:rPr>
                      <w:rFonts w:hint="eastAsia"/>
                    </w:rPr>
                    <w:t>的原则，科学设计废气收集系统，将无组织排放转变为有组织排放进行控制。采用全密闭集气罩或密闭空间的，除行业有特殊要求外，应保持微负压状态，并根据相关规范合理设置通风量。</w:t>
                  </w:r>
                </w:p>
              </w:tc>
              <w:tc>
                <w:tcPr>
                  <w:tcW w:w="1988" w:type="dxa"/>
                  <w:tcBorders>
                    <w:left w:val="single" w:color="auto" w:sz="4" w:space="0"/>
                    <w:bottom w:val="single" w:color="auto" w:sz="4" w:space="0"/>
                    <w:right w:val="single" w:color="auto" w:sz="4" w:space="0"/>
                  </w:tcBorders>
                  <w:noWrap w:val="0"/>
                  <w:vAlign w:val="center"/>
                </w:tcPr>
                <w:p w14:paraId="03879F89">
                  <w:pPr>
                    <w:pStyle w:val="51"/>
                    <w:bidi w:val="0"/>
                    <w:rPr>
                      <w:rFonts w:hint="default"/>
                      <w:lang w:val="en-US" w:eastAsia="zh-CN"/>
                    </w:rPr>
                  </w:pPr>
                  <w:r>
                    <w:rPr>
                      <w:rFonts w:hint="eastAsia"/>
                    </w:rPr>
                    <w:t>本项目废气通风设备委托专业单位设计，通风量符合相关规范。</w:t>
                  </w:r>
                </w:p>
              </w:tc>
              <w:tc>
                <w:tcPr>
                  <w:tcW w:w="752" w:type="dxa"/>
                  <w:tcBorders>
                    <w:left w:val="single" w:color="auto" w:sz="4" w:space="0"/>
                    <w:bottom w:val="single" w:color="auto" w:sz="4" w:space="0"/>
                    <w:right w:val="single" w:color="auto" w:sz="4" w:space="0"/>
                  </w:tcBorders>
                  <w:noWrap w:val="0"/>
                  <w:vAlign w:val="center"/>
                </w:tcPr>
                <w:p w14:paraId="03F3A21F">
                  <w:pPr>
                    <w:pStyle w:val="51"/>
                    <w:bidi w:val="0"/>
                    <w:rPr>
                      <w:rFonts w:hint="default"/>
                      <w:lang w:val="en-US" w:eastAsia="zh-CN"/>
                    </w:rPr>
                  </w:pPr>
                  <w:r>
                    <w:rPr>
                      <w:rFonts w:hint="eastAsia"/>
                    </w:rPr>
                    <w:t>符合</w:t>
                  </w:r>
                </w:p>
              </w:tc>
            </w:tr>
            <w:tr w14:paraId="4EBC5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82" w:type="dxa"/>
                  <w:vMerge w:val="continue"/>
                  <w:tcBorders>
                    <w:left w:val="single" w:color="auto" w:sz="4" w:space="0"/>
                    <w:bottom w:val="single" w:color="auto" w:sz="4" w:space="0"/>
                    <w:right w:val="single" w:color="auto" w:sz="4" w:space="0"/>
                  </w:tcBorders>
                  <w:noWrap w:val="0"/>
                  <w:vAlign w:val="center"/>
                </w:tcPr>
                <w:p w14:paraId="53FF5608">
                  <w:pPr>
                    <w:pStyle w:val="51"/>
                    <w:bidi w:val="0"/>
                    <w:rPr>
                      <w:rFonts w:hint="eastAsia"/>
                      <w:color w:val="auto"/>
                    </w:rPr>
                  </w:pPr>
                </w:p>
              </w:tc>
              <w:tc>
                <w:tcPr>
                  <w:tcW w:w="4111" w:type="dxa"/>
                  <w:tcBorders>
                    <w:top w:val="single" w:color="auto" w:sz="4" w:space="0"/>
                    <w:left w:val="single" w:color="auto" w:sz="4" w:space="0"/>
                    <w:bottom w:val="single" w:color="auto" w:sz="4" w:space="0"/>
                    <w:right w:val="single" w:color="auto" w:sz="4" w:space="0"/>
                  </w:tcBorders>
                  <w:noWrap w:val="0"/>
                  <w:vAlign w:val="center"/>
                </w:tcPr>
                <w:p w14:paraId="7F90BE2E">
                  <w:pPr>
                    <w:pStyle w:val="51"/>
                    <w:bidi w:val="0"/>
                    <w:rPr>
                      <w:rFonts w:hint="eastAsia"/>
                      <w:lang w:val="en-US" w:eastAsia="zh-CN"/>
                    </w:rPr>
                  </w:pPr>
                  <w:r>
                    <w:rPr>
                      <w:rFonts w:hint="eastAsia"/>
                    </w:rPr>
                    <w:t>推进建设适宜高效的治污设施。……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w:t>
                  </w:r>
                </w:p>
              </w:tc>
              <w:tc>
                <w:tcPr>
                  <w:tcW w:w="1988" w:type="dxa"/>
                  <w:tcBorders>
                    <w:left w:val="single" w:color="auto" w:sz="4" w:space="0"/>
                    <w:bottom w:val="single" w:color="auto" w:sz="4" w:space="0"/>
                    <w:right w:val="single" w:color="auto" w:sz="4" w:space="0"/>
                  </w:tcBorders>
                  <w:noWrap w:val="0"/>
                  <w:vAlign w:val="center"/>
                </w:tcPr>
                <w:p w14:paraId="29D6EFF2">
                  <w:pPr>
                    <w:pStyle w:val="51"/>
                    <w:bidi w:val="0"/>
                    <w:rPr>
                      <w:rFonts w:hint="default"/>
                      <w:lang w:val="en-US" w:eastAsia="zh-CN"/>
                    </w:rPr>
                  </w:pPr>
                  <w:r>
                    <w:rPr>
                      <w:rFonts w:hint="eastAsia"/>
                    </w:rPr>
                    <w:t>项目有机废气初始产生浓度较低废气浓度低，采用</w:t>
                  </w:r>
                  <w:r>
                    <w:rPr>
                      <w:rFonts w:hint="eastAsia"/>
                      <w:lang w:val="en-US" w:eastAsia="zh-CN"/>
                    </w:rPr>
                    <w:t>二级</w:t>
                  </w:r>
                  <w:r>
                    <w:rPr>
                      <w:rFonts w:hint="eastAsia"/>
                      <w:color w:val="000000" w:themeColor="text1"/>
                      <w:lang w:val="en-US" w:eastAsia="zh-CN"/>
                      <w14:textFill>
                        <w14:solidFill>
                          <w14:schemeClr w14:val="tx1"/>
                        </w14:solidFill>
                      </w14:textFill>
                    </w:rPr>
                    <w:t>活性炭装置</w:t>
                  </w:r>
                  <w:r>
                    <w:rPr>
                      <w:rFonts w:hint="eastAsia"/>
                      <w:lang w:val="en"/>
                    </w:rPr>
                    <w:t>吸附</w:t>
                  </w:r>
                  <w:r>
                    <w:rPr>
                      <w:rFonts w:hint="eastAsia"/>
                    </w:rPr>
                    <w:t>处理，定期更换活性炭，确保废气处理效率，更换的废活性炭委托资质单位处理。</w:t>
                  </w:r>
                </w:p>
              </w:tc>
              <w:tc>
                <w:tcPr>
                  <w:tcW w:w="752" w:type="dxa"/>
                  <w:tcBorders>
                    <w:left w:val="single" w:color="auto" w:sz="4" w:space="0"/>
                    <w:bottom w:val="single" w:color="auto" w:sz="4" w:space="0"/>
                    <w:right w:val="single" w:color="auto" w:sz="4" w:space="0"/>
                  </w:tcBorders>
                  <w:noWrap w:val="0"/>
                  <w:vAlign w:val="center"/>
                </w:tcPr>
                <w:p w14:paraId="6DC4094E">
                  <w:pPr>
                    <w:pStyle w:val="51"/>
                    <w:bidi w:val="0"/>
                    <w:rPr>
                      <w:rFonts w:hint="default"/>
                      <w:lang w:val="en-US" w:eastAsia="zh-CN"/>
                    </w:rPr>
                  </w:pPr>
                  <w:r>
                    <w:rPr>
                      <w:rFonts w:hint="eastAsia"/>
                    </w:rPr>
                    <w:t>符合</w:t>
                  </w:r>
                </w:p>
              </w:tc>
            </w:tr>
            <w:tr w14:paraId="55D20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82" w:type="dxa"/>
                  <w:vMerge w:val="restart"/>
                  <w:tcBorders>
                    <w:top w:val="nil"/>
                    <w:left w:val="single" w:color="auto" w:sz="4" w:space="0"/>
                    <w:bottom w:val="single" w:color="auto" w:sz="4" w:space="0"/>
                    <w:right w:val="single" w:color="auto" w:sz="4" w:space="0"/>
                  </w:tcBorders>
                  <w:noWrap w:val="0"/>
                  <w:vAlign w:val="center"/>
                </w:tcPr>
                <w:p w14:paraId="0DEDEDCE">
                  <w:pPr>
                    <w:pStyle w:val="51"/>
                    <w:bidi w:val="0"/>
                    <w:rPr>
                      <w:rFonts w:hint="default"/>
                    </w:rPr>
                  </w:pPr>
                  <w:r>
                    <w:rPr>
                      <w:rFonts w:hint="eastAsia"/>
                      <w:lang w:val="en-US" w:eastAsia="zh-CN"/>
                    </w:rPr>
                    <w:t>《安徽省挥发性有机物污染整治工作方案》</w:t>
                  </w:r>
                </w:p>
              </w:tc>
              <w:tc>
                <w:tcPr>
                  <w:tcW w:w="4111" w:type="dxa"/>
                  <w:tcBorders>
                    <w:top w:val="single" w:color="auto" w:sz="4" w:space="0"/>
                    <w:left w:val="single" w:color="auto" w:sz="4" w:space="0"/>
                    <w:bottom w:val="single" w:color="auto" w:sz="4" w:space="0"/>
                    <w:right w:val="single" w:color="auto" w:sz="4" w:space="0"/>
                  </w:tcBorders>
                  <w:noWrap w:val="0"/>
                  <w:vAlign w:val="center"/>
                </w:tcPr>
                <w:p w14:paraId="5796B7BB">
                  <w:pPr>
                    <w:pStyle w:val="51"/>
                    <w:bidi w:val="0"/>
                    <w:rPr>
                      <w:rFonts w:hint="default"/>
                    </w:rPr>
                  </w:pPr>
                  <w:r>
                    <w:rPr>
                      <w:rFonts w:hint="eastAsia"/>
                      <w:lang w:val="en-US" w:eastAsia="zh-CN"/>
                    </w:rPr>
                    <w:t>将控制挥发性有机物排放列入建设项目环境影响评价重要内容，</w:t>
                  </w:r>
                  <w:r>
                    <w:rPr>
                      <w:rFonts w:hint="default"/>
                      <w:lang w:val="en-US" w:eastAsia="zh-CN"/>
                    </w:rPr>
                    <w:t xml:space="preserve"> </w:t>
                  </w:r>
                  <w:r>
                    <w:rPr>
                      <w:rFonts w:hint="eastAsia"/>
                      <w:lang w:val="en-US" w:eastAsia="zh-CN"/>
                    </w:rPr>
                    <w:t>严格环境准入，严控“两高”行业新增产能。新建、迁建</w:t>
                  </w:r>
                  <w:r>
                    <w:rPr>
                      <w:rFonts w:hint="default"/>
                      <w:lang w:val="en-US" w:eastAsia="zh-CN"/>
                    </w:rPr>
                    <w:t xml:space="preserve">VOCs </w:t>
                  </w:r>
                  <w:r>
                    <w:rPr>
                      <w:rFonts w:hint="eastAsia"/>
                      <w:lang w:val="en-US" w:eastAsia="zh-CN"/>
                    </w:rPr>
                    <w:t>排放量大的企业应入工业园区并符合规划要求，必须建设挥发性有机物污染治理设施，安装废气收集、回收或净化装置，原则上总净化效率不得低于</w:t>
                  </w:r>
                  <w:r>
                    <w:rPr>
                      <w:rFonts w:hint="default"/>
                      <w:lang w:val="en-US" w:eastAsia="zh-CN"/>
                    </w:rPr>
                    <w:t>90%</w:t>
                  </w:r>
                  <w:r>
                    <w:rPr>
                      <w:rFonts w:hint="eastAsia"/>
                      <w:lang w:val="en-US" w:eastAsia="zh-CN"/>
                    </w:rPr>
                    <w:t>。建立</w:t>
                  </w:r>
                  <w:r>
                    <w:rPr>
                      <w:rFonts w:hint="default"/>
                      <w:lang w:val="en-US" w:eastAsia="zh-CN"/>
                    </w:rPr>
                    <w:t>VOCs</w:t>
                  </w:r>
                  <w:r>
                    <w:rPr>
                      <w:rFonts w:hint="eastAsia"/>
                      <w:lang w:val="en-US" w:eastAsia="zh-CN"/>
                    </w:rPr>
                    <w:t>排放总量控制制度。</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4613A5D9">
                  <w:pPr>
                    <w:pStyle w:val="51"/>
                    <w:bidi w:val="0"/>
                    <w:rPr>
                      <w:rFonts w:hint="eastAsia"/>
                    </w:rPr>
                  </w:pPr>
                  <w:r>
                    <w:rPr>
                      <w:rFonts w:hint="eastAsia"/>
                      <w:lang w:val="en-US" w:eastAsia="zh-CN"/>
                    </w:rPr>
                    <w:t>本项目为</w:t>
                  </w:r>
                  <w:r>
                    <w:t>C29</w:t>
                  </w:r>
                  <w:r>
                    <w:rPr>
                      <w:rFonts w:hint="eastAsia"/>
                    </w:rPr>
                    <w:t>29</w:t>
                  </w:r>
                  <w:r>
                    <w:rPr>
                      <w:rFonts w:hint="eastAsia" w:ascii="宋体" w:hAnsi="宋体" w:cs="宋体"/>
                      <w:kern w:val="0"/>
                    </w:rPr>
                    <w:t>塑料零件及其他塑料制品制造</w:t>
                  </w:r>
                  <w:r>
                    <w:rPr>
                      <w:rFonts w:hint="eastAsia" w:ascii="宋体" w:hAnsi="宋体" w:cs="宋体"/>
                      <w:kern w:val="0"/>
                      <w:lang w:eastAsia="zh-CN"/>
                    </w:rPr>
                    <w:t>、</w:t>
                  </w:r>
                  <w:r>
                    <w:t>C2924</w:t>
                  </w:r>
                  <w:r>
                    <w:rPr>
                      <w:rFonts w:hint="eastAsia"/>
                    </w:rPr>
                    <w:t xml:space="preserve"> 泡沫塑料制造</w:t>
                  </w:r>
                  <w:r>
                    <w:rPr>
                      <w:rFonts w:hint="eastAsia"/>
                      <w:highlight w:val="none"/>
                      <w:lang w:val="en-US" w:eastAsia="zh-CN"/>
                    </w:rPr>
                    <w:t>，</w:t>
                  </w:r>
                  <w:r>
                    <w:rPr>
                      <w:rFonts w:hint="eastAsia"/>
                      <w:lang w:val="en-US" w:eastAsia="zh-CN"/>
                    </w:rPr>
                    <w:t>不属于“两高”行业，</w:t>
                  </w:r>
                  <w:r>
                    <w:rPr>
                      <w:rFonts w:hint="eastAsia"/>
                      <w:color w:val="000000" w:themeColor="text1"/>
                      <w:lang w:val="en-US" w:eastAsia="zh-CN"/>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有机废气经有效收集后进入二级活性炭装置处理</w:t>
                  </w:r>
                  <w:r>
                    <w:rPr>
                      <w:rFonts w:hint="eastAsia"/>
                      <w:highlight w:val="none"/>
                      <w:lang w:val="en-US" w:eastAsia="zh-CN"/>
                    </w:rPr>
                    <w:t>，</w:t>
                  </w:r>
                  <w:r>
                    <w:rPr>
                      <w:rFonts w:hint="default"/>
                      <w:lang w:val="en-US" w:eastAsia="zh-CN"/>
                    </w:rPr>
                    <w:t>VOCs</w:t>
                  </w:r>
                  <w:r>
                    <w:rPr>
                      <w:rFonts w:hint="eastAsia"/>
                      <w:lang w:val="en-US" w:eastAsia="zh-CN"/>
                    </w:rPr>
                    <w:t>废气净化效率大于</w:t>
                  </w:r>
                  <w:r>
                    <w:rPr>
                      <w:rFonts w:hint="default"/>
                      <w:highlight w:val="none"/>
                      <w:lang w:val="en-US" w:eastAsia="zh-CN"/>
                    </w:rPr>
                    <w:t>90%</w:t>
                  </w:r>
                  <w:r>
                    <w:rPr>
                      <w:rFonts w:hint="eastAsia"/>
                      <w:highlight w:val="none"/>
                      <w:lang w:val="en-US" w:eastAsia="zh-CN"/>
                    </w:rPr>
                    <w:t>。</w:t>
                  </w:r>
                  <w:r>
                    <w:rPr>
                      <w:rFonts w:hint="eastAsia"/>
                      <w:lang w:val="en-US" w:eastAsia="zh-CN"/>
                    </w:rPr>
                    <w:t>项目建立</w:t>
                  </w:r>
                  <w:r>
                    <w:rPr>
                      <w:rFonts w:hint="default"/>
                      <w:lang w:val="en-US" w:eastAsia="zh-CN"/>
                    </w:rPr>
                    <w:t>VOCs</w:t>
                  </w:r>
                  <w:r>
                    <w:rPr>
                      <w:rFonts w:hint="eastAsia"/>
                      <w:lang w:val="en-US" w:eastAsia="zh-CN"/>
                    </w:rPr>
                    <w:t>排放总量控制制度。</w:t>
                  </w:r>
                </w:p>
              </w:tc>
              <w:tc>
                <w:tcPr>
                  <w:tcW w:w="752" w:type="dxa"/>
                  <w:tcBorders>
                    <w:top w:val="single" w:color="auto" w:sz="4" w:space="0"/>
                    <w:left w:val="single" w:color="auto" w:sz="4" w:space="0"/>
                    <w:bottom w:val="single" w:color="auto" w:sz="4" w:space="0"/>
                    <w:right w:val="single" w:color="auto" w:sz="4" w:space="0"/>
                  </w:tcBorders>
                  <w:noWrap w:val="0"/>
                  <w:vAlign w:val="center"/>
                </w:tcPr>
                <w:p w14:paraId="43233FB2">
                  <w:pPr>
                    <w:pStyle w:val="51"/>
                    <w:bidi w:val="0"/>
                    <w:rPr>
                      <w:rFonts w:hint="default"/>
                    </w:rPr>
                  </w:pPr>
                  <w:r>
                    <w:rPr>
                      <w:rFonts w:hint="eastAsia"/>
                      <w:lang w:val="en-US" w:eastAsia="zh-CN"/>
                    </w:rPr>
                    <w:t>符合</w:t>
                  </w:r>
                </w:p>
              </w:tc>
            </w:tr>
            <w:tr w14:paraId="75E1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82" w:type="dxa"/>
                  <w:vMerge w:val="continue"/>
                  <w:tcBorders>
                    <w:top w:val="nil"/>
                    <w:left w:val="single" w:color="auto" w:sz="4" w:space="0"/>
                    <w:bottom w:val="single" w:color="auto" w:sz="4" w:space="0"/>
                    <w:right w:val="single" w:color="auto" w:sz="4" w:space="0"/>
                  </w:tcBorders>
                  <w:noWrap w:val="0"/>
                  <w:vAlign w:val="center"/>
                </w:tcPr>
                <w:p w14:paraId="06A9643A">
                  <w:pPr>
                    <w:pStyle w:val="51"/>
                    <w:bidi w:val="0"/>
                    <w:rPr>
                      <w:rFonts w:hint="default"/>
                    </w:rPr>
                  </w:pPr>
                </w:p>
              </w:tc>
              <w:tc>
                <w:tcPr>
                  <w:tcW w:w="4111" w:type="dxa"/>
                  <w:tcBorders>
                    <w:top w:val="single" w:color="auto" w:sz="4" w:space="0"/>
                    <w:left w:val="single" w:color="auto" w:sz="4" w:space="0"/>
                    <w:bottom w:val="single" w:color="auto" w:sz="4" w:space="0"/>
                    <w:right w:val="single" w:color="auto" w:sz="4" w:space="0"/>
                  </w:tcBorders>
                  <w:noWrap w:val="0"/>
                  <w:vAlign w:val="center"/>
                </w:tcPr>
                <w:p w14:paraId="422C8F95">
                  <w:pPr>
                    <w:pStyle w:val="51"/>
                    <w:bidi w:val="0"/>
                    <w:rPr>
                      <w:rFonts w:hint="default"/>
                    </w:rPr>
                  </w:pPr>
                  <w:r>
                    <w:rPr>
                      <w:rFonts w:hint="eastAsia"/>
                      <w:lang w:val="en-US" w:eastAsia="zh-CN"/>
                    </w:rPr>
                    <w:t>加强企业内部管理，明确</w:t>
                  </w:r>
                  <w:r>
                    <w:rPr>
                      <w:rFonts w:hint="default"/>
                      <w:lang w:val="en-US" w:eastAsia="zh-CN"/>
                    </w:rPr>
                    <w:t>VOCs</w:t>
                  </w:r>
                  <w:r>
                    <w:rPr>
                      <w:rFonts w:hint="eastAsia"/>
                      <w:lang w:val="en-US" w:eastAsia="zh-CN"/>
                    </w:rPr>
                    <w:t>处理装置的管理和监控方案，提升现场管理水平，确保</w:t>
                  </w:r>
                  <w:r>
                    <w:rPr>
                      <w:rFonts w:hint="default"/>
                      <w:lang w:val="en-US" w:eastAsia="zh-CN"/>
                    </w:rPr>
                    <w:t xml:space="preserve">VOCs </w:t>
                  </w:r>
                  <w:r>
                    <w:rPr>
                      <w:rFonts w:hint="eastAsia"/>
                      <w:lang w:val="en-US" w:eastAsia="zh-CN"/>
                    </w:rPr>
                    <w:t>处理装置长期有效运行。要加强基础工作，建立完善的“一厂一档”，与</w:t>
                  </w:r>
                  <w:r>
                    <w:rPr>
                      <w:rFonts w:hint="default"/>
                      <w:lang w:val="en-US" w:eastAsia="zh-CN"/>
                    </w:rPr>
                    <w:t>VOCs</w:t>
                  </w:r>
                  <w:r>
                    <w:rPr>
                      <w:rFonts w:hint="eastAsia"/>
                      <w:lang w:val="en-US" w:eastAsia="zh-CN"/>
                    </w:rPr>
                    <w:t>排放相关的原辅料、溶剂的使用、产品生产及输出、废气处理、污染物排放、在线监控等信息应进行跟踪记录，以满足企业</w:t>
                  </w:r>
                  <w:r>
                    <w:rPr>
                      <w:rFonts w:hint="default"/>
                      <w:lang w:val="en-US" w:eastAsia="zh-CN"/>
                    </w:rPr>
                    <w:t>VOCs</w:t>
                  </w:r>
                  <w:r>
                    <w:rPr>
                      <w:rFonts w:hint="eastAsia"/>
                      <w:lang w:val="en-US" w:eastAsia="zh-CN"/>
                    </w:rPr>
                    <w:t>实际以及潜在的排放量查证需要，确保企业</w:t>
                  </w:r>
                  <w:r>
                    <w:rPr>
                      <w:rFonts w:hint="default"/>
                      <w:lang w:val="en-US" w:eastAsia="zh-CN"/>
                    </w:rPr>
                    <w:t>VOCs</w:t>
                  </w:r>
                  <w:r>
                    <w:rPr>
                      <w:rFonts w:hint="eastAsia"/>
                      <w:lang w:val="en-US" w:eastAsia="zh-CN"/>
                    </w:rPr>
                    <w:t>处理装置运行效果</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56CBC827">
                  <w:pPr>
                    <w:pStyle w:val="51"/>
                    <w:bidi w:val="0"/>
                    <w:rPr>
                      <w:rFonts w:hint="default"/>
                    </w:rPr>
                  </w:pPr>
                  <w:r>
                    <w:rPr>
                      <w:rFonts w:hint="eastAsia"/>
                      <w:lang w:val="en-US" w:eastAsia="zh-CN"/>
                    </w:rPr>
                    <w:t>建设单位制定</w:t>
                  </w:r>
                  <w:r>
                    <w:rPr>
                      <w:rFonts w:hint="default"/>
                      <w:lang w:val="en-US" w:eastAsia="zh-CN"/>
                    </w:rPr>
                    <w:t>VOCs</w:t>
                  </w:r>
                  <w:r>
                    <w:rPr>
                      <w:rFonts w:hint="eastAsia"/>
                      <w:lang w:val="en-US" w:eastAsia="zh-CN"/>
                    </w:rPr>
                    <w:t>处理装置的管理和监控方案，建立</w:t>
                  </w:r>
                  <w:r>
                    <w:rPr>
                      <w:rFonts w:hint="default"/>
                      <w:lang w:val="en-US" w:eastAsia="zh-CN"/>
                    </w:rPr>
                    <w:t>VOCs</w:t>
                  </w:r>
                  <w:r>
                    <w:rPr>
                      <w:rFonts w:hint="eastAsia"/>
                      <w:lang w:val="en-US" w:eastAsia="zh-CN"/>
                    </w:rPr>
                    <w:t>使用档案，确保企业</w:t>
                  </w:r>
                  <w:r>
                    <w:rPr>
                      <w:rFonts w:hint="default"/>
                      <w:lang w:val="en-US" w:eastAsia="zh-CN"/>
                    </w:rPr>
                    <w:t>VOCs</w:t>
                  </w:r>
                  <w:r>
                    <w:rPr>
                      <w:rFonts w:hint="eastAsia"/>
                      <w:lang w:val="en-US" w:eastAsia="zh-CN"/>
                    </w:rPr>
                    <w:t>处理装置运行效果。</w:t>
                  </w:r>
                </w:p>
              </w:tc>
              <w:tc>
                <w:tcPr>
                  <w:tcW w:w="752" w:type="dxa"/>
                  <w:tcBorders>
                    <w:top w:val="single" w:color="auto" w:sz="4" w:space="0"/>
                    <w:left w:val="single" w:color="auto" w:sz="4" w:space="0"/>
                    <w:bottom w:val="single" w:color="auto" w:sz="4" w:space="0"/>
                    <w:right w:val="single" w:color="auto" w:sz="4" w:space="0"/>
                  </w:tcBorders>
                  <w:noWrap w:val="0"/>
                  <w:vAlign w:val="center"/>
                </w:tcPr>
                <w:p w14:paraId="3DB0FBF7">
                  <w:pPr>
                    <w:pStyle w:val="51"/>
                    <w:bidi w:val="0"/>
                    <w:rPr>
                      <w:rFonts w:hint="default"/>
                    </w:rPr>
                  </w:pPr>
                  <w:r>
                    <w:rPr>
                      <w:rFonts w:hint="eastAsia"/>
                      <w:lang w:val="en-US" w:eastAsia="zh-CN"/>
                    </w:rPr>
                    <w:t>符合</w:t>
                  </w:r>
                </w:p>
              </w:tc>
            </w:tr>
            <w:tr w14:paraId="50287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82" w:type="dxa"/>
                  <w:vMerge w:val="restart"/>
                  <w:tcBorders>
                    <w:top w:val="nil"/>
                    <w:left w:val="single" w:color="auto" w:sz="4" w:space="0"/>
                    <w:bottom w:val="single" w:color="auto" w:sz="4" w:space="0"/>
                    <w:right w:val="single" w:color="auto" w:sz="4" w:space="0"/>
                  </w:tcBorders>
                  <w:noWrap w:val="0"/>
                  <w:vAlign w:val="center"/>
                </w:tcPr>
                <w:p w14:paraId="3BE214F2">
                  <w:pPr>
                    <w:pStyle w:val="51"/>
                    <w:bidi w:val="0"/>
                    <w:rPr>
                      <w:rFonts w:hint="default"/>
                    </w:rPr>
                  </w:pPr>
                  <w:r>
                    <w:rPr>
                      <w:rFonts w:hint="eastAsia"/>
                      <w:b w:val="0"/>
                      <w:bCs w:val="0"/>
                      <w:color w:val="auto"/>
                    </w:rPr>
                    <w:t>《淮南市</w:t>
                  </w:r>
                  <w:r>
                    <w:rPr>
                      <w:rFonts w:hint="eastAsia"/>
                      <w:b w:val="0"/>
                      <w:bCs w:val="0"/>
                      <w:color w:val="auto"/>
                      <w:lang w:eastAsia="zh-CN"/>
                    </w:rPr>
                    <w:t>“</w:t>
                  </w:r>
                  <w:r>
                    <w:rPr>
                      <w:rFonts w:hint="eastAsia"/>
                      <w:b w:val="0"/>
                      <w:bCs w:val="0"/>
                      <w:color w:val="auto"/>
                    </w:rPr>
                    <w:t>十四五</w:t>
                  </w:r>
                  <w:r>
                    <w:rPr>
                      <w:rFonts w:hint="eastAsia"/>
                      <w:b w:val="0"/>
                      <w:bCs w:val="0"/>
                      <w:color w:val="auto"/>
                      <w:lang w:eastAsia="zh-CN"/>
                    </w:rPr>
                    <w:t>”</w:t>
                  </w:r>
                  <w:r>
                    <w:rPr>
                      <w:rFonts w:hint="eastAsia"/>
                      <w:b w:val="0"/>
                      <w:bCs w:val="0"/>
                      <w:color w:val="auto"/>
                    </w:rPr>
                    <w:t>大气污染防治规划（2021</w:t>
                  </w:r>
                  <w:r>
                    <w:rPr>
                      <w:rFonts w:hint="eastAsia"/>
                      <w:b w:val="0"/>
                      <w:bCs w:val="0"/>
                      <w:color w:val="auto"/>
                      <w:lang w:eastAsia="zh-CN"/>
                    </w:rPr>
                    <w:t>—</w:t>
                  </w:r>
                  <w:r>
                    <w:rPr>
                      <w:rFonts w:hint="eastAsia"/>
                      <w:b w:val="0"/>
                      <w:bCs w:val="0"/>
                      <w:color w:val="auto"/>
                    </w:rPr>
                    <w:t>2025年）》（淮环委办</w:t>
                  </w:r>
                  <w:r>
                    <w:rPr>
                      <w:rFonts w:hint="eastAsia"/>
                      <w:b w:val="0"/>
                      <w:bCs w:val="0"/>
                      <w:color w:val="auto"/>
                      <w:lang w:eastAsia="zh-CN"/>
                    </w:rPr>
                    <w:t>〔</w:t>
                  </w:r>
                  <w:r>
                    <w:rPr>
                      <w:rFonts w:hint="eastAsia"/>
                      <w:b w:val="0"/>
                      <w:bCs w:val="0"/>
                      <w:color w:val="auto"/>
                    </w:rPr>
                    <w:t>2022</w:t>
                  </w:r>
                  <w:r>
                    <w:rPr>
                      <w:rFonts w:hint="eastAsia"/>
                      <w:b w:val="0"/>
                      <w:bCs w:val="0"/>
                      <w:color w:val="auto"/>
                      <w:lang w:eastAsia="zh-CN"/>
                    </w:rPr>
                    <w:t>〕</w:t>
                  </w:r>
                  <w:r>
                    <w:rPr>
                      <w:rFonts w:hint="eastAsia"/>
                      <w:b w:val="0"/>
                      <w:bCs w:val="0"/>
                      <w:color w:val="auto"/>
                    </w:rPr>
                    <w:t>49号）</w:t>
                  </w:r>
                </w:p>
              </w:tc>
              <w:tc>
                <w:tcPr>
                  <w:tcW w:w="4111" w:type="dxa"/>
                  <w:tcBorders>
                    <w:top w:val="single" w:color="auto" w:sz="4" w:space="0"/>
                    <w:left w:val="single" w:color="auto" w:sz="4" w:space="0"/>
                    <w:bottom w:val="single" w:color="auto" w:sz="4" w:space="0"/>
                    <w:right w:val="single" w:color="auto" w:sz="4" w:space="0"/>
                  </w:tcBorders>
                  <w:noWrap w:val="0"/>
                  <w:vAlign w:val="center"/>
                </w:tcPr>
                <w:p w14:paraId="2C2D44C7">
                  <w:pPr>
                    <w:pStyle w:val="51"/>
                    <w:bidi w:val="0"/>
                    <w:rPr>
                      <w:rFonts w:hint="default"/>
                    </w:rPr>
                  </w:pPr>
                  <w:r>
                    <w:t>严格执行国家和省高耗能、高污染和资源型行业准入条件</w:t>
                  </w:r>
                  <w:r>
                    <w:rPr>
                      <w:rFonts w:hint="eastAsia"/>
                    </w:rPr>
                    <w:t>。</w:t>
                  </w:r>
                  <w:r>
                    <w:t>严控</w:t>
                  </w:r>
                  <w:r>
                    <w:rPr>
                      <w:rFonts w:hint="eastAsia"/>
                      <w:lang w:eastAsia="zh-CN"/>
                    </w:rPr>
                    <w:t>“</w:t>
                  </w:r>
                  <w:r>
                    <w:t>两高</w:t>
                  </w:r>
                  <w:r>
                    <w:rPr>
                      <w:rFonts w:hint="eastAsia"/>
                      <w:lang w:eastAsia="zh-CN"/>
                    </w:rPr>
                    <w:t>”</w:t>
                  </w:r>
                  <w:r>
                    <w:t>行业产能，</w:t>
                  </w:r>
                  <w:r>
                    <w:rPr>
                      <w:rFonts w:hint="eastAsia"/>
                    </w:rPr>
                    <w:t>原则上禁止新建、扩建单纯新增产能的钢铁、水泥、平板玻璃、铸造等产能过剩的传统产业项目，严格执行钢铁、水泥、平板玻璃等行业产能置换实施办法。原则上不得新建热电联产、天然气化工和未纳入国家规划的煤化工等项目。严格控制涉工业炉窑建设项目，原则上禁止新建燃料类煤气发生炉（园区现有企业统一建设的清洁煤制气项目除外）。</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122AAE92">
                  <w:pPr>
                    <w:pStyle w:val="51"/>
                    <w:bidi w:val="0"/>
                    <w:rPr>
                      <w:rFonts w:hint="eastAsia"/>
                    </w:rPr>
                  </w:pPr>
                  <w:r>
                    <w:rPr>
                      <w:rFonts w:hint="eastAsia"/>
                    </w:rPr>
                    <w:t>本项目</w:t>
                  </w:r>
                  <w:r>
                    <w:rPr>
                      <w:rFonts w:hint="eastAsia"/>
                      <w:lang w:val="en-US" w:eastAsia="zh-CN"/>
                    </w:rPr>
                    <w:t>建设EPP汽车零部件及EPS包装材料生产线各一条</w:t>
                  </w:r>
                  <w:r>
                    <w:rPr>
                      <w:rFonts w:hint="eastAsia"/>
                    </w:rPr>
                    <w:t>，不属于</w:t>
                  </w:r>
                  <w:r>
                    <w:rPr>
                      <w:rFonts w:hint="eastAsia"/>
                      <w:lang w:val="en-US" w:eastAsia="zh-CN"/>
                    </w:rPr>
                    <w:t>左列</w:t>
                  </w:r>
                  <w:r>
                    <w:rPr>
                      <w:rFonts w:hint="eastAsia"/>
                    </w:rPr>
                    <w:t>所述高耗能、高污染项目，生产过程热源采用</w:t>
                  </w:r>
                  <w:r>
                    <w:rPr>
                      <w:rFonts w:hint="eastAsia"/>
                      <w:lang w:val="en-US" w:eastAsia="zh-CN"/>
                    </w:rPr>
                    <w:t>蒸汽</w:t>
                  </w:r>
                  <w:r>
                    <w:rPr>
                      <w:rFonts w:hint="eastAsia"/>
                    </w:rPr>
                    <w:t>，不使用煤。</w:t>
                  </w:r>
                </w:p>
              </w:tc>
              <w:tc>
                <w:tcPr>
                  <w:tcW w:w="752" w:type="dxa"/>
                  <w:tcBorders>
                    <w:top w:val="single" w:color="auto" w:sz="4" w:space="0"/>
                    <w:left w:val="single" w:color="auto" w:sz="4" w:space="0"/>
                    <w:bottom w:val="single" w:color="auto" w:sz="4" w:space="0"/>
                    <w:right w:val="single" w:color="auto" w:sz="4" w:space="0"/>
                  </w:tcBorders>
                  <w:noWrap w:val="0"/>
                  <w:vAlign w:val="center"/>
                </w:tcPr>
                <w:p w14:paraId="51443D42">
                  <w:pPr>
                    <w:pStyle w:val="51"/>
                    <w:bidi w:val="0"/>
                    <w:rPr>
                      <w:rFonts w:hint="default"/>
                    </w:rPr>
                  </w:pPr>
                  <w:r>
                    <w:rPr>
                      <w:rFonts w:hint="eastAsia"/>
                      <w:lang w:val="en-US" w:eastAsia="zh-CN"/>
                    </w:rPr>
                    <w:t>符合</w:t>
                  </w:r>
                </w:p>
              </w:tc>
            </w:tr>
            <w:tr w14:paraId="5039B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82" w:type="dxa"/>
                  <w:vMerge w:val="continue"/>
                  <w:tcBorders>
                    <w:top w:val="nil"/>
                    <w:left w:val="single" w:color="auto" w:sz="4" w:space="0"/>
                    <w:bottom w:val="single" w:color="auto" w:sz="4" w:space="0"/>
                    <w:right w:val="single" w:color="auto" w:sz="4" w:space="0"/>
                  </w:tcBorders>
                  <w:noWrap w:val="0"/>
                  <w:vAlign w:val="center"/>
                </w:tcPr>
                <w:p w14:paraId="245258C7">
                  <w:pPr>
                    <w:pStyle w:val="51"/>
                    <w:bidi w:val="0"/>
                    <w:rPr>
                      <w:rFonts w:hint="default"/>
                    </w:rPr>
                  </w:pPr>
                </w:p>
              </w:tc>
              <w:tc>
                <w:tcPr>
                  <w:tcW w:w="4111" w:type="dxa"/>
                  <w:tcBorders>
                    <w:top w:val="single" w:color="auto" w:sz="4" w:space="0"/>
                    <w:left w:val="single" w:color="auto" w:sz="4" w:space="0"/>
                    <w:bottom w:val="single" w:color="auto" w:sz="4" w:space="0"/>
                    <w:right w:val="single" w:color="auto" w:sz="4" w:space="0"/>
                  </w:tcBorders>
                  <w:noWrap w:val="0"/>
                  <w:vAlign w:val="center"/>
                </w:tcPr>
                <w:p w14:paraId="65CBC5AC">
                  <w:pPr>
                    <w:pStyle w:val="51"/>
                    <w:bidi w:val="0"/>
                    <w:rPr>
                      <w:rFonts w:hint="default"/>
                    </w:rPr>
                  </w:pPr>
                  <w:r>
                    <w:t>严格控制燃煤项目，</w:t>
                  </w:r>
                  <w:r>
                    <w:rPr>
                      <w:rFonts w:hint="eastAsia"/>
                    </w:rPr>
                    <w:t>强化新建燃煤项目审批管理，限制高污染高耗能项目落地，新改扩建耗煤项目严格执行安徽省煤炭消费减量替代制度，</w:t>
                  </w:r>
                  <w:r>
                    <w:t>并且排污强度、能效和碳排放水平达到国内先进水平。加严涉VOCs项目建设。</w:t>
                  </w:r>
                  <w:r>
                    <w:rPr>
                      <w:rFonts w:hint="eastAsia"/>
                    </w:rPr>
                    <w:t>严格限制高VOCs排放化工类建设项目</w:t>
                  </w:r>
                  <w:r>
                    <w:t>。禁止建设生产和使用VOCs含量</w:t>
                  </w:r>
                  <w:r>
                    <w:rPr>
                      <w:rFonts w:hint="eastAsia"/>
                    </w:rPr>
                    <w:t>限值不符合国家标准</w:t>
                  </w:r>
                  <w:r>
                    <w:t>的涂料、油墨、胶黏剂</w:t>
                  </w:r>
                  <w:r>
                    <w:rPr>
                      <w:rFonts w:hint="eastAsia"/>
                    </w:rPr>
                    <w:t>、清洗剂等</w:t>
                  </w:r>
                  <w:r>
                    <w:t>项目。其他新、改、扩建排放VOCs的项目，应从源头加强控制，配套安装高效收集、治理设施。新建涉VOCs排放的工业企业要入园区</w:t>
                  </w:r>
                  <w:r>
                    <w:rPr>
                      <w:rFonts w:hint="eastAsia"/>
                    </w:rPr>
                    <w:t>。实行区域内</w:t>
                  </w:r>
                  <w:r>
                    <w:t>VOCs</w:t>
                  </w:r>
                  <w:r>
                    <w:rPr>
                      <w:rFonts w:hint="eastAsia"/>
                    </w:rPr>
                    <w:t>排放等量、倍量削减替代，将替代方案落实到企业排污许可证中，纳入环境执法管理。</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6FDC9306">
                  <w:pPr>
                    <w:pStyle w:val="51"/>
                    <w:bidi w:val="0"/>
                    <w:rPr>
                      <w:rFonts w:hint="default"/>
                    </w:rPr>
                  </w:pPr>
                  <w:r>
                    <w:rPr>
                      <w:rFonts w:hint="eastAsia"/>
                    </w:rPr>
                    <w:t>项目生产原料、能源均不涉及煤。营运期建立管理台账，记录VOCs原辅材料的产品名称、VOCs含量和使用量等。</w:t>
                  </w:r>
                </w:p>
              </w:tc>
              <w:tc>
                <w:tcPr>
                  <w:tcW w:w="752" w:type="dxa"/>
                  <w:tcBorders>
                    <w:top w:val="single" w:color="auto" w:sz="4" w:space="0"/>
                    <w:left w:val="single" w:color="auto" w:sz="4" w:space="0"/>
                    <w:bottom w:val="single" w:color="auto" w:sz="4" w:space="0"/>
                    <w:right w:val="single" w:color="auto" w:sz="4" w:space="0"/>
                  </w:tcBorders>
                  <w:noWrap w:val="0"/>
                  <w:vAlign w:val="center"/>
                </w:tcPr>
                <w:p w14:paraId="27D3EE25">
                  <w:pPr>
                    <w:pStyle w:val="51"/>
                    <w:bidi w:val="0"/>
                    <w:rPr>
                      <w:rFonts w:hint="default"/>
                    </w:rPr>
                  </w:pPr>
                  <w:r>
                    <w:rPr>
                      <w:rFonts w:hint="eastAsia"/>
                      <w:lang w:val="en-US" w:eastAsia="zh-CN"/>
                    </w:rPr>
                    <w:t>符合</w:t>
                  </w:r>
                </w:p>
              </w:tc>
            </w:tr>
            <w:tr w14:paraId="46B8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82" w:type="dxa"/>
                  <w:vMerge w:val="continue"/>
                  <w:tcBorders>
                    <w:top w:val="nil"/>
                    <w:left w:val="single" w:color="auto" w:sz="4" w:space="0"/>
                    <w:bottom w:val="single" w:color="auto" w:sz="4" w:space="0"/>
                    <w:right w:val="single" w:color="auto" w:sz="4" w:space="0"/>
                  </w:tcBorders>
                  <w:noWrap w:val="0"/>
                  <w:vAlign w:val="center"/>
                </w:tcPr>
                <w:p w14:paraId="57991D12">
                  <w:pPr>
                    <w:pStyle w:val="51"/>
                    <w:bidi w:val="0"/>
                    <w:rPr>
                      <w:rFonts w:hint="default"/>
                    </w:rPr>
                  </w:pPr>
                </w:p>
              </w:tc>
              <w:tc>
                <w:tcPr>
                  <w:tcW w:w="4111" w:type="dxa"/>
                  <w:tcBorders>
                    <w:top w:val="single" w:color="auto" w:sz="4" w:space="0"/>
                    <w:left w:val="single" w:color="auto" w:sz="4" w:space="0"/>
                    <w:bottom w:val="single" w:color="auto" w:sz="4" w:space="0"/>
                    <w:right w:val="single" w:color="auto" w:sz="4" w:space="0"/>
                  </w:tcBorders>
                  <w:noWrap w:val="0"/>
                  <w:vAlign w:val="center"/>
                </w:tcPr>
                <w:p w14:paraId="334036FB">
                  <w:pPr>
                    <w:pStyle w:val="51"/>
                    <w:bidi w:val="0"/>
                    <w:rPr>
                      <w:rFonts w:hint="eastAsia"/>
                      <w:lang w:val="en-US" w:eastAsia="zh-CN"/>
                    </w:rPr>
                  </w:pPr>
                  <w:r>
                    <w:rPr>
                      <w:rFonts w:hint="eastAsia"/>
                    </w:rPr>
                    <w:t>开展工业炉窑整治专项行动。按照</w:t>
                  </w:r>
                  <w:r>
                    <w:rPr>
                      <w:rFonts w:hint="eastAsia"/>
                      <w:lang w:eastAsia="zh-CN"/>
                    </w:rPr>
                    <w:t>“</w:t>
                  </w:r>
                  <w:r>
                    <w:rPr>
                      <w:rFonts w:hint="eastAsia"/>
                    </w:rPr>
                    <w:t>提标改造一批、淘汰取缔一批、清洁能源替代一批、搬迁入园一批</w:t>
                  </w:r>
                  <w:r>
                    <w:rPr>
                      <w:rFonts w:hint="eastAsia"/>
                      <w:lang w:eastAsia="zh-CN"/>
                    </w:rPr>
                    <w:t>”</w:t>
                  </w:r>
                  <w:r>
                    <w:rPr>
                      <w:rFonts w:hint="eastAsia"/>
                    </w:rPr>
                    <w:t>的原则，推进工业炉窑结构升级和污染减排。对以煤、渣油、重油等为燃料的加热炉、热处理炉、干燥炉（窑）等，加快使用清洁能源以及利用工厂余热、热电厂供热等进行替代，到2025年基本完成以煤为燃料的工业炉窑清洁燃料替代改造。深入推进工业炉窑污染深度治理，严格执行大气污染物特别排放限值，清理整治无法稳定达标排放的工业炉窑锅炉。</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6705D4B7">
                  <w:pPr>
                    <w:pStyle w:val="51"/>
                    <w:bidi w:val="0"/>
                    <w:rPr>
                      <w:rFonts w:hint="default"/>
                      <w:lang w:val="en-US" w:eastAsia="zh-CN"/>
                    </w:rPr>
                  </w:pPr>
                  <w:r>
                    <w:rPr>
                      <w:rFonts w:hint="eastAsia"/>
                    </w:rPr>
                    <w:t>本项目使用</w:t>
                  </w:r>
                  <w:r>
                    <w:rPr>
                      <w:rFonts w:hint="eastAsia"/>
                      <w:lang w:val="en-US" w:eastAsia="zh-CN"/>
                    </w:rPr>
                    <w:t>电热，蒸汽由园区统一提供，不涉及工业炉窑。</w:t>
                  </w:r>
                </w:p>
              </w:tc>
              <w:tc>
                <w:tcPr>
                  <w:tcW w:w="752" w:type="dxa"/>
                  <w:tcBorders>
                    <w:top w:val="single" w:color="auto" w:sz="4" w:space="0"/>
                    <w:left w:val="single" w:color="auto" w:sz="4" w:space="0"/>
                    <w:bottom w:val="single" w:color="auto" w:sz="4" w:space="0"/>
                    <w:right w:val="single" w:color="auto" w:sz="4" w:space="0"/>
                  </w:tcBorders>
                  <w:noWrap w:val="0"/>
                  <w:vAlign w:val="center"/>
                </w:tcPr>
                <w:p w14:paraId="3D073F03">
                  <w:pPr>
                    <w:pStyle w:val="51"/>
                    <w:bidi w:val="0"/>
                    <w:rPr>
                      <w:rFonts w:hint="eastAsia"/>
                      <w:lang w:val="en-US" w:eastAsia="zh-CN"/>
                    </w:rPr>
                  </w:pPr>
                </w:p>
              </w:tc>
            </w:tr>
            <w:tr w14:paraId="1584E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82" w:type="dxa"/>
                  <w:vMerge w:val="continue"/>
                  <w:tcBorders>
                    <w:top w:val="nil"/>
                    <w:left w:val="single" w:color="auto" w:sz="4" w:space="0"/>
                    <w:bottom w:val="single" w:color="auto" w:sz="4" w:space="0"/>
                    <w:right w:val="single" w:color="auto" w:sz="4" w:space="0"/>
                  </w:tcBorders>
                  <w:noWrap w:val="0"/>
                  <w:vAlign w:val="center"/>
                </w:tcPr>
                <w:p w14:paraId="56418CF7">
                  <w:pPr>
                    <w:pStyle w:val="51"/>
                    <w:bidi w:val="0"/>
                    <w:rPr>
                      <w:rFonts w:hint="default"/>
                    </w:rPr>
                  </w:pPr>
                </w:p>
              </w:tc>
              <w:tc>
                <w:tcPr>
                  <w:tcW w:w="4111" w:type="dxa"/>
                  <w:tcBorders>
                    <w:top w:val="single" w:color="auto" w:sz="4" w:space="0"/>
                    <w:left w:val="single" w:color="auto" w:sz="4" w:space="0"/>
                    <w:bottom w:val="single" w:color="auto" w:sz="4" w:space="0"/>
                    <w:right w:val="single" w:color="auto" w:sz="4" w:space="0"/>
                  </w:tcBorders>
                  <w:noWrap w:val="0"/>
                  <w:vAlign w:val="center"/>
                </w:tcPr>
                <w:p w14:paraId="4230D95F">
                  <w:pPr>
                    <w:pStyle w:val="51"/>
                    <w:bidi w:val="0"/>
                    <w:rPr>
                      <w:rFonts w:hint="default"/>
                    </w:rPr>
                  </w:pPr>
                  <w:r>
                    <w:rPr>
                      <w:rFonts w:hint="eastAsia"/>
                    </w:rPr>
                    <w:t>建设适宜高效的治污设施。全面提升治理设施</w:t>
                  </w:r>
                  <w:r>
                    <w:rPr>
                      <w:rFonts w:hint="eastAsia"/>
                      <w:lang w:eastAsia="zh-CN"/>
                    </w:rPr>
                    <w:t>“</w:t>
                  </w:r>
                  <w:r>
                    <w:rPr>
                      <w:rFonts w:hint="eastAsia"/>
                    </w:rPr>
                    <w:t>三率</w:t>
                  </w:r>
                  <w:r>
                    <w:rPr>
                      <w:rFonts w:hint="eastAsia"/>
                      <w:lang w:eastAsia="zh-CN"/>
                    </w:rPr>
                    <w:t>”</w:t>
                  </w:r>
                  <w:r>
                    <w:rPr>
                      <w:rFonts w:hint="eastAsia"/>
                    </w:rPr>
                    <w:t>，2022年底前，各地完成现有VOCs废气收集率、治理设施同步运行率和去除率的排查，对达不到要求的VOCs收集、治理设施进行更换或升级改造，确保稳定达标排放；对治理难度大、单一治理工艺难以稳定达标的，要采用多种技术的组合工艺，鼓励采用</w:t>
                  </w:r>
                  <w:r>
                    <w:rPr>
                      <w:rFonts w:hint="eastAsia"/>
                      <w:lang w:eastAsia="zh-CN"/>
                    </w:rPr>
                    <w:t>“</w:t>
                  </w:r>
                  <w:r>
                    <w:rPr>
                      <w:rFonts w:hint="eastAsia"/>
                    </w:rPr>
                    <w:t>除尘、活性炭、燃烧或除尘、沸石转轮浓缩、燃烧</w:t>
                  </w:r>
                  <w:r>
                    <w:rPr>
                      <w:rFonts w:hint="eastAsia"/>
                      <w:lang w:eastAsia="zh-CN"/>
                    </w:rPr>
                    <w:t>”</w:t>
                  </w:r>
                  <w:r>
                    <w:rPr>
                      <w:rFonts w:hint="eastAsia"/>
                    </w:rPr>
                    <w:t>等技术或组合技术，提高VOCs污染物去除效率。完成有机废气排放系统旁路摸底排查，取消非必要的旁路。加强运行维护管理，确保治污设施达标运行。到2025年，化工、工业涂装、包装印刷行业综合去除效率均达到80%以上。</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42754197">
                  <w:pPr>
                    <w:pStyle w:val="51"/>
                    <w:bidi w:val="0"/>
                    <w:rPr>
                      <w:rFonts w:hint="default"/>
                    </w:rPr>
                  </w:pPr>
                  <w:r>
                    <w:rPr>
                      <w:rFonts w:hint="eastAsia"/>
                    </w:rPr>
                    <w:t>本项目生产产生有机废气</w:t>
                  </w:r>
                  <w:r>
                    <w:rPr>
                      <w:rFonts w:hint="eastAsia"/>
                      <w:lang w:val="en-US" w:eastAsia="zh-CN"/>
                    </w:rPr>
                    <w:t>，</w:t>
                  </w:r>
                  <w:r>
                    <w:rPr>
                      <w:rFonts w:hint="eastAsia"/>
                    </w:rPr>
                    <w:t>废气配套可行性处置措施</w:t>
                  </w:r>
                  <w:r>
                    <w:rPr>
                      <w:rFonts w:hint="eastAsia"/>
                      <w:lang w:val="en-US" w:eastAsia="zh-CN"/>
                    </w:rPr>
                    <w:t>冷凝+二级活性炭</w:t>
                  </w:r>
                  <w:r>
                    <w:rPr>
                      <w:rFonts w:hint="eastAsia"/>
                    </w:rPr>
                    <w:t>装置处理后达标排放。</w:t>
                  </w:r>
                </w:p>
              </w:tc>
              <w:tc>
                <w:tcPr>
                  <w:tcW w:w="752" w:type="dxa"/>
                  <w:tcBorders>
                    <w:top w:val="single" w:color="auto" w:sz="4" w:space="0"/>
                    <w:left w:val="single" w:color="auto" w:sz="4" w:space="0"/>
                    <w:bottom w:val="single" w:color="auto" w:sz="4" w:space="0"/>
                    <w:right w:val="single" w:color="auto" w:sz="4" w:space="0"/>
                  </w:tcBorders>
                  <w:noWrap w:val="0"/>
                  <w:vAlign w:val="center"/>
                </w:tcPr>
                <w:p w14:paraId="0662D081">
                  <w:pPr>
                    <w:pStyle w:val="51"/>
                    <w:bidi w:val="0"/>
                    <w:rPr>
                      <w:rFonts w:hint="default"/>
                    </w:rPr>
                  </w:pPr>
                  <w:r>
                    <w:rPr>
                      <w:rFonts w:hint="eastAsia"/>
                      <w:lang w:val="en-US" w:eastAsia="zh-CN"/>
                    </w:rPr>
                    <w:t>符合</w:t>
                  </w:r>
                </w:p>
              </w:tc>
            </w:tr>
            <w:tr w14:paraId="4FD8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82" w:type="dxa"/>
                  <w:vMerge w:val="restart"/>
                  <w:tcBorders>
                    <w:top w:val="nil"/>
                    <w:left w:val="single" w:color="auto" w:sz="4" w:space="0"/>
                    <w:bottom w:val="single" w:color="auto" w:sz="4" w:space="0"/>
                    <w:right w:val="single" w:color="auto" w:sz="4" w:space="0"/>
                  </w:tcBorders>
                  <w:noWrap w:val="0"/>
                  <w:vAlign w:val="center"/>
                </w:tcPr>
                <w:p w14:paraId="31DD6E85">
                  <w:pPr>
                    <w:pStyle w:val="51"/>
                    <w:bidi w:val="0"/>
                    <w:rPr>
                      <w:rFonts w:hint="default"/>
                    </w:rPr>
                  </w:pPr>
                  <w:r>
                    <w:rPr>
                      <w:rFonts w:hint="eastAsia"/>
                      <w:color w:val="auto"/>
                      <w:highlight w:val="none"/>
                    </w:rPr>
                    <w:t>《淮南市202</w:t>
                  </w:r>
                  <w:r>
                    <w:rPr>
                      <w:rFonts w:hint="eastAsia"/>
                      <w:color w:val="auto"/>
                      <w:highlight w:val="none"/>
                      <w:lang w:val="en-US" w:eastAsia="zh-CN"/>
                    </w:rPr>
                    <w:t>3</w:t>
                  </w:r>
                  <w:r>
                    <w:rPr>
                      <w:rFonts w:hint="eastAsia"/>
                      <w:color w:val="auto"/>
                      <w:highlight w:val="none"/>
                    </w:rPr>
                    <w:t>年大气污染防治工作要点》（淮</w:t>
                  </w:r>
                  <w:r>
                    <w:rPr>
                      <w:rFonts w:hint="eastAsia"/>
                      <w:color w:val="auto"/>
                      <w:highlight w:val="none"/>
                      <w:lang w:val="en-US" w:eastAsia="zh-CN"/>
                    </w:rPr>
                    <w:t>大气</w:t>
                  </w:r>
                  <w:r>
                    <w:rPr>
                      <w:rFonts w:hint="eastAsia"/>
                      <w:color w:val="auto"/>
                      <w:highlight w:val="none"/>
                    </w:rPr>
                    <w:t>办〔202</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6</w:t>
                  </w:r>
                  <w:r>
                    <w:rPr>
                      <w:rFonts w:hint="eastAsia"/>
                      <w:color w:val="auto"/>
                      <w:highlight w:val="none"/>
                    </w:rPr>
                    <w:t>号）</w:t>
                  </w:r>
                </w:p>
              </w:tc>
              <w:tc>
                <w:tcPr>
                  <w:tcW w:w="4111" w:type="dxa"/>
                  <w:tcBorders>
                    <w:top w:val="single" w:color="auto" w:sz="4" w:space="0"/>
                    <w:left w:val="single" w:color="auto" w:sz="4" w:space="0"/>
                    <w:bottom w:val="single" w:color="auto" w:sz="4" w:space="0"/>
                    <w:right w:val="single" w:color="auto" w:sz="4" w:space="0"/>
                  </w:tcBorders>
                  <w:noWrap w:val="0"/>
                  <w:vAlign w:val="center"/>
                </w:tcPr>
                <w:p w14:paraId="4D9C7D98">
                  <w:pPr>
                    <w:pStyle w:val="51"/>
                    <w:spacing w:before="31" w:after="31"/>
                    <w:ind w:left="24" w:leftChars="10" w:right="24" w:rightChars="10" w:firstLine="0" w:firstLineChars="0"/>
                    <w:rPr>
                      <w:rFonts w:hint="default"/>
                    </w:rPr>
                  </w:pPr>
                  <w:r>
                    <w:rPr>
                      <w:rFonts w:hint="eastAsia"/>
                      <w:color w:val="auto"/>
                      <w:highlight w:val="none"/>
                    </w:rPr>
                    <w:t>全面推进碳达峰碳中和。制订实施淮南市《碳达峰实施方案》。落实安徽省减污降碳协同增效工作方案，构建减污降碳协同制度，完善碳达峰行动</w:t>
                  </w:r>
                  <w:r>
                    <w:rPr>
                      <w:rFonts w:hint="eastAsia"/>
                      <w:color w:val="auto"/>
                      <w:highlight w:val="none"/>
                      <w:lang w:eastAsia="zh-CN"/>
                    </w:rPr>
                    <w:t>“</w:t>
                  </w:r>
                  <w:r>
                    <w:rPr>
                      <w:rFonts w:hint="eastAsia"/>
                      <w:color w:val="auto"/>
                      <w:highlight w:val="none"/>
                    </w:rPr>
                    <w:t>1+N</w:t>
                  </w:r>
                  <w:r>
                    <w:rPr>
                      <w:rFonts w:hint="eastAsia"/>
                      <w:color w:val="auto"/>
                      <w:highlight w:val="none"/>
                      <w:lang w:eastAsia="zh-CN"/>
                    </w:rPr>
                    <w:t>”</w:t>
                  </w:r>
                  <w:r>
                    <w:rPr>
                      <w:rFonts w:hint="eastAsia"/>
                      <w:color w:val="auto"/>
                      <w:highlight w:val="none"/>
                    </w:rPr>
                    <w:t>政策体系。积极参与碳排放权交易，开展发电行业重点排放单位碳排放权交易配额分配和清缴。加强甲烷等非二氧化碳温室气体排放管控，探索将温室气体管控纳入环评管理。</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3C2982DC">
                  <w:pPr>
                    <w:pStyle w:val="51"/>
                    <w:spacing w:before="31" w:after="31"/>
                    <w:ind w:left="24" w:leftChars="10" w:right="24" w:rightChars="10" w:firstLine="0" w:firstLineChars="0"/>
                    <w:rPr>
                      <w:rFonts w:hint="default"/>
                    </w:rPr>
                  </w:pPr>
                  <w:r>
                    <w:rPr>
                      <w:rFonts w:hint="eastAsia"/>
                      <w:color w:val="auto"/>
                      <w:highlight w:val="none"/>
                    </w:rPr>
                    <w:t>本项目符合国家的相关法律法规，无甲烷等非二氧化碳温室气体排放。</w:t>
                  </w:r>
                </w:p>
              </w:tc>
              <w:tc>
                <w:tcPr>
                  <w:tcW w:w="752" w:type="dxa"/>
                  <w:tcBorders>
                    <w:top w:val="single" w:color="auto" w:sz="4" w:space="0"/>
                    <w:left w:val="single" w:color="auto" w:sz="4" w:space="0"/>
                    <w:bottom w:val="single" w:color="auto" w:sz="4" w:space="0"/>
                    <w:right w:val="single" w:color="auto" w:sz="4" w:space="0"/>
                  </w:tcBorders>
                  <w:noWrap w:val="0"/>
                  <w:vAlign w:val="center"/>
                </w:tcPr>
                <w:p w14:paraId="562AACBA">
                  <w:pPr>
                    <w:pStyle w:val="51"/>
                    <w:spacing w:before="31" w:after="31"/>
                    <w:ind w:left="24" w:leftChars="10" w:right="24" w:rightChars="10" w:firstLine="0" w:firstLineChars="0"/>
                    <w:rPr>
                      <w:rFonts w:hint="default"/>
                    </w:rPr>
                  </w:pPr>
                  <w:r>
                    <w:rPr>
                      <w:color w:val="auto"/>
                      <w:highlight w:val="none"/>
                    </w:rPr>
                    <w:t>符合</w:t>
                  </w:r>
                </w:p>
              </w:tc>
            </w:tr>
            <w:tr w14:paraId="0A0E2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82" w:type="dxa"/>
                  <w:vMerge w:val="continue"/>
                  <w:tcBorders>
                    <w:left w:val="single" w:color="auto" w:sz="4" w:space="0"/>
                    <w:right w:val="single" w:color="auto" w:sz="4" w:space="0"/>
                  </w:tcBorders>
                  <w:noWrap w:val="0"/>
                  <w:vAlign w:val="center"/>
                </w:tcPr>
                <w:p w14:paraId="20B223F8">
                  <w:pPr>
                    <w:pStyle w:val="51"/>
                    <w:bidi w:val="0"/>
                    <w:rPr>
                      <w:rFonts w:hint="eastAsia"/>
                      <w:color w:val="auto"/>
                      <w:highlight w:val="none"/>
                    </w:rPr>
                  </w:pPr>
                </w:p>
              </w:tc>
              <w:tc>
                <w:tcPr>
                  <w:tcW w:w="4111" w:type="dxa"/>
                  <w:tcBorders>
                    <w:top w:val="single" w:color="auto" w:sz="4" w:space="0"/>
                    <w:left w:val="single" w:color="auto" w:sz="4" w:space="0"/>
                    <w:bottom w:val="single" w:color="auto" w:sz="4" w:space="0"/>
                    <w:right w:val="single" w:color="auto" w:sz="4" w:space="0"/>
                  </w:tcBorders>
                  <w:noWrap w:val="0"/>
                  <w:vAlign w:val="center"/>
                </w:tcPr>
                <w:p w14:paraId="7005FCFE">
                  <w:pPr>
                    <w:pStyle w:val="51"/>
                    <w:spacing w:before="31" w:after="31"/>
                    <w:ind w:left="24" w:leftChars="10" w:right="24" w:rightChars="10" w:firstLine="0" w:firstLineChars="0"/>
                  </w:pPr>
                  <w:r>
                    <w:rPr>
                      <w:rFonts w:hint="eastAsia"/>
                      <w:color w:val="auto"/>
                      <w:highlight w:val="none"/>
                    </w:rPr>
                    <w:t>持续做好煤炭减量控制。压减非电行业用煤，完成省下达的煤炭消费量年度目标；新、改、扩建项目严格实施煤炭减量替代，煤炭替代方案不完善的依法不予审批。加强商品煤质量监督和管理，确保符合国家和地方标准要求。推进煤炭清洁高效利用。禁止新建企业自备燃煤设施，加快供热管网建设，充分释放燃煤电厂、工业余热等供热能力。</w:t>
                  </w:r>
                </w:p>
              </w:tc>
              <w:tc>
                <w:tcPr>
                  <w:tcW w:w="1988" w:type="dxa"/>
                  <w:vMerge w:val="restart"/>
                  <w:tcBorders>
                    <w:top w:val="single" w:color="auto" w:sz="4" w:space="0"/>
                    <w:left w:val="single" w:color="auto" w:sz="4" w:space="0"/>
                    <w:bottom w:val="single" w:color="auto" w:sz="4" w:space="0"/>
                    <w:right w:val="single" w:color="auto" w:sz="4" w:space="0"/>
                  </w:tcBorders>
                  <w:noWrap w:val="0"/>
                  <w:vAlign w:val="center"/>
                </w:tcPr>
                <w:p w14:paraId="4E854B65">
                  <w:pPr>
                    <w:pStyle w:val="51"/>
                    <w:spacing w:before="31" w:after="31"/>
                    <w:ind w:left="24" w:leftChars="10" w:right="24" w:rightChars="10" w:firstLine="0" w:firstLineChars="0"/>
                    <w:rPr>
                      <w:rFonts w:hint="eastAsia"/>
                    </w:rPr>
                  </w:pPr>
                  <w:r>
                    <w:rPr>
                      <w:color w:val="auto"/>
                      <w:highlight w:val="none"/>
                    </w:rPr>
                    <w:t>本项目无自建燃煤设施。</w:t>
                  </w:r>
                </w:p>
              </w:tc>
              <w:tc>
                <w:tcPr>
                  <w:tcW w:w="752" w:type="dxa"/>
                  <w:tcBorders>
                    <w:top w:val="single" w:color="auto" w:sz="4" w:space="0"/>
                    <w:left w:val="single" w:color="auto" w:sz="4" w:space="0"/>
                    <w:bottom w:val="single" w:color="auto" w:sz="4" w:space="0"/>
                    <w:right w:val="single" w:color="auto" w:sz="4" w:space="0"/>
                  </w:tcBorders>
                  <w:noWrap w:val="0"/>
                  <w:vAlign w:val="center"/>
                </w:tcPr>
                <w:p w14:paraId="3CE269CD">
                  <w:pPr>
                    <w:pStyle w:val="51"/>
                    <w:spacing w:before="31" w:after="31"/>
                    <w:ind w:left="24" w:leftChars="10" w:right="24" w:rightChars="10" w:firstLine="0" w:firstLineChars="0"/>
                    <w:rPr>
                      <w:rFonts w:hint="eastAsia"/>
                      <w:lang w:val="en-US" w:eastAsia="zh-CN"/>
                    </w:rPr>
                  </w:pPr>
                  <w:r>
                    <w:rPr>
                      <w:color w:val="auto"/>
                      <w:highlight w:val="none"/>
                    </w:rPr>
                    <w:t>符合</w:t>
                  </w:r>
                </w:p>
              </w:tc>
            </w:tr>
            <w:tr w14:paraId="1D121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82" w:type="dxa"/>
                  <w:vMerge w:val="continue"/>
                  <w:tcBorders>
                    <w:top w:val="nil"/>
                    <w:left w:val="single" w:color="auto" w:sz="4" w:space="0"/>
                    <w:bottom w:val="single" w:color="auto" w:sz="4" w:space="0"/>
                    <w:right w:val="single" w:color="auto" w:sz="4" w:space="0"/>
                  </w:tcBorders>
                  <w:noWrap w:val="0"/>
                  <w:vAlign w:val="center"/>
                </w:tcPr>
                <w:p w14:paraId="6CC18FEC">
                  <w:pPr>
                    <w:pStyle w:val="51"/>
                    <w:bidi w:val="0"/>
                    <w:rPr>
                      <w:rFonts w:hint="default"/>
                    </w:rPr>
                  </w:pPr>
                </w:p>
              </w:tc>
              <w:tc>
                <w:tcPr>
                  <w:tcW w:w="4111" w:type="dxa"/>
                  <w:tcBorders>
                    <w:top w:val="single" w:color="auto" w:sz="4" w:space="0"/>
                    <w:left w:val="single" w:color="auto" w:sz="4" w:space="0"/>
                    <w:bottom w:val="single" w:color="auto" w:sz="4" w:space="0"/>
                    <w:right w:val="single" w:color="auto" w:sz="4" w:space="0"/>
                  </w:tcBorders>
                  <w:noWrap w:val="0"/>
                  <w:vAlign w:val="center"/>
                </w:tcPr>
                <w:p w14:paraId="422ABD3F">
                  <w:pPr>
                    <w:pStyle w:val="51"/>
                    <w:spacing w:before="31" w:after="31"/>
                    <w:ind w:left="24" w:leftChars="10" w:right="24" w:rightChars="10" w:firstLine="0" w:firstLineChars="0"/>
                    <w:rPr>
                      <w:rFonts w:hint="default"/>
                    </w:rPr>
                  </w:pPr>
                  <w:r>
                    <w:rPr>
                      <w:rFonts w:hint="eastAsia"/>
                      <w:color w:val="auto"/>
                      <w:highlight w:val="none"/>
                    </w:rPr>
                    <w:t>深度实施清洁能源替代。鼓励砖瓦炉窑外投燃料使用天然气、液化石油气等清洁能源。禁燃区内</w:t>
                  </w:r>
                  <w:r>
                    <w:rPr>
                      <w:rFonts w:hint="eastAsia"/>
                      <w:color w:val="auto"/>
                      <w:highlight w:val="none"/>
                      <w:lang w:eastAsia="zh-CN"/>
                    </w:rPr>
                    <w:t>“</w:t>
                  </w:r>
                  <w:r>
                    <w:rPr>
                      <w:rFonts w:hint="eastAsia"/>
                      <w:color w:val="auto"/>
                      <w:highlight w:val="none"/>
                    </w:rPr>
                    <w:t>散煤</w:t>
                  </w:r>
                  <w:r>
                    <w:rPr>
                      <w:rFonts w:hint="eastAsia"/>
                      <w:color w:val="auto"/>
                      <w:highlight w:val="none"/>
                      <w:lang w:eastAsia="zh-CN"/>
                    </w:rPr>
                    <w:t>”</w:t>
                  </w:r>
                  <w:r>
                    <w:rPr>
                      <w:rFonts w:hint="eastAsia"/>
                      <w:color w:val="auto"/>
                      <w:highlight w:val="none"/>
                    </w:rPr>
                    <w:t>动态清零，禁燃区外积极发展生物质、农村沼气等多种清洁能源。燃气锅炉应全部安装低氮燃烧装置，完成低氮燃烧改造的锅炉应逐一核实低氮燃烧装置运行情况。实施可再生能源替代行动，加快建设新型能源供应系统，因地制宜开发风电与光伏发电，鼓励建设风能、太阳能、生物质能等新能源项目。</w:t>
                  </w:r>
                </w:p>
              </w:tc>
              <w:tc>
                <w:tcPr>
                  <w:tcW w:w="1988" w:type="dxa"/>
                  <w:vMerge w:val="continue"/>
                  <w:tcBorders>
                    <w:top w:val="single" w:color="auto" w:sz="4" w:space="0"/>
                    <w:left w:val="single" w:color="auto" w:sz="4" w:space="0"/>
                    <w:bottom w:val="single" w:color="auto" w:sz="4" w:space="0"/>
                    <w:right w:val="single" w:color="auto" w:sz="4" w:space="0"/>
                  </w:tcBorders>
                  <w:noWrap w:val="0"/>
                  <w:vAlign w:val="center"/>
                </w:tcPr>
                <w:p w14:paraId="38B95453">
                  <w:pPr>
                    <w:pStyle w:val="51"/>
                    <w:spacing w:before="31" w:after="31"/>
                    <w:ind w:left="24" w:leftChars="10" w:right="24" w:rightChars="10" w:firstLine="0" w:firstLineChars="0"/>
                    <w:rPr>
                      <w:rFonts w:hint="eastAsia"/>
                    </w:rPr>
                  </w:pPr>
                </w:p>
              </w:tc>
              <w:tc>
                <w:tcPr>
                  <w:tcW w:w="752" w:type="dxa"/>
                  <w:tcBorders>
                    <w:top w:val="single" w:color="auto" w:sz="4" w:space="0"/>
                    <w:left w:val="single" w:color="auto" w:sz="4" w:space="0"/>
                    <w:bottom w:val="single" w:color="auto" w:sz="4" w:space="0"/>
                    <w:right w:val="single" w:color="auto" w:sz="4" w:space="0"/>
                  </w:tcBorders>
                  <w:noWrap w:val="0"/>
                  <w:vAlign w:val="center"/>
                </w:tcPr>
                <w:p w14:paraId="1C116423">
                  <w:pPr>
                    <w:pStyle w:val="51"/>
                    <w:spacing w:before="31" w:after="31"/>
                    <w:ind w:left="24" w:leftChars="10" w:right="24" w:rightChars="10" w:firstLine="0" w:firstLineChars="0"/>
                    <w:rPr>
                      <w:rFonts w:hint="default"/>
                    </w:rPr>
                  </w:pPr>
                  <w:r>
                    <w:rPr>
                      <w:color w:val="auto"/>
                      <w:highlight w:val="none"/>
                    </w:rPr>
                    <w:t>符合</w:t>
                  </w:r>
                </w:p>
              </w:tc>
            </w:tr>
            <w:tr w14:paraId="33C0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82" w:type="dxa"/>
                  <w:vMerge w:val="continue"/>
                  <w:tcBorders>
                    <w:top w:val="nil"/>
                    <w:left w:val="single" w:color="auto" w:sz="4" w:space="0"/>
                    <w:bottom w:val="nil"/>
                    <w:right w:val="single" w:color="auto" w:sz="4" w:space="0"/>
                  </w:tcBorders>
                  <w:noWrap w:val="0"/>
                  <w:vAlign w:val="center"/>
                </w:tcPr>
                <w:p w14:paraId="4A58EFB2">
                  <w:pPr>
                    <w:pStyle w:val="51"/>
                    <w:bidi w:val="0"/>
                    <w:rPr>
                      <w:rFonts w:hint="default"/>
                    </w:rPr>
                  </w:pPr>
                </w:p>
              </w:tc>
              <w:tc>
                <w:tcPr>
                  <w:tcW w:w="4111" w:type="dxa"/>
                  <w:tcBorders>
                    <w:top w:val="single" w:color="auto" w:sz="4" w:space="0"/>
                    <w:left w:val="single" w:color="auto" w:sz="4" w:space="0"/>
                    <w:bottom w:val="single" w:color="auto" w:sz="4" w:space="0"/>
                    <w:right w:val="single" w:color="auto" w:sz="4" w:space="0"/>
                  </w:tcBorders>
                  <w:noWrap w:val="0"/>
                  <w:vAlign w:val="center"/>
                </w:tcPr>
                <w:p w14:paraId="7560910B">
                  <w:pPr>
                    <w:pStyle w:val="51"/>
                    <w:spacing w:before="31" w:after="31"/>
                    <w:ind w:left="24" w:leftChars="10" w:right="24" w:rightChars="10" w:firstLine="0" w:firstLineChars="0"/>
                    <w:rPr>
                      <w:rFonts w:hint="default"/>
                    </w:rPr>
                  </w:pPr>
                  <w:r>
                    <w:rPr>
                      <w:rFonts w:hint="eastAsia"/>
                      <w:color w:val="auto"/>
                      <w:highlight w:val="none"/>
                    </w:rPr>
                    <w:t>加快产业结构转型升级。开展</w:t>
                  </w:r>
                  <w:r>
                    <w:rPr>
                      <w:rFonts w:hint="eastAsia"/>
                      <w:color w:val="auto"/>
                      <w:highlight w:val="none"/>
                      <w:lang w:eastAsia="zh-CN"/>
                    </w:rPr>
                    <w:t>“</w:t>
                  </w:r>
                  <w:r>
                    <w:rPr>
                      <w:rFonts w:hint="eastAsia"/>
                      <w:color w:val="auto"/>
                      <w:highlight w:val="none"/>
                    </w:rPr>
                    <w:t>两高</w:t>
                  </w:r>
                  <w:r>
                    <w:rPr>
                      <w:rFonts w:hint="eastAsia"/>
                      <w:color w:val="auto"/>
                      <w:highlight w:val="none"/>
                      <w:lang w:eastAsia="zh-CN"/>
                    </w:rPr>
                    <w:t>”</w:t>
                  </w:r>
                  <w:r>
                    <w:rPr>
                      <w:rFonts w:hint="eastAsia"/>
                      <w:color w:val="auto"/>
                      <w:highlight w:val="none"/>
                    </w:rPr>
                    <w:t>项目排查，实施清单管理、分类处置、动态监控，对不符合规定的新申项目坚决停批停建，科学稳妥推进符合要求的拟建项目。依法依规淘汰落后产能和化解过剩产能。</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722AF312">
                  <w:pPr>
                    <w:pStyle w:val="51"/>
                    <w:spacing w:before="31" w:after="31"/>
                    <w:ind w:left="24" w:leftChars="10" w:right="24" w:rightChars="10" w:firstLine="0" w:firstLineChars="0"/>
                    <w:rPr>
                      <w:rFonts w:hint="eastAsia"/>
                    </w:rPr>
                  </w:pPr>
                  <w:r>
                    <w:rPr>
                      <w:color w:val="auto"/>
                      <w:highlight w:val="none"/>
                    </w:rPr>
                    <w:t>对照《安徽省</w:t>
                  </w:r>
                  <w:r>
                    <w:rPr>
                      <w:rFonts w:hint="eastAsia"/>
                      <w:color w:val="auto"/>
                      <w:highlight w:val="none"/>
                      <w:lang w:eastAsia="zh-CN"/>
                    </w:rPr>
                    <w:t>“</w:t>
                  </w:r>
                  <w:r>
                    <w:rPr>
                      <w:color w:val="auto"/>
                      <w:highlight w:val="none"/>
                    </w:rPr>
                    <w:t>两高</w:t>
                  </w:r>
                  <w:r>
                    <w:rPr>
                      <w:rFonts w:hint="eastAsia"/>
                      <w:color w:val="auto"/>
                      <w:highlight w:val="none"/>
                      <w:lang w:eastAsia="zh-CN"/>
                    </w:rPr>
                    <w:t>”</w:t>
                  </w:r>
                  <w:r>
                    <w:rPr>
                      <w:color w:val="auto"/>
                      <w:highlight w:val="none"/>
                    </w:rPr>
                    <w:t>项目管理目录（试行）》，本项目不属于两高项目</w:t>
                  </w:r>
                  <w:r>
                    <w:rPr>
                      <w:rFonts w:hint="eastAsia"/>
                      <w:color w:val="auto"/>
                      <w:highlight w:val="none"/>
                      <w:lang w:eastAsia="zh-CN"/>
                    </w:rPr>
                    <w:t>，</w:t>
                  </w:r>
                  <w:r>
                    <w:rPr>
                      <w:rFonts w:hint="eastAsia"/>
                      <w:color w:val="auto"/>
                      <w:highlight w:val="none"/>
                      <w:lang w:val="en-US" w:eastAsia="zh-CN"/>
                    </w:rPr>
                    <w:t>不属于</w:t>
                  </w:r>
                  <w:r>
                    <w:rPr>
                      <w:rFonts w:hint="eastAsia"/>
                      <w:color w:val="auto"/>
                      <w:highlight w:val="none"/>
                    </w:rPr>
                    <w:t>落后产能和化解过剩产能。</w:t>
                  </w:r>
                  <w:r>
                    <w:rPr>
                      <w:rFonts w:hint="eastAsia"/>
                      <w:color w:val="auto"/>
                      <w:highlight w:val="none"/>
                      <w:lang w:val="en-US" w:eastAsia="zh-CN"/>
                    </w:rPr>
                    <w:t>。</w:t>
                  </w:r>
                </w:p>
              </w:tc>
              <w:tc>
                <w:tcPr>
                  <w:tcW w:w="752" w:type="dxa"/>
                  <w:tcBorders>
                    <w:top w:val="single" w:color="auto" w:sz="4" w:space="0"/>
                    <w:left w:val="single" w:color="auto" w:sz="4" w:space="0"/>
                    <w:bottom w:val="single" w:color="auto" w:sz="4" w:space="0"/>
                    <w:right w:val="single" w:color="auto" w:sz="4" w:space="0"/>
                  </w:tcBorders>
                  <w:noWrap w:val="0"/>
                  <w:vAlign w:val="center"/>
                </w:tcPr>
                <w:p w14:paraId="1B91ABEF">
                  <w:pPr>
                    <w:pStyle w:val="51"/>
                    <w:spacing w:before="31" w:after="31"/>
                    <w:ind w:left="24" w:leftChars="10" w:right="24" w:rightChars="10" w:firstLine="0" w:firstLineChars="0"/>
                    <w:rPr>
                      <w:rFonts w:hint="default"/>
                    </w:rPr>
                  </w:pPr>
                  <w:r>
                    <w:rPr>
                      <w:color w:val="auto"/>
                      <w:highlight w:val="none"/>
                    </w:rPr>
                    <w:t>符合</w:t>
                  </w:r>
                </w:p>
              </w:tc>
            </w:tr>
            <w:tr w14:paraId="1841F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82" w:type="dxa"/>
                  <w:vMerge w:val="restart"/>
                  <w:tcBorders>
                    <w:top w:val="nil"/>
                    <w:left w:val="single" w:color="auto" w:sz="4" w:space="0"/>
                    <w:right w:val="single" w:color="auto" w:sz="4" w:space="0"/>
                  </w:tcBorders>
                  <w:noWrap w:val="0"/>
                  <w:vAlign w:val="center"/>
                </w:tcPr>
                <w:p w14:paraId="4E9D3282">
                  <w:pPr>
                    <w:pStyle w:val="51"/>
                    <w:bidi w:val="0"/>
                    <w:rPr>
                      <w:rFonts w:hint="default"/>
                    </w:rPr>
                  </w:pPr>
                  <w:r>
                    <w:rPr>
                      <w:rFonts w:hint="eastAsia"/>
                    </w:rPr>
                    <w:t>长江办〔</w:t>
                  </w:r>
                  <w:r>
                    <w:rPr>
                      <w:rFonts w:hint="default"/>
                    </w:rPr>
                    <w:t>2022</w:t>
                  </w:r>
                  <w:r>
                    <w:rPr>
                      <w:rFonts w:hint="eastAsia"/>
                    </w:rPr>
                    <w:t>〕</w:t>
                  </w:r>
                  <w:r>
                    <w:rPr>
                      <w:rFonts w:hint="default"/>
                    </w:rPr>
                    <w:t>7</w:t>
                  </w:r>
                  <w:r>
                    <w:rPr>
                      <w:rFonts w:hint="eastAsia"/>
                    </w:rPr>
                    <w:t>号《长江经济带发展负面清单指南》（试行，</w:t>
                  </w:r>
                  <w:r>
                    <w:rPr>
                      <w:rFonts w:hint="default"/>
                    </w:rPr>
                    <w:t>2022</w:t>
                  </w:r>
                  <w:r>
                    <w:rPr>
                      <w:rFonts w:hint="eastAsia"/>
                    </w:rPr>
                    <w:t>年版）</w:t>
                  </w:r>
                </w:p>
              </w:tc>
              <w:tc>
                <w:tcPr>
                  <w:tcW w:w="4111" w:type="dxa"/>
                  <w:tcBorders>
                    <w:top w:val="single" w:color="auto" w:sz="4" w:space="0"/>
                    <w:left w:val="single" w:color="auto" w:sz="4" w:space="0"/>
                    <w:bottom w:val="single" w:color="auto" w:sz="4" w:space="0"/>
                    <w:right w:val="single" w:color="auto" w:sz="4" w:space="0"/>
                  </w:tcBorders>
                  <w:noWrap w:val="0"/>
                  <w:vAlign w:val="center"/>
                </w:tcPr>
                <w:p w14:paraId="774185FD">
                  <w:pPr>
                    <w:pStyle w:val="51"/>
                    <w:bidi w:val="0"/>
                    <w:rPr>
                      <w:rFonts w:hint="eastAsia"/>
                      <w:lang w:val="en-US" w:eastAsia="zh-CN"/>
                    </w:rPr>
                  </w:pPr>
                  <w:r>
                    <w:rPr>
                      <w:rFonts w:hint="eastAsia"/>
                      <w:lang w:val="en-US" w:eastAsia="zh-CN"/>
                    </w:rPr>
                    <w:t>禁止在自然保护区核心区、缓冲区的岸线和河段范围内投资建设旅游和生产经营项目。禁止在风景名胜区核心景区的岸线和河段范围内投资建设与风景名胜资源保护无关的项目。</w:t>
                  </w:r>
                </w:p>
              </w:tc>
              <w:tc>
                <w:tcPr>
                  <w:tcW w:w="1988" w:type="dxa"/>
                  <w:vMerge w:val="restart"/>
                  <w:tcBorders>
                    <w:top w:val="single" w:color="auto" w:sz="4" w:space="0"/>
                    <w:left w:val="single" w:color="auto" w:sz="4" w:space="0"/>
                    <w:right w:val="single" w:color="auto" w:sz="4" w:space="0"/>
                  </w:tcBorders>
                  <w:noWrap w:val="0"/>
                  <w:vAlign w:val="center"/>
                </w:tcPr>
                <w:p w14:paraId="05EB49B8">
                  <w:pPr>
                    <w:pStyle w:val="51"/>
                    <w:bidi w:val="0"/>
                    <w:rPr>
                      <w:rFonts w:hint="default"/>
                      <w:lang w:val="en-US" w:eastAsia="zh-CN"/>
                    </w:rPr>
                  </w:pPr>
                  <w:r>
                    <w:rPr>
                      <w:rFonts w:hint="eastAsia"/>
                      <w:lang w:val="en-US" w:eastAsia="zh-CN"/>
                    </w:rPr>
                    <w:t>本项目位于</w:t>
                  </w:r>
                  <w:r>
                    <w:rPr>
                      <w:rFonts w:hint="eastAsia"/>
                    </w:rPr>
                    <w:t>安徽省</w:t>
                  </w:r>
                  <w:r>
                    <w:rPr>
                      <w:rFonts w:hint="eastAsia"/>
                      <w:lang w:eastAsia="zh-CN"/>
                    </w:rPr>
                    <w:t>淮南市</w:t>
                  </w:r>
                  <w:r>
                    <w:rPr>
                      <w:rFonts w:hint="eastAsia"/>
                      <w:lang w:val="en-US" w:eastAsia="zh-CN"/>
                    </w:rPr>
                    <w:t>经济开发区，不在自然保护区、风景名胜区、饮用水保护区、水产种保护区、国家湿地公园范围内。本项目为</w:t>
                  </w:r>
                  <w:r>
                    <w:t>C29</w:t>
                  </w:r>
                  <w:r>
                    <w:rPr>
                      <w:rFonts w:hint="eastAsia"/>
                    </w:rPr>
                    <w:t>29</w:t>
                  </w:r>
                  <w:r>
                    <w:rPr>
                      <w:rFonts w:hint="eastAsia" w:ascii="宋体" w:hAnsi="宋体" w:cs="宋体"/>
                      <w:kern w:val="0"/>
                    </w:rPr>
                    <w:t>塑料零件及其他塑料制品制造</w:t>
                  </w:r>
                  <w:r>
                    <w:rPr>
                      <w:rFonts w:hint="eastAsia" w:ascii="宋体" w:hAnsi="宋体" w:cs="宋体"/>
                      <w:kern w:val="0"/>
                      <w:lang w:eastAsia="zh-CN"/>
                    </w:rPr>
                    <w:t>、</w:t>
                  </w:r>
                  <w:r>
                    <w:t>C2924</w:t>
                  </w:r>
                  <w:r>
                    <w:rPr>
                      <w:rFonts w:hint="eastAsia"/>
                    </w:rPr>
                    <w:t xml:space="preserve"> 泡沫塑料制造</w:t>
                  </w:r>
                  <w:r>
                    <w:rPr>
                      <w:rFonts w:hint="eastAsia"/>
                      <w:highlight w:val="none"/>
                      <w:lang w:val="en-US" w:eastAsia="zh-CN"/>
                    </w:rPr>
                    <w:t>，不属于法律法规和相</w:t>
                  </w:r>
                  <w:r>
                    <w:rPr>
                      <w:rFonts w:hint="eastAsia"/>
                      <w:lang w:val="en-US" w:eastAsia="zh-CN"/>
                    </w:rPr>
                    <w:t>关政策明令禁止的落后产能项目、不属于严重过剩产能行业的项目、不属于高耗能高排放项目。</w:t>
                  </w:r>
                </w:p>
              </w:tc>
              <w:tc>
                <w:tcPr>
                  <w:tcW w:w="752" w:type="dxa"/>
                  <w:vMerge w:val="restart"/>
                  <w:tcBorders>
                    <w:top w:val="single" w:color="auto" w:sz="4" w:space="0"/>
                    <w:left w:val="single" w:color="auto" w:sz="4" w:space="0"/>
                    <w:right w:val="single" w:color="auto" w:sz="4" w:space="0"/>
                  </w:tcBorders>
                  <w:noWrap w:val="0"/>
                  <w:vAlign w:val="center"/>
                </w:tcPr>
                <w:p w14:paraId="2E539F16">
                  <w:pPr>
                    <w:pStyle w:val="51"/>
                    <w:bidi w:val="0"/>
                    <w:rPr>
                      <w:rFonts w:hint="eastAsia"/>
                      <w:lang w:val="en-US" w:eastAsia="zh-CN"/>
                    </w:rPr>
                  </w:pPr>
                  <w:r>
                    <w:rPr>
                      <w:rFonts w:hint="eastAsia"/>
                      <w:lang w:val="en-US" w:eastAsia="zh-CN"/>
                    </w:rPr>
                    <w:t>符合</w:t>
                  </w:r>
                </w:p>
              </w:tc>
            </w:tr>
            <w:tr w14:paraId="5B1ED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82" w:type="dxa"/>
                  <w:vMerge w:val="continue"/>
                  <w:tcBorders>
                    <w:left w:val="single" w:color="auto" w:sz="4" w:space="0"/>
                    <w:right w:val="single" w:color="auto" w:sz="4" w:space="0"/>
                  </w:tcBorders>
                  <w:noWrap w:val="0"/>
                  <w:vAlign w:val="center"/>
                </w:tcPr>
                <w:p w14:paraId="607ECE9F">
                  <w:pPr>
                    <w:pStyle w:val="51"/>
                    <w:bidi w:val="0"/>
                    <w:rPr>
                      <w:rFonts w:hint="default"/>
                    </w:rPr>
                  </w:pPr>
                </w:p>
              </w:tc>
              <w:tc>
                <w:tcPr>
                  <w:tcW w:w="4111" w:type="dxa"/>
                  <w:tcBorders>
                    <w:top w:val="single" w:color="auto" w:sz="4" w:space="0"/>
                    <w:left w:val="single" w:color="auto" w:sz="4" w:space="0"/>
                    <w:bottom w:val="single" w:color="auto" w:sz="4" w:space="0"/>
                    <w:right w:val="single" w:color="auto" w:sz="4" w:space="0"/>
                  </w:tcBorders>
                  <w:noWrap w:val="0"/>
                  <w:vAlign w:val="center"/>
                </w:tcPr>
                <w:p w14:paraId="2AAF00FA">
                  <w:pPr>
                    <w:pStyle w:val="51"/>
                    <w:bidi w:val="0"/>
                    <w:rPr>
                      <w:rFonts w:hint="eastAsia"/>
                      <w:lang w:val="en-US" w:eastAsia="zh-CN"/>
                    </w:rPr>
                  </w:pPr>
                  <w:r>
                    <w:rPr>
                      <w:rFonts w:hint="eastAsia"/>
                      <w:lang w:val="en-US" w:eastAsia="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988" w:type="dxa"/>
                  <w:vMerge w:val="continue"/>
                  <w:tcBorders>
                    <w:left w:val="single" w:color="auto" w:sz="4" w:space="0"/>
                    <w:right w:val="single" w:color="auto" w:sz="4" w:space="0"/>
                  </w:tcBorders>
                  <w:noWrap w:val="0"/>
                  <w:vAlign w:val="center"/>
                </w:tcPr>
                <w:p w14:paraId="7818C0F2">
                  <w:pPr>
                    <w:pStyle w:val="51"/>
                    <w:bidi w:val="0"/>
                    <w:rPr>
                      <w:rFonts w:hint="eastAsia"/>
                      <w:lang w:val="en-US" w:eastAsia="zh-CN"/>
                    </w:rPr>
                  </w:pPr>
                </w:p>
              </w:tc>
              <w:tc>
                <w:tcPr>
                  <w:tcW w:w="752" w:type="dxa"/>
                  <w:vMerge w:val="continue"/>
                  <w:tcBorders>
                    <w:left w:val="single" w:color="auto" w:sz="4" w:space="0"/>
                    <w:right w:val="single" w:color="auto" w:sz="4" w:space="0"/>
                  </w:tcBorders>
                  <w:noWrap w:val="0"/>
                  <w:vAlign w:val="center"/>
                </w:tcPr>
                <w:p w14:paraId="00B1B718">
                  <w:pPr>
                    <w:pStyle w:val="51"/>
                    <w:bidi w:val="0"/>
                    <w:rPr>
                      <w:rFonts w:hint="eastAsia"/>
                      <w:lang w:val="en-US" w:eastAsia="zh-CN"/>
                    </w:rPr>
                  </w:pPr>
                </w:p>
              </w:tc>
            </w:tr>
            <w:tr w14:paraId="6FCD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82" w:type="dxa"/>
                  <w:vMerge w:val="continue"/>
                  <w:tcBorders>
                    <w:left w:val="single" w:color="auto" w:sz="4" w:space="0"/>
                    <w:right w:val="single" w:color="auto" w:sz="4" w:space="0"/>
                  </w:tcBorders>
                  <w:noWrap w:val="0"/>
                  <w:vAlign w:val="center"/>
                </w:tcPr>
                <w:p w14:paraId="4D3F35B2">
                  <w:pPr>
                    <w:pStyle w:val="51"/>
                    <w:bidi w:val="0"/>
                    <w:rPr>
                      <w:rFonts w:hint="default"/>
                    </w:rPr>
                  </w:pPr>
                </w:p>
              </w:tc>
              <w:tc>
                <w:tcPr>
                  <w:tcW w:w="4111" w:type="dxa"/>
                  <w:tcBorders>
                    <w:top w:val="single" w:color="auto" w:sz="4" w:space="0"/>
                    <w:left w:val="single" w:color="auto" w:sz="4" w:space="0"/>
                    <w:bottom w:val="single" w:color="auto" w:sz="4" w:space="0"/>
                    <w:right w:val="single" w:color="auto" w:sz="4" w:space="0"/>
                  </w:tcBorders>
                  <w:noWrap w:val="0"/>
                  <w:vAlign w:val="center"/>
                </w:tcPr>
                <w:p w14:paraId="00365566">
                  <w:pPr>
                    <w:pStyle w:val="51"/>
                    <w:bidi w:val="0"/>
                    <w:rPr>
                      <w:rFonts w:hint="eastAsia"/>
                      <w:lang w:val="en-US" w:eastAsia="zh-CN"/>
                    </w:rPr>
                  </w:pPr>
                  <w:r>
                    <w:rPr>
                      <w:rFonts w:hint="eastAsia"/>
                      <w:lang w:val="en-US" w:eastAsia="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988" w:type="dxa"/>
                  <w:vMerge w:val="continue"/>
                  <w:tcBorders>
                    <w:left w:val="single" w:color="auto" w:sz="4" w:space="0"/>
                    <w:right w:val="single" w:color="auto" w:sz="4" w:space="0"/>
                  </w:tcBorders>
                  <w:noWrap w:val="0"/>
                  <w:vAlign w:val="center"/>
                </w:tcPr>
                <w:p w14:paraId="3EAA61F6">
                  <w:pPr>
                    <w:pStyle w:val="51"/>
                    <w:bidi w:val="0"/>
                    <w:rPr>
                      <w:rFonts w:hint="eastAsia"/>
                      <w:lang w:val="en-US" w:eastAsia="zh-CN"/>
                    </w:rPr>
                  </w:pPr>
                </w:p>
              </w:tc>
              <w:tc>
                <w:tcPr>
                  <w:tcW w:w="752" w:type="dxa"/>
                  <w:vMerge w:val="continue"/>
                  <w:tcBorders>
                    <w:left w:val="single" w:color="auto" w:sz="4" w:space="0"/>
                    <w:right w:val="single" w:color="auto" w:sz="4" w:space="0"/>
                  </w:tcBorders>
                  <w:noWrap w:val="0"/>
                  <w:vAlign w:val="center"/>
                </w:tcPr>
                <w:p w14:paraId="73FB2CED">
                  <w:pPr>
                    <w:pStyle w:val="51"/>
                    <w:bidi w:val="0"/>
                    <w:rPr>
                      <w:rFonts w:hint="eastAsia"/>
                      <w:lang w:val="en-US" w:eastAsia="zh-CN"/>
                    </w:rPr>
                  </w:pPr>
                </w:p>
              </w:tc>
            </w:tr>
            <w:tr w14:paraId="7C7A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82" w:type="dxa"/>
                  <w:vMerge w:val="continue"/>
                  <w:tcBorders>
                    <w:left w:val="single" w:color="auto" w:sz="4" w:space="0"/>
                    <w:right w:val="single" w:color="auto" w:sz="4" w:space="0"/>
                  </w:tcBorders>
                  <w:noWrap w:val="0"/>
                  <w:vAlign w:val="center"/>
                </w:tcPr>
                <w:p w14:paraId="62DAC09A">
                  <w:pPr>
                    <w:pStyle w:val="51"/>
                    <w:bidi w:val="0"/>
                    <w:rPr>
                      <w:rFonts w:hint="default"/>
                    </w:rPr>
                  </w:pPr>
                </w:p>
              </w:tc>
              <w:tc>
                <w:tcPr>
                  <w:tcW w:w="4111" w:type="dxa"/>
                  <w:tcBorders>
                    <w:top w:val="single" w:color="auto" w:sz="4" w:space="0"/>
                    <w:left w:val="single" w:color="auto" w:sz="4" w:space="0"/>
                    <w:bottom w:val="single" w:color="auto" w:sz="4" w:space="0"/>
                    <w:right w:val="single" w:color="auto" w:sz="4" w:space="0"/>
                  </w:tcBorders>
                  <w:noWrap w:val="0"/>
                  <w:vAlign w:val="center"/>
                </w:tcPr>
                <w:p w14:paraId="681D5C42">
                  <w:pPr>
                    <w:pStyle w:val="51"/>
                    <w:bidi w:val="0"/>
                    <w:rPr>
                      <w:rFonts w:hint="eastAsia"/>
                      <w:lang w:val="en-US" w:eastAsia="zh-CN"/>
                    </w:rPr>
                  </w:pPr>
                  <w:r>
                    <w:rPr>
                      <w:rFonts w:hint="eastAsia"/>
                      <w:lang w:val="en-US" w:eastAsia="zh-CN"/>
                    </w:rPr>
                    <w:t>禁止在合规园区外新建、扩建钢铁、石化、化工、焦化、建材、有色、制浆造纸等高污染项目</w:t>
                  </w:r>
                </w:p>
              </w:tc>
              <w:tc>
                <w:tcPr>
                  <w:tcW w:w="1988" w:type="dxa"/>
                  <w:vMerge w:val="continue"/>
                  <w:tcBorders>
                    <w:left w:val="single" w:color="auto" w:sz="4" w:space="0"/>
                    <w:right w:val="single" w:color="auto" w:sz="4" w:space="0"/>
                  </w:tcBorders>
                  <w:noWrap w:val="0"/>
                  <w:vAlign w:val="center"/>
                </w:tcPr>
                <w:p w14:paraId="29AD7E74">
                  <w:pPr>
                    <w:pStyle w:val="51"/>
                    <w:bidi w:val="0"/>
                    <w:rPr>
                      <w:rFonts w:hint="eastAsia"/>
                      <w:lang w:val="en-US" w:eastAsia="zh-CN"/>
                    </w:rPr>
                  </w:pPr>
                </w:p>
              </w:tc>
              <w:tc>
                <w:tcPr>
                  <w:tcW w:w="752" w:type="dxa"/>
                  <w:vMerge w:val="continue"/>
                  <w:tcBorders>
                    <w:left w:val="single" w:color="auto" w:sz="4" w:space="0"/>
                    <w:right w:val="single" w:color="auto" w:sz="4" w:space="0"/>
                  </w:tcBorders>
                  <w:noWrap w:val="0"/>
                  <w:vAlign w:val="center"/>
                </w:tcPr>
                <w:p w14:paraId="0E070BE7">
                  <w:pPr>
                    <w:pStyle w:val="51"/>
                    <w:bidi w:val="0"/>
                    <w:rPr>
                      <w:rFonts w:hint="eastAsia"/>
                      <w:lang w:val="en-US" w:eastAsia="zh-CN"/>
                    </w:rPr>
                  </w:pPr>
                </w:p>
              </w:tc>
            </w:tr>
            <w:tr w14:paraId="38AB3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82" w:type="dxa"/>
                  <w:vMerge w:val="continue"/>
                  <w:tcBorders>
                    <w:left w:val="single" w:color="auto" w:sz="4" w:space="0"/>
                    <w:bottom w:val="single" w:color="auto" w:sz="4" w:space="0"/>
                    <w:right w:val="single" w:color="auto" w:sz="4" w:space="0"/>
                  </w:tcBorders>
                  <w:noWrap w:val="0"/>
                  <w:vAlign w:val="center"/>
                </w:tcPr>
                <w:p w14:paraId="2336C2FD">
                  <w:pPr>
                    <w:pStyle w:val="51"/>
                    <w:bidi w:val="0"/>
                    <w:rPr>
                      <w:rFonts w:hint="default"/>
                    </w:rPr>
                  </w:pPr>
                </w:p>
              </w:tc>
              <w:tc>
                <w:tcPr>
                  <w:tcW w:w="4111" w:type="dxa"/>
                  <w:tcBorders>
                    <w:top w:val="single" w:color="auto" w:sz="4" w:space="0"/>
                    <w:left w:val="single" w:color="auto" w:sz="4" w:space="0"/>
                    <w:bottom w:val="single" w:color="auto" w:sz="4" w:space="0"/>
                    <w:right w:val="single" w:color="auto" w:sz="4" w:space="0"/>
                  </w:tcBorders>
                  <w:noWrap w:val="0"/>
                  <w:vAlign w:val="center"/>
                </w:tcPr>
                <w:p w14:paraId="5D07ED5A">
                  <w:pPr>
                    <w:pStyle w:val="51"/>
                    <w:bidi w:val="0"/>
                    <w:rPr>
                      <w:rFonts w:hint="eastAsia"/>
                      <w:lang w:val="en-US" w:eastAsia="zh-CN"/>
                    </w:rPr>
                  </w:pPr>
                  <w:r>
                    <w:rPr>
                      <w:rFonts w:hint="eastAsia"/>
                      <w:lang w:val="en-US" w:eastAsia="zh-CN"/>
                    </w:rPr>
                    <w:t>禁止新建、扩建法律法规和相关政策明令禁止的落后产能项目。禁止新建、扩建不符合国家产能置换要求的严重过剩产能行业的项目。禁止新建、扩建不符合要求的高耗能高排放项目。</w:t>
                  </w:r>
                </w:p>
              </w:tc>
              <w:tc>
                <w:tcPr>
                  <w:tcW w:w="1988" w:type="dxa"/>
                  <w:vMerge w:val="continue"/>
                  <w:tcBorders>
                    <w:left w:val="single" w:color="auto" w:sz="4" w:space="0"/>
                    <w:bottom w:val="single" w:color="auto" w:sz="4" w:space="0"/>
                    <w:right w:val="single" w:color="auto" w:sz="4" w:space="0"/>
                  </w:tcBorders>
                  <w:noWrap w:val="0"/>
                  <w:vAlign w:val="center"/>
                </w:tcPr>
                <w:p w14:paraId="2E016873">
                  <w:pPr>
                    <w:pStyle w:val="51"/>
                    <w:bidi w:val="0"/>
                    <w:rPr>
                      <w:rFonts w:hint="eastAsia"/>
                      <w:lang w:val="en-US" w:eastAsia="zh-CN"/>
                    </w:rPr>
                  </w:pPr>
                </w:p>
              </w:tc>
              <w:tc>
                <w:tcPr>
                  <w:tcW w:w="752" w:type="dxa"/>
                  <w:vMerge w:val="continue"/>
                  <w:tcBorders>
                    <w:left w:val="single" w:color="auto" w:sz="4" w:space="0"/>
                    <w:bottom w:val="single" w:color="auto" w:sz="4" w:space="0"/>
                    <w:right w:val="single" w:color="auto" w:sz="4" w:space="0"/>
                  </w:tcBorders>
                  <w:noWrap w:val="0"/>
                  <w:vAlign w:val="center"/>
                </w:tcPr>
                <w:p w14:paraId="628F0882">
                  <w:pPr>
                    <w:pStyle w:val="51"/>
                    <w:bidi w:val="0"/>
                    <w:rPr>
                      <w:rFonts w:hint="eastAsia"/>
                      <w:lang w:val="en-US" w:eastAsia="zh-CN"/>
                    </w:rPr>
                  </w:pPr>
                </w:p>
              </w:tc>
            </w:tr>
          </w:tbl>
          <w:p w14:paraId="092D73CE">
            <w:pPr>
              <w:keepNext w:val="0"/>
              <w:keepLines w:val="0"/>
              <w:widowControl w:val="0"/>
              <w:suppressLineNumbers w:val="0"/>
              <w:wordWrap w:val="0"/>
              <w:spacing w:before="0" w:beforeAutospacing="0" w:after="0" w:afterAutospacing="0" w:line="360" w:lineRule="auto"/>
              <w:ind w:left="0" w:right="0" w:firstLine="482" w:firstLineChars="200"/>
              <w:jc w:val="left"/>
              <w:rPr>
                <w:rFonts w:hint="eastAsia" w:ascii="Times New Roman" w:hAnsi="Times New Roman" w:eastAsia="宋体" w:cs="Times New Roman"/>
                <w:b/>
                <w:bCs/>
                <w:color w:val="000000"/>
                <w:kern w:val="2"/>
                <w:sz w:val="24"/>
                <w:szCs w:val="24"/>
              </w:rPr>
            </w:pPr>
            <w:r>
              <w:rPr>
                <w:rFonts w:hint="eastAsia" w:cs="Times New Roman"/>
                <w:b/>
                <w:bCs/>
                <w:color w:val="000000"/>
                <w:kern w:val="2"/>
                <w:sz w:val="24"/>
                <w:szCs w:val="24"/>
                <w:lang w:val="en-US" w:eastAsia="zh-CN" w:bidi="ar"/>
              </w:rPr>
              <w:t>5</w:t>
            </w:r>
            <w:r>
              <w:rPr>
                <w:rFonts w:hint="eastAsia" w:ascii="宋体" w:hAnsi="宋体" w:eastAsia="宋体" w:cs="宋体"/>
                <w:b/>
                <w:bCs/>
                <w:color w:val="000000"/>
                <w:kern w:val="2"/>
                <w:sz w:val="24"/>
                <w:szCs w:val="24"/>
                <w:lang w:val="en-US" w:eastAsia="zh-CN" w:bidi="ar"/>
              </w:rPr>
              <w:t>、与《环境保护综合名录（</w:t>
            </w:r>
            <w:r>
              <w:rPr>
                <w:rFonts w:hint="default" w:ascii="Times New Roman" w:hAnsi="Times New Roman" w:eastAsia="宋体" w:cs="Times New Roman"/>
                <w:b/>
                <w:bCs/>
                <w:color w:val="000000"/>
                <w:kern w:val="2"/>
                <w:sz w:val="24"/>
                <w:szCs w:val="24"/>
                <w:lang w:val="en-US" w:eastAsia="zh-CN" w:bidi="ar"/>
              </w:rPr>
              <w:t>2021</w:t>
            </w:r>
            <w:r>
              <w:rPr>
                <w:rFonts w:hint="eastAsia" w:ascii="宋体" w:hAnsi="宋体" w:eastAsia="宋体" w:cs="宋体"/>
                <w:b/>
                <w:bCs/>
                <w:color w:val="000000"/>
                <w:kern w:val="2"/>
                <w:sz w:val="24"/>
                <w:szCs w:val="24"/>
                <w:lang w:val="en-US" w:eastAsia="zh-CN" w:bidi="ar"/>
              </w:rPr>
              <w:t>年版）》相符性分析</w:t>
            </w:r>
          </w:p>
          <w:p w14:paraId="51F37CAB">
            <w:pPr>
              <w:keepNext w:val="0"/>
              <w:keepLines w:val="0"/>
              <w:widowControl/>
              <w:suppressLineNumbers w:val="0"/>
              <w:wordWrap w:val="0"/>
              <w:spacing w:before="0" w:beforeAutospacing="0" w:after="0" w:afterAutospacing="0" w:line="360" w:lineRule="auto"/>
              <w:ind w:left="0" w:right="0" w:firstLine="480" w:firstLineChars="200"/>
              <w:jc w:val="left"/>
              <w:rPr>
                <w:rFonts w:hint="eastAsia"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本项目主要</w:t>
            </w:r>
            <w:r>
              <w:rPr>
                <w:rFonts w:hint="eastAsia"/>
                <w:lang w:val="en-US" w:eastAsia="zh-CN"/>
              </w:rPr>
              <w:t>建设EPP汽车零部件及EPS包装材料生产线各一条</w:t>
            </w:r>
            <w:r>
              <w:rPr>
                <w:rFonts w:hint="eastAsia" w:ascii="宋体" w:hAnsi="宋体" w:cs="宋体"/>
                <w:color w:val="000000"/>
                <w:kern w:val="2"/>
                <w:sz w:val="24"/>
                <w:szCs w:val="24"/>
                <w:lang w:val="en-US" w:eastAsia="zh-CN" w:bidi="ar"/>
              </w:rPr>
              <w:t>，行业类别为</w:t>
            </w:r>
            <w:r>
              <w:t>C29</w:t>
            </w:r>
            <w:r>
              <w:rPr>
                <w:rFonts w:hint="eastAsia"/>
              </w:rPr>
              <w:t>29</w:t>
            </w:r>
            <w:r>
              <w:rPr>
                <w:rFonts w:hint="eastAsia" w:ascii="宋体" w:hAnsi="宋体" w:cs="宋体"/>
                <w:kern w:val="0"/>
              </w:rPr>
              <w:t>塑料零件及其他塑料制品制造</w:t>
            </w:r>
            <w:r>
              <w:rPr>
                <w:rFonts w:hint="eastAsia" w:ascii="宋体" w:hAnsi="宋体" w:cs="宋体"/>
                <w:kern w:val="0"/>
                <w:lang w:eastAsia="zh-CN"/>
              </w:rPr>
              <w:t>、</w:t>
            </w:r>
            <w:r>
              <w:t>C2924</w:t>
            </w:r>
            <w:r>
              <w:rPr>
                <w:rFonts w:hint="eastAsia"/>
              </w:rPr>
              <w:t xml:space="preserve"> 泡沫塑料制造</w:t>
            </w:r>
            <w:r>
              <w:rPr>
                <w:rFonts w:hint="eastAsia" w:ascii="宋体" w:hAnsi="宋体" w:eastAsia="宋体" w:cs="宋体"/>
                <w:color w:val="000000"/>
                <w:kern w:val="2"/>
                <w:sz w:val="24"/>
                <w:szCs w:val="24"/>
                <w:highlight w:val="none"/>
                <w:lang w:val="en-US" w:eastAsia="zh-CN" w:bidi="ar"/>
              </w:rPr>
              <w:t>，对照《环境保护综合名录（</w:t>
            </w:r>
            <w:r>
              <w:rPr>
                <w:rFonts w:hint="default" w:ascii="Times New Roman" w:hAnsi="Times New Roman" w:eastAsia="宋体" w:cs="Times New Roman"/>
                <w:color w:val="000000"/>
                <w:kern w:val="2"/>
                <w:sz w:val="24"/>
                <w:szCs w:val="24"/>
                <w:highlight w:val="none"/>
                <w:lang w:val="en-US" w:eastAsia="zh-CN" w:bidi="ar"/>
              </w:rPr>
              <w:t>2021</w:t>
            </w:r>
            <w:r>
              <w:rPr>
                <w:rFonts w:hint="eastAsia" w:ascii="宋体" w:hAnsi="宋体" w:eastAsia="宋体" w:cs="宋体"/>
                <w:color w:val="000000"/>
                <w:kern w:val="2"/>
                <w:sz w:val="24"/>
                <w:szCs w:val="24"/>
                <w:highlight w:val="none"/>
                <w:lang w:val="en-US" w:eastAsia="zh-CN" w:bidi="ar"/>
              </w:rPr>
              <w:t>年版）》，本项目不属于《环境保护综合名录（</w:t>
            </w:r>
            <w:r>
              <w:rPr>
                <w:rFonts w:hint="default" w:ascii="Times New Roman" w:hAnsi="Times New Roman" w:eastAsia="宋体" w:cs="Times New Roman"/>
                <w:color w:val="000000"/>
                <w:kern w:val="2"/>
                <w:sz w:val="24"/>
                <w:szCs w:val="24"/>
                <w:highlight w:val="none"/>
                <w:lang w:val="en-US" w:eastAsia="zh-CN" w:bidi="ar"/>
              </w:rPr>
              <w:t>2021</w:t>
            </w:r>
            <w:r>
              <w:rPr>
                <w:rFonts w:hint="eastAsia" w:ascii="宋体" w:hAnsi="宋体" w:eastAsia="宋体" w:cs="宋体"/>
                <w:color w:val="000000"/>
                <w:kern w:val="2"/>
                <w:sz w:val="24"/>
                <w:szCs w:val="24"/>
                <w:highlight w:val="none"/>
                <w:lang w:val="en-US" w:eastAsia="zh-CN" w:bidi="ar"/>
              </w:rPr>
              <w:t>年版）》中</w:t>
            </w:r>
            <w:r>
              <w:rPr>
                <w:rFonts w:hint="eastAsia" w:ascii="宋体" w:hAnsi="宋体" w:cs="宋体"/>
                <w:color w:val="000000"/>
                <w:kern w:val="2"/>
                <w:sz w:val="24"/>
                <w:szCs w:val="24"/>
                <w:highlight w:val="none"/>
                <w:lang w:val="en-US" w:eastAsia="zh-CN" w:bidi="ar"/>
              </w:rPr>
              <w:t>“</w:t>
            </w:r>
            <w:r>
              <w:rPr>
                <w:rFonts w:hint="eastAsia" w:ascii="宋体" w:hAnsi="宋体" w:eastAsia="宋体" w:cs="宋体"/>
                <w:color w:val="000000"/>
                <w:kern w:val="2"/>
                <w:sz w:val="24"/>
                <w:szCs w:val="24"/>
                <w:lang w:val="en-US" w:eastAsia="zh-CN" w:bidi="ar"/>
              </w:rPr>
              <w:t>高污染、高环境风险</w:t>
            </w:r>
            <w:r>
              <w:rPr>
                <w:rFonts w:hint="eastAsia" w:ascii="宋体" w:hAnsi="宋体" w:cs="宋体"/>
                <w:color w:val="000000"/>
                <w:kern w:val="2"/>
                <w:sz w:val="24"/>
                <w:szCs w:val="24"/>
                <w:lang w:val="en-US" w:eastAsia="zh-CN" w:bidi="ar"/>
              </w:rPr>
              <w:t>”</w:t>
            </w:r>
            <w:r>
              <w:rPr>
                <w:rFonts w:hint="eastAsia" w:ascii="宋体" w:hAnsi="宋体" w:eastAsia="宋体" w:cs="宋体"/>
                <w:color w:val="000000"/>
                <w:kern w:val="2"/>
                <w:sz w:val="24"/>
                <w:szCs w:val="24"/>
                <w:lang w:val="en-US" w:eastAsia="zh-CN" w:bidi="ar"/>
              </w:rPr>
              <w:t>产品名录。</w:t>
            </w:r>
          </w:p>
          <w:p w14:paraId="4BD3ECC4">
            <w:pPr>
              <w:keepNext w:val="0"/>
              <w:keepLines w:val="0"/>
              <w:widowControl w:val="0"/>
              <w:suppressLineNumbers w:val="0"/>
              <w:wordWrap w:val="0"/>
              <w:spacing w:before="0" w:beforeAutospacing="0" w:after="0" w:afterAutospacing="0" w:line="360" w:lineRule="auto"/>
              <w:ind w:left="0" w:right="0" w:firstLine="482" w:firstLineChars="200"/>
              <w:jc w:val="left"/>
              <w:rPr>
                <w:rFonts w:hint="eastAsia" w:ascii="Times New Roman" w:hAnsi="Times New Roman" w:eastAsia="宋体" w:cs="Times New Roman"/>
                <w:b/>
                <w:bCs/>
                <w:color w:val="000000"/>
                <w:kern w:val="2"/>
                <w:sz w:val="24"/>
                <w:szCs w:val="24"/>
              </w:rPr>
            </w:pPr>
            <w:r>
              <w:rPr>
                <w:rFonts w:hint="eastAsia" w:cs="Times New Roman"/>
                <w:b/>
                <w:bCs/>
                <w:color w:val="000000"/>
                <w:kern w:val="2"/>
                <w:sz w:val="24"/>
                <w:szCs w:val="24"/>
                <w:lang w:val="en-US" w:eastAsia="zh-CN" w:bidi="ar"/>
              </w:rPr>
              <w:t>6</w:t>
            </w:r>
            <w:r>
              <w:rPr>
                <w:rFonts w:hint="eastAsia" w:ascii="宋体" w:hAnsi="宋体" w:eastAsia="宋体" w:cs="宋体"/>
                <w:b/>
                <w:bCs/>
                <w:color w:val="000000"/>
                <w:kern w:val="2"/>
                <w:sz w:val="24"/>
                <w:szCs w:val="24"/>
                <w:lang w:val="en-US" w:eastAsia="zh-CN" w:bidi="ar"/>
              </w:rPr>
              <w:t>、与《吸附法工业有机废气治理工程技术规范》相符性分析</w:t>
            </w:r>
          </w:p>
          <w:p w14:paraId="18C575D7">
            <w:pPr>
              <w:pStyle w:val="24"/>
              <w:keepNext w:val="0"/>
              <w:keepLines w:val="0"/>
              <w:widowControl w:val="0"/>
              <w:suppressLineNumbers w:val="0"/>
              <w:wordWrap/>
              <w:snapToGrid w:val="0"/>
              <w:spacing w:before="0" w:beforeAutospacing="0" w:after="0" w:afterAutospacing="0" w:line="360" w:lineRule="auto"/>
              <w:ind w:left="0" w:right="0" w:firstLine="480" w:firstLineChars="200"/>
              <w:jc w:val="both"/>
              <w:rPr>
                <w:rFonts w:hint="eastAsia" w:ascii="宋体" w:hAnsi="宋体" w:eastAsia="宋体" w:cs="宋体"/>
                <w:b/>
                <w:bCs/>
                <w:color w:val="000000"/>
                <w:kern w:val="21"/>
                <w:sz w:val="24"/>
                <w:szCs w:val="24"/>
                <w:lang w:val="en-US" w:eastAsia="zh-CN" w:bidi="ar"/>
              </w:rPr>
            </w:pPr>
            <w:r>
              <w:rPr>
                <w:rFonts w:hint="eastAsia" w:ascii="宋体" w:hAnsi="宋体" w:eastAsia="宋体" w:cs="宋体"/>
                <w:color w:val="000000"/>
                <w:kern w:val="2"/>
                <w:sz w:val="24"/>
                <w:szCs w:val="24"/>
                <w:lang w:val="en-US" w:eastAsia="zh-CN" w:bidi="ar"/>
              </w:rPr>
              <w:t>本项目有机气体采用</w:t>
            </w:r>
            <w:r>
              <w:rPr>
                <w:rFonts w:hint="eastAsia" w:cs="宋体"/>
                <w:color w:val="000000"/>
                <w:kern w:val="2"/>
                <w:sz w:val="24"/>
                <w:szCs w:val="24"/>
                <w:lang w:val="en-US" w:eastAsia="zh-CN" w:bidi="ar"/>
              </w:rPr>
              <w:t>冷凝+二级活性炭装置</w:t>
            </w:r>
            <w:r>
              <w:rPr>
                <w:rFonts w:hint="eastAsia" w:ascii="宋体" w:hAnsi="宋体" w:eastAsia="宋体" w:cs="宋体"/>
                <w:color w:val="000000"/>
                <w:kern w:val="2"/>
                <w:sz w:val="24"/>
                <w:szCs w:val="24"/>
                <w:lang w:val="en-US" w:eastAsia="zh-CN" w:bidi="ar"/>
              </w:rPr>
              <w:t>进行处置，对照《吸附法工业有机废气治理工程技术规范》（</w:t>
            </w:r>
            <w:r>
              <w:rPr>
                <w:rFonts w:hint="default" w:ascii="Times New Roman" w:hAnsi="Times New Roman" w:eastAsia="宋体" w:cs="Times New Roman"/>
                <w:color w:val="000000"/>
                <w:kern w:val="2"/>
                <w:sz w:val="24"/>
                <w:szCs w:val="24"/>
                <w:lang w:val="en-US" w:eastAsia="zh-CN" w:bidi="ar"/>
              </w:rPr>
              <w:t>HJ</w:t>
            </w:r>
            <w:r>
              <w:rPr>
                <w:rFonts w:hint="eastAsia" w:ascii="Times New Roman" w:hAnsi="Times New Roman" w:eastAsia="宋体" w:cs="Times New Roman"/>
                <w:color w:val="000000"/>
                <w:kern w:val="2"/>
                <w:sz w:val="24"/>
                <w:szCs w:val="24"/>
                <w:lang w:val="en-US" w:eastAsia="zh-CN" w:bidi="ar"/>
              </w:rPr>
              <w:t xml:space="preserve"> </w:t>
            </w:r>
            <w:r>
              <w:rPr>
                <w:rFonts w:hint="default" w:ascii="Times New Roman" w:hAnsi="Times New Roman" w:eastAsia="宋体" w:cs="Times New Roman"/>
                <w:color w:val="000000"/>
                <w:kern w:val="2"/>
                <w:sz w:val="24"/>
                <w:szCs w:val="24"/>
                <w:lang w:val="en-US" w:eastAsia="zh-CN" w:bidi="ar"/>
              </w:rPr>
              <w:t>2026-2013</w:t>
            </w:r>
            <w:r>
              <w:rPr>
                <w:rFonts w:hint="eastAsia" w:ascii="宋体" w:hAnsi="宋体" w:eastAsia="宋体" w:cs="宋体"/>
                <w:color w:val="000000"/>
                <w:kern w:val="2"/>
                <w:sz w:val="24"/>
                <w:szCs w:val="24"/>
                <w:lang w:val="en-US" w:eastAsia="zh-CN" w:bidi="ar"/>
              </w:rPr>
              <w:t>），本项目符合性分析见下表。</w:t>
            </w:r>
          </w:p>
          <w:p w14:paraId="1CF2D7E0">
            <w:pPr>
              <w:pStyle w:val="24"/>
              <w:keepNext w:val="0"/>
              <w:keepLines w:val="0"/>
              <w:widowControl w:val="0"/>
              <w:suppressLineNumbers w:val="0"/>
              <w:wordWrap w:val="0"/>
              <w:autoSpaceDE w:val="0"/>
              <w:autoSpaceDN w:val="0"/>
              <w:adjustRightInd w:val="0"/>
              <w:spacing w:before="0" w:beforeAutospacing="0" w:after="0" w:afterAutospacing="0" w:line="360" w:lineRule="auto"/>
              <w:ind w:left="0" w:right="0" w:firstLine="0" w:firstLineChars="0"/>
              <w:jc w:val="center"/>
              <w:rPr>
                <w:rFonts w:hint="eastAsia" w:ascii="宋体" w:hAnsi="宋体" w:eastAsia="宋体" w:cs="宋体"/>
                <w:b/>
                <w:bCs/>
                <w:color w:val="000000"/>
                <w:kern w:val="21"/>
                <w:sz w:val="24"/>
                <w:szCs w:val="24"/>
                <w:lang w:val="en-US" w:eastAsia="zh-CN" w:bidi="ar"/>
              </w:rPr>
            </w:pPr>
          </w:p>
          <w:p w14:paraId="4FDA8FA1">
            <w:pPr>
              <w:pStyle w:val="24"/>
              <w:keepNext w:val="0"/>
              <w:keepLines w:val="0"/>
              <w:widowControl w:val="0"/>
              <w:suppressLineNumbers w:val="0"/>
              <w:wordWrap w:val="0"/>
              <w:autoSpaceDE w:val="0"/>
              <w:autoSpaceDN w:val="0"/>
              <w:adjustRightInd w:val="0"/>
              <w:spacing w:before="0" w:beforeAutospacing="0" w:after="0" w:afterAutospacing="0" w:line="360" w:lineRule="auto"/>
              <w:ind w:left="0" w:right="0" w:firstLine="0" w:firstLineChars="0"/>
              <w:jc w:val="center"/>
              <w:rPr>
                <w:rFonts w:hint="eastAsia" w:ascii="宋体" w:hAnsi="宋体" w:eastAsia="宋体" w:cs="宋体"/>
                <w:b/>
                <w:bCs/>
                <w:color w:val="000000"/>
                <w:kern w:val="21"/>
                <w:sz w:val="24"/>
                <w:szCs w:val="24"/>
                <w:lang w:val="en-US" w:eastAsia="zh-CN" w:bidi="ar"/>
              </w:rPr>
            </w:pPr>
          </w:p>
          <w:p w14:paraId="145A0FD8">
            <w:pPr>
              <w:pStyle w:val="24"/>
              <w:keepNext w:val="0"/>
              <w:keepLines w:val="0"/>
              <w:widowControl w:val="0"/>
              <w:suppressLineNumbers w:val="0"/>
              <w:wordWrap w:val="0"/>
              <w:autoSpaceDE w:val="0"/>
              <w:autoSpaceDN w:val="0"/>
              <w:adjustRightInd w:val="0"/>
              <w:spacing w:before="0" w:beforeAutospacing="0" w:after="0" w:afterAutospacing="0" w:line="360" w:lineRule="auto"/>
              <w:ind w:left="0" w:right="0" w:firstLine="0" w:firstLineChars="0"/>
              <w:jc w:val="center"/>
              <w:rPr>
                <w:rFonts w:hint="eastAsia" w:ascii="Times New Roman" w:hAnsi="Times New Roman" w:eastAsia="宋体" w:cs="Times New Roman"/>
                <w:b/>
                <w:bCs/>
                <w:color w:val="000000"/>
                <w:kern w:val="21"/>
                <w:sz w:val="24"/>
                <w:szCs w:val="24"/>
              </w:rPr>
            </w:pPr>
            <w:r>
              <w:rPr>
                <w:rFonts w:hint="eastAsia" w:ascii="宋体" w:hAnsi="宋体" w:eastAsia="宋体" w:cs="宋体"/>
                <w:b/>
                <w:bCs/>
                <w:color w:val="000000"/>
                <w:kern w:val="21"/>
                <w:sz w:val="24"/>
                <w:szCs w:val="24"/>
                <w:lang w:val="en-US" w:eastAsia="zh-CN" w:bidi="ar"/>
              </w:rPr>
              <w:t>表</w:t>
            </w:r>
            <w:r>
              <w:rPr>
                <w:rFonts w:hint="default" w:ascii="Times New Roman" w:hAnsi="Times New Roman" w:eastAsia="宋体" w:cs="Times New Roman"/>
                <w:b/>
                <w:bCs/>
                <w:color w:val="000000"/>
                <w:kern w:val="21"/>
                <w:sz w:val="24"/>
                <w:szCs w:val="24"/>
                <w:lang w:val="en-US" w:eastAsia="zh-CN" w:bidi="ar"/>
              </w:rPr>
              <w:t>1-</w:t>
            </w:r>
            <w:r>
              <w:rPr>
                <w:rFonts w:hint="eastAsia" w:ascii="Times New Roman" w:hAnsi="Times New Roman" w:cs="Times New Roman"/>
                <w:b/>
                <w:bCs/>
                <w:color w:val="000000"/>
                <w:kern w:val="21"/>
                <w:sz w:val="24"/>
                <w:szCs w:val="24"/>
                <w:lang w:val="en-US" w:eastAsia="zh-CN" w:bidi="ar"/>
              </w:rPr>
              <w:t>12</w:t>
            </w:r>
            <w:r>
              <w:rPr>
                <w:rFonts w:hint="eastAsia" w:ascii="Times New Roman" w:hAnsi="Times New Roman" w:eastAsia="宋体" w:cs="Times New Roman"/>
                <w:b/>
                <w:bCs/>
                <w:color w:val="000000"/>
                <w:kern w:val="21"/>
                <w:sz w:val="24"/>
                <w:szCs w:val="24"/>
                <w:lang w:val="en-US" w:eastAsia="zh-CN" w:bidi="ar"/>
              </w:rPr>
              <w:t xml:space="preserve"> </w:t>
            </w:r>
            <w:r>
              <w:rPr>
                <w:rFonts w:hint="eastAsia" w:ascii="宋体" w:hAnsi="宋体" w:eastAsia="宋体" w:cs="宋体"/>
                <w:b/>
                <w:bCs/>
                <w:color w:val="000000"/>
                <w:kern w:val="21"/>
                <w:sz w:val="24"/>
                <w:szCs w:val="24"/>
                <w:lang w:val="en-US" w:eastAsia="zh-CN" w:bidi="ar"/>
              </w:rPr>
              <w:t>与《吸附法工业有机废气治理工程技术规范》（</w:t>
            </w:r>
            <w:r>
              <w:rPr>
                <w:rFonts w:hint="default" w:ascii="Times New Roman" w:hAnsi="Times New Roman" w:eastAsia="宋体" w:cs="Times New Roman"/>
                <w:b/>
                <w:bCs/>
                <w:color w:val="000000"/>
                <w:kern w:val="21"/>
                <w:sz w:val="24"/>
                <w:szCs w:val="24"/>
                <w:lang w:val="en-US" w:eastAsia="zh-CN" w:bidi="ar"/>
              </w:rPr>
              <w:t>HJ2026-2013</w:t>
            </w:r>
            <w:r>
              <w:rPr>
                <w:rFonts w:hint="eastAsia" w:ascii="宋体" w:hAnsi="宋体" w:eastAsia="宋体" w:cs="宋体"/>
                <w:b/>
                <w:bCs/>
                <w:color w:val="000000"/>
                <w:kern w:val="21"/>
                <w:sz w:val="24"/>
                <w:szCs w:val="24"/>
                <w:lang w:val="en-US" w:eastAsia="zh-CN" w:bidi="ar"/>
              </w:rPr>
              <w:t>）相符性分析一览表</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2"/>
              <w:gridCol w:w="3401"/>
              <w:gridCol w:w="1407"/>
            </w:tblGrid>
            <w:tr w14:paraId="7FD0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83" w:type="dxa"/>
                  <w:tcBorders>
                    <w:top w:val="single" w:color="auto" w:sz="4" w:space="0"/>
                    <w:left w:val="single" w:color="auto" w:sz="4" w:space="0"/>
                    <w:bottom w:val="single" w:color="auto" w:sz="4" w:space="0"/>
                    <w:right w:val="single" w:color="auto" w:sz="4" w:space="0"/>
                  </w:tcBorders>
                  <w:noWrap w:val="0"/>
                  <w:vAlign w:val="center"/>
                </w:tcPr>
                <w:p w14:paraId="6C226E0E">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lang w:val="en-US" w:eastAsia="zh-CN" w:bidi="ar"/>
                    </w:rPr>
                    <w:t>文件要求</w:t>
                  </w:r>
                </w:p>
              </w:tc>
              <w:tc>
                <w:tcPr>
                  <w:tcW w:w="3230" w:type="dxa"/>
                  <w:tcBorders>
                    <w:top w:val="single" w:color="auto" w:sz="4" w:space="0"/>
                    <w:left w:val="single" w:color="auto" w:sz="4" w:space="0"/>
                    <w:bottom w:val="single" w:color="auto" w:sz="4" w:space="0"/>
                    <w:right w:val="single" w:color="auto" w:sz="4" w:space="0"/>
                  </w:tcBorders>
                  <w:noWrap w:val="0"/>
                  <w:vAlign w:val="center"/>
                </w:tcPr>
                <w:p w14:paraId="70C0B492">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lang w:val="en-US" w:eastAsia="zh-CN" w:bidi="ar"/>
                    </w:rPr>
                    <w:t>本项目情况</w:t>
                  </w:r>
                </w:p>
              </w:tc>
              <w:tc>
                <w:tcPr>
                  <w:tcW w:w="1336" w:type="dxa"/>
                  <w:tcBorders>
                    <w:top w:val="single" w:color="auto" w:sz="4" w:space="0"/>
                    <w:left w:val="single" w:color="auto" w:sz="4" w:space="0"/>
                    <w:bottom w:val="single" w:color="auto" w:sz="4" w:space="0"/>
                    <w:right w:val="single" w:color="auto" w:sz="4" w:space="0"/>
                  </w:tcBorders>
                  <w:noWrap w:val="0"/>
                  <w:vAlign w:val="center"/>
                </w:tcPr>
                <w:p w14:paraId="312113AA">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lang w:val="en-US" w:eastAsia="zh-CN" w:bidi="ar"/>
                    </w:rPr>
                    <w:t>符合性分析</w:t>
                  </w:r>
                </w:p>
              </w:tc>
            </w:tr>
            <w:tr w14:paraId="28FCB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83" w:type="dxa"/>
                  <w:tcBorders>
                    <w:top w:val="single" w:color="auto" w:sz="4" w:space="0"/>
                    <w:left w:val="single" w:color="auto" w:sz="4" w:space="0"/>
                    <w:bottom w:val="single" w:color="auto" w:sz="4" w:space="0"/>
                    <w:right w:val="single" w:color="auto" w:sz="4" w:space="0"/>
                  </w:tcBorders>
                  <w:noWrap w:val="0"/>
                  <w:vAlign w:val="center"/>
                </w:tcPr>
                <w:p w14:paraId="0D321209">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lang w:val="en-US" w:eastAsia="zh-CN" w:bidi="ar"/>
                    </w:rPr>
                    <w:t>进入吸附装置的颗粒物含量宜低于</w:t>
                  </w:r>
                  <w:r>
                    <w:rPr>
                      <w:rFonts w:hint="default" w:ascii="Times New Roman" w:hAnsi="Times New Roman" w:eastAsia="宋体" w:cs="Times New Roman"/>
                      <w:b w:val="0"/>
                      <w:color w:val="000000"/>
                      <w:spacing w:val="-2"/>
                      <w:kern w:val="0"/>
                      <w:sz w:val="21"/>
                      <w:szCs w:val="21"/>
                      <w:lang w:val="en-US" w:eastAsia="zh-CN" w:bidi="ar"/>
                    </w:rPr>
                    <w:t>1mg/m</w:t>
                  </w:r>
                  <w:r>
                    <w:rPr>
                      <w:rFonts w:hint="default" w:ascii="Times New Roman" w:hAnsi="Times New Roman" w:eastAsia="宋体" w:cs="Times New Roman"/>
                      <w:b w:val="0"/>
                      <w:color w:val="000000"/>
                      <w:spacing w:val="-2"/>
                      <w:kern w:val="0"/>
                      <w:sz w:val="21"/>
                      <w:szCs w:val="21"/>
                      <w:vertAlign w:val="superscript"/>
                      <w:lang w:val="en-US" w:eastAsia="zh-CN" w:bidi="ar"/>
                    </w:rPr>
                    <w:t>3</w:t>
                  </w:r>
                </w:p>
              </w:tc>
              <w:tc>
                <w:tcPr>
                  <w:tcW w:w="3230" w:type="dxa"/>
                  <w:tcBorders>
                    <w:top w:val="single" w:color="auto" w:sz="4" w:space="0"/>
                    <w:left w:val="single" w:color="auto" w:sz="4" w:space="0"/>
                    <w:bottom w:val="single" w:color="auto" w:sz="4" w:space="0"/>
                    <w:right w:val="single" w:color="auto" w:sz="4" w:space="0"/>
                  </w:tcBorders>
                  <w:noWrap w:val="0"/>
                  <w:vAlign w:val="center"/>
                </w:tcPr>
                <w:p w14:paraId="580D246E">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highlight w:val="none"/>
                      <w:lang w:val="en-US" w:eastAsia="zh-CN" w:bidi="ar"/>
                    </w:rPr>
                    <w:t>本项目进入活性炭装置废气主要为有机废气，不含颗粒物。</w:t>
                  </w:r>
                </w:p>
              </w:tc>
              <w:tc>
                <w:tcPr>
                  <w:tcW w:w="1336" w:type="dxa"/>
                  <w:tcBorders>
                    <w:top w:val="single" w:color="auto" w:sz="4" w:space="0"/>
                    <w:left w:val="single" w:color="auto" w:sz="4" w:space="0"/>
                    <w:bottom w:val="single" w:color="auto" w:sz="4" w:space="0"/>
                    <w:right w:val="single" w:color="auto" w:sz="4" w:space="0"/>
                  </w:tcBorders>
                  <w:noWrap w:val="0"/>
                  <w:vAlign w:val="center"/>
                </w:tcPr>
                <w:p w14:paraId="2154DB73">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lang w:val="en-US" w:eastAsia="zh-CN" w:bidi="ar"/>
                    </w:rPr>
                    <w:t>符</w:t>
                  </w:r>
                </w:p>
                <w:p w14:paraId="3EC3410F">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lang w:val="en-US" w:eastAsia="zh-CN" w:bidi="ar"/>
                    </w:rPr>
                    <w:t>合</w:t>
                  </w:r>
                </w:p>
              </w:tc>
            </w:tr>
            <w:tr w14:paraId="23600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83" w:type="dxa"/>
                  <w:tcBorders>
                    <w:top w:val="single" w:color="auto" w:sz="4" w:space="0"/>
                    <w:left w:val="single" w:color="auto" w:sz="4" w:space="0"/>
                    <w:bottom w:val="single" w:color="auto" w:sz="4" w:space="0"/>
                    <w:right w:val="single" w:color="auto" w:sz="4" w:space="0"/>
                  </w:tcBorders>
                  <w:noWrap w:val="0"/>
                  <w:vAlign w:val="center"/>
                </w:tcPr>
                <w:p w14:paraId="4D779AEC">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lang w:val="en-US" w:eastAsia="zh-CN" w:bidi="ar"/>
                    </w:rPr>
                    <w:t>进入吸附装置的废气温度宜低于</w:t>
                  </w:r>
                  <w:r>
                    <w:rPr>
                      <w:rFonts w:hint="default" w:ascii="Times New Roman" w:hAnsi="Times New Roman" w:eastAsia="宋体" w:cs="Times New Roman"/>
                      <w:b w:val="0"/>
                      <w:color w:val="000000"/>
                      <w:spacing w:val="-2"/>
                      <w:kern w:val="0"/>
                      <w:sz w:val="21"/>
                      <w:szCs w:val="21"/>
                      <w:lang w:val="en-US" w:eastAsia="zh-CN" w:bidi="ar"/>
                    </w:rPr>
                    <w:t>40</w:t>
                  </w:r>
                  <w:r>
                    <w:rPr>
                      <w:rFonts w:hint="eastAsia" w:ascii="宋体" w:hAnsi="宋体" w:eastAsia="宋体" w:cs="宋体"/>
                      <w:b w:val="0"/>
                      <w:color w:val="000000"/>
                      <w:spacing w:val="-2"/>
                      <w:kern w:val="0"/>
                      <w:sz w:val="21"/>
                      <w:szCs w:val="21"/>
                      <w:lang w:val="en-US" w:eastAsia="zh-CN" w:bidi="ar"/>
                    </w:rPr>
                    <w:t>℃</w:t>
                  </w:r>
                </w:p>
              </w:tc>
              <w:tc>
                <w:tcPr>
                  <w:tcW w:w="3230" w:type="dxa"/>
                  <w:tcBorders>
                    <w:top w:val="single" w:color="auto" w:sz="4" w:space="0"/>
                    <w:left w:val="single" w:color="auto" w:sz="4" w:space="0"/>
                    <w:bottom w:val="single" w:color="auto" w:sz="4" w:space="0"/>
                    <w:right w:val="single" w:color="auto" w:sz="4" w:space="0"/>
                  </w:tcBorders>
                  <w:noWrap w:val="0"/>
                  <w:vAlign w:val="center"/>
                </w:tcPr>
                <w:p w14:paraId="780EEB99">
                  <w:pPr>
                    <w:pStyle w:val="24"/>
                    <w:keepNext w:val="0"/>
                    <w:keepLines w:val="0"/>
                    <w:widowControl w:val="0"/>
                    <w:suppressLineNumbers w:val="0"/>
                    <w:wordWrap w:val="0"/>
                    <w:autoSpaceDE w:val="0"/>
                    <w:autoSpaceDN/>
                    <w:adjustRightInd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000000"/>
                      <w:kern w:val="2"/>
                      <w:sz w:val="21"/>
                      <w:szCs w:val="21"/>
                      <w:highlight w:val="none"/>
                      <w:lang w:val="en-US"/>
                    </w:rPr>
                  </w:pPr>
                  <w:r>
                    <w:rPr>
                      <w:rFonts w:hint="eastAsia" w:ascii="宋体" w:hAnsi="宋体" w:eastAsia="宋体" w:cs="宋体"/>
                      <w:snapToGrid/>
                      <w:color w:val="000000"/>
                      <w:kern w:val="2"/>
                      <w:sz w:val="21"/>
                      <w:szCs w:val="21"/>
                      <w:highlight w:val="none"/>
                      <w:lang w:val="en-US" w:eastAsia="zh-CN" w:bidi="ar"/>
                    </w:rPr>
                    <w:t>本项目</w:t>
                  </w:r>
                  <w:r>
                    <w:rPr>
                      <w:rFonts w:hint="eastAsia" w:cs="宋体"/>
                      <w:snapToGrid/>
                      <w:color w:val="000000"/>
                      <w:kern w:val="2"/>
                      <w:sz w:val="21"/>
                      <w:szCs w:val="21"/>
                      <w:highlight w:val="none"/>
                      <w:lang w:val="en-US" w:eastAsia="zh-CN" w:bidi="ar"/>
                    </w:rPr>
                    <w:t>有机废气经冷凝处理后进入吸附装置废气温度低于15℃</w:t>
                  </w:r>
                </w:p>
              </w:tc>
              <w:tc>
                <w:tcPr>
                  <w:tcW w:w="1336" w:type="dxa"/>
                  <w:tcBorders>
                    <w:top w:val="single" w:color="auto" w:sz="4" w:space="0"/>
                    <w:left w:val="single" w:color="auto" w:sz="4" w:space="0"/>
                    <w:bottom w:val="single" w:color="auto" w:sz="4" w:space="0"/>
                    <w:right w:val="single" w:color="auto" w:sz="4" w:space="0"/>
                  </w:tcBorders>
                  <w:noWrap w:val="0"/>
                  <w:vAlign w:val="center"/>
                </w:tcPr>
                <w:p w14:paraId="7D682194">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lang w:val="en-US" w:eastAsia="zh-CN" w:bidi="ar"/>
                    </w:rPr>
                    <w:t>符</w:t>
                  </w:r>
                </w:p>
                <w:p w14:paraId="3954EA50">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lang w:val="en-US" w:eastAsia="zh-CN" w:bidi="ar"/>
                    </w:rPr>
                    <w:t>合</w:t>
                  </w:r>
                </w:p>
              </w:tc>
            </w:tr>
            <w:tr w14:paraId="4BB02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83" w:type="dxa"/>
                  <w:tcBorders>
                    <w:top w:val="single" w:color="auto" w:sz="4" w:space="0"/>
                    <w:left w:val="single" w:color="auto" w:sz="4" w:space="0"/>
                    <w:bottom w:val="single" w:color="auto" w:sz="4" w:space="0"/>
                    <w:right w:val="single" w:color="auto" w:sz="4" w:space="0"/>
                  </w:tcBorders>
                  <w:noWrap w:val="0"/>
                  <w:vAlign w:val="center"/>
                </w:tcPr>
                <w:p w14:paraId="53296807">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lang w:val="en-US" w:eastAsia="zh-CN" w:bidi="ar"/>
                    </w:rPr>
                    <w:t>吸附装置的净化效率不得低于</w:t>
                  </w:r>
                  <w:r>
                    <w:rPr>
                      <w:rFonts w:hint="default" w:ascii="Times New Roman" w:hAnsi="Times New Roman" w:eastAsia="宋体" w:cs="Times New Roman"/>
                      <w:b w:val="0"/>
                      <w:color w:val="000000"/>
                      <w:spacing w:val="-2"/>
                      <w:kern w:val="0"/>
                      <w:sz w:val="21"/>
                      <w:szCs w:val="21"/>
                      <w:lang w:val="en-US" w:eastAsia="zh-CN" w:bidi="ar"/>
                    </w:rPr>
                    <w:t>90%</w:t>
                  </w:r>
                </w:p>
              </w:tc>
              <w:tc>
                <w:tcPr>
                  <w:tcW w:w="3230" w:type="dxa"/>
                  <w:tcBorders>
                    <w:top w:val="single" w:color="auto" w:sz="4" w:space="0"/>
                    <w:left w:val="single" w:color="auto" w:sz="4" w:space="0"/>
                    <w:bottom w:val="single" w:color="auto" w:sz="4" w:space="0"/>
                    <w:right w:val="single" w:color="auto" w:sz="4" w:space="0"/>
                  </w:tcBorders>
                  <w:noWrap w:val="0"/>
                  <w:vAlign w:val="center"/>
                </w:tcPr>
                <w:p w14:paraId="68AAF4F5">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lang w:val="en-US" w:eastAsia="zh-CN" w:bidi="ar"/>
                    </w:rPr>
                    <w:t>本项目活性炭装置净化效率</w:t>
                  </w:r>
                  <w:r>
                    <w:rPr>
                      <w:rFonts w:hint="default" w:ascii="Times New Roman" w:hAnsi="Times New Roman" w:eastAsia="宋体" w:cs="Times New Roman"/>
                      <w:b w:val="0"/>
                      <w:color w:val="000000"/>
                      <w:spacing w:val="-2"/>
                      <w:kern w:val="0"/>
                      <w:sz w:val="21"/>
                      <w:szCs w:val="21"/>
                      <w:lang w:val="en-US" w:eastAsia="zh-CN" w:bidi="ar"/>
                    </w:rPr>
                    <w:t>90%</w:t>
                  </w:r>
                  <w:r>
                    <w:rPr>
                      <w:rFonts w:hint="eastAsia" w:ascii="宋体" w:hAnsi="宋体" w:eastAsia="宋体" w:cs="宋体"/>
                      <w:b w:val="0"/>
                      <w:color w:val="000000"/>
                      <w:spacing w:val="-2"/>
                      <w:kern w:val="0"/>
                      <w:sz w:val="21"/>
                      <w:szCs w:val="21"/>
                      <w:lang w:val="en-US" w:eastAsia="zh-CN" w:bidi="ar"/>
                    </w:rPr>
                    <w:t>。</w:t>
                  </w:r>
                </w:p>
              </w:tc>
              <w:tc>
                <w:tcPr>
                  <w:tcW w:w="1336" w:type="dxa"/>
                  <w:tcBorders>
                    <w:top w:val="single" w:color="auto" w:sz="4" w:space="0"/>
                    <w:left w:val="single" w:color="auto" w:sz="4" w:space="0"/>
                    <w:bottom w:val="single" w:color="auto" w:sz="4" w:space="0"/>
                    <w:right w:val="single" w:color="auto" w:sz="4" w:space="0"/>
                  </w:tcBorders>
                  <w:noWrap w:val="0"/>
                  <w:vAlign w:val="center"/>
                </w:tcPr>
                <w:p w14:paraId="3D1ED0AC">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lang w:val="en-US" w:eastAsia="zh-CN" w:bidi="ar"/>
                    </w:rPr>
                    <w:t>符</w:t>
                  </w:r>
                </w:p>
                <w:p w14:paraId="63065769">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lang w:val="en-US" w:eastAsia="zh-CN" w:bidi="ar"/>
                    </w:rPr>
                    <w:t>合</w:t>
                  </w:r>
                </w:p>
              </w:tc>
            </w:tr>
            <w:tr w14:paraId="7C6D9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83" w:type="dxa"/>
                  <w:tcBorders>
                    <w:top w:val="single" w:color="auto" w:sz="4" w:space="0"/>
                    <w:left w:val="single" w:color="auto" w:sz="4" w:space="0"/>
                    <w:bottom w:val="single" w:color="auto" w:sz="4" w:space="0"/>
                    <w:right w:val="single" w:color="auto" w:sz="4" w:space="0"/>
                  </w:tcBorders>
                  <w:noWrap w:val="0"/>
                  <w:vAlign w:val="center"/>
                </w:tcPr>
                <w:p w14:paraId="0F8A06DF">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lang w:val="en-US" w:eastAsia="zh-CN" w:bidi="ar"/>
                    </w:rPr>
                    <w:t>当废气中颗粒物含量超过</w:t>
                  </w:r>
                  <w:r>
                    <w:rPr>
                      <w:rFonts w:hint="default" w:ascii="Times New Roman" w:hAnsi="Times New Roman" w:eastAsia="宋体" w:cs="Times New Roman"/>
                      <w:b w:val="0"/>
                      <w:color w:val="000000"/>
                      <w:spacing w:val="-2"/>
                      <w:kern w:val="0"/>
                      <w:sz w:val="21"/>
                      <w:szCs w:val="21"/>
                      <w:lang w:val="en-US" w:eastAsia="zh-CN" w:bidi="ar"/>
                    </w:rPr>
                    <w:t>1mg/m</w:t>
                  </w:r>
                  <w:r>
                    <w:rPr>
                      <w:rFonts w:hint="default" w:ascii="Times New Roman" w:hAnsi="Times New Roman" w:eastAsia="宋体" w:cs="Times New Roman"/>
                      <w:b w:val="0"/>
                      <w:color w:val="000000"/>
                      <w:spacing w:val="-2"/>
                      <w:kern w:val="0"/>
                      <w:sz w:val="21"/>
                      <w:szCs w:val="21"/>
                      <w:vertAlign w:val="superscript"/>
                      <w:lang w:val="en-US" w:eastAsia="zh-CN" w:bidi="ar"/>
                    </w:rPr>
                    <w:t>3</w:t>
                  </w:r>
                  <w:r>
                    <w:rPr>
                      <w:rFonts w:hint="eastAsia" w:ascii="宋体" w:hAnsi="宋体" w:eastAsia="宋体" w:cs="宋体"/>
                      <w:b w:val="0"/>
                      <w:color w:val="000000"/>
                      <w:spacing w:val="-2"/>
                      <w:kern w:val="0"/>
                      <w:sz w:val="21"/>
                      <w:szCs w:val="21"/>
                      <w:lang w:val="en-US" w:eastAsia="zh-CN" w:bidi="ar"/>
                    </w:rPr>
                    <w:t>时，应先采用过滤或洗涤等方式进行预处理</w:t>
                  </w:r>
                </w:p>
              </w:tc>
              <w:tc>
                <w:tcPr>
                  <w:tcW w:w="3230" w:type="dxa"/>
                  <w:tcBorders>
                    <w:top w:val="single" w:color="auto" w:sz="4" w:space="0"/>
                    <w:left w:val="single" w:color="auto" w:sz="4" w:space="0"/>
                    <w:bottom w:val="single" w:color="auto" w:sz="4" w:space="0"/>
                    <w:right w:val="single" w:color="auto" w:sz="4" w:space="0"/>
                  </w:tcBorders>
                  <w:noWrap w:val="0"/>
                  <w:vAlign w:val="center"/>
                </w:tcPr>
                <w:p w14:paraId="2280C8FF">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 w:val="0"/>
                      <w:color w:val="000000"/>
                      <w:spacing w:val="-2"/>
                      <w:kern w:val="0"/>
                      <w:sz w:val="21"/>
                      <w:szCs w:val="21"/>
                      <w:highlight w:val="none"/>
                    </w:rPr>
                  </w:pPr>
                  <w:r>
                    <w:rPr>
                      <w:rFonts w:hint="eastAsia" w:ascii="宋体" w:hAnsi="宋体" w:eastAsia="宋体" w:cs="宋体"/>
                      <w:b w:val="0"/>
                      <w:color w:val="000000"/>
                      <w:spacing w:val="-2"/>
                      <w:kern w:val="0"/>
                      <w:sz w:val="21"/>
                      <w:szCs w:val="21"/>
                      <w:highlight w:val="none"/>
                      <w:lang w:val="en-US" w:eastAsia="zh-CN" w:bidi="ar"/>
                    </w:rPr>
                    <w:t>本项目进入活性炭装置废气主要为有机废气，不含颗粒物。</w:t>
                  </w:r>
                </w:p>
              </w:tc>
              <w:tc>
                <w:tcPr>
                  <w:tcW w:w="1336" w:type="dxa"/>
                  <w:tcBorders>
                    <w:top w:val="single" w:color="auto" w:sz="4" w:space="0"/>
                    <w:left w:val="single" w:color="auto" w:sz="4" w:space="0"/>
                    <w:bottom w:val="single" w:color="auto" w:sz="4" w:space="0"/>
                    <w:right w:val="single" w:color="auto" w:sz="4" w:space="0"/>
                  </w:tcBorders>
                  <w:noWrap w:val="0"/>
                  <w:vAlign w:val="center"/>
                </w:tcPr>
                <w:p w14:paraId="3BAC63D1">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lang w:val="en-US" w:eastAsia="zh-CN" w:bidi="ar"/>
                    </w:rPr>
                    <w:t>符</w:t>
                  </w:r>
                </w:p>
                <w:p w14:paraId="7E03C548">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lang w:val="en-US" w:eastAsia="zh-CN" w:bidi="ar"/>
                    </w:rPr>
                    <w:t>合</w:t>
                  </w:r>
                </w:p>
              </w:tc>
            </w:tr>
            <w:tr w14:paraId="13615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83" w:type="dxa"/>
                  <w:tcBorders>
                    <w:top w:val="single" w:color="auto" w:sz="4" w:space="0"/>
                    <w:left w:val="single" w:color="auto" w:sz="4" w:space="0"/>
                    <w:bottom w:val="single" w:color="auto" w:sz="4" w:space="0"/>
                    <w:right w:val="single" w:color="auto" w:sz="4" w:space="0"/>
                  </w:tcBorders>
                  <w:noWrap w:val="0"/>
                  <w:vAlign w:val="center"/>
                </w:tcPr>
                <w:p w14:paraId="44B5B584">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lang w:val="en-US" w:eastAsia="zh-CN" w:bidi="ar"/>
                    </w:rPr>
                    <w:t>连续稳定产生的废气可以采用固定床、移动床（包括转轮吸附装置）和流化床吸附装置，非连续产生或浓度不稳定的废气宜采用固定床吸附装置</w:t>
                  </w:r>
                </w:p>
              </w:tc>
              <w:tc>
                <w:tcPr>
                  <w:tcW w:w="3230" w:type="dxa"/>
                  <w:tcBorders>
                    <w:top w:val="single" w:color="auto" w:sz="4" w:space="0"/>
                    <w:left w:val="single" w:color="auto" w:sz="4" w:space="0"/>
                    <w:bottom w:val="single" w:color="auto" w:sz="4" w:space="0"/>
                    <w:right w:val="single" w:color="auto" w:sz="4" w:space="0"/>
                  </w:tcBorders>
                  <w:noWrap w:val="0"/>
                  <w:vAlign w:val="center"/>
                </w:tcPr>
                <w:p w14:paraId="0FFA2A2B">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lang w:val="en-US" w:eastAsia="zh-CN" w:bidi="ar"/>
                    </w:rPr>
                    <w:t>本项目连续稳定生产，采用固定床吸附装置对废气进行处理。</w:t>
                  </w:r>
                </w:p>
              </w:tc>
              <w:tc>
                <w:tcPr>
                  <w:tcW w:w="1336" w:type="dxa"/>
                  <w:tcBorders>
                    <w:top w:val="single" w:color="auto" w:sz="4" w:space="0"/>
                    <w:left w:val="single" w:color="auto" w:sz="4" w:space="0"/>
                    <w:bottom w:val="single" w:color="auto" w:sz="4" w:space="0"/>
                    <w:right w:val="single" w:color="auto" w:sz="4" w:space="0"/>
                  </w:tcBorders>
                  <w:noWrap w:val="0"/>
                  <w:vAlign w:val="center"/>
                </w:tcPr>
                <w:p w14:paraId="4165F416">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lang w:val="en-US" w:eastAsia="zh-CN" w:bidi="ar"/>
                    </w:rPr>
                    <w:t>符</w:t>
                  </w:r>
                </w:p>
                <w:p w14:paraId="00789462">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lang w:val="en-US" w:eastAsia="zh-CN" w:bidi="ar"/>
                    </w:rPr>
                    <w:t>合</w:t>
                  </w:r>
                </w:p>
              </w:tc>
            </w:tr>
            <w:tr w14:paraId="453C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83" w:type="dxa"/>
                  <w:tcBorders>
                    <w:top w:val="single" w:color="auto" w:sz="4" w:space="0"/>
                    <w:left w:val="single" w:color="auto" w:sz="4" w:space="0"/>
                    <w:bottom w:val="single" w:color="auto" w:sz="4" w:space="0"/>
                    <w:right w:val="single" w:color="auto" w:sz="4" w:space="0"/>
                  </w:tcBorders>
                  <w:noWrap w:val="0"/>
                  <w:vAlign w:val="center"/>
                </w:tcPr>
                <w:p w14:paraId="2FC09045">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lang w:val="en-US" w:eastAsia="zh-CN" w:bidi="ar"/>
                    </w:rPr>
                    <w:t>采用蜂窝状吸附剂时，气体流速宜低于</w:t>
                  </w:r>
                  <w:r>
                    <w:rPr>
                      <w:rFonts w:hint="default" w:ascii="Times New Roman" w:hAnsi="Times New Roman" w:eastAsia="宋体" w:cs="Times New Roman"/>
                      <w:b w:val="0"/>
                      <w:color w:val="000000"/>
                      <w:spacing w:val="-2"/>
                      <w:kern w:val="0"/>
                      <w:sz w:val="21"/>
                      <w:szCs w:val="21"/>
                      <w:lang w:val="en-US" w:eastAsia="zh-CN" w:bidi="ar"/>
                    </w:rPr>
                    <w:t>1.2m/s</w:t>
                  </w:r>
                </w:p>
              </w:tc>
              <w:tc>
                <w:tcPr>
                  <w:tcW w:w="3230" w:type="dxa"/>
                  <w:tcBorders>
                    <w:top w:val="single" w:color="auto" w:sz="4" w:space="0"/>
                    <w:left w:val="single" w:color="auto" w:sz="4" w:space="0"/>
                    <w:bottom w:val="single" w:color="auto" w:sz="4" w:space="0"/>
                    <w:right w:val="single" w:color="auto" w:sz="4" w:space="0"/>
                  </w:tcBorders>
                  <w:noWrap w:val="0"/>
                  <w:vAlign w:val="center"/>
                </w:tcPr>
                <w:p w14:paraId="38499E59">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 w:val="0"/>
                      <w:color w:val="000000"/>
                      <w:spacing w:val="-2"/>
                      <w:kern w:val="0"/>
                      <w:sz w:val="21"/>
                      <w:szCs w:val="21"/>
                      <w:lang w:val="en-US"/>
                    </w:rPr>
                  </w:pPr>
                  <w:r>
                    <w:rPr>
                      <w:rFonts w:hint="eastAsia" w:ascii="宋体" w:hAnsi="宋体" w:eastAsia="宋体" w:cs="宋体"/>
                      <w:b w:val="0"/>
                      <w:color w:val="000000"/>
                      <w:spacing w:val="-2"/>
                      <w:kern w:val="0"/>
                      <w:sz w:val="21"/>
                      <w:szCs w:val="21"/>
                      <w:highlight w:val="none"/>
                      <w:lang w:val="en-US" w:eastAsia="zh-CN" w:bidi="ar"/>
                    </w:rPr>
                    <w:t>空床流速</w:t>
                  </w:r>
                  <w:r>
                    <w:rPr>
                      <w:rFonts w:hint="default" w:ascii="Times New Roman" w:hAnsi="Times New Roman" w:eastAsia="宋体" w:cs="Times New Roman"/>
                      <w:b w:val="0"/>
                      <w:color w:val="000000"/>
                      <w:spacing w:val="-2"/>
                      <w:kern w:val="0"/>
                      <w:sz w:val="21"/>
                      <w:szCs w:val="21"/>
                      <w:highlight w:val="none"/>
                      <w:lang w:val="en-US" w:eastAsia="zh-CN" w:bidi="ar"/>
                    </w:rPr>
                    <w:t>1.0m/s</w:t>
                  </w:r>
                  <w:r>
                    <w:rPr>
                      <w:rFonts w:hint="eastAsia" w:ascii="Times New Roman" w:hAnsi="Times New Roman" w:cs="Times New Roman"/>
                      <w:b w:val="0"/>
                      <w:color w:val="000000"/>
                      <w:spacing w:val="-2"/>
                      <w:kern w:val="0"/>
                      <w:sz w:val="21"/>
                      <w:szCs w:val="21"/>
                      <w:highlight w:val="none"/>
                      <w:lang w:val="en-US" w:eastAsia="zh-CN" w:bidi="ar"/>
                    </w:rPr>
                    <w:t>及1.2m/s</w:t>
                  </w:r>
                </w:p>
              </w:tc>
              <w:tc>
                <w:tcPr>
                  <w:tcW w:w="1336" w:type="dxa"/>
                  <w:tcBorders>
                    <w:top w:val="single" w:color="auto" w:sz="4" w:space="0"/>
                    <w:left w:val="single" w:color="auto" w:sz="4" w:space="0"/>
                    <w:bottom w:val="single" w:color="auto" w:sz="4" w:space="0"/>
                    <w:right w:val="single" w:color="auto" w:sz="4" w:space="0"/>
                  </w:tcBorders>
                  <w:noWrap w:val="0"/>
                  <w:vAlign w:val="center"/>
                </w:tcPr>
                <w:p w14:paraId="31E3233D">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lang w:val="en-US" w:eastAsia="zh-CN" w:bidi="ar"/>
                    </w:rPr>
                    <w:t>符</w:t>
                  </w:r>
                </w:p>
                <w:p w14:paraId="05D229AD">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lang w:val="en-US" w:eastAsia="zh-CN" w:bidi="ar"/>
                    </w:rPr>
                    <w:t>合</w:t>
                  </w:r>
                </w:p>
              </w:tc>
            </w:tr>
            <w:tr w14:paraId="36D56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83" w:type="dxa"/>
                  <w:tcBorders>
                    <w:top w:val="single" w:color="auto" w:sz="4" w:space="0"/>
                    <w:left w:val="single" w:color="auto" w:sz="4" w:space="0"/>
                    <w:bottom w:val="single" w:color="auto" w:sz="4" w:space="0"/>
                    <w:right w:val="single" w:color="auto" w:sz="4" w:space="0"/>
                  </w:tcBorders>
                  <w:noWrap w:val="0"/>
                  <w:vAlign w:val="center"/>
                </w:tcPr>
                <w:p w14:paraId="1FE74333">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lang w:val="en-US" w:eastAsia="zh-CN" w:bidi="ar"/>
                    </w:rPr>
                    <w:t>活性炭碘值</w:t>
                  </w:r>
                </w:p>
              </w:tc>
              <w:tc>
                <w:tcPr>
                  <w:tcW w:w="3230" w:type="dxa"/>
                  <w:tcBorders>
                    <w:top w:val="single" w:color="auto" w:sz="4" w:space="0"/>
                    <w:left w:val="single" w:color="auto" w:sz="4" w:space="0"/>
                    <w:bottom w:val="single" w:color="auto" w:sz="4" w:space="0"/>
                    <w:right w:val="single" w:color="auto" w:sz="4" w:space="0"/>
                  </w:tcBorders>
                  <w:noWrap w:val="0"/>
                  <w:vAlign w:val="center"/>
                </w:tcPr>
                <w:p w14:paraId="0F0B427A">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lang w:val="en-US" w:eastAsia="zh-CN" w:bidi="ar"/>
                    </w:rPr>
                    <w:t>大于</w:t>
                  </w:r>
                  <w:r>
                    <w:rPr>
                      <w:rFonts w:hint="default" w:ascii="Times New Roman" w:hAnsi="Times New Roman" w:eastAsia="宋体" w:cs="Times New Roman"/>
                      <w:b w:val="0"/>
                      <w:color w:val="000000"/>
                      <w:spacing w:val="-2"/>
                      <w:kern w:val="0"/>
                      <w:sz w:val="21"/>
                      <w:szCs w:val="21"/>
                      <w:lang w:val="en-US" w:eastAsia="zh-CN" w:bidi="ar"/>
                    </w:rPr>
                    <w:t>800</w:t>
                  </w:r>
                  <w:r>
                    <w:rPr>
                      <w:rFonts w:hint="eastAsia" w:ascii="宋体" w:hAnsi="宋体" w:eastAsia="宋体" w:cs="宋体"/>
                      <w:b w:val="0"/>
                      <w:color w:val="000000"/>
                      <w:spacing w:val="-2"/>
                      <w:kern w:val="0"/>
                      <w:sz w:val="21"/>
                      <w:szCs w:val="21"/>
                      <w:lang w:val="en-US" w:eastAsia="zh-CN" w:bidi="ar"/>
                    </w:rPr>
                    <w:t>毫克</w:t>
                  </w:r>
                  <w:r>
                    <w:rPr>
                      <w:rFonts w:hint="default" w:ascii="Times New Roman" w:hAnsi="Times New Roman" w:eastAsia="宋体" w:cs="Times New Roman"/>
                      <w:b w:val="0"/>
                      <w:color w:val="000000"/>
                      <w:spacing w:val="-2"/>
                      <w:kern w:val="0"/>
                      <w:sz w:val="21"/>
                      <w:szCs w:val="21"/>
                      <w:lang w:val="en-US" w:eastAsia="zh-CN" w:bidi="ar"/>
                    </w:rPr>
                    <w:t>/</w:t>
                  </w:r>
                  <w:r>
                    <w:rPr>
                      <w:rFonts w:hint="eastAsia" w:ascii="宋体" w:hAnsi="宋体" w:eastAsia="宋体" w:cs="宋体"/>
                      <w:b w:val="0"/>
                      <w:color w:val="000000"/>
                      <w:spacing w:val="-2"/>
                      <w:kern w:val="0"/>
                      <w:sz w:val="21"/>
                      <w:szCs w:val="21"/>
                      <w:lang w:val="en-US" w:eastAsia="zh-CN" w:bidi="ar"/>
                    </w:rPr>
                    <w:t>克</w:t>
                  </w:r>
                </w:p>
              </w:tc>
              <w:tc>
                <w:tcPr>
                  <w:tcW w:w="1336" w:type="dxa"/>
                  <w:tcBorders>
                    <w:top w:val="single" w:color="auto" w:sz="4" w:space="0"/>
                    <w:left w:val="single" w:color="auto" w:sz="4" w:space="0"/>
                    <w:bottom w:val="single" w:color="auto" w:sz="4" w:space="0"/>
                    <w:right w:val="single" w:color="auto" w:sz="4" w:space="0"/>
                  </w:tcBorders>
                  <w:noWrap w:val="0"/>
                  <w:vAlign w:val="center"/>
                </w:tcPr>
                <w:p w14:paraId="35B19E23">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lang w:val="en-US" w:eastAsia="zh-CN" w:bidi="ar"/>
                    </w:rPr>
                    <w:t>符</w:t>
                  </w:r>
                </w:p>
                <w:p w14:paraId="1BC9F42A">
                  <w:pPr>
                    <w:pStyle w:val="24"/>
                    <w:keepNext w:val="0"/>
                    <w:keepLines w:val="0"/>
                    <w:widowControl w:val="0"/>
                    <w:suppressLineNumbers w:val="0"/>
                    <w:wordWrap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b w:val="0"/>
                      <w:color w:val="000000"/>
                      <w:spacing w:val="-2"/>
                      <w:kern w:val="0"/>
                      <w:sz w:val="21"/>
                      <w:szCs w:val="21"/>
                    </w:rPr>
                  </w:pPr>
                  <w:r>
                    <w:rPr>
                      <w:rFonts w:hint="eastAsia" w:ascii="宋体" w:hAnsi="宋体" w:eastAsia="宋体" w:cs="宋体"/>
                      <w:b w:val="0"/>
                      <w:color w:val="000000"/>
                      <w:spacing w:val="-2"/>
                      <w:kern w:val="0"/>
                      <w:sz w:val="21"/>
                      <w:szCs w:val="21"/>
                      <w:lang w:val="en-US" w:eastAsia="zh-CN" w:bidi="ar"/>
                    </w:rPr>
                    <w:t>合</w:t>
                  </w:r>
                </w:p>
              </w:tc>
            </w:tr>
          </w:tbl>
          <w:p w14:paraId="462AE66C">
            <w:pPr>
              <w:bidi w:val="0"/>
              <w:rPr>
                <w:b/>
                <w:bCs/>
              </w:rPr>
            </w:pPr>
            <w:r>
              <w:rPr>
                <w:rFonts w:hint="eastAsia"/>
                <w:b/>
                <w:bCs/>
                <w:lang w:val="en-US" w:eastAsia="zh-CN"/>
              </w:rPr>
              <w:t>7、</w:t>
            </w:r>
            <w:r>
              <w:rPr>
                <w:b/>
                <w:bCs/>
              </w:rPr>
              <w:t>项目选址合理性及周边环境相容性分析</w:t>
            </w:r>
          </w:p>
          <w:p w14:paraId="38B46D13">
            <w:pPr>
              <w:pStyle w:val="73"/>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w:t>
            </w:r>
            <w:r>
              <w:rPr>
                <w:color w:val="000000" w:themeColor="text1"/>
                <w14:textFill>
                  <w14:solidFill>
                    <w14:schemeClr w14:val="tx1"/>
                  </w14:solidFill>
                </w14:textFill>
              </w:rPr>
              <w:t>1</w:t>
            </w:r>
            <w:r>
              <w:rPr>
                <w:color w:val="000000" w:themeColor="text1"/>
                <w:lang w:val="zh-CN"/>
                <w14:textFill>
                  <w14:solidFill>
                    <w14:schemeClr w14:val="tx1"/>
                  </w14:solidFill>
                </w14:textFill>
              </w:rPr>
              <w:t>）环境相容性分析</w:t>
            </w:r>
          </w:p>
          <w:p w14:paraId="6365092B">
            <w:pPr>
              <w:bidi w:val="0"/>
              <w:rPr>
                <w:rFonts w:hint="eastAsia"/>
                <w:color w:val="000000" w:themeColor="text1"/>
                <w:lang w:val="en-US" w:eastAsia="zh-CN"/>
                <w14:textFill>
                  <w14:solidFill>
                    <w14:schemeClr w14:val="tx1"/>
                  </w14:solidFill>
                </w14:textFill>
              </w:rPr>
            </w:pPr>
            <w:r>
              <w:rPr>
                <w:rFonts w:hint="default"/>
                <w:color w:val="auto"/>
              </w:rPr>
              <w:t>本项目建设地点</w:t>
            </w:r>
            <w:r>
              <w:rPr>
                <w:rFonts w:hint="eastAsia"/>
                <w:color w:val="auto"/>
                <w:lang w:val="en-US" w:eastAsia="zh-CN"/>
              </w:rPr>
              <w:t>位于淮南市经济开发区，企业租赁</w:t>
            </w:r>
            <w:r>
              <w:rPr>
                <w:rFonts w:hint="eastAsia"/>
                <w:color w:val="auto"/>
                <w:highlight w:val="none"/>
                <w:lang w:val="en-US" w:eastAsia="zh-CN"/>
              </w:rPr>
              <w:t>淮南益生啤酒有限公司的厂房。</w:t>
            </w:r>
          </w:p>
          <w:p w14:paraId="286031E8">
            <w:pPr>
              <w:rPr>
                <w:rFonts w:hint="eastAsia"/>
                <w:lang w:val="en-US" w:eastAsia="zh-CN"/>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w:t>
            </w:r>
            <w:r>
              <w:rPr>
                <w:rFonts w:hint="eastAsia"/>
                <w:color w:val="auto"/>
                <w:highlight w:val="none"/>
                <w:lang w:val="zh-CN" w:eastAsia="zh-CN"/>
              </w:rPr>
              <w:t>项目北侧</w:t>
            </w:r>
            <w:r>
              <w:rPr>
                <w:rFonts w:hint="eastAsia"/>
                <w:color w:val="auto"/>
                <w:highlight w:val="none"/>
                <w:lang w:val="en-US" w:eastAsia="zh-CN"/>
              </w:rPr>
              <w:t>为安徽益生酒业有限公司厂房及安徽勇创能源科技有限公司（从事服务转让，咨询转让，机电设备安装检修等业务的公司）</w:t>
            </w:r>
            <w:r>
              <w:rPr>
                <w:rFonts w:hint="eastAsia"/>
                <w:color w:val="auto"/>
                <w:highlight w:val="none"/>
                <w:lang w:val="zh-CN" w:eastAsia="zh-CN"/>
              </w:rPr>
              <w:t>、东侧</w:t>
            </w:r>
            <w:r>
              <w:rPr>
                <w:rFonts w:hint="eastAsia"/>
                <w:color w:val="auto"/>
                <w:highlight w:val="none"/>
                <w:lang w:val="en-US" w:eastAsia="zh-CN"/>
              </w:rPr>
              <w:t>紧靠</w:t>
            </w:r>
            <w:r>
              <w:rPr>
                <w:rFonts w:hint="eastAsia"/>
                <w:color w:val="auto"/>
                <w:highlight w:val="none"/>
                <w:lang w:val="zh-CN" w:eastAsia="zh-CN"/>
              </w:rPr>
              <w:t>吉兴路，路东为平安开诚智能安全装备有限责任公司（</w:t>
            </w:r>
            <w:r>
              <w:rPr>
                <w:rFonts w:hint="eastAsia"/>
                <w:color w:val="auto"/>
                <w:highlight w:val="none"/>
                <w:lang w:val="en-US" w:eastAsia="zh-CN"/>
              </w:rPr>
              <w:t>从事矿山机械制造，矿山机械销售，专用设备制造等业务的公司</w:t>
            </w:r>
            <w:r>
              <w:rPr>
                <w:rFonts w:hint="eastAsia"/>
                <w:color w:val="auto"/>
                <w:highlight w:val="none"/>
                <w:lang w:val="zh-CN" w:eastAsia="zh-CN"/>
              </w:rPr>
              <w:t>），南侧为锦绣路，</w:t>
            </w:r>
            <w:r>
              <w:rPr>
                <w:rFonts w:hint="eastAsia"/>
                <w:color w:val="auto"/>
                <w:highlight w:val="none"/>
                <w:lang w:val="en-US" w:eastAsia="zh-CN"/>
              </w:rPr>
              <w:t>路南为淮南经济开发区标准化厂房</w:t>
            </w:r>
            <w:r>
              <w:rPr>
                <w:rFonts w:hint="eastAsia"/>
                <w:color w:val="auto"/>
                <w:highlight w:val="none"/>
                <w:lang w:val="zh-CN" w:eastAsia="zh-CN"/>
              </w:rPr>
              <w:t>，西侧为沿河路，路西为</w:t>
            </w:r>
            <w:r>
              <w:rPr>
                <w:rFonts w:hint="eastAsia"/>
                <w:color w:val="auto"/>
                <w:highlight w:val="none"/>
                <w:lang w:val="en-US" w:eastAsia="zh-CN"/>
              </w:rPr>
              <w:t>安徽益生酒业有限公司厂房</w:t>
            </w:r>
            <w:r>
              <w:rPr>
                <w:rFonts w:hint="eastAsia" w:ascii="Times New Roman" w:hAnsi="Times New Roman" w:eastAsia="宋体" w:cs="Times New Roman"/>
                <w:color w:val="auto"/>
                <w:highlight w:val="none"/>
                <w:lang w:val="zh-CN" w:eastAsia="zh-CN"/>
              </w:rPr>
              <w:t>。</w:t>
            </w:r>
            <w:r>
              <w:rPr>
                <w:rFonts w:hint="eastAsia"/>
                <w:color w:val="000000" w:themeColor="text1"/>
                <w:highlight w:val="none"/>
                <w:lang w:val="en-US" w:eastAsia="zh-CN"/>
                <w14:textFill>
                  <w14:solidFill>
                    <w14:schemeClr w14:val="tx1"/>
                  </w14:solidFill>
                </w14:textFill>
              </w:rPr>
              <w:t>本项目地块和卫星四至图详见下图1</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4，现状照片见下图1</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6"/>
            </w:tblGrid>
            <w:tr w14:paraId="0DE66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4" w:type="dxa"/>
                </w:tcPr>
                <w:p w14:paraId="6ACD5311">
                  <w:pPr>
                    <w:jc w:val="both"/>
                    <w:rPr>
                      <w:rFonts w:hint="eastAsia"/>
                      <w:color w:val="000000" w:themeColor="text1"/>
                      <w:highlight w:val="none"/>
                      <w:vertAlign w:val="baseline"/>
                      <w:lang w:val="en-US" w:eastAsia="zh-CN"/>
                      <w14:textFill>
                        <w14:solidFill>
                          <w14:schemeClr w14:val="tx1"/>
                        </w14:solidFill>
                      </w14:textFill>
                    </w:rPr>
                  </w:pPr>
                  <w:r>
                    <w:rPr>
                      <w:sz w:val="21"/>
                      <w:highlight w:val="none"/>
                    </w:rPr>
                    <mc:AlternateContent>
                      <mc:Choice Requires="wps">
                        <w:drawing>
                          <wp:anchor distT="0" distB="0" distL="114300" distR="114300" simplePos="0" relativeHeight="251662336" behindDoc="0" locked="0" layoutInCell="1" allowOverlap="1">
                            <wp:simplePos x="0" y="0"/>
                            <wp:positionH relativeFrom="column">
                              <wp:posOffset>855980</wp:posOffset>
                            </wp:positionH>
                            <wp:positionV relativeFrom="paragraph">
                              <wp:posOffset>2578735</wp:posOffset>
                            </wp:positionV>
                            <wp:extent cx="1923415" cy="6096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923415" cy="609600"/>
                                    </a:xfrm>
                                    <a:prstGeom prst="rect">
                                      <a:avLst/>
                                    </a:prstGeom>
                                    <a:noFill/>
                                    <a:ln>
                                      <a:noFill/>
                                    </a:ln>
                                  </wps:spPr>
                                  <wps:txbx>
                                    <w:txbxContent>
                                      <w:p w14:paraId="24467F1F">
                                        <w:pPr>
                                          <w:ind w:left="0" w:leftChars="0" w:firstLine="0" w:firstLineChars="0"/>
                                          <w:rPr>
                                            <w:rFonts w:hint="default" w:eastAsia="宋体"/>
                                            <w:color w:val="FFFF00"/>
                                            <w:lang w:val="en-US" w:eastAsia="zh-CN"/>
                                          </w:rPr>
                                        </w:pPr>
                                        <w:r>
                                          <w:rPr>
                                            <w:rFonts w:hint="eastAsia"/>
                                            <w:color w:val="FFFF00"/>
                                            <w:lang w:val="en-US" w:eastAsia="zh-CN"/>
                                          </w:rPr>
                                          <w:t>经济开发区标准化厂房</w:t>
                                        </w:r>
                                      </w:p>
                                    </w:txbxContent>
                                  </wps:txbx>
                                  <wps:bodyPr upright="1"/>
                                </wps:wsp>
                              </a:graphicData>
                            </a:graphic>
                          </wp:anchor>
                        </w:drawing>
                      </mc:Choice>
                      <mc:Fallback>
                        <w:pict>
                          <v:shape id="_x0000_s1026" o:spid="_x0000_s1026" o:spt="202" type="#_x0000_t202" style="position:absolute;left:0pt;margin-left:67.4pt;margin-top:203.05pt;height:48pt;width:151.45pt;z-index:251662336;mso-width-relative:page;mso-height-relative:page;" filled="f" stroked="f" coordsize="21600,21600" o:gfxdata="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YUQ9zY&#10;AAAACwEAAA8AAAAAAAAAAQAgAAAAIgAAAGRycy9kb3ducmV2LnhtbFBLAQIUABQAAAAIAIdO4kDI&#10;PHtSrgEAAFADAAAOAAAAAAAAAAEAIAAAACcBAABkcnMvZTJvRG9jLnhtbFBLBQYAAAAABgAGAFkB&#10;AABHBQAAAAA=&#10;">
                            <v:fill on="f" focussize="0,0"/>
                            <v:stroke on="f"/>
                            <v:imagedata o:title=""/>
                            <o:lock v:ext="edit" aspectratio="f"/>
                            <v:textbox>
                              <w:txbxContent>
                                <w:p w14:paraId="24467F1F">
                                  <w:pPr>
                                    <w:ind w:left="0" w:leftChars="0" w:firstLine="0" w:firstLineChars="0"/>
                                    <w:rPr>
                                      <w:rFonts w:hint="default" w:eastAsia="宋体"/>
                                      <w:color w:val="FFFF00"/>
                                      <w:lang w:val="en-US" w:eastAsia="zh-CN"/>
                                    </w:rPr>
                                  </w:pPr>
                                  <w:r>
                                    <w:rPr>
                                      <w:rFonts w:hint="eastAsia"/>
                                      <w:color w:val="FFFF00"/>
                                      <w:lang w:val="en-US" w:eastAsia="zh-CN"/>
                                    </w:rPr>
                                    <w:t>经济开发区标准化厂房</w:t>
                                  </w:r>
                                </w:p>
                              </w:txbxContent>
                            </v:textbox>
                          </v:shape>
                        </w:pict>
                      </mc:Fallback>
                    </mc:AlternateContent>
                  </w:r>
                  <w:r>
                    <w:rPr>
                      <w:sz w:val="21"/>
                      <w:highlight w:val="none"/>
                    </w:rPr>
                    <mc:AlternateContent>
                      <mc:Choice Requires="wps">
                        <w:drawing>
                          <wp:anchor distT="0" distB="0" distL="114300" distR="114300" simplePos="0" relativeHeight="251661312" behindDoc="0" locked="0" layoutInCell="1" allowOverlap="1">
                            <wp:simplePos x="0" y="0"/>
                            <wp:positionH relativeFrom="column">
                              <wp:posOffset>1922780</wp:posOffset>
                            </wp:positionH>
                            <wp:positionV relativeFrom="page">
                              <wp:posOffset>1521460</wp:posOffset>
                            </wp:positionV>
                            <wp:extent cx="989330" cy="40005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989330" cy="400050"/>
                                    </a:xfrm>
                                    <a:prstGeom prst="rect">
                                      <a:avLst/>
                                    </a:prstGeom>
                                    <a:noFill/>
                                    <a:ln>
                                      <a:noFill/>
                                    </a:ln>
                                  </wps:spPr>
                                  <wps:txbx>
                                    <w:txbxContent>
                                      <w:p w14:paraId="4971CA9C">
                                        <w:pPr>
                                          <w:ind w:left="0" w:leftChars="0" w:firstLine="0" w:firstLineChars="0"/>
                                          <w:rPr>
                                            <w:rFonts w:hint="default" w:eastAsia="宋体"/>
                                            <w:color w:val="FFFF00"/>
                                            <w:lang w:val="en-US" w:eastAsia="zh-CN"/>
                                          </w:rPr>
                                        </w:pPr>
                                        <w:r>
                                          <w:rPr>
                                            <w:rFonts w:hint="eastAsia"/>
                                            <w:color w:val="FFFF00"/>
                                            <w:lang w:val="en-US" w:eastAsia="zh-CN"/>
                                          </w:rPr>
                                          <w:t>本项目厂房</w:t>
                                        </w:r>
                                      </w:p>
                                    </w:txbxContent>
                                  </wps:txbx>
                                  <wps:bodyPr upright="1"/>
                                </wps:wsp>
                              </a:graphicData>
                            </a:graphic>
                          </wp:anchor>
                        </w:drawing>
                      </mc:Choice>
                      <mc:Fallback>
                        <w:pict>
                          <v:shape id="_x0000_s1026" o:spid="_x0000_s1026" o:spt="202" type="#_x0000_t202" style="position:absolute;left:0pt;margin-left:151.4pt;margin-top:119.8pt;height:31.5pt;width:77.9pt;mso-position-vertical-relative:page;z-index:251661312;mso-width-relative:page;mso-height-relative:page;" filled="f" stroked="f" coordsize="21600,21600" o:gfxdata="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39XAzY&#10;AAAACwEAAA8AAAAAAAAAAQAgAAAAIgAAAGRycy9kb3ducmV2LnhtbFBLAQIUABQAAAAIAIdO4kBf&#10;xYShrgEAAE8DAAAOAAAAAAAAAAEAIAAAACcBAABkcnMvZTJvRG9jLnhtbFBLBQYAAAAABgAGAFkB&#10;AABHBQAAAAA=&#10;">
                            <v:fill on="f" focussize="0,0"/>
                            <v:stroke on="f"/>
                            <v:imagedata o:title=""/>
                            <o:lock v:ext="edit" aspectratio="f"/>
                            <v:textbox>
                              <w:txbxContent>
                                <w:p w14:paraId="4971CA9C">
                                  <w:pPr>
                                    <w:ind w:left="0" w:leftChars="0" w:firstLine="0" w:firstLineChars="0"/>
                                    <w:rPr>
                                      <w:rFonts w:hint="default" w:eastAsia="宋体"/>
                                      <w:color w:val="FFFF00"/>
                                      <w:lang w:val="en-US" w:eastAsia="zh-CN"/>
                                    </w:rPr>
                                  </w:pPr>
                                  <w:r>
                                    <w:rPr>
                                      <w:rFonts w:hint="eastAsia"/>
                                      <w:color w:val="FFFF00"/>
                                      <w:lang w:val="en-US" w:eastAsia="zh-CN"/>
                                    </w:rPr>
                                    <w:t>本项目厂房</w:t>
                                  </w:r>
                                </w:p>
                              </w:txbxContent>
                            </v:textbox>
                          </v:shape>
                        </w:pict>
                      </mc:Fallback>
                    </mc:AlternateContent>
                  </w:r>
                  <w:r>
                    <w:rPr>
                      <w:sz w:val="21"/>
                      <w:highlight w:val="none"/>
                    </w:rPr>
                    <mc:AlternateContent>
                      <mc:Choice Requires="wps">
                        <w:drawing>
                          <wp:anchor distT="0" distB="0" distL="114300" distR="114300" simplePos="0" relativeHeight="251670528" behindDoc="0" locked="0" layoutInCell="1" allowOverlap="1">
                            <wp:simplePos x="0" y="0"/>
                            <wp:positionH relativeFrom="column">
                              <wp:posOffset>794385</wp:posOffset>
                            </wp:positionH>
                            <wp:positionV relativeFrom="paragraph">
                              <wp:posOffset>2332355</wp:posOffset>
                            </wp:positionV>
                            <wp:extent cx="1952625" cy="1285875"/>
                            <wp:effectExtent l="12700" t="12700" r="15875" b="15875"/>
                            <wp:wrapNone/>
                            <wp:docPr id="37" name="任意多边形 37"/>
                            <wp:cNvGraphicFramePr/>
                            <a:graphic xmlns:a="http://schemas.openxmlformats.org/drawingml/2006/main">
                              <a:graphicData uri="http://schemas.microsoft.com/office/word/2010/wordprocessingShape">
                                <wps:wsp>
                                  <wps:cNvSpPr/>
                                  <wps:spPr>
                                    <a:xfrm>
                                      <a:off x="2419350" y="3950970"/>
                                      <a:ext cx="1952625" cy="1285875"/>
                                    </a:xfrm>
                                    <a:custGeom>
                                      <a:avLst/>
                                      <a:gdLst>
                                        <a:gd name="connisteX0" fmla="*/ 190500 w 1952625"/>
                                        <a:gd name="connsiteY0" fmla="*/ 1276350 h 1285875"/>
                                        <a:gd name="connisteX1" fmla="*/ 1952625 w 1952625"/>
                                        <a:gd name="connsiteY1" fmla="*/ 1285875 h 1285875"/>
                                        <a:gd name="connisteX2" fmla="*/ 1895475 w 1952625"/>
                                        <a:gd name="connsiteY2" fmla="*/ 0 h 1285875"/>
                                        <a:gd name="connisteX3" fmla="*/ 0 w 1952625"/>
                                        <a:gd name="connsiteY3" fmla="*/ 9525 h 1285875"/>
                                        <a:gd name="connisteX4" fmla="*/ 190500 w 1952625"/>
                                        <a:gd name="connsiteY4" fmla="*/ 1276350 h 128587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952625" h="1285875">
                                          <a:moveTo>
                                            <a:pt x="190500" y="1276350"/>
                                          </a:moveTo>
                                          <a:lnTo>
                                            <a:pt x="1952625" y="1285875"/>
                                          </a:lnTo>
                                          <a:lnTo>
                                            <a:pt x="1895475" y="0"/>
                                          </a:lnTo>
                                          <a:lnTo>
                                            <a:pt x="0" y="9525"/>
                                          </a:lnTo>
                                          <a:lnTo>
                                            <a:pt x="190500" y="1276350"/>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62.55pt;margin-top:183.65pt;height:101.25pt;width:153.75pt;z-index:251670528;mso-width-relative:page;mso-height-relative:page;" filled="f" stroked="t" coordsize="1952625,1285875" o:gfxdata="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tWMFw2wAAAAsBAAAPAAAAAAAAAAEAIAAAACIAAABkcnMvZG93bnJldi54&#10;bWxQSwECFAAUAAAACACHTuJAhSgr+hQDAABVCAAADgAAAAAAAAABACAAAAAqAQAAZHJzL2Uyb0Rv&#10;Yy54bWxQSwUGAAAAAAYABgBZAQAAsAYAAAAA&#10;" path="m190500,1276350l1952625,1285875,1895475,0,0,9525,190500,1276350xe">
                            <v:path o:connectlocs="190500,1276350;1952625,1285875;1895475,0;0,9525;190500,1276350" o:connectangles="0,0,0,0,0"/>
                            <v:fill on="f" focussize="0,0"/>
                            <v:stroke weight="2pt" color="#FFFF00 [2404]" joinstyle="round"/>
                            <v:imagedata o:title=""/>
                            <o:lock v:ext="edit" aspectratio="f"/>
                          </v:shape>
                        </w:pict>
                      </mc:Fallback>
                    </mc:AlternateContent>
                  </w:r>
                  <w:r>
                    <w:rPr>
                      <w:sz w:val="21"/>
                      <w:highlight w:val="none"/>
                    </w:rPr>
                    <mc:AlternateContent>
                      <mc:Choice Requires="wps">
                        <w:drawing>
                          <wp:anchor distT="0" distB="0" distL="114300" distR="114300" simplePos="0" relativeHeight="251669504" behindDoc="0" locked="0" layoutInCell="1" allowOverlap="1">
                            <wp:simplePos x="0" y="0"/>
                            <wp:positionH relativeFrom="column">
                              <wp:posOffset>1893570</wp:posOffset>
                            </wp:positionH>
                            <wp:positionV relativeFrom="paragraph">
                              <wp:posOffset>816610</wp:posOffset>
                            </wp:positionV>
                            <wp:extent cx="1741805" cy="41973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741805" cy="419735"/>
                                    </a:xfrm>
                                    <a:prstGeom prst="rect">
                                      <a:avLst/>
                                    </a:prstGeom>
                                    <a:noFill/>
                                    <a:ln>
                                      <a:noFill/>
                                    </a:ln>
                                  </wps:spPr>
                                  <wps:txbx>
                                    <w:txbxContent>
                                      <w:p w14:paraId="6F44A30D">
                                        <w:pPr>
                                          <w:ind w:left="0" w:leftChars="0" w:firstLine="0" w:firstLineChars="0"/>
                                          <w:rPr>
                                            <w:rFonts w:hint="default"/>
                                            <w:lang w:val="en-US" w:eastAsia="zh-CN"/>
                                          </w:rPr>
                                        </w:pPr>
                                        <w:r>
                                          <w:rPr>
                                            <w:rFonts w:hint="eastAsia"/>
                                            <w:color w:val="FFFF00"/>
                                            <w:highlight w:val="none"/>
                                            <w:lang w:val="en-US" w:eastAsia="zh-CN"/>
                                          </w:rPr>
                                          <w:t>安徽益生酒业有限公司有限公司</w:t>
                                        </w:r>
                                      </w:p>
                                    </w:txbxContent>
                                  </wps:txbx>
                                  <wps:bodyPr upright="1"/>
                                </wps:wsp>
                              </a:graphicData>
                            </a:graphic>
                          </wp:anchor>
                        </w:drawing>
                      </mc:Choice>
                      <mc:Fallback>
                        <w:pict>
                          <v:shape id="_x0000_s1026" o:spid="_x0000_s1026" o:spt="202" type="#_x0000_t202" style="position:absolute;left:0pt;margin-left:149.1pt;margin-top:64.3pt;height:33.05pt;width:137.15pt;z-index:251669504;mso-width-relative:page;mso-height-relative:page;" filled="f" stroked="f" coordsize="21600,21600" o:gfxdata="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W+gSLY&#10;AAAACwEAAA8AAAAAAAAAAQAgAAAAIgAAAGRycy9kb3ducmV2LnhtbFBLAQIUABQAAAAIAIdO4kDq&#10;TAVargEAAFADAAAOAAAAAAAAAAEAIAAAACcBAABkcnMvZTJvRG9jLnhtbFBLBQYAAAAABgAGAFkB&#10;AABHBQAAAAA=&#10;">
                            <v:fill on="f" focussize="0,0"/>
                            <v:stroke on="f"/>
                            <v:imagedata o:title=""/>
                            <o:lock v:ext="edit" aspectratio="f"/>
                            <v:textbox>
                              <w:txbxContent>
                                <w:p w14:paraId="6F44A30D">
                                  <w:pPr>
                                    <w:ind w:left="0" w:leftChars="0" w:firstLine="0" w:firstLineChars="0"/>
                                    <w:rPr>
                                      <w:rFonts w:hint="default"/>
                                      <w:lang w:val="en-US" w:eastAsia="zh-CN"/>
                                    </w:rPr>
                                  </w:pPr>
                                  <w:r>
                                    <w:rPr>
                                      <w:rFonts w:hint="eastAsia"/>
                                      <w:color w:val="FFFF00"/>
                                      <w:highlight w:val="none"/>
                                      <w:lang w:val="en-US" w:eastAsia="zh-CN"/>
                                    </w:rPr>
                                    <w:t>安徽益生酒业有限公司有限公司</w:t>
                                  </w:r>
                                </w:p>
                              </w:txbxContent>
                            </v:textbox>
                          </v:shape>
                        </w:pict>
                      </mc:Fallback>
                    </mc:AlternateContent>
                  </w:r>
                  <w:r>
                    <w:rPr>
                      <w:sz w:val="21"/>
                      <w:highlight w:val="none"/>
                    </w:rPr>
                    <mc:AlternateContent>
                      <mc:Choice Requires="wps">
                        <w:drawing>
                          <wp:anchor distT="0" distB="0" distL="114300" distR="114300" simplePos="0" relativeHeight="251668480" behindDoc="0" locked="0" layoutInCell="1" allowOverlap="1">
                            <wp:simplePos x="0" y="0"/>
                            <wp:positionH relativeFrom="column">
                              <wp:posOffset>1994535</wp:posOffset>
                            </wp:positionH>
                            <wp:positionV relativeFrom="paragraph">
                              <wp:posOffset>948055</wp:posOffset>
                            </wp:positionV>
                            <wp:extent cx="476250" cy="209550"/>
                            <wp:effectExtent l="12700" t="12700" r="25400" b="25400"/>
                            <wp:wrapNone/>
                            <wp:docPr id="35" name="矩形 35"/>
                            <wp:cNvGraphicFramePr/>
                            <a:graphic xmlns:a="http://schemas.openxmlformats.org/drawingml/2006/main">
                              <a:graphicData uri="http://schemas.microsoft.com/office/word/2010/wordprocessingShape">
                                <wps:wsp>
                                  <wps:cNvSpPr/>
                                  <wps:spPr>
                                    <a:xfrm>
                                      <a:off x="3619500" y="2566670"/>
                                      <a:ext cx="476250" cy="209550"/>
                                    </a:xfrm>
                                    <a:prstGeom prst="rect">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7.05pt;margin-top:74.65pt;height:16.5pt;width:37.5pt;z-index:251668480;v-text-anchor:middle;mso-width-relative:page;mso-height-relative:page;" filled="f" stroked="t" coordsize="21600,21600" o:gfxdata="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rEES4NgAAAALAQAADwAAAAAAAAABACAAAAAiAAAAZHJzL2Rvd25yZXYueG1sUEsB&#10;AhQAFAAAAAgAh07iQEnAuI5nAgAAwQQAAA4AAAAAAAAAAQAgAAAAJwEAAGRycy9lMm9Eb2MueG1s&#10;UEsFBgAAAAAGAAYAWQEAAAAGAAAAAA==&#10;">
                            <v:fill on="f" focussize="0,0"/>
                            <v:stroke weight="2pt" color="#FFFF00 [2404]" joinstyle="round"/>
                            <v:imagedata o:title=""/>
                            <o:lock v:ext="edit" aspectratio="f"/>
                          </v:rect>
                        </w:pict>
                      </mc:Fallback>
                    </mc:AlternateContent>
                  </w:r>
                  <w:r>
                    <w:rPr>
                      <w:sz w:val="21"/>
                      <w:highlight w:val="none"/>
                    </w:rPr>
                    <mc:AlternateContent>
                      <mc:Choice Requires="wps">
                        <w:drawing>
                          <wp:anchor distT="0" distB="0" distL="114300" distR="114300" simplePos="0" relativeHeight="251667456" behindDoc="0" locked="0" layoutInCell="1" allowOverlap="1">
                            <wp:simplePos x="0" y="0"/>
                            <wp:positionH relativeFrom="column">
                              <wp:posOffset>617220</wp:posOffset>
                            </wp:positionH>
                            <wp:positionV relativeFrom="paragraph">
                              <wp:posOffset>969010</wp:posOffset>
                            </wp:positionV>
                            <wp:extent cx="1132840" cy="67627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132840" cy="676275"/>
                                    </a:xfrm>
                                    <a:prstGeom prst="rect">
                                      <a:avLst/>
                                    </a:prstGeom>
                                    <a:noFill/>
                                    <a:ln>
                                      <a:noFill/>
                                    </a:ln>
                                  </wps:spPr>
                                  <wps:txbx>
                                    <w:txbxContent>
                                      <w:p w14:paraId="68B5E02B">
                                        <w:pPr>
                                          <w:ind w:left="0" w:leftChars="0" w:firstLine="0" w:firstLineChars="0"/>
                                          <w:rPr>
                                            <w:rFonts w:hint="eastAsia"/>
                                            <w:color w:val="FFFF00"/>
                                            <w:highlight w:val="none"/>
                                            <w:lang w:val="en-US" w:eastAsia="zh-CN"/>
                                          </w:rPr>
                                        </w:pPr>
                                        <w:r>
                                          <w:rPr>
                                            <w:rFonts w:hint="eastAsia"/>
                                            <w:color w:val="FFFF00"/>
                                            <w:highlight w:val="none"/>
                                            <w:lang w:val="en-US" w:eastAsia="zh-CN"/>
                                          </w:rPr>
                                          <w:t>安徽益生酒业</w:t>
                                        </w:r>
                                      </w:p>
                                      <w:p w14:paraId="4069DAA8">
                                        <w:pPr>
                                          <w:ind w:left="0" w:leftChars="0" w:firstLine="0" w:firstLineChars="0"/>
                                          <w:rPr>
                                            <w:rFonts w:hint="default"/>
                                            <w:lang w:val="en-US" w:eastAsia="zh-CN"/>
                                          </w:rPr>
                                        </w:pPr>
                                        <w:r>
                                          <w:rPr>
                                            <w:rFonts w:hint="eastAsia"/>
                                            <w:color w:val="FFFF00"/>
                                            <w:highlight w:val="none"/>
                                            <w:lang w:val="en-US" w:eastAsia="zh-CN"/>
                                          </w:rPr>
                                          <w:t>有限公司</w:t>
                                        </w:r>
                                      </w:p>
                                    </w:txbxContent>
                                  </wps:txbx>
                                  <wps:bodyPr upright="1"/>
                                </wps:wsp>
                              </a:graphicData>
                            </a:graphic>
                          </wp:anchor>
                        </w:drawing>
                      </mc:Choice>
                      <mc:Fallback>
                        <w:pict>
                          <v:shape id="_x0000_s1026" o:spid="_x0000_s1026" o:spt="202" type="#_x0000_t202" style="position:absolute;left:0pt;margin-left:48.6pt;margin-top:76.3pt;height:53.25pt;width:89.2pt;z-index:251667456;mso-width-relative:page;mso-height-relative:page;" filled="f" stroked="f" coordsize="21600,21600" o:gfxdata="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ezEWNcA&#10;AAAKAQAADwAAAAAAAAABACAAAAAiAAAAZHJzL2Rvd25yZXYueG1sUEsBAhQAFAAAAAgAh07iQJ+R&#10;Y7GuAQAAUAMAAA4AAAAAAAAAAQAgAAAAJgEAAGRycy9lMm9Eb2MueG1sUEsFBgAAAAAGAAYAWQEA&#10;AEYFAAAAAA==&#10;">
                            <v:fill on="f" focussize="0,0"/>
                            <v:stroke on="f"/>
                            <v:imagedata o:title=""/>
                            <o:lock v:ext="edit" aspectratio="f"/>
                            <v:textbox>
                              <w:txbxContent>
                                <w:p w14:paraId="68B5E02B">
                                  <w:pPr>
                                    <w:ind w:left="0" w:leftChars="0" w:firstLine="0" w:firstLineChars="0"/>
                                    <w:rPr>
                                      <w:rFonts w:hint="eastAsia"/>
                                      <w:color w:val="FFFF00"/>
                                      <w:highlight w:val="none"/>
                                      <w:lang w:val="en-US" w:eastAsia="zh-CN"/>
                                    </w:rPr>
                                  </w:pPr>
                                  <w:r>
                                    <w:rPr>
                                      <w:rFonts w:hint="eastAsia"/>
                                      <w:color w:val="FFFF00"/>
                                      <w:highlight w:val="none"/>
                                      <w:lang w:val="en-US" w:eastAsia="zh-CN"/>
                                    </w:rPr>
                                    <w:t>安徽益生酒业</w:t>
                                  </w:r>
                                </w:p>
                                <w:p w14:paraId="4069DAA8">
                                  <w:pPr>
                                    <w:ind w:left="0" w:leftChars="0" w:firstLine="0" w:firstLineChars="0"/>
                                    <w:rPr>
                                      <w:rFonts w:hint="default"/>
                                      <w:lang w:val="en-US" w:eastAsia="zh-CN"/>
                                    </w:rPr>
                                  </w:pPr>
                                  <w:r>
                                    <w:rPr>
                                      <w:rFonts w:hint="eastAsia"/>
                                      <w:color w:val="FFFF00"/>
                                      <w:highlight w:val="none"/>
                                      <w:lang w:val="en-US" w:eastAsia="zh-CN"/>
                                    </w:rPr>
                                    <w:t>有限公司</w:t>
                                  </w:r>
                                </w:p>
                              </w:txbxContent>
                            </v:textbox>
                          </v:shape>
                        </w:pict>
                      </mc:Fallback>
                    </mc:AlternateContent>
                  </w:r>
                  <w:r>
                    <w:rPr>
                      <w:sz w:val="21"/>
                      <w:highlight w:val="none"/>
                    </w:rPr>
                    <mc:AlternateContent>
                      <mc:Choice Requires="wps">
                        <w:drawing>
                          <wp:anchor distT="0" distB="0" distL="114300" distR="114300" simplePos="0" relativeHeight="251666432" behindDoc="0" locked="0" layoutInCell="1" allowOverlap="1">
                            <wp:simplePos x="0" y="0"/>
                            <wp:positionH relativeFrom="column">
                              <wp:posOffset>603885</wp:posOffset>
                            </wp:positionH>
                            <wp:positionV relativeFrom="paragraph">
                              <wp:posOffset>948055</wp:posOffset>
                            </wp:positionV>
                            <wp:extent cx="1333500" cy="1038225"/>
                            <wp:effectExtent l="12700" t="12700" r="25400" b="15875"/>
                            <wp:wrapNone/>
                            <wp:docPr id="31" name="任意多边形 31"/>
                            <wp:cNvGraphicFramePr/>
                            <a:graphic xmlns:a="http://schemas.openxmlformats.org/drawingml/2006/main">
                              <a:graphicData uri="http://schemas.microsoft.com/office/word/2010/wordprocessingShape">
                                <wps:wsp>
                                  <wps:cNvSpPr/>
                                  <wps:spPr>
                                    <a:xfrm>
                                      <a:off x="2228850" y="2566670"/>
                                      <a:ext cx="1333500" cy="1038225"/>
                                    </a:xfrm>
                                    <a:custGeom>
                                      <a:avLst/>
                                      <a:gdLst>
                                        <a:gd name="connisteX0" fmla="*/ 0 w 1333500"/>
                                        <a:gd name="connsiteY0" fmla="*/ 0 h 1038225"/>
                                        <a:gd name="connisteX1" fmla="*/ 38100 w 1333500"/>
                                        <a:gd name="connsiteY1" fmla="*/ 1038225 h 1038225"/>
                                        <a:gd name="connisteX2" fmla="*/ 1304925 w 1333500"/>
                                        <a:gd name="connsiteY2" fmla="*/ 1009650 h 1038225"/>
                                        <a:gd name="connisteX3" fmla="*/ 1333500 w 1333500"/>
                                        <a:gd name="connsiteY3" fmla="*/ 9525 h 1038225"/>
                                        <a:gd name="connisteX4" fmla="*/ 0 w 1333500"/>
                                        <a:gd name="connsiteY4" fmla="*/ 0 h 103822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333500" h="1038225">
                                          <a:moveTo>
                                            <a:pt x="0" y="0"/>
                                          </a:moveTo>
                                          <a:lnTo>
                                            <a:pt x="38100" y="1038225"/>
                                          </a:lnTo>
                                          <a:lnTo>
                                            <a:pt x="1304925" y="1009650"/>
                                          </a:lnTo>
                                          <a:lnTo>
                                            <a:pt x="1333500" y="9525"/>
                                          </a:lnTo>
                                          <a:lnTo>
                                            <a:pt x="0" y="0"/>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47.55pt;margin-top:74.65pt;height:81.75pt;width:105pt;z-index:251666432;mso-width-relative:page;mso-height-relative:page;" filled="f" stroked="t" coordsize="1333500,1038225" o:gfxdata="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CMYaGE2QAAAAoBAAAPAAAAAAAAAAEAIAAAACIAAABkcnMvZG93bnJldi54bWxQSwEC&#10;FAAUAAAACACHTuJA8ZZDeRADAAA9CAAADgAAAAAAAAABACAAAAAoAQAAZHJzL2Uyb0RvYy54bWxQ&#10;SwUGAAAAAAYABgBZAQAAqgYAAAAA&#10;" path="m0,0l38100,1038225,1304925,1009650,1333500,9525,0,0xe">
                            <v:path o:connectlocs="0,0;38100,1038225;1304925,1009650;1333500,9525;0,0" o:connectangles="0,0,0,0,0"/>
                            <v:fill on="f" focussize="0,0"/>
                            <v:stroke weight="2pt" color="#FFFF00 [2404]" joinstyle="round"/>
                            <v:imagedata o:title=""/>
                            <o:lock v:ext="edit" aspectratio="f"/>
                          </v:shape>
                        </w:pict>
                      </mc:Fallback>
                    </mc:AlternateContent>
                  </w:r>
                  <w:r>
                    <w:rPr>
                      <w:sz w:val="21"/>
                      <w:highlight w:val="none"/>
                    </w:rPr>
                    <mc:AlternateContent>
                      <mc:Choice Requires="wps">
                        <w:drawing>
                          <wp:anchor distT="0" distB="0" distL="114300" distR="114300" simplePos="0" relativeHeight="251660288" behindDoc="0" locked="0" layoutInCell="1" allowOverlap="1">
                            <wp:simplePos x="0" y="0"/>
                            <wp:positionH relativeFrom="column">
                              <wp:posOffset>1598295</wp:posOffset>
                            </wp:positionH>
                            <wp:positionV relativeFrom="paragraph">
                              <wp:posOffset>207010</wp:posOffset>
                            </wp:positionV>
                            <wp:extent cx="2218690" cy="40005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2218690" cy="400050"/>
                                    </a:xfrm>
                                    <a:prstGeom prst="rect">
                                      <a:avLst/>
                                    </a:prstGeom>
                                    <a:noFill/>
                                    <a:ln>
                                      <a:noFill/>
                                    </a:ln>
                                  </wps:spPr>
                                  <wps:txbx>
                                    <w:txbxContent>
                                      <w:p w14:paraId="39DC8637">
                                        <w:pPr>
                                          <w:ind w:left="0" w:leftChars="0" w:firstLine="0" w:firstLineChars="0"/>
                                          <w:rPr>
                                            <w:rFonts w:hint="default"/>
                                            <w:color w:val="FFFF00"/>
                                            <w:lang w:val="en-US" w:eastAsia="zh-CN"/>
                                          </w:rPr>
                                        </w:pPr>
                                        <w:r>
                                          <w:rPr>
                                            <w:rFonts w:hint="eastAsia"/>
                                            <w:color w:val="FFFF00"/>
                                            <w:highlight w:val="none"/>
                                            <w:lang w:val="en-US" w:eastAsia="zh-CN"/>
                                          </w:rPr>
                                          <w:t>安徽勇创能源科技有限公司</w:t>
                                        </w:r>
                                      </w:p>
                                    </w:txbxContent>
                                  </wps:txbx>
                                  <wps:bodyPr upright="1"/>
                                </wps:wsp>
                              </a:graphicData>
                            </a:graphic>
                          </wp:anchor>
                        </w:drawing>
                      </mc:Choice>
                      <mc:Fallback>
                        <w:pict>
                          <v:shape id="_x0000_s1026" o:spid="_x0000_s1026" o:spt="202" type="#_x0000_t202" style="position:absolute;left:0pt;margin-left:125.85pt;margin-top:16.3pt;height:31.5pt;width:174.7pt;z-index:251660288;mso-width-relative:page;mso-height-relative:page;" filled="f" stroked="f" coordsize="21600,21600" o:gfxdata="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LbgejX&#10;AAAACQEAAA8AAAAAAAAAAQAgAAAAIgAAAGRycy9kb3ducmV2LnhtbFBLAQIUABQAAAAIAIdO4kAp&#10;42ZvrwEAAFADAAAOAAAAAAAAAAEAIAAAACYBAABkcnMvZTJvRG9jLnhtbFBLBQYAAAAABgAGAFkB&#10;AABHBQAAAAA=&#10;">
                            <v:fill on="f" focussize="0,0"/>
                            <v:stroke on="f"/>
                            <v:imagedata o:title=""/>
                            <o:lock v:ext="edit" aspectratio="f"/>
                            <v:textbox>
                              <w:txbxContent>
                                <w:p w14:paraId="39DC8637">
                                  <w:pPr>
                                    <w:ind w:left="0" w:leftChars="0" w:firstLine="0" w:firstLineChars="0"/>
                                    <w:rPr>
                                      <w:rFonts w:hint="default"/>
                                      <w:color w:val="FFFF00"/>
                                      <w:lang w:val="en-US" w:eastAsia="zh-CN"/>
                                    </w:rPr>
                                  </w:pPr>
                                  <w:r>
                                    <w:rPr>
                                      <w:rFonts w:hint="eastAsia"/>
                                      <w:color w:val="FFFF00"/>
                                      <w:highlight w:val="none"/>
                                      <w:lang w:val="en-US" w:eastAsia="zh-CN"/>
                                    </w:rPr>
                                    <w:t>安徽勇创能源科技有限公司</w:t>
                                  </w:r>
                                </w:p>
                              </w:txbxContent>
                            </v:textbox>
                          </v:shape>
                        </w:pict>
                      </mc:Fallback>
                    </mc:AlternateContent>
                  </w:r>
                  <w:r>
                    <w:rPr>
                      <w:sz w:val="21"/>
                      <w:highlight w:val="none"/>
                    </w:rPr>
                    <mc:AlternateContent>
                      <mc:Choice Requires="wps">
                        <w:drawing>
                          <wp:anchor distT="0" distB="0" distL="114300" distR="114300" simplePos="0" relativeHeight="251665408" behindDoc="0" locked="0" layoutInCell="1" allowOverlap="1">
                            <wp:simplePos x="0" y="0"/>
                            <wp:positionH relativeFrom="column">
                              <wp:posOffset>1642110</wp:posOffset>
                            </wp:positionH>
                            <wp:positionV relativeFrom="paragraph">
                              <wp:posOffset>125095</wp:posOffset>
                            </wp:positionV>
                            <wp:extent cx="571500" cy="676275"/>
                            <wp:effectExtent l="12700" t="12700" r="25400" b="15875"/>
                            <wp:wrapNone/>
                            <wp:docPr id="30" name="任意多边形 30"/>
                            <wp:cNvGraphicFramePr/>
                            <a:graphic xmlns:a="http://schemas.openxmlformats.org/drawingml/2006/main">
                              <a:graphicData uri="http://schemas.microsoft.com/office/word/2010/wordprocessingShape">
                                <wps:wsp>
                                  <wps:cNvSpPr/>
                                  <wps:spPr>
                                    <a:xfrm>
                                      <a:off x="3267075" y="1743710"/>
                                      <a:ext cx="571500" cy="676275"/>
                                    </a:xfrm>
                                    <a:custGeom>
                                      <a:avLst/>
                                      <a:gdLst>
                                        <a:gd name="connisteX0" fmla="*/ 0 w 571500"/>
                                        <a:gd name="connsiteY0" fmla="*/ 9525 h 676275"/>
                                        <a:gd name="connisteX1" fmla="*/ 47625 w 571500"/>
                                        <a:gd name="connsiteY1" fmla="*/ 676275 h 676275"/>
                                        <a:gd name="connisteX2" fmla="*/ 571500 w 571500"/>
                                        <a:gd name="connsiteY2" fmla="*/ 666750 h 676275"/>
                                        <a:gd name="connisteX3" fmla="*/ 523875 w 571500"/>
                                        <a:gd name="connsiteY3" fmla="*/ 0 h 676275"/>
                                        <a:gd name="connisteX4" fmla="*/ 0 w 571500"/>
                                        <a:gd name="connsiteY4" fmla="*/ 9525 h 67627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571500" h="676275">
                                          <a:moveTo>
                                            <a:pt x="0" y="9525"/>
                                          </a:moveTo>
                                          <a:lnTo>
                                            <a:pt x="47625" y="676275"/>
                                          </a:lnTo>
                                          <a:lnTo>
                                            <a:pt x="571500" y="666750"/>
                                          </a:lnTo>
                                          <a:lnTo>
                                            <a:pt x="523875" y="0"/>
                                          </a:lnTo>
                                          <a:lnTo>
                                            <a:pt x="0" y="9525"/>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29.3pt;margin-top:9.85pt;height:53.25pt;width:45pt;z-index:251665408;mso-width-relative:page;mso-height-relative:page;" filled="f" stroked="t" coordsize="571500,676275" o:gfxdata="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P0BPO3ZAAAACgEAAA8AAAAAAAAAAQAgAAAAIgAAAGRycy9kb3ducmV2LnhtbFBLAQIUABQAAAAI&#10;AIdO4kCT7wsTCQMAAC0IAAAOAAAAAAAAAAEAIAAAACgBAABkcnMvZTJvRG9jLnhtbFBLBQYAAAAA&#10;BgAGAFkBAACjBgAAAAA=&#10;" path="m0,9525l47625,676275,571500,666750,523875,0,0,9525xe">
                            <v:path o:connectlocs="0,9525;47625,676275;571500,666750;523875,0;0,9525" o:connectangles="0,0,0,0,0"/>
                            <v:fill on="f" focussize="0,0"/>
                            <v:stroke weight="2pt" color="#FFFF00 [2404]" joinstyle="round"/>
                            <v:imagedata o:title=""/>
                            <o:lock v:ext="edit" aspectratio="f"/>
                          </v:shape>
                        </w:pict>
                      </mc:Fallback>
                    </mc:AlternateContent>
                  </w:r>
                  <w:r>
                    <w:rPr>
                      <w:sz w:val="21"/>
                      <w:highlight w:val="none"/>
                    </w:rPr>
                    <mc:AlternateContent>
                      <mc:Choice Requires="wps">
                        <w:drawing>
                          <wp:anchor distT="0" distB="0" distL="114300" distR="114300" simplePos="0" relativeHeight="251664384" behindDoc="0" locked="0" layoutInCell="1" allowOverlap="1">
                            <wp:simplePos x="0" y="0"/>
                            <wp:positionH relativeFrom="column">
                              <wp:posOffset>3017520</wp:posOffset>
                            </wp:positionH>
                            <wp:positionV relativeFrom="paragraph">
                              <wp:posOffset>1197610</wp:posOffset>
                            </wp:positionV>
                            <wp:extent cx="2218690" cy="67564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2218690" cy="675640"/>
                                    </a:xfrm>
                                    <a:prstGeom prst="rect">
                                      <a:avLst/>
                                    </a:prstGeom>
                                    <a:noFill/>
                                    <a:ln>
                                      <a:noFill/>
                                    </a:ln>
                                  </wps:spPr>
                                  <wps:txbx>
                                    <w:txbxContent>
                                      <w:p w14:paraId="0C752783">
                                        <w:pPr>
                                          <w:ind w:left="0" w:leftChars="0" w:firstLine="0" w:firstLineChars="0"/>
                                          <w:rPr>
                                            <w:rFonts w:hint="eastAsia"/>
                                            <w:color w:val="FFFF00"/>
                                            <w:highlight w:val="none"/>
                                            <w:lang w:val="zh-CN" w:eastAsia="zh-CN"/>
                                          </w:rPr>
                                        </w:pPr>
                                        <w:r>
                                          <w:rPr>
                                            <w:rFonts w:hint="eastAsia"/>
                                            <w:color w:val="FFFF00"/>
                                            <w:highlight w:val="none"/>
                                            <w:lang w:val="zh-CN" w:eastAsia="zh-CN"/>
                                          </w:rPr>
                                          <w:t>平安开诚智能安全装备</w:t>
                                        </w:r>
                                      </w:p>
                                      <w:p w14:paraId="1C5D750D">
                                        <w:pPr>
                                          <w:ind w:left="0" w:leftChars="0" w:firstLine="0" w:firstLineChars="0"/>
                                          <w:rPr>
                                            <w:rFonts w:hint="default"/>
                                            <w:color w:val="FFFF00"/>
                                            <w:lang w:val="en-US" w:eastAsia="zh-CN"/>
                                          </w:rPr>
                                        </w:pPr>
                                        <w:r>
                                          <w:rPr>
                                            <w:rFonts w:hint="eastAsia"/>
                                            <w:color w:val="FFFF00"/>
                                            <w:highlight w:val="none"/>
                                            <w:lang w:val="zh-CN" w:eastAsia="zh-CN"/>
                                          </w:rPr>
                                          <w:t>有限责任公司</w:t>
                                        </w:r>
                                      </w:p>
                                    </w:txbxContent>
                                  </wps:txbx>
                                  <wps:bodyPr upright="1"/>
                                </wps:wsp>
                              </a:graphicData>
                            </a:graphic>
                          </wp:anchor>
                        </w:drawing>
                      </mc:Choice>
                      <mc:Fallback>
                        <w:pict>
                          <v:shape id="_x0000_s1026" o:spid="_x0000_s1026" o:spt="202" type="#_x0000_t202" style="position:absolute;left:0pt;margin-left:237.6pt;margin-top:94.3pt;height:53.2pt;width:174.7pt;z-index:251664384;mso-width-relative:page;mso-height-relative:page;" filled="f" stroked="f" coordsize="21600,21600" o:gfxdata="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Rxdxo&#10;2AAAAAsBAAAPAAAAAAAAAAEAIAAAACIAAABkcnMvZG93bnJldi54bWxQSwECFAAUAAAACACHTuJA&#10;pgsAFK8BAABQAwAADgAAAAAAAAABACAAAAAnAQAAZHJzL2Uyb0RvYy54bWxQSwUGAAAAAAYABgBZ&#10;AQAASAUAAAAA&#10;">
                            <v:fill on="f" focussize="0,0"/>
                            <v:stroke on="f"/>
                            <v:imagedata o:title=""/>
                            <o:lock v:ext="edit" aspectratio="f"/>
                            <v:textbox>
                              <w:txbxContent>
                                <w:p w14:paraId="0C752783">
                                  <w:pPr>
                                    <w:ind w:left="0" w:leftChars="0" w:firstLine="0" w:firstLineChars="0"/>
                                    <w:rPr>
                                      <w:rFonts w:hint="eastAsia"/>
                                      <w:color w:val="FFFF00"/>
                                      <w:highlight w:val="none"/>
                                      <w:lang w:val="zh-CN" w:eastAsia="zh-CN"/>
                                    </w:rPr>
                                  </w:pPr>
                                  <w:r>
                                    <w:rPr>
                                      <w:rFonts w:hint="eastAsia"/>
                                      <w:color w:val="FFFF00"/>
                                      <w:highlight w:val="none"/>
                                      <w:lang w:val="zh-CN" w:eastAsia="zh-CN"/>
                                    </w:rPr>
                                    <w:t>平安开诚智能安全装备</w:t>
                                  </w:r>
                                </w:p>
                                <w:p w14:paraId="1C5D750D">
                                  <w:pPr>
                                    <w:ind w:left="0" w:leftChars="0" w:firstLine="0" w:firstLineChars="0"/>
                                    <w:rPr>
                                      <w:rFonts w:hint="default"/>
                                      <w:color w:val="FFFF00"/>
                                      <w:lang w:val="en-US" w:eastAsia="zh-CN"/>
                                    </w:rPr>
                                  </w:pPr>
                                  <w:r>
                                    <w:rPr>
                                      <w:rFonts w:hint="eastAsia"/>
                                      <w:color w:val="FFFF00"/>
                                      <w:highlight w:val="none"/>
                                      <w:lang w:val="zh-CN" w:eastAsia="zh-CN"/>
                                    </w:rPr>
                                    <w:t>有限责任公司</w:t>
                                  </w:r>
                                </w:p>
                              </w:txbxContent>
                            </v:textbox>
                          </v:shape>
                        </w:pict>
                      </mc:Fallback>
                    </mc:AlternateContent>
                  </w:r>
                  <w:r>
                    <w:rPr>
                      <w:sz w:val="21"/>
                      <w:highlight w:val="none"/>
                    </w:rPr>
                    <mc:AlternateContent>
                      <mc:Choice Requires="wps">
                        <w:drawing>
                          <wp:anchor distT="0" distB="0" distL="114300" distR="114300" simplePos="0" relativeHeight="251663360" behindDoc="0" locked="0" layoutInCell="1" allowOverlap="1">
                            <wp:simplePos x="0" y="0"/>
                            <wp:positionH relativeFrom="column">
                              <wp:posOffset>3004185</wp:posOffset>
                            </wp:positionH>
                            <wp:positionV relativeFrom="paragraph">
                              <wp:posOffset>1131570</wp:posOffset>
                            </wp:positionV>
                            <wp:extent cx="1666875" cy="809625"/>
                            <wp:effectExtent l="12700" t="12700" r="15875" b="15875"/>
                            <wp:wrapNone/>
                            <wp:docPr id="28" name="任意多边形 28"/>
                            <wp:cNvGraphicFramePr/>
                            <a:graphic xmlns:a="http://schemas.openxmlformats.org/drawingml/2006/main">
                              <a:graphicData uri="http://schemas.microsoft.com/office/word/2010/wordprocessingShape">
                                <wps:wsp>
                                  <wps:cNvSpPr/>
                                  <wps:spPr>
                                    <a:xfrm>
                                      <a:off x="4629150" y="2750185"/>
                                      <a:ext cx="1666875" cy="809625"/>
                                    </a:xfrm>
                                    <a:custGeom>
                                      <a:avLst/>
                                      <a:gdLst>
                                        <a:gd name="connisteX0" fmla="*/ 0 w 1666875"/>
                                        <a:gd name="connsiteY0" fmla="*/ 171450 h 809625"/>
                                        <a:gd name="connisteX1" fmla="*/ 66675 w 1666875"/>
                                        <a:gd name="connsiteY1" fmla="*/ 704850 h 809625"/>
                                        <a:gd name="connisteX2" fmla="*/ 161925 w 1666875"/>
                                        <a:gd name="connsiteY2" fmla="*/ 809625 h 809625"/>
                                        <a:gd name="connisteX3" fmla="*/ 1666875 w 1666875"/>
                                        <a:gd name="connsiteY3" fmla="*/ 714375 h 809625"/>
                                        <a:gd name="connisteX4" fmla="*/ 1647825 w 1666875"/>
                                        <a:gd name="connsiteY4" fmla="*/ 0 h 809625"/>
                                        <a:gd name="connisteX5" fmla="*/ 0 w 1666875"/>
                                        <a:gd name="connsiteY5" fmla="*/ 171450 h 80962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1666875" h="809625">
                                          <a:moveTo>
                                            <a:pt x="0" y="171450"/>
                                          </a:moveTo>
                                          <a:lnTo>
                                            <a:pt x="66675" y="704850"/>
                                          </a:lnTo>
                                          <a:lnTo>
                                            <a:pt x="161925" y="809625"/>
                                          </a:lnTo>
                                          <a:lnTo>
                                            <a:pt x="1666875" y="714375"/>
                                          </a:lnTo>
                                          <a:lnTo>
                                            <a:pt x="1647825" y="0"/>
                                          </a:lnTo>
                                          <a:lnTo>
                                            <a:pt x="0" y="171450"/>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36.55pt;margin-top:89.1pt;height:63.75pt;width:131.25pt;z-index:251663360;mso-width-relative:page;mso-height-relative:page;" filled="f" stroked="t" coordsize="1666875,809625" o:gfxdata="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8WIj6NoAAAALAQAADwAA&#10;AAAAAAABACAAAAAiAAAAZHJzL2Rvd25yZXYueG1sUEsBAhQAFAAAAAgAh07iQKFE7PExAwAAEgkA&#10;AA4AAAAAAAAAAQAgAAAAKQEAAGRycy9lMm9Eb2MueG1sUEsFBgAAAAAGAAYAWQEAAMwGAAAAAA==&#10;" path="m0,171450l66675,704850,161925,809625,1666875,714375,1647825,0,0,171450xe">
                            <v:path o:connectlocs="0,171450;66675,704850;161925,809625;1666875,714375;1647825,0;0,171450" o:connectangles="0,0,0,0,0,0"/>
                            <v:fill on="f" focussize="0,0"/>
                            <v:stroke weight="2pt" color="#FFFF00 [2404]" joinstyle="round"/>
                            <v:imagedata o:title=""/>
                            <o:lock v:ext="edit" aspectratio="f"/>
                          </v:shape>
                        </w:pict>
                      </mc:Fallback>
                    </mc:AlternateContent>
                  </w:r>
                  <w:r>
                    <w:rPr>
                      <w:sz w:val="21"/>
                      <w:highlight w:val="none"/>
                    </w:rPr>
                    <w:drawing>
                      <wp:inline distT="0" distB="0" distL="114300" distR="114300">
                        <wp:extent cx="4789170" cy="3722370"/>
                        <wp:effectExtent l="0" t="0" r="11430" b="11430"/>
                        <wp:docPr id="25" name="图片 25" descr="172543691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25436912478"/>
                                <pic:cNvPicPr>
                                  <a:picLocks noChangeAspect="1"/>
                                </pic:cNvPicPr>
                              </pic:nvPicPr>
                              <pic:blipFill>
                                <a:blip r:embed="rId15"/>
                                <a:stretch>
                                  <a:fillRect/>
                                </a:stretch>
                              </pic:blipFill>
                              <pic:spPr>
                                <a:xfrm>
                                  <a:off x="0" y="0"/>
                                  <a:ext cx="4789170" cy="3722370"/>
                                </a:xfrm>
                                <a:prstGeom prst="rect">
                                  <a:avLst/>
                                </a:prstGeom>
                              </pic:spPr>
                            </pic:pic>
                          </a:graphicData>
                        </a:graphic>
                      </wp:inline>
                    </w:drawing>
                  </w:r>
                </w:p>
              </w:tc>
            </w:tr>
          </w:tbl>
          <w:p w14:paraId="374C5CE1">
            <w:pPr>
              <w:pStyle w:val="74"/>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图 1</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rFonts w:hint="default"/>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项目四至卫星图</w:t>
            </w:r>
          </w:p>
          <w:tbl>
            <w:tblPr>
              <w:tblStyle w:val="26"/>
              <w:tblW w:w="8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6"/>
              <w:gridCol w:w="4044"/>
            </w:tblGrid>
            <w:tr w14:paraId="04689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1" w:hRule="atLeast"/>
              </w:trPr>
              <w:tc>
                <w:tcPr>
                  <w:tcW w:w="4116" w:type="dxa"/>
                  <w:noWrap w:val="0"/>
                  <w:vAlign w:val="top"/>
                </w:tcPr>
                <w:p w14:paraId="2F736040">
                  <w:pPr>
                    <w:pStyle w:val="4"/>
                    <w:jc w:val="both"/>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drawing>
                      <wp:anchor distT="0" distB="0" distL="114300" distR="114300" simplePos="0" relativeHeight="251671552" behindDoc="0" locked="0" layoutInCell="1" allowOverlap="1">
                        <wp:simplePos x="0" y="0"/>
                        <wp:positionH relativeFrom="column">
                          <wp:posOffset>-17145</wp:posOffset>
                        </wp:positionH>
                        <wp:positionV relativeFrom="paragraph">
                          <wp:posOffset>57785</wp:posOffset>
                        </wp:positionV>
                        <wp:extent cx="2291080" cy="1717675"/>
                        <wp:effectExtent l="0" t="0" r="13970" b="15875"/>
                        <wp:wrapNone/>
                        <wp:docPr id="34" name="图片 34" descr="西侧厂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西侧厂房2"/>
                                <pic:cNvPicPr>
                                  <a:picLocks noChangeAspect="1"/>
                                </pic:cNvPicPr>
                              </pic:nvPicPr>
                              <pic:blipFill>
                                <a:blip r:embed="rId16"/>
                                <a:stretch>
                                  <a:fillRect/>
                                </a:stretch>
                              </pic:blipFill>
                              <pic:spPr>
                                <a:xfrm>
                                  <a:off x="0" y="0"/>
                                  <a:ext cx="2291080" cy="1717675"/>
                                </a:xfrm>
                                <a:prstGeom prst="rect">
                                  <a:avLst/>
                                </a:prstGeom>
                              </pic:spPr>
                            </pic:pic>
                          </a:graphicData>
                        </a:graphic>
                      </wp:anchor>
                    </w:drawing>
                  </w:r>
                </w:p>
              </w:tc>
              <w:tc>
                <w:tcPr>
                  <w:tcW w:w="4044" w:type="dxa"/>
                  <w:noWrap w:val="0"/>
                  <w:vAlign w:val="top"/>
                </w:tcPr>
                <w:p w14:paraId="3316A465">
                  <w:pPr>
                    <w:pStyle w:val="4"/>
                    <w:ind w:left="0" w:leftChars="0" w:firstLine="0" w:firstLineChars="0"/>
                    <w:jc w:val="both"/>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drawing>
                      <wp:anchor distT="0" distB="0" distL="114300" distR="114300" simplePos="0" relativeHeight="251674624" behindDoc="0" locked="0" layoutInCell="1" allowOverlap="1">
                        <wp:simplePos x="0" y="0"/>
                        <wp:positionH relativeFrom="column">
                          <wp:posOffset>31115</wp:posOffset>
                        </wp:positionH>
                        <wp:positionV relativeFrom="paragraph">
                          <wp:posOffset>72390</wp:posOffset>
                        </wp:positionV>
                        <wp:extent cx="2421255" cy="1815465"/>
                        <wp:effectExtent l="0" t="0" r="17145" b="13335"/>
                        <wp:wrapNone/>
                        <wp:docPr id="44" name="图片 44" descr="西侧厂房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西侧厂房4"/>
                                <pic:cNvPicPr>
                                  <a:picLocks noChangeAspect="1"/>
                                </pic:cNvPicPr>
                              </pic:nvPicPr>
                              <pic:blipFill>
                                <a:blip r:embed="rId17"/>
                                <a:stretch>
                                  <a:fillRect/>
                                </a:stretch>
                              </pic:blipFill>
                              <pic:spPr>
                                <a:xfrm>
                                  <a:off x="0" y="0"/>
                                  <a:ext cx="2421255" cy="1815465"/>
                                </a:xfrm>
                                <a:prstGeom prst="rect">
                                  <a:avLst/>
                                </a:prstGeom>
                              </pic:spPr>
                            </pic:pic>
                          </a:graphicData>
                        </a:graphic>
                      </wp:anchor>
                    </w:drawing>
                  </w:r>
                </w:p>
              </w:tc>
            </w:tr>
            <w:tr w14:paraId="190BC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8160" w:type="dxa"/>
                  <w:gridSpan w:val="2"/>
                  <w:noWrap w:val="0"/>
                  <w:vAlign w:val="top"/>
                </w:tcPr>
                <w:p w14:paraId="1B73096A">
                  <w:pPr>
                    <w:pStyle w:val="47"/>
                    <w:bidi w:val="0"/>
                    <w:rPr>
                      <w:rFonts w:hint="default"/>
                      <w:lang w:val="en-US" w:eastAsia="zh-CN"/>
                    </w:rPr>
                  </w:pPr>
                  <w:r>
                    <w:rPr>
                      <w:rFonts w:hint="eastAsia"/>
                      <w:lang w:val="en-US" w:eastAsia="zh-CN"/>
                    </w:rPr>
                    <w:t>项目西侧现状（安徽益生酒业有限公司厂房）</w:t>
                  </w:r>
                </w:p>
              </w:tc>
            </w:tr>
            <w:tr w14:paraId="37E99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8" w:hRule="atLeast"/>
              </w:trPr>
              <w:tc>
                <w:tcPr>
                  <w:tcW w:w="4116" w:type="dxa"/>
                  <w:noWrap w:val="0"/>
                  <w:vAlign w:val="top"/>
                </w:tcPr>
                <w:p w14:paraId="2EBC303B">
                  <w:pPr>
                    <w:ind w:left="0" w:leftChars="0" w:firstLine="0" w:firstLineChars="0"/>
                    <w:jc w:val="both"/>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drawing>
                      <wp:inline distT="0" distB="0" distL="114300" distR="114300">
                        <wp:extent cx="2470150" cy="1851660"/>
                        <wp:effectExtent l="0" t="0" r="6350" b="15240"/>
                        <wp:docPr id="39" name="图片 39" descr="南侧标准化厂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南侧标准化厂房"/>
                                <pic:cNvPicPr>
                                  <a:picLocks noChangeAspect="1"/>
                                </pic:cNvPicPr>
                              </pic:nvPicPr>
                              <pic:blipFill>
                                <a:blip r:embed="rId18"/>
                                <a:stretch>
                                  <a:fillRect/>
                                </a:stretch>
                              </pic:blipFill>
                              <pic:spPr>
                                <a:xfrm>
                                  <a:off x="0" y="0"/>
                                  <a:ext cx="2470150" cy="1851660"/>
                                </a:xfrm>
                                <a:prstGeom prst="rect">
                                  <a:avLst/>
                                </a:prstGeom>
                              </pic:spPr>
                            </pic:pic>
                          </a:graphicData>
                        </a:graphic>
                      </wp:inline>
                    </w:drawing>
                  </w:r>
                </w:p>
              </w:tc>
              <w:tc>
                <w:tcPr>
                  <w:tcW w:w="4044" w:type="dxa"/>
                  <w:noWrap w:val="0"/>
                  <w:vAlign w:val="top"/>
                </w:tcPr>
                <w:p w14:paraId="2D956539">
                  <w:pPr>
                    <w:pStyle w:val="4"/>
                    <w:jc w:val="both"/>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drawing>
                      <wp:anchor distT="0" distB="0" distL="114300" distR="114300" simplePos="0" relativeHeight="251673600" behindDoc="1" locked="0" layoutInCell="1" allowOverlap="1">
                        <wp:simplePos x="0" y="0"/>
                        <wp:positionH relativeFrom="column">
                          <wp:posOffset>187325</wp:posOffset>
                        </wp:positionH>
                        <wp:positionV relativeFrom="paragraph">
                          <wp:posOffset>-1546860</wp:posOffset>
                        </wp:positionV>
                        <wp:extent cx="2388870" cy="1790700"/>
                        <wp:effectExtent l="0" t="0" r="11430" b="0"/>
                        <wp:wrapTight wrapText="bothSides">
                          <wp:wrapPolygon>
                            <wp:start x="0" y="0"/>
                            <wp:lineTo x="0" y="21370"/>
                            <wp:lineTo x="21359" y="21370"/>
                            <wp:lineTo x="21359" y="0"/>
                            <wp:lineTo x="0" y="0"/>
                          </wp:wrapPolygon>
                        </wp:wrapTight>
                        <wp:docPr id="40" name="图片 40" descr="北侧厂房勇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北侧厂房勇创"/>
                                <pic:cNvPicPr>
                                  <a:picLocks noChangeAspect="1"/>
                                </pic:cNvPicPr>
                              </pic:nvPicPr>
                              <pic:blipFill>
                                <a:blip r:embed="rId19"/>
                                <a:stretch>
                                  <a:fillRect/>
                                </a:stretch>
                              </pic:blipFill>
                              <pic:spPr>
                                <a:xfrm>
                                  <a:off x="0" y="0"/>
                                  <a:ext cx="2388870" cy="1790700"/>
                                </a:xfrm>
                                <a:prstGeom prst="rect">
                                  <a:avLst/>
                                </a:prstGeom>
                              </pic:spPr>
                            </pic:pic>
                          </a:graphicData>
                        </a:graphic>
                      </wp:anchor>
                    </w:drawing>
                  </w:r>
                </w:p>
              </w:tc>
            </w:tr>
            <w:tr w14:paraId="00E95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6" w:type="dxa"/>
                  <w:noWrap w:val="0"/>
                  <w:vAlign w:val="top"/>
                </w:tcPr>
                <w:p w14:paraId="7D9934AA">
                  <w:pPr>
                    <w:pStyle w:val="47"/>
                    <w:bidi w:val="0"/>
                    <w:rPr>
                      <w:rFonts w:hint="default"/>
                      <w:lang w:val="en-US" w:eastAsia="zh-CN"/>
                    </w:rPr>
                  </w:pPr>
                  <w:r>
                    <w:rPr>
                      <w:rFonts w:hint="eastAsia"/>
                      <w:highlight w:val="none"/>
                      <w:lang w:val="en-US" w:eastAsia="zh-CN"/>
                    </w:rPr>
                    <w:t>项目南侧 经济开发区标准化厂房</w:t>
                  </w:r>
                </w:p>
              </w:tc>
              <w:tc>
                <w:tcPr>
                  <w:tcW w:w="4044" w:type="dxa"/>
                  <w:noWrap w:val="0"/>
                  <w:vAlign w:val="top"/>
                </w:tcPr>
                <w:p w14:paraId="7BFEB3A4">
                  <w:pPr>
                    <w:pStyle w:val="47"/>
                    <w:bidi w:val="0"/>
                    <w:rPr>
                      <w:rFonts w:hint="default"/>
                      <w:lang w:val="en-US" w:eastAsia="zh-CN"/>
                    </w:rPr>
                  </w:pPr>
                  <w:r>
                    <w:rPr>
                      <w:rFonts w:hint="eastAsia"/>
                      <w:lang w:val="en-US" w:eastAsia="zh-CN"/>
                    </w:rPr>
                    <w:t>项目北侧现状（安徽勇创能源科技有限公司）</w:t>
                  </w:r>
                </w:p>
              </w:tc>
            </w:tr>
            <w:tr w14:paraId="0B785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0" w:hRule="atLeast"/>
              </w:trPr>
              <w:tc>
                <w:tcPr>
                  <w:tcW w:w="4116" w:type="dxa"/>
                  <w:noWrap w:val="0"/>
                  <w:vAlign w:val="top"/>
                </w:tcPr>
                <w:p w14:paraId="35B16C1E">
                  <w:pPr>
                    <w:pStyle w:val="47"/>
                    <w:bidi w:val="0"/>
                    <w:ind w:left="0" w:leftChars="0" w:firstLine="0" w:firstLineChars="0"/>
                    <w:jc w:val="both"/>
                    <w:rPr>
                      <w:rFonts w:hint="eastAsia"/>
                      <w:lang w:val="en-US" w:eastAsia="zh-CN"/>
                    </w:rPr>
                  </w:pPr>
                  <w:r>
                    <w:rPr>
                      <w:rFonts w:hint="eastAsia"/>
                      <w:color w:val="000000" w:themeColor="text1"/>
                      <w:lang w:eastAsia="zh-CN"/>
                      <w14:textFill>
                        <w14:solidFill>
                          <w14:schemeClr w14:val="tx1"/>
                        </w14:solidFill>
                      </w14:textFill>
                    </w:rPr>
                    <w:drawing>
                      <wp:anchor distT="0" distB="0" distL="114300" distR="114300" simplePos="0" relativeHeight="251672576" behindDoc="1" locked="0" layoutInCell="1" allowOverlap="1">
                        <wp:simplePos x="0" y="0"/>
                        <wp:positionH relativeFrom="column">
                          <wp:posOffset>49530</wp:posOffset>
                        </wp:positionH>
                        <wp:positionV relativeFrom="paragraph">
                          <wp:posOffset>40640</wp:posOffset>
                        </wp:positionV>
                        <wp:extent cx="2275205" cy="1705610"/>
                        <wp:effectExtent l="0" t="0" r="10795" b="8890"/>
                        <wp:wrapTight wrapText="bothSides">
                          <wp:wrapPolygon>
                            <wp:start x="0" y="0"/>
                            <wp:lineTo x="0" y="21471"/>
                            <wp:lineTo x="21341" y="21471"/>
                            <wp:lineTo x="21341" y="0"/>
                            <wp:lineTo x="0" y="0"/>
                          </wp:wrapPolygon>
                        </wp:wrapTight>
                        <wp:docPr id="38" name="图片 38" descr="ac955a467e7f3392e45c3c8908e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ac955a467e7f3392e45c3c8908e8097"/>
                                <pic:cNvPicPr>
                                  <a:picLocks noChangeAspect="1"/>
                                </pic:cNvPicPr>
                              </pic:nvPicPr>
                              <pic:blipFill>
                                <a:blip r:embed="rId20"/>
                                <a:stretch>
                                  <a:fillRect/>
                                </a:stretch>
                              </pic:blipFill>
                              <pic:spPr>
                                <a:xfrm>
                                  <a:off x="0" y="0"/>
                                  <a:ext cx="2275205" cy="1705610"/>
                                </a:xfrm>
                                <a:prstGeom prst="rect">
                                  <a:avLst/>
                                </a:prstGeom>
                              </pic:spPr>
                            </pic:pic>
                          </a:graphicData>
                        </a:graphic>
                      </wp:anchor>
                    </w:drawing>
                  </w:r>
                </w:p>
              </w:tc>
              <w:tc>
                <w:tcPr>
                  <w:tcW w:w="4044" w:type="dxa"/>
                  <w:noWrap w:val="0"/>
                  <w:vAlign w:val="top"/>
                </w:tcPr>
                <w:p w14:paraId="39F1C65D">
                  <w:pPr>
                    <w:pStyle w:val="47"/>
                    <w:bidi w:val="0"/>
                    <w:rPr>
                      <w:rFonts w:hint="eastAsia"/>
                      <w:lang w:val="en-US" w:eastAsia="zh-CN"/>
                    </w:rPr>
                  </w:pPr>
                  <w:r>
                    <w:rPr>
                      <w:rFonts w:hint="eastAsia"/>
                      <w:lang w:val="en-US" w:eastAsia="zh-CN"/>
                    </w:rPr>
                    <w:drawing>
                      <wp:inline distT="0" distB="0" distL="114300" distR="114300">
                        <wp:extent cx="2388870" cy="1790700"/>
                        <wp:effectExtent l="0" t="0" r="11430" b="0"/>
                        <wp:docPr id="42" name="图片 42" descr="东侧企业平安开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东侧企业平安开城"/>
                                <pic:cNvPicPr>
                                  <a:picLocks noChangeAspect="1"/>
                                </pic:cNvPicPr>
                              </pic:nvPicPr>
                              <pic:blipFill>
                                <a:blip r:embed="rId21"/>
                                <a:stretch>
                                  <a:fillRect/>
                                </a:stretch>
                              </pic:blipFill>
                              <pic:spPr>
                                <a:xfrm>
                                  <a:off x="0" y="0"/>
                                  <a:ext cx="2388870" cy="1790700"/>
                                </a:xfrm>
                                <a:prstGeom prst="rect">
                                  <a:avLst/>
                                </a:prstGeom>
                              </pic:spPr>
                            </pic:pic>
                          </a:graphicData>
                        </a:graphic>
                      </wp:inline>
                    </w:drawing>
                  </w:r>
                </w:p>
              </w:tc>
            </w:tr>
            <w:tr w14:paraId="7E0F6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116" w:type="dxa"/>
                  <w:noWrap w:val="0"/>
                  <w:vAlign w:val="top"/>
                </w:tcPr>
                <w:p w14:paraId="0D4E56D9">
                  <w:pPr>
                    <w:pStyle w:val="47"/>
                    <w:bidi w:val="0"/>
                    <w:rPr>
                      <w:rFonts w:hint="default"/>
                      <w:lang w:val="en-US" w:eastAsia="zh-CN"/>
                    </w:rPr>
                  </w:pPr>
                  <w:r>
                    <w:rPr>
                      <w:rFonts w:hint="eastAsia"/>
                      <w:lang w:val="en-US" w:eastAsia="zh-CN"/>
                    </w:rPr>
                    <w:t>项目北侧现状（安徽益生酒业有限公司厂房）</w:t>
                  </w:r>
                </w:p>
              </w:tc>
              <w:tc>
                <w:tcPr>
                  <w:tcW w:w="4044" w:type="dxa"/>
                  <w:noWrap w:val="0"/>
                  <w:vAlign w:val="top"/>
                </w:tcPr>
                <w:p w14:paraId="3DD19F96">
                  <w:pPr>
                    <w:pStyle w:val="47"/>
                    <w:bidi w:val="0"/>
                    <w:rPr>
                      <w:rFonts w:hint="default"/>
                      <w:lang w:val="en-US" w:eastAsia="zh-CN"/>
                    </w:rPr>
                  </w:pPr>
                  <w:r>
                    <w:rPr>
                      <w:rFonts w:hint="eastAsia"/>
                      <w:lang w:val="en-US" w:eastAsia="zh-CN"/>
                    </w:rPr>
                    <w:t>项目东侧（</w:t>
                  </w:r>
                  <w:r>
                    <w:rPr>
                      <w:rFonts w:hint="eastAsia"/>
                      <w:color w:val="auto"/>
                      <w:highlight w:val="none"/>
                      <w:lang w:val="zh-CN" w:eastAsia="zh-CN"/>
                    </w:rPr>
                    <w:t>平安开诚智能安全装备有限责任公司</w:t>
                  </w:r>
                  <w:r>
                    <w:rPr>
                      <w:rFonts w:hint="eastAsia"/>
                      <w:lang w:val="en-US" w:eastAsia="zh-CN"/>
                    </w:rPr>
                    <w:t>）</w:t>
                  </w:r>
                </w:p>
              </w:tc>
            </w:tr>
          </w:tbl>
          <w:p w14:paraId="4D33B587">
            <w:pPr>
              <w:pStyle w:val="74"/>
              <w:bidi w:val="0"/>
              <w:rPr>
                <w:rFonts w:hint="eastAsia" w:ascii="Times New Roman" w:hAnsi="Times New Roman" w:eastAsia="宋体" w:cs="Times New Roman"/>
                <w:color w:val="auto"/>
                <w:lang w:val="en-US" w:eastAsia="zh-CN"/>
              </w:rPr>
            </w:pPr>
            <w:r>
              <w:rPr>
                <w:rFonts w:hint="eastAsia"/>
                <w:color w:val="000000" w:themeColor="text1"/>
                <w:lang w:val="en-US" w:eastAsia="zh-CN"/>
                <w14:textFill>
                  <w14:solidFill>
                    <w14:schemeClr w14:val="tx1"/>
                  </w14:solidFill>
                </w14:textFill>
              </w:rPr>
              <w:t>图 1</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项目周边现状图</w:t>
            </w:r>
          </w:p>
          <w:p w14:paraId="3BF9DBFF">
            <w:pPr>
              <w:bidi w:val="0"/>
              <w:rPr>
                <w:rFonts w:hint="eastAsia"/>
                <w:color w:val="auto"/>
                <w:lang w:val="en-US" w:eastAsia="zh-CN"/>
              </w:rPr>
            </w:pPr>
            <w:r>
              <w:rPr>
                <w:rFonts w:hint="eastAsia" w:ascii="Times New Roman" w:hAnsi="Times New Roman" w:eastAsia="宋体" w:cs="Times New Roman"/>
                <w:color w:val="auto"/>
                <w:lang w:val="en-US" w:eastAsia="zh-CN"/>
              </w:rPr>
              <w:t>根据项目地块和卫星四至图，可知</w:t>
            </w:r>
            <w:r>
              <w:rPr>
                <w:rFonts w:hint="eastAsia" w:cs="Times New Roman"/>
                <w:color w:val="auto"/>
                <w:lang w:val="en-US" w:eastAsia="zh-CN"/>
              </w:rPr>
              <w:t>项目</w:t>
            </w:r>
            <w:r>
              <w:rPr>
                <w:color w:val="auto"/>
              </w:rPr>
              <w:t>周边无特殊保护文物古迹、自然保护区和特殊环境制约因素</w:t>
            </w:r>
            <w:r>
              <w:rPr>
                <w:rFonts w:hint="eastAsia"/>
                <w:color w:val="auto"/>
                <w:lang w:eastAsia="zh-CN"/>
              </w:rPr>
              <w:t>。</w:t>
            </w:r>
            <w:r>
              <w:rPr>
                <w:rFonts w:hint="eastAsia" w:cs="Times New Roman"/>
                <w:color w:val="auto"/>
                <w:lang w:val="en-US" w:eastAsia="zh-CN"/>
              </w:rPr>
              <w:t>项目废气主要为发泡、成型、烘干产生的非甲烷总烃，有机废气</w:t>
            </w:r>
            <w:r>
              <w:rPr>
                <w:rFonts w:hint="eastAsia"/>
                <w:color w:val="auto"/>
                <w:lang w:val="en-US" w:eastAsia="zh-CN"/>
              </w:rPr>
              <w:t>收集后进入二级活性炭装置处理后经21m排气筒达标排放</w:t>
            </w:r>
            <w:r>
              <w:rPr>
                <w:rFonts w:hint="eastAsia" w:cs="Times New Roman"/>
                <w:color w:val="auto"/>
                <w:lang w:val="en-US" w:eastAsia="zh-CN"/>
              </w:rPr>
              <w:t>；废水主要为生活污水；</w:t>
            </w:r>
            <w:r>
              <w:rPr>
                <w:rFonts w:hint="eastAsia"/>
                <w:color w:val="auto"/>
              </w:rPr>
              <w:t>高噪声设备位于车间中间布局</w:t>
            </w:r>
            <w:r>
              <w:rPr>
                <w:rFonts w:hint="eastAsia"/>
                <w:color w:val="auto"/>
                <w:lang w:val="en-US" w:eastAsia="zh-CN"/>
              </w:rPr>
              <w:t>，</w:t>
            </w:r>
            <w:r>
              <w:rPr>
                <w:rFonts w:hint="eastAsia"/>
                <w:color w:val="auto"/>
              </w:rPr>
              <w:t>通过车间构筑物进行隔声，可有效减少生产噪声对周边环境的影响。</w:t>
            </w:r>
            <w:r>
              <w:rPr>
                <w:color w:val="auto"/>
              </w:rPr>
              <w:t>在落实本次环评提出的相关污染防治措施，并认真履行</w:t>
            </w:r>
            <w:r>
              <w:rPr>
                <w:rFonts w:hint="eastAsia"/>
                <w:color w:val="auto"/>
                <w:lang w:eastAsia="zh-CN"/>
              </w:rPr>
              <w:t>“</w:t>
            </w:r>
            <w:r>
              <w:rPr>
                <w:color w:val="auto"/>
              </w:rPr>
              <w:t>三同时</w:t>
            </w:r>
            <w:r>
              <w:rPr>
                <w:rFonts w:hint="eastAsia"/>
                <w:color w:val="auto"/>
                <w:lang w:eastAsia="zh-CN"/>
              </w:rPr>
              <w:t>”</w:t>
            </w:r>
            <w:r>
              <w:rPr>
                <w:color w:val="auto"/>
              </w:rPr>
              <w:t>制度后，各污染物均可实现达标排放</w:t>
            </w:r>
            <w:r>
              <w:rPr>
                <w:rFonts w:hint="eastAsia"/>
                <w:color w:val="auto"/>
              </w:rPr>
              <w:t>，对其影响较小，</w:t>
            </w:r>
            <w:r>
              <w:rPr>
                <w:color w:val="auto"/>
              </w:rPr>
              <w:t>且不会降低评价区域原有功能级别，对区域环境影响较小。</w:t>
            </w:r>
            <w:r>
              <w:rPr>
                <w:rFonts w:hint="eastAsia"/>
                <w:color w:val="auto"/>
                <w:lang w:val="en-US" w:eastAsia="zh-CN"/>
              </w:rPr>
              <w:t>本项目周边500m范围内无敏感点，</w:t>
            </w:r>
            <w:r>
              <w:rPr>
                <w:rFonts w:hint="eastAsia" w:ascii="Times New Roman" w:hAnsi="Times New Roman" w:eastAsia="宋体" w:cs="Times New Roman"/>
                <w:color w:val="auto"/>
                <w:lang w:val="en-US" w:eastAsia="zh-CN"/>
              </w:rPr>
              <w:t>无限制建设因素</w:t>
            </w:r>
            <w:r>
              <w:rPr>
                <w:rFonts w:hint="default"/>
                <w:color w:val="auto"/>
                <w:lang w:val="en-US" w:eastAsia="zh-CN"/>
              </w:rPr>
              <w:t>。</w:t>
            </w:r>
          </w:p>
          <w:p w14:paraId="519A052D">
            <w:pPr>
              <w:pStyle w:val="73"/>
              <w:ind w:firstLine="480"/>
              <w:rPr>
                <w:color w:val="000000" w:themeColor="text1"/>
                <w14:textFill>
                  <w14:solidFill>
                    <w14:schemeClr w14:val="tx1"/>
                  </w14:solidFill>
                </w14:textFill>
              </w:rPr>
            </w:pPr>
            <w:r>
              <w:rPr>
                <w:color w:val="000000" w:themeColor="text1"/>
                <w14:textFill>
                  <w14:solidFill>
                    <w14:schemeClr w14:val="tx1"/>
                  </w14:solidFill>
                </w14:textFill>
              </w:rPr>
              <w:t>（2）区域配套</w:t>
            </w:r>
          </w:p>
          <w:p w14:paraId="30C7611E">
            <w:pPr>
              <w:pStyle w:val="73"/>
              <w:ind w:firstLine="480"/>
              <w:rPr>
                <w:color w:val="000000" w:themeColor="text1"/>
                <w14:textFill>
                  <w14:solidFill>
                    <w14:schemeClr w14:val="tx1"/>
                  </w14:solidFill>
                </w14:textFill>
              </w:rPr>
            </w:pPr>
            <w:r>
              <w:rPr>
                <w:color w:val="000000" w:themeColor="text1"/>
                <w14:textFill>
                  <w14:solidFill>
                    <w14:schemeClr w14:val="tx1"/>
                  </w14:solidFill>
                </w14:textFill>
              </w:rPr>
              <w:t>项目位于</w:t>
            </w:r>
            <w:r>
              <w:rPr>
                <w:rFonts w:hint="eastAsia"/>
                <w:color w:val="auto"/>
                <w:lang w:val="en-US" w:eastAsia="zh-CN"/>
              </w:rPr>
              <w:t>淮南市经济开发区</w:t>
            </w:r>
            <w:r>
              <w:rPr>
                <w:color w:val="000000" w:themeColor="text1"/>
                <w14:textFill>
                  <w14:solidFill>
                    <w14:schemeClr w14:val="tx1"/>
                  </w14:solidFill>
                </w14:textFill>
              </w:rPr>
              <w:t>，项目区域范围内供水、排水、电力、电讯等基础设施完善、交通便利。</w:t>
            </w:r>
          </w:p>
          <w:p w14:paraId="20327B8D">
            <w:pPr>
              <w:pStyle w:val="73"/>
              <w:ind w:firstLine="480"/>
              <w:rPr>
                <w:color w:val="000000" w:themeColor="text1"/>
                <w14:textFill>
                  <w14:solidFill>
                    <w14:schemeClr w14:val="tx1"/>
                  </w14:solidFill>
                </w14:textFill>
              </w:rPr>
            </w:pPr>
            <w:r>
              <w:rPr>
                <w:color w:val="000000" w:themeColor="text1"/>
                <w14:textFill>
                  <w14:solidFill>
                    <w14:schemeClr w14:val="tx1"/>
                  </w14:solidFill>
                </w14:textFill>
              </w:rPr>
              <w:t>（3）对外环境的影响</w:t>
            </w:r>
          </w:p>
          <w:p w14:paraId="4A130802">
            <w:pPr>
              <w:pStyle w:val="73"/>
              <w:ind w:firstLine="480"/>
              <w:rPr>
                <w:rFonts w:hint="default" w:eastAsia="宋体"/>
                <w:color w:val="auto"/>
                <w:lang w:val="en-US" w:eastAsia="zh-CN"/>
              </w:rPr>
            </w:pPr>
            <w:r>
              <w:rPr>
                <w:rFonts w:hint="eastAsia"/>
                <w:color w:val="000000" w:themeColor="text1"/>
                <w:lang w:val="en-US" w:eastAsia="zh-CN"/>
                <w14:textFill>
                  <w14:solidFill>
                    <w14:schemeClr w14:val="tx1"/>
                  </w14:solidFill>
                </w14:textFill>
              </w:rPr>
              <w:t>本项</w:t>
            </w:r>
            <w:r>
              <w:rPr>
                <w:rFonts w:hint="eastAsia"/>
                <w:color w:val="000000" w:themeColor="text1"/>
                <w:highlight w:val="none"/>
                <w:lang w:val="en-US" w:eastAsia="zh-CN"/>
                <w14:textFill>
                  <w14:solidFill>
                    <w14:schemeClr w14:val="tx1"/>
                  </w14:solidFill>
                </w14:textFill>
              </w:rPr>
              <w:t>目无生产废水外排，</w:t>
            </w:r>
            <w:r>
              <w:rPr>
                <w:rFonts w:hint="eastAsia"/>
                <w:color w:val="auto"/>
                <w:highlight w:val="none"/>
                <w:lang w:val="en-US" w:eastAsia="zh-CN"/>
              </w:rPr>
              <w:t>生活污水经厂区现有化粪池处理后进入园区污水处理管网</w:t>
            </w:r>
            <w:r>
              <w:t>后进入淮南经济开发区污水处理厂（三万吨污水处理厂）处理达标后尾水</w:t>
            </w:r>
            <w:r>
              <w:rPr>
                <w:color w:val="auto"/>
              </w:rPr>
              <w:t>排入通过龙王撇洪沟经大涧沟排污渠排入淮河</w:t>
            </w:r>
            <w:r>
              <w:rPr>
                <w:rFonts w:hint="eastAsia"/>
                <w:color w:val="auto"/>
                <w:highlight w:val="none"/>
                <w:lang w:val="en-US" w:eastAsia="zh-CN"/>
              </w:rPr>
              <w:t>；项目</w:t>
            </w:r>
            <w:r>
              <w:rPr>
                <w:rFonts w:hint="eastAsia" w:cs="Times New Roman"/>
                <w:color w:val="auto"/>
                <w:lang w:val="en-US" w:eastAsia="zh-CN"/>
              </w:rPr>
              <w:t>有机废气</w:t>
            </w:r>
            <w:r>
              <w:rPr>
                <w:rFonts w:hint="eastAsia"/>
                <w:color w:val="auto"/>
                <w:lang w:val="en-US" w:eastAsia="zh-CN"/>
              </w:rPr>
              <w:t>收集后进入二级活性炭装置处理后经21m排气筒达标排放</w:t>
            </w:r>
            <w:r>
              <w:rPr>
                <w:rFonts w:hint="eastAsia" w:ascii="宋体" w:hAnsi="宋体" w:cs="宋体"/>
                <w:color w:val="000000" w:themeColor="text1"/>
                <w:kern w:val="0"/>
                <w:sz w:val="24"/>
                <w:szCs w:val="24"/>
                <w:lang w:val="en-US" w:eastAsia="zh-CN" w:bidi="ar"/>
                <w14:textFill>
                  <w14:solidFill>
                    <w14:schemeClr w14:val="tx1"/>
                  </w14:solidFill>
                </w14:textFill>
              </w:rPr>
              <w:t>；</w:t>
            </w:r>
            <w:r>
              <w:rPr>
                <w:color w:val="000000" w:themeColor="text1"/>
                <w14:textFill>
                  <w14:solidFill>
                    <w14:schemeClr w14:val="tx1"/>
                  </w14:solidFill>
                </w14:textFill>
              </w:rPr>
              <w:t>项目生产设备均置于车间内，</w:t>
            </w:r>
            <w:r>
              <w:rPr>
                <w:rFonts w:hint="eastAsia"/>
                <w:color w:val="000000" w:themeColor="text1"/>
                <w:lang w:val="en-US" w:eastAsia="zh-CN"/>
                <w14:textFill>
                  <w14:solidFill>
                    <w14:schemeClr w14:val="tx1"/>
                  </w14:solidFill>
                </w14:textFill>
              </w:rPr>
              <w:t>厂界噪声满足</w:t>
            </w:r>
            <w:r>
              <w:rPr>
                <w:rFonts w:hint="eastAsia"/>
                <w:color w:val="000000" w:themeColor="text1"/>
                <w14:textFill>
                  <w14:solidFill>
                    <w14:schemeClr w14:val="tx1"/>
                  </w14:solidFill>
                </w14:textFill>
              </w:rPr>
              <w:t>《工业企业厂界环境噪声排放标准》</w:t>
            </w:r>
            <w:r>
              <w:rPr>
                <w:color w:val="000000" w:themeColor="text1"/>
                <w14:textFill>
                  <w14:solidFill>
                    <w14:schemeClr w14:val="tx1"/>
                  </w14:solidFill>
                </w14:textFill>
              </w:rPr>
              <w:t>(GB12348-2008)</w:t>
            </w:r>
            <w:r>
              <w:rPr>
                <w:rFonts w:hint="eastAsia"/>
                <w:color w:val="000000" w:themeColor="text1"/>
                <w14:textFill>
                  <w14:solidFill>
                    <w14:schemeClr w14:val="tx1"/>
                  </w14:solidFill>
                </w14:textFill>
              </w:rPr>
              <w:t>中的3类标准要求</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对周围环境影响较</w:t>
            </w:r>
            <w:r>
              <w:rPr>
                <w:rFonts w:hint="eastAsia"/>
                <w:color w:val="auto"/>
                <w:lang w:val="en-US" w:eastAsia="zh-CN"/>
              </w:rPr>
              <w:t>小，对外环境的影响可以接受。</w:t>
            </w:r>
          </w:p>
          <w:p w14:paraId="6EF62649">
            <w:pPr>
              <w:pStyle w:val="73"/>
              <w:ind w:firstLine="480"/>
              <w:rPr>
                <w:color w:val="000000" w:themeColor="text1"/>
                <w:lang w:val="zh-CN"/>
                <w14:textFill>
                  <w14:solidFill>
                    <w14:schemeClr w14:val="tx1"/>
                  </w14:solidFill>
                </w14:textFill>
              </w:rPr>
            </w:pPr>
            <w:r>
              <w:rPr>
                <w:color w:val="000000" w:themeColor="text1"/>
                <w14:textFill>
                  <w14:solidFill>
                    <w14:schemeClr w14:val="tx1"/>
                  </w14:solidFill>
                </w14:textFill>
              </w:rPr>
              <w:t>综上，从环境相容性、区域配套</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对外环境影响</w:t>
            </w:r>
            <w:r>
              <w:rPr>
                <w:color w:val="000000" w:themeColor="text1"/>
                <w14:textFill>
                  <w14:solidFill>
                    <w14:schemeClr w14:val="tx1"/>
                  </w14:solidFill>
                </w14:textFill>
              </w:rPr>
              <w:t>等方面考量，本项目的选址较为合理。</w:t>
            </w:r>
          </w:p>
        </w:tc>
      </w:tr>
    </w:tbl>
    <w:p w14:paraId="50BBDC27">
      <w:pPr>
        <w:pStyle w:val="3"/>
        <w:ind w:firstLine="643"/>
        <w:rPr>
          <w:color w:val="auto"/>
          <w:highlight w:val="none"/>
        </w:rPr>
      </w:pPr>
      <w:r>
        <w:rPr>
          <w:rFonts w:hint="eastAsia"/>
          <w:color w:val="auto"/>
          <w:highlight w:val="none"/>
        </w:rPr>
        <w:br w:type="page"/>
      </w:r>
      <w:r>
        <w:rPr>
          <w:rFonts w:hint="eastAsia"/>
          <w:color w:val="auto"/>
          <w:highlight w:val="none"/>
        </w:rPr>
        <w:t>二</w:t>
      </w:r>
      <w:r>
        <w:rPr>
          <w:color w:val="auto"/>
          <w:highlight w:val="none"/>
        </w:rPr>
        <w:t>、</w:t>
      </w:r>
      <w:r>
        <w:rPr>
          <w:rFonts w:hint="eastAsia"/>
          <w:color w:val="auto"/>
          <w:highlight w:val="none"/>
        </w:rPr>
        <w:t>建设项目工程分析</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8616"/>
      </w:tblGrid>
      <w:tr w14:paraId="49CF8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tcBorders>
              <w:tl2br w:val="nil"/>
              <w:tr2bl w:val="nil"/>
            </w:tcBorders>
            <w:vAlign w:val="center"/>
          </w:tcPr>
          <w:p w14:paraId="22222C56">
            <w:pPr>
              <w:ind w:firstLine="0" w:firstLineChars="0"/>
              <w:jc w:val="center"/>
              <w:rPr>
                <w:color w:val="auto"/>
                <w:highlight w:val="none"/>
              </w:rPr>
            </w:pPr>
            <w:r>
              <w:rPr>
                <w:rFonts w:hint="eastAsia" w:ascii="宋体"/>
                <w:color w:val="auto"/>
                <w:highlight w:val="none"/>
              </w:rPr>
              <w:t>建设内容</w:t>
            </w:r>
          </w:p>
        </w:tc>
        <w:tc>
          <w:tcPr>
            <w:tcW w:w="8616" w:type="dxa"/>
            <w:tcBorders>
              <w:tl2br w:val="nil"/>
              <w:tr2bl w:val="nil"/>
            </w:tcBorders>
            <w:shd w:val="clear" w:color="auto" w:fill="auto"/>
          </w:tcPr>
          <w:p w14:paraId="070DC9D2">
            <w:pPr>
              <w:keepNext w:val="0"/>
              <w:keepLines w:val="0"/>
              <w:widowControl/>
              <w:suppressLineNumbers w:val="0"/>
              <w:jc w:val="left"/>
              <w:rPr>
                <w:rFonts w:hint="eastAsia"/>
                <w:lang w:val="en-US" w:eastAsia="zh-CN"/>
              </w:rPr>
            </w:pPr>
            <w:bookmarkStart w:id="2" w:name="OLE_LINK14"/>
            <w:r>
              <w:rPr>
                <w:rFonts w:hint="eastAsia"/>
                <w:lang w:eastAsia="zh-CN"/>
              </w:rPr>
              <w:t>淮南益生包装材料有限公司</w:t>
            </w:r>
            <w:r>
              <w:rPr>
                <w:rFonts w:hint="eastAsia"/>
              </w:rPr>
              <w:t>于20</w:t>
            </w:r>
            <w:r>
              <w:rPr>
                <w:rFonts w:hint="eastAsia"/>
                <w:lang w:val="en-US" w:eastAsia="zh-CN"/>
              </w:rPr>
              <w:t>20</w:t>
            </w:r>
            <w:r>
              <w:rPr>
                <w:rFonts w:hint="eastAsia"/>
              </w:rPr>
              <w:t>年</w:t>
            </w:r>
            <w:r>
              <w:rPr>
                <w:rFonts w:hint="eastAsia"/>
                <w:lang w:val="en-US" w:eastAsia="zh-CN"/>
              </w:rPr>
              <w:t>成立，位于淮南市经济技术开发区吉兴路西侧3号，公司主要从事泡沫包装箱、纸制包装箱、塑料包装制品、塑料托盘、泡沫托盘、保温材料生产及销售，道路普通货物运输。</w:t>
            </w:r>
          </w:p>
          <w:p w14:paraId="7F2E400F">
            <w:pPr>
              <w:keepNext w:val="0"/>
              <w:keepLines w:val="0"/>
              <w:widowControl/>
              <w:suppressLineNumbers w:val="0"/>
              <w:jc w:val="left"/>
              <w:rPr>
                <w:rFonts w:hint="default"/>
                <w:lang w:val="en-US" w:eastAsia="zh-CN"/>
              </w:rPr>
            </w:pPr>
            <w:r>
              <w:rPr>
                <w:rFonts w:hint="eastAsia" w:ascii="Times New Roman" w:hAnsi="Times New Roman" w:eastAsia="宋体" w:cs="Times New Roman"/>
                <w:lang w:eastAsia="zh-CN"/>
              </w:rPr>
              <w:t>淮南市经济开发区的六大主导产业为：生物医药、纺织服装、机械电子、新型材料、食品加工、商贸流通，</w:t>
            </w:r>
            <w:r>
              <w:rPr>
                <w:rFonts w:hint="eastAsia" w:ascii="Times New Roman" w:hAnsi="Times New Roman" w:eastAsia="宋体" w:cs="Times New Roman"/>
                <w:lang w:val="en-US" w:eastAsia="zh-CN"/>
              </w:rPr>
              <w:t>现已入驻企业共107家，对泡沫包装箱的需求量日益新增。企业在开发区内进行生产，一方面方便包装箱的运输，另一方面可以降低生产、运输等成本，使开发区</w:t>
            </w:r>
            <w:r>
              <w:rPr>
                <w:rFonts w:hint="eastAsia" w:cs="Times New Roman"/>
                <w:lang w:val="en-US" w:eastAsia="zh-CN"/>
              </w:rPr>
              <w:t>及淮南市包装箱需求</w:t>
            </w:r>
            <w:r>
              <w:rPr>
                <w:rFonts w:hint="eastAsia" w:ascii="Times New Roman" w:hAnsi="Times New Roman" w:eastAsia="宋体" w:cs="Times New Roman"/>
                <w:lang w:val="en-US" w:eastAsia="zh-CN"/>
              </w:rPr>
              <w:t>企业获得便利。</w:t>
            </w:r>
            <w:r>
              <w:rPr>
                <w:rFonts w:hint="eastAsia" w:cs="Times New Roman"/>
                <w:lang w:val="en-US" w:eastAsia="zh-CN"/>
              </w:rPr>
              <w:t>随着新能源汽车制造业的发展，汽车零配件需求日益增大。</w:t>
            </w:r>
            <w:r>
              <w:rPr>
                <w:rFonts w:hint="eastAsia" w:ascii="Times New Roman" w:hAnsi="Times New Roman" w:eastAsia="宋体" w:cs="Times New Roman"/>
                <w:lang w:val="en-US" w:eastAsia="zh-CN"/>
              </w:rPr>
              <w:t>项</w:t>
            </w:r>
            <w:r>
              <w:rPr>
                <w:rFonts w:hint="eastAsia"/>
                <w:lang w:val="en-US" w:eastAsia="zh-CN"/>
              </w:rPr>
              <w:t>目租赁</w:t>
            </w:r>
            <w:r>
              <w:rPr>
                <w:rFonts w:hint="eastAsia"/>
                <w:color w:val="auto"/>
                <w:lang w:val="en-US" w:eastAsia="zh-CN"/>
              </w:rPr>
              <w:t>淮南益生啤酒有限公司</w:t>
            </w:r>
            <w:r>
              <w:rPr>
                <w:rFonts w:hint="default"/>
                <w:color w:val="auto"/>
                <w:lang w:val="en-US" w:eastAsia="zh-CN"/>
              </w:rPr>
              <w:t>的厂房</w:t>
            </w:r>
            <w:r>
              <w:rPr>
                <w:rFonts w:hint="eastAsia"/>
                <w:color w:val="auto"/>
                <w:lang w:val="en-US" w:eastAsia="zh-CN"/>
              </w:rPr>
              <w:t>，</w:t>
            </w:r>
            <w:r>
              <w:rPr>
                <w:rFonts w:hint="default"/>
                <w:color w:val="auto"/>
                <w:lang w:val="en-US" w:eastAsia="zh-CN"/>
              </w:rPr>
              <w:t>面积约</w:t>
            </w:r>
            <w:r>
              <w:rPr>
                <w:rFonts w:hint="default"/>
                <w:color w:val="auto"/>
                <w:highlight w:val="none"/>
                <w:lang w:val="en-US" w:eastAsia="zh-CN"/>
              </w:rPr>
              <w:t>为</w:t>
            </w:r>
            <w:r>
              <w:rPr>
                <w:rFonts w:hint="eastAsia"/>
                <w:color w:val="auto"/>
                <w:highlight w:val="none"/>
                <w:lang w:val="en-US" w:eastAsia="zh-CN"/>
              </w:rPr>
              <w:t>5000</w:t>
            </w:r>
            <w:r>
              <w:rPr>
                <w:rFonts w:hint="default"/>
                <w:color w:val="auto"/>
                <w:highlight w:val="none"/>
                <w:lang w:val="en-US" w:eastAsia="zh-CN"/>
              </w:rPr>
              <w:t>平方米，</w:t>
            </w:r>
            <w:r>
              <w:rPr>
                <w:rFonts w:hint="default"/>
                <w:color w:val="auto"/>
                <w:lang w:val="en-US" w:eastAsia="zh-CN"/>
              </w:rPr>
              <w:t>本项目</w:t>
            </w:r>
            <w:r>
              <w:rPr>
                <w:rFonts w:hint="eastAsia"/>
                <w:color w:val="auto"/>
                <w:lang w:val="en-US" w:eastAsia="zh-CN"/>
              </w:rPr>
              <w:t>建设</w:t>
            </w:r>
            <w:r>
              <w:rPr>
                <w:rFonts w:hint="eastAsia" w:ascii="宋体" w:hAnsi="宋体" w:eastAsia="宋体" w:cs="宋体"/>
                <w:color w:val="000000"/>
                <w:kern w:val="0"/>
                <w:sz w:val="24"/>
                <w:szCs w:val="24"/>
                <w:lang w:val="en-US" w:eastAsia="zh-CN" w:bidi="ar"/>
              </w:rPr>
              <w:t>EPP汽车零配件及EPS包装材料生产线各1条</w:t>
            </w:r>
            <w:r>
              <w:rPr>
                <w:rFonts w:hint="default"/>
                <w:color w:val="auto"/>
                <w:lang w:val="en-US" w:eastAsia="zh-CN"/>
              </w:rPr>
              <w:t>；项目投资</w:t>
            </w:r>
            <w:r>
              <w:rPr>
                <w:rFonts w:hint="eastAsia"/>
                <w:color w:val="auto"/>
                <w:lang w:val="en-US" w:eastAsia="zh-CN"/>
              </w:rPr>
              <w:t>5000</w:t>
            </w:r>
            <w:r>
              <w:rPr>
                <w:rFonts w:hint="default"/>
                <w:color w:val="auto"/>
                <w:lang w:val="en-US" w:eastAsia="zh-CN"/>
              </w:rPr>
              <w:t>万元，</w:t>
            </w:r>
            <w:r>
              <w:rPr>
                <w:rFonts w:hint="eastAsia"/>
                <w:color w:val="auto"/>
                <w:lang w:val="en-US" w:eastAsia="zh-CN"/>
              </w:rPr>
              <w:t>建成后可达到</w:t>
            </w:r>
            <w:r>
              <w:rPr>
                <w:rFonts w:hint="eastAsia" w:ascii="宋体" w:hAnsi="宋体" w:eastAsia="宋体" w:cs="宋体"/>
                <w:color w:val="000000"/>
                <w:kern w:val="0"/>
                <w:sz w:val="24"/>
                <w:szCs w:val="24"/>
                <w:lang w:val="en-US" w:eastAsia="zh-CN" w:bidi="ar"/>
              </w:rPr>
              <w:t>年产EPP汽车零配件1000吨、EPS包装材料6000吨</w:t>
            </w:r>
            <w:r>
              <w:rPr>
                <w:rFonts w:hint="eastAsia"/>
                <w:color w:val="auto"/>
                <w:lang w:val="en-US" w:eastAsia="zh-CN"/>
              </w:rPr>
              <w:t>。</w:t>
            </w:r>
          </w:p>
          <w:p w14:paraId="64AB2CC5">
            <w:pPr>
              <w:ind w:firstLine="482"/>
              <w:rPr>
                <w:b/>
                <w:bCs/>
                <w:color w:val="auto"/>
                <w:highlight w:val="none"/>
              </w:rPr>
            </w:pPr>
            <w:r>
              <w:rPr>
                <w:rFonts w:hint="eastAsia"/>
                <w:b/>
                <w:bCs/>
                <w:color w:val="auto"/>
                <w:highlight w:val="none"/>
              </w:rPr>
              <w:t>1、项目概况</w:t>
            </w:r>
          </w:p>
          <w:p w14:paraId="568EE3AB">
            <w:pPr>
              <w:ind w:firstLine="482"/>
              <w:rPr>
                <w:rFonts w:hint="eastAsia"/>
                <w:color w:val="auto"/>
                <w:highlight w:val="none"/>
                <w:lang w:eastAsia="zh-CN"/>
              </w:rPr>
            </w:pPr>
            <w:r>
              <w:rPr>
                <w:rFonts w:hint="eastAsia"/>
                <w:b/>
                <w:bCs/>
                <w:color w:val="auto"/>
                <w:highlight w:val="none"/>
              </w:rPr>
              <w:t>项目名称：</w:t>
            </w:r>
            <w:r>
              <w:rPr>
                <w:rFonts w:hint="eastAsia"/>
                <w:color w:val="auto"/>
                <w:highlight w:val="none"/>
                <w:lang w:eastAsia="zh-CN"/>
              </w:rPr>
              <w:t>EPP汽车零配件和EPS包装材料生产基地项目</w:t>
            </w:r>
          </w:p>
          <w:p w14:paraId="68E02775">
            <w:pPr>
              <w:ind w:firstLine="482"/>
              <w:rPr>
                <w:rFonts w:hint="eastAsia" w:eastAsia="宋体"/>
                <w:color w:val="auto"/>
                <w:highlight w:val="none"/>
                <w:lang w:eastAsia="zh-CN"/>
              </w:rPr>
            </w:pPr>
            <w:r>
              <w:rPr>
                <w:rFonts w:hint="eastAsia"/>
                <w:b/>
                <w:bCs/>
                <w:color w:val="auto"/>
                <w:highlight w:val="none"/>
              </w:rPr>
              <w:t>建设单位：</w:t>
            </w:r>
            <w:r>
              <w:rPr>
                <w:rFonts w:hint="eastAsia"/>
                <w:color w:val="auto"/>
                <w:highlight w:val="none"/>
                <w:lang w:eastAsia="zh-CN"/>
              </w:rPr>
              <w:t>淮南益生包装材料有限公司</w:t>
            </w:r>
          </w:p>
          <w:p w14:paraId="04AD1182">
            <w:pPr>
              <w:ind w:firstLine="482"/>
              <w:rPr>
                <w:rFonts w:hint="default" w:eastAsia="宋体"/>
                <w:lang w:val="en-US" w:eastAsia="zh-CN"/>
              </w:rPr>
            </w:pPr>
            <w:r>
              <w:rPr>
                <w:rFonts w:hint="eastAsia"/>
                <w:b/>
                <w:bCs/>
                <w:color w:val="auto"/>
                <w:highlight w:val="none"/>
              </w:rPr>
              <w:t>建设地址：</w:t>
            </w:r>
            <w:r>
              <w:rPr>
                <w:rFonts w:hint="eastAsia"/>
                <w:color w:val="auto"/>
                <w:highlight w:val="none"/>
                <w:lang w:val="zh-CN"/>
              </w:rPr>
              <w:t>本项目</w:t>
            </w:r>
            <w:r>
              <w:rPr>
                <w:rFonts w:hint="eastAsia"/>
                <w:color w:val="auto"/>
                <w:highlight w:val="none"/>
              </w:rPr>
              <w:t>位于</w:t>
            </w:r>
            <w:r>
              <w:rPr>
                <w:rFonts w:eastAsiaTheme="minorEastAsia"/>
                <w:szCs w:val="21"/>
              </w:rPr>
              <w:t>淮南市</w:t>
            </w:r>
            <w:r>
              <w:rPr>
                <w:rFonts w:hint="eastAsia" w:eastAsiaTheme="minorEastAsia"/>
                <w:szCs w:val="21"/>
                <w:lang w:val="en-US" w:eastAsia="zh-CN"/>
              </w:rPr>
              <w:t>经济开发区</w:t>
            </w:r>
            <w:r>
              <w:rPr>
                <w:rFonts w:hint="eastAsia" w:ascii="Times New Roman" w:hAnsi="Times New Roman" w:eastAsia="宋体" w:cs="Times New Roman"/>
                <w:color w:val="auto"/>
                <w:highlight w:val="none"/>
                <w:lang w:val="en-US" w:eastAsia="zh-CN"/>
              </w:rPr>
              <w:t>吉兴路西侧3号</w:t>
            </w:r>
            <w:r>
              <w:rPr>
                <w:rFonts w:hint="eastAsia"/>
                <w:color w:val="auto"/>
                <w:highlight w:val="none"/>
              </w:rPr>
              <w:t>（详</w:t>
            </w:r>
            <w:r>
              <w:rPr>
                <w:color w:val="auto"/>
                <w:highlight w:val="none"/>
              </w:rPr>
              <w:t>见附图</w:t>
            </w:r>
            <w:r>
              <w:rPr>
                <w:rFonts w:hint="eastAsia"/>
                <w:color w:val="auto"/>
                <w:highlight w:val="none"/>
              </w:rPr>
              <w:t>1项目地理位置图）。</w:t>
            </w:r>
          </w:p>
          <w:p w14:paraId="77CE27FC">
            <w:pPr>
              <w:rPr>
                <w:rFonts w:hint="eastAsia" w:eastAsia="宋体"/>
                <w:color w:val="auto"/>
                <w:highlight w:val="none"/>
                <w:lang w:eastAsia="zh-CN"/>
              </w:rPr>
            </w:pPr>
            <w:r>
              <w:rPr>
                <w:rFonts w:hint="eastAsia"/>
                <w:b/>
                <w:bCs/>
                <w:color w:val="auto"/>
                <w:highlight w:val="none"/>
              </w:rPr>
              <w:t>建设性质：</w:t>
            </w:r>
            <w:r>
              <w:rPr>
                <w:rFonts w:hint="eastAsia"/>
                <w:color w:val="auto"/>
                <w:highlight w:val="none"/>
                <w:lang w:val="en-US" w:eastAsia="zh-CN"/>
              </w:rPr>
              <w:t>新建</w:t>
            </w:r>
          </w:p>
          <w:p w14:paraId="5E9A292B">
            <w:pPr>
              <w:ind w:firstLine="482"/>
              <w:rPr>
                <w:color w:val="auto"/>
                <w:highlight w:val="none"/>
              </w:rPr>
            </w:pPr>
            <w:r>
              <w:rPr>
                <w:rFonts w:hint="eastAsia"/>
                <w:b/>
                <w:bCs/>
                <w:color w:val="auto"/>
                <w:highlight w:val="none"/>
              </w:rPr>
              <w:t>项目环评管理类别判定：</w:t>
            </w:r>
            <w:r>
              <w:rPr>
                <w:rFonts w:hint="eastAsia"/>
                <w:color w:val="auto"/>
                <w:highlight w:val="none"/>
              </w:rPr>
              <w:t>202</w:t>
            </w:r>
            <w:r>
              <w:rPr>
                <w:rFonts w:hint="eastAsia"/>
                <w:color w:val="auto"/>
                <w:highlight w:val="none"/>
                <w:lang w:val="en-US" w:eastAsia="zh-CN"/>
              </w:rPr>
              <w:t>4</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color w:val="auto"/>
                <w:highlight w:val="none"/>
              </w:rPr>
              <w:t>，</w:t>
            </w:r>
            <w:r>
              <w:rPr>
                <w:color w:val="auto"/>
                <w:lang w:val="en-US" w:eastAsia="zh-CN"/>
              </w:rPr>
              <w:t>淮南经济技术开发区管理委员会</w:t>
            </w:r>
            <w:r>
              <w:rPr>
                <w:color w:val="auto"/>
                <w:highlight w:val="none"/>
              </w:rPr>
              <w:t>同意</w:t>
            </w:r>
            <w:r>
              <w:rPr>
                <w:rFonts w:hint="eastAsia"/>
                <w:color w:val="auto"/>
                <w:highlight w:val="none"/>
              </w:rPr>
              <w:t>关于</w:t>
            </w:r>
            <w:r>
              <w:rPr>
                <w:rFonts w:hint="eastAsia"/>
                <w:color w:val="auto"/>
                <w:highlight w:val="none"/>
                <w:lang w:eastAsia="zh-CN"/>
              </w:rPr>
              <w:t>“EPP汽车零配件和EPS包装材料生产基地项目”</w:t>
            </w:r>
            <w:r>
              <w:rPr>
                <w:rFonts w:hint="eastAsia"/>
                <w:color w:val="auto"/>
                <w:highlight w:val="none"/>
              </w:rPr>
              <w:t>的</w:t>
            </w:r>
            <w:r>
              <w:rPr>
                <w:color w:val="auto"/>
                <w:highlight w:val="none"/>
              </w:rPr>
              <w:t>备案</w:t>
            </w:r>
            <w:r>
              <w:rPr>
                <w:rFonts w:hint="eastAsia"/>
                <w:color w:val="auto"/>
                <w:highlight w:val="none"/>
              </w:rPr>
              <w:t>，</w:t>
            </w:r>
            <w:r>
              <w:rPr>
                <w:rFonts w:hint="eastAsia"/>
                <w:color w:val="auto"/>
                <w:highlight w:val="none"/>
                <w:lang w:val="en-US" w:eastAsia="zh-CN"/>
              </w:rPr>
              <w:t>项目代码</w:t>
            </w:r>
            <w:r>
              <w:rPr>
                <w:rFonts w:hint="eastAsia"/>
                <w:color w:val="auto"/>
                <w:highlight w:val="none"/>
              </w:rPr>
              <w:t>为</w:t>
            </w:r>
            <w:r>
              <w:rPr>
                <w:rFonts w:hint="eastAsia"/>
                <w:color w:val="auto"/>
                <w:highlight w:val="none"/>
                <w:lang w:val="en-US" w:eastAsia="zh-CN"/>
              </w:rPr>
              <w:t>2409-340461-04-01-808309</w:t>
            </w:r>
            <w:r>
              <w:rPr>
                <w:rFonts w:hint="eastAsia"/>
                <w:color w:val="auto"/>
                <w:highlight w:val="none"/>
              </w:rPr>
              <w:t>。根据项目备案文件可知项目生产的产品主要为</w:t>
            </w:r>
            <w:r>
              <w:rPr>
                <w:rFonts w:hint="eastAsia" w:ascii="Times New Roman" w:hAnsi="Times New Roman" w:eastAsia="宋体" w:cs="Times New Roman"/>
                <w:color w:val="auto"/>
                <w:highlight w:val="none"/>
              </w:rPr>
              <w:t>：</w:t>
            </w:r>
            <w:r>
              <w:rPr>
                <w:rFonts w:hint="eastAsia"/>
                <w:color w:val="auto"/>
                <w:highlight w:val="none"/>
                <w:lang w:eastAsia="zh-CN"/>
              </w:rPr>
              <w:t>EPP汽车零配件和EPS包装材料</w:t>
            </w:r>
            <w:r>
              <w:rPr>
                <w:rFonts w:hint="eastAsia"/>
                <w:color w:val="auto"/>
                <w:highlight w:val="none"/>
              </w:rPr>
              <w:t>，属于《国民经济行业分类》（2</w:t>
            </w:r>
            <w:r>
              <w:rPr>
                <w:color w:val="auto"/>
                <w:highlight w:val="none"/>
              </w:rPr>
              <w:t>017</w:t>
            </w:r>
            <w:r>
              <w:rPr>
                <w:rFonts w:hint="eastAsia"/>
                <w:color w:val="auto"/>
                <w:highlight w:val="none"/>
              </w:rPr>
              <w:t>年版）的</w:t>
            </w:r>
            <w:r>
              <w:rPr>
                <w:color w:val="auto"/>
                <w:highlight w:val="none"/>
              </w:rPr>
              <w:t>C29</w:t>
            </w:r>
            <w:r>
              <w:rPr>
                <w:rFonts w:hint="eastAsia"/>
                <w:color w:val="auto"/>
                <w:highlight w:val="none"/>
                <w:lang w:val="en-US" w:eastAsia="zh-CN"/>
              </w:rPr>
              <w:t>29</w:t>
            </w:r>
            <w:r>
              <w:rPr>
                <w:rFonts w:hint="eastAsia"/>
                <w:color w:val="auto"/>
                <w:highlight w:val="none"/>
              </w:rPr>
              <w:t xml:space="preserve"> </w:t>
            </w:r>
            <w:r>
              <w:rPr>
                <w:rFonts w:hint="eastAsia" w:ascii="宋体" w:hAnsi="宋体" w:cs="宋体"/>
                <w:color w:val="auto"/>
                <w:kern w:val="0"/>
                <w:highlight w:val="none"/>
                <w:lang w:val="en-US" w:eastAsia="zh-CN"/>
              </w:rPr>
              <w:t xml:space="preserve">塑料零件及其他塑料制品制造 </w:t>
            </w:r>
            <w:r>
              <w:rPr>
                <w:color w:val="auto"/>
              </w:rPr>
              <w:t>C2924</w:t>
            </w:r>
            <w:r>
              <w:rPr>
                <w:rFonts w:hint="eastAsia"/>
                <w:color w:val="auto"/>
              </w:rPr>
              <w:t xml:space="preserve"> </w:t>
            </w:r>
            <w:r>
              <w:rPr>
                <w:rFonts w:hint="eastAsia" w:ascii="宋体" w:hAnsi="宋体" w:cs="宋体"/>
                <w:color w:val="auto"/>
                <w:kern w:val="0"/>
              </w:rPr>
              <w:t>泡沫塑料制造</w:t>
            </w:r>
            <w:r>
              <w:rPr>
                <w:rFonts w:hint="eastAsia"/>
                <w:color w:val="auto"/>
                <w:highlight w:val="none"/>
              </w:rPr>
              <w:t>。</w:t>
            </w:r>
          </w:p>
          <w:p w14:paraId="6A08736D">
            <w:pPr>
              <w:ind w:firstLine="480"/>
              <w:rPr>
                <w:rFonts w:hint="eastAsia"/>
                <w:color w:val="auto"/>
                <w:highlight w:val="none"/>
              </w:rPr>
            </w:pPr>
            <w:r>
              <w:rPr>
                <w:rFonts w:hint="eastAsia"/>
                <w:color w:val="auto"/>
                <w:highlight w:val="none"/>
              </w:rPr>
              <w:t>根据《建设项目环境影响评价分类管理名录（2021年版）》可知，</w:t>
            </w:r>
            <w:r>
              <w:rPr>
                <w:rFonts w:hint="eastAsia"/>
                <w:color w:val="auto"/>
                <w:highlight w:val="none"/>
                <w:lang w:val="en-US" w:eastAsia="zh-CN"/>
              </w:rPr>
              <w:t>本项目属于</w:t>
            </w:r>
            <w:r>
              <w:rPr>
                <w:rFonts w:hint="eastAsia"/>
                <w:color w:val="auto"/>
                <w:highlight w:val="none"/>
              </w:rPr>
              <w:t>名录表中的</w:t>
            </w:r>
            <w:r>
              <w:rPr>
                <w:rFonts w:hint="eastAsia"/>
                <w:color w:val="auto"/>
                <w:highlight w:val="none"/>
                <w:lang w:eastAsia="zh-CN"/>
              </w:rPr>
              <w:t>“</w:t>
            </w:r>
            <w:r>
              <w:rPr>
                <w:rFonts w:hint="eastAsia" w:ascii="宋体" w:hAnsi="宋体" w:cs="宋体"/>
                <w:color w:val="auto"/>
                <w:kern w:val="0"/>
              </w:rPr>
              <w:t>二十六-橡胶和塑料制品业-</w:t>
            </w:r>
            <w:r>
              <w:rPr>
                <w:rFonts w:hint="eastAsia"/>
                <w:color w:val="auto"/>
              </w:rPr>
              <w:t>53</w:t>
            </w:r>
            <w:r>
              <w:rPr>
                <w:rFonts w:hint="eastAsia" w:ascii="宋体" w:hAnsi="宋体" w:cs="宋体"/>
                <w:color w:val="auto"/>
                <w:kern w:val="0"/>
              </w:rPr>
              <w:t>塑料制品业</w:t>
            </w:r>
            <w:r>
              <w:rPr>
                <w:rFonts w:hint="eastAsia" w:ascii="宋体" w:hAnsi="宋体" w:cs="宋体"/>
                <w:color w:val="auto"/>
                <w:kern w:val="0"/>
                <w:lang w:val="en-US" w:eastAsia="zh-CN"/>
              </w:rPr>
              <w:t>292</w:t>
            </w:r>
            <w:r>
              <w:rPr>
                <w:rFonts w:hint="eastAsia"/>
                <w:color w:val="auto"/>
                <w:highlight w:val="none"/>
                <w:lang w:eastAsia="zh-CN"/>
              </w:rPr>
              <w:t>”</w:t>
            </w:r>
            <w:r>
              <w:rPr>
                <w:rFonts w:hint="eastAsia"/>
                <w:color w:val="auto"/>
                <w:highlight w:val="none"/>
              </w:rPr>
              <w:t>的报告表项：</w:t>
            </w:r>
            <w:r>
              <w:rPr>
                <w:rFonts w:hint="eastAsia"/>
                <w:color w:val="auto"/>
                <w:highlight w:val="none"/>
                <w:lang w:eastAsia="zh-CN"/>
              </w:rPr>
              <w:t>“</w:t>
            </w:r>
            <w:r>
              <w:rPr>
                <w:rFonts w:hint="eastAsia"/>
                <w:color w:val="auto"/>
                <w:highlight w:val="none"/>
                <w:lang w:val="en-US" w:eastAsia="zh-CN"/>
              </w:rPr>
              <w:t>其他</w:t>
            </w:r>
            <w:r>
              <w:rPr>
                <w:rFonts w:hint="eastAsia"/>
                <w:color w:val="auto"/>
                <w:highlight w:val="none"/>
                <w:lang w:eastAsia="zh-CN"/>
              </w:rPr>
              <w:t>”</w:t>
            </w:r>
            <w:r>
              <w:rPr>
                <w:rFonts w:hint="eastAsia"/>
                <w:color w:val="auto"/>
                <w:highlight w:val="none"/>
              </w:rPr>
              <w:t>，故项目需编制报告表。</w:t>
            </w:r>
          </w:p>
          <w:p w14:paraId="4C172E15">
            <w:pPr>
              <w:pStyle w:val="44"/>
              <w:bidi w:val="0"/>
            </w:pPr>
            <w:r>
              <w:rPr>
                <w:rFonts w:hint="eastAsia"/>
              </w:rPr>
              <w:t>表2-1 项目环评分类管理类别判定</w:t>
            </w:r>
          </w:p>
          <w:tbl>
            <w:tblPr>
              <w:tblStyle w:val="26"/>
              <w:tblW w:w="8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2483"/>
              <w:gridCol w:w="2430"/>
              <w:gridCol w:w="1905"/>
              <w:gridCol w:w="900"/>
            </w:tblGrid>
            <w:tr w14:paraId="35D9E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150" w:type="dxa"/>
                  <w:gridSpan w:val="2"/>
                  <w:tcBorders>
                    <w:tl2br w:val="single" w:color="auto" w:sz="4" w:space="0"/>
                  </w:tcBorders>
                  <w:noWrap w:val="0"/>
                  <w:vAlign w:val="center"/>
                </w:tcPr>
                <w:p w14:paraId="6F8FF72A">
                  <w:pPr>
                    <w:pStyle w:val="47"/>
                    <w:bidi w:val="0"/>
                    <w:jc w:val="right"/>
                  </w:pPr>
                  <w:r>
                    <w:rPr>
                      <w:rFonts w:hint="eastAsia"/>
                    </w:rPr>
                    <w:t>环评类别</w:t>
                  </w:r>
                </w:p>
                <w:p w14:paraId="36AE312C">
                  <w:pPr>
                    <w:pStyle w:val="47"/>
                    <w:bidi w:val="0"/>
                    <w:jc w:val="left"/>
                  </w:pPr>
                  <w:r>
                    <w:rPr>
                      <w:rFonts w:hint="eastAsia"/>
                    </w:rPr>
                    <w:t>项目类别</w:t>
                  </w:r>
                </w:p>
              </w:tc>
              <w:tc>
                <w:tcPr>
                  <w:tcW w:w="2430" w:type="dxa"/>
                  <w:noWrap w:val="0"/>
                  <w:vAlign w:val="center"/>
                </w:tcPr>
                <w:p w14:paraId="55E5CDCD">
                  <w:pPr>
                    <w:pStyle w:val="47"/>
                    <w:bidi w:val="0"/>
                  </w:pPr>
                  <w:r>
                    <w:rPr>
                      <w:rFonts w:hint="eastAsia"/>
                    </w:rPr>
                    <w:t>报告书</w:t>
                  </w:r>
                </w:p>
              </w:tc>
              <w:tc>
                <w:tcPr>
                  <w:tcW w:w="1905" w:type="dxa"/>
                  <w:noWrap w:val="0"/>
                  <w:vAlign w:val="center"/>
                </w:tcPr>
                <w:p w14:paraId="38EEF6DD">
                  <w:pPr>
                    <w:pStyle w:val="47"/>
                    <w:bidi w:val="0"/>
                  </w:pPr>
                  <w:r>
                    <w:rPr>
                      <w:rFonts w:hint="eastAsia"/>
                    </w:rPr>
                    <w:t>报告表</w:t>
                  </w:r>
                </w:p>
              </w:tc>
              <w:tc>
                <w:tcPr>
                  <w:tcW w:w="900" w:type="dxa"/>
                  <w:noWrap w:val="0"/>
                  <w:vAlign w:val="center"/>
                </w:tcPr>
                <w:p w14:paraId="5C8AE72B">
                  <w:pPr>
                    <w:pStyle w:val="47"/>
                    <w:bidi w:val="0"/>
                  </w:pPr>
                  <w:r>
                    <w:rPr>
                      <w:rFonts w:hint="eastAsia"/>
                    </w:rPr>
                    <w:t>登记表</w:t>
                  </w:r>
                </w:p>
              </w:tc>
            </w:tr>
            <w:tr w14:paraId="77C8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5" w:type="dxa"/>
                  <w:gridSpan w:val="5"/>
                  <w:noWrap w:val="0"/>
                  <w:vAlign w:val="center"/>
                </w:tcPr>
                <w:p w14:paraId="2638BBA6">
                  <w:pPr>
                    <w:pStyle w:val="47"/>
                    <w:bidi w:val="0"/>
                  </w:pPr>
                  <w:r>
                    <w:rPr>
                      <w:rFonts w:hint="eastAsia"/>
                    </w:rPr>
                    <w:t>二十六、橡胶和塑料制品业 29</w:t>
                  </w:r>
                </w:p>
              </w:tc>
            </w:tr>
            <w:tr w14:paraId="01F86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7" w:type="dxa"/>
                  <w:noWrap w:val="0"/>
                  <w:vAlign w:val="center"/>
                </w:tcPr>
                <w:p w14:paraId="5D26AF32">
                  <w:pPr>
                    <w:pStyle w:val="47"/>
                    <w:bidi w:val="0"/>
                    <w:rPr>
                      <w:rFonts w:hint="default" w:eastAsia="宋体"/>
                      <w:lang w:val="en-US" w:eastAsia="zh-CN"/>
                    </w:rPr>
                  </w:pPr>
                  <w:r>
                    <w:rPr>
                      <w:rFonts w:hint="eastAsia"/>
                      <w:lang w:val="en-US" w:eastAsia="zh-CN"/>
                    </w:rPr>
                    <w:t>53</w:t>
                  </w:r>
                </w:p>
              </w:tc>
              <w:tc>
                <w:tcPr>
                  <w:tcW w:w="2483" w:type="dxa"/>
                  <w:noWrap w:val="0"/>
                  <w:vAlign w:val="center"/>
                </w:tcPr>
                <w:p w14:paraId="393EDCF0">
                  <w:pPr>
                    <w:pStyle w:val="47"/>
                    <w:bidi w:val="0"/>
                  </w:pPr>
                  <w:r>
                    <w:rPr>
                      <w:rFonts w:hint="eastAsia"/>
                    </w:rPr>
                    <w:t>塑料制品业 292</w:t>
                  </w:r>
                </w:p>
              </w:tc>
              <w:tc>
                <w:tcPr>
                  <w:tcW w:w="2430" w:type="dxa"/>
                  <w:noWrap w:val="0"/>
                  <w:vAlign w:val="center"/>
                </w:tcPr>
                <w:p w14:paraId="0995057D">
                  <w:pPr>
                    <w:pStyle w:val="47"/>
                    <w:bidi w:val="0"/>
                  </w:pPr>
                  <w:r>
                    <w:rPr>
                      <w:rFonts w:hint="eastAsia"/>
                    </w:rPr>
                    <w:t>以再生塑料为原料生产的;有电镀工艺的</w:t>
                  </w:r>
                  <w:r>
                    <w:rPr>
                      <w:rFonts w:hint="eastAsia"/>
                      <w:lang w:eastAsia="zh-CN"/>
                    </w:rPr>
                    <w:t>；</w:t>
                  </w:r>
                  <w:r>
                    <w:rPr>
                      <w:rFonts w:hint="eastAsia"/>
                    </w:rPr>
                    <w:t>年用溶剂型胶粘剂10吨及以上的</w:t>
                  </w:r>
                  <w:r>
                    <w:rPr>
                      <w:rFonts w:hint="eastAsia"/>
                      <w:lang w:eastAsia="zh-CN"/>
                    </w:rPr>
                    <w:t>；</w:t>
                  </w:r>
                  <w:r>
                    <w:rPr>
                      <w:rFonts w:hint="eastAsia"/>
                    </w:rPr>
                    <w:t>年用溶剂型涂料(含稀释剂)10吨及以上的</w:t>
                  </w:r>
                </w:p>
              </w:tc>
              <w:tc>
                <w:tcPr>
                  <w:tcW w:w="1905" w:type="dxa"/>
                  <w:shd w:val="clear" w:color="auto" w:fill="A4A4A4" w:themeFill="background1" w:themeFillShade="A5"/>
                  <w:noWrap w:val="0"/>
                  <w:vAlign w:val="center"/>
                </w:tcPr>
                <w:p w14:paraId="75F1A42A">
                  <w:pPr>
                    <w:pStyle w:val="47"/>
                    <w:bidi w:val="0"/>
                  </w:pPr>
                  <w:r>
                    <w:rPr>
                      <w:rFonts w:hint="eastAsia"/>
                    </w:rPr>
                    <w:t>其他(年用非溶剂型低V0Cs含量涂料10吨以下的除外)</w:t>
                  </w:r>
                </w:p>
              </w:tc>
              <w:tc>
                <w:tcPr>
                  <w:tcW w:w="900" w:type="dxa"/>
                  <w:noWrap w:val="0"/>
                  <w:vAlign w:val="center"/>
                </w:tcPr>
                <w:p w14:paraId="012465FD">
                  <w:pPr>
                    <w:pStyle w:val="47"/>
                    <w:bidi w:val="0"/>
                  </w:pPr>
                  <w:r>
                    <w:rPr>
                      <w:rFonts w:hint="eastAsia"/>
                    </w:rPr>
                    <w:t>/</w:t>
                  </w:r>
                </w:p>
              </w:tc>
            </w:tr>
          </w:tbl>
          <w:p w14:paraId="656AD6CF">
            <w:pPr>
              <w:bidi w:val="0"/>
              <w:rPr>
                <w:rFonts w:hint="eastAsia"/>
                <w:color w:val="auto"/>
                <w:highlight w:val="none"/>
              </w:rPr>
            </w:pPr>
            <w:r>
              <w:rPr>
                <w:rFonts w:hint="eastAsia"/>
                <w:b/>
                <w:bCs/>
                <w:color w:val="auto"/>
                <w:highlight w:val="none"/>
              </w:rPr>
              <w:t>项目排污许可管理类别判定：</w:t>
            </w:r>
            <w:r>
              <w:rPr>
                <w:rFonts w:hint="eastAsia"/>
                <w:b w:val="0"/>
                <w:bCs w:val="0"/>
                <w:color w:val="auto"/>
                <w:highlight w:val="none"/>
                <w:lang w:val="en-US" w:eastAsia="zh-CN"/>
              </w:rPr>
              <w:t>本项目年产</w:t>
            </w:r>
            <w:r>
              <w:rPr>
                <w:rFonts w:hint="eastAsia" w:ascii="宋体" w:hAnsi="宋体" w:eastAsia="宋体" w:cs="宋体"/>
                <w:b w:val="0"/>
                <w:bCs w:val="0"/>
                <w:color w:val="000000"/>
                <w:kern w:val="0"/>
                <w:sz w:val="24"/>
                <w:szCs w:val="24"/>
                <w:lang w:val="en-US" w:eastAsia="zh-CN" w:bidi="ar"/>
              </w:rPr>
              <w:t>EP</w:t>
            </w:r>
            <w:r>
              <w:rPr>
                <w:rFonts w:hint="eastAsia" w:ascii="宋体" w:hAnsi="宋体" w:eastAsia="宋体" w:cs="宋体"/>
                <w:color w:val="000000"/>
                <w:kern w:val="0"/>
                <w:sz w:val="24"/>
                <w:szCs w:val="24"/>
                <w:lang w:val="en-US" w:eastAsia="zh-CN" w:bidi="ar"/>
              </w:rPr>
              <w:t>P汽车零配件1000吨、EPS包装材料6000吨。</w:t>
            </w:r>
            <w:r>
              <w:rPr>
                <w:rFonts w:hint="eastAsia"/>
                <w:color w:val="auto"/>
                <w:highlight w:val="none"/>
              </w:rPr>
              <w:t>根据</w:t>
            </w:r>
            <w:r>
              <w:rPr>
                <w:rFonts w:hint="eastAsia"/>
                <w:color w:val="auto"/>
                <w:highlight w:val="none"/>
                <w:lang w:eastAsia="zh-CN"/>
              </w:rPr>
              <w:t>《</w:t>
            </w:r>
            <w:r>
              <w:rPr>
                <w:rFonts w:hint="eastAsia"/>
                <w:color w:val="auto"/>
                <w:highlight w:val="none"/>
                <w:lang w:val="en-US" w:eastAsia="zh-CN"/>
              </w:rPr>
              <w:t>固定污染源排污许可分类管理名录</w:t>
            </w:r>
            <w:r>
              <w:rPr>
                <w:rFonts w:hint="eastAsia"/>
                <w:color w:val="auto"/>
                <w:highlight w:val="none"/>
                <w:lang w:eastAsia="zh-CN"/>
              </w:rPr>
              <w:t>》</w:t>
            </w:r>
            <w:r>
              <w:rPr>
                <w:rFonts w:hint="eastAsia"/>
                <w:color w:val="auto"/>
                <w:highlight w:val="none"/>
              </w:rPr>
              <w:t>，可知本项目</w:t>
            </w:r>
            <w:r>
              <w:rPr>
                <w:rFonts w:hint="eastAsia"/>
                <w:color w:val="auto"/>
                <w:highlight w:val="none"/>
                <w:lang w:val="en-US" w:eastAsia="zh-CN"/>
              </w:rPr>
              <w:t>排污许可证管理类别</w:t>
            </w:r>
            <w:r>
              <w:rPr>
                <w:rFonts w:hint="eastAsia"/>
                <w:color w:val="auto"/>
                <w:highlight w:val="none"/>
              </w:rPr>
              <w:t>属于名录表中</w:t>
            </w:r>
            <w:r>
              <w:rPr>
                <w:rFonts w:hint="eastAsia"/>
                <w:color w:val="auto"/>
                <w:highlight w:val="none"/>
                <w:lang w:eastAsia="zh-CN"/>
              </w:rPr>
              <w:t>“</w:t>
            </w:r>
            <w:r>
              <w:rPr>
                <w:rFonts w:hint="eastAsia"/>
                <w:color w:val="auto"/>
                <w:highlight w:val="none"/>
              </w:rPr>
              <w:t>二十</w:t>
            </w:r>
            <w:r>
              <w:rPr>
                <w:rFonts w:hint="eastAsia"/>
                <w:color w:val="auto"/>
                <w:highlight w:val="none"/>
                <w:lang w:val="en-US" w:eastAsia="zh-CN"/>
              </w:rPr>
              <w:t>四</w:t>
            </w:r>
            <w:r>
              <w:rPr>
                <w:rFonts w:hint="eastAsia"/>
                <w:color w:val="auto"/>
                <w:highlight w:val="none"/>
              </w:rPr>
              <w:t>、</w:t>
            </w:r>
            <w:r>
              <w:rPr>
                <w:rFonts w:hint="eastAsia"/>
                <w:color w:val="auto"/>
                <w:highlight w:val="none"/>
                <w:lang w:val="en-US" w:eastAsia="zh-CN"/>
              </w:rPr>
              <w:t>橡胶和塑料制品业</w:t>
            </w:r>
            <w:r>
              <w:rPr>
                <w:rFonts w:hint="eastAsia"/>
                <w:color w:val="auto"/>
                <w:highlight w:val="none"/>
              </w:rPr>
              <w:t xml:space="preserve"> </w:t>
            </w:r>
            <w:r>
              <w:rPr>
                <w:rFonts w:hint="eastAsia"/>
                <w:color w:val="auto"/>
                <w:highlight w:val="none"/>
                <w:lang w:val="en-US" w:eastAsia="zh-CN"/>
              </w:rPr>
              <w:t>29</w:t>
            </w:r>
            <w:r>
              <w:rPr>
                <w:rFonts w:hint="eastAsia"/>
                <w:color w:val="auto"/>
                <w:highlight w:val="none"/>
                <w:lang w:eastAsia="zh-CN"/>
              </w:rPr>
              <w:t>”</w:t>
            </w:r>
            <w:r>
              <w:rPr>
                <w:rFonts w:hint="eastAsia"/>
                <w:color w:val="auto"/>
                <w:highlight w:val="none"/>
              </w:rPr>
              <w:t>之下的</w:t>
            </w:r>
            <w:r>
              <w:rPr>
                <w:rFonts w:hint="eastAsia"/>
                <w:color w:val="auto"/>
                <w:highlight w:val="none"/>
                <w:lang w:eastAsia="zh-CN"/>
              </w:rPr>
              <w:t>“</w:t>
            </w:r>
            <w:r>
              <w:rPr>
                <w:rFonts w:hint="eastAsia"/>
                <w:color w:val="auto"/>
                <w:highlight w:val="none"/>
                <w:lang w:val="en-US" w:eastAsia="zh-CN"/>
              </w:rPr>
              <w:t>62</w:t>
            </w:r>
            <w:r>
              <w:rPr>
                <w:rFonts w:hint="eastAsia"/>
                <w:color w:val="auto"/>
                <w:highlight w:val="none"/>
              </w:rPr>
              <w:t xml:space="preserve"> </w:t>
            </w:r>
            <w:r>
              <w:rPr>
                <w:rFonts w:hint="eastAsia"/>
                <w:color w:val="auto"/>
                <w:highlight w:val="none"/>
                <w:lang w:val="en-US" w:eastAsia="zh-CN"/>
              </w:rPr>
              <w:t>塑料制品业292</w:t>
            </w:r>
            <w:r>
              <w:rPr>
                <w:rFonts w:hint="eastAsia"/>
                <w:color w:val="auto"/>
                <w:highlight w:val="none"/>
                <w:lang w:eastAsia="zh-CN"/>
              </w:rPr>
              <w:t>”</w:t>
            </w:r>
            <w:r>
              <w:rPr>
                <w:rFonts w:hint="eastAsia"/>
                <w:color w:val="auto"/>
                <w:highlight w:val="none"/>
              </w:rPr>
              <w:t>的</w:t>
            </w:r>
            <w:r>
              <w:rPr>
                <w:rFonts w:hint="eastAsia"/>
                <w:color w:val="auto"/>
                <w:highlight w:val="none"/>
                <w:lang w:val="en-US" w:eastAsia="zh-CN"/>
              </w:rPr>
              <w:t>登记</w:t>
            </w:r>
            <w:r>
              <w:rPr>
                <w:rFonts w:hint="eastAsia"/>
                <w:color w:val="auto"/>
                <w:highlight w:val="none"/>
              </w:rPr>
              <w:t>管理项</w:t>
            </w:r>
            <w:r>
              <w:rPr>
                <w:rFonts w:hint="eastAsia"/>
                <w:color w:val="auto"/>
                <w:highlight w:val="none"/>
                <w:lang w:val="en-US" w:eastAsia="zh-CN"/>
              </w:rPr>
              <w:t>-</w:t>
            </w:r>
            <w:r>
              <w:rPr>
                <w:rFonts w:hint="eastAsia"/>
                <w:color w:val="auto"/>
                <w:highlight w:val="none"/>
                <w:lang w:eastAsia="zh-CN"/>
              </w:rPr>
              <w:t>“</w:t>
            </w:r>
            <w:r>
              <w:rPr>
                <w:rFonts w:hint="eastAsia" w:ascii="宋体" w:hAnsi="宋体" w:cs="宋体"/>
                <w:color w:val="auto"/>
                <w:kern w:val="0"/>
                <w:highlight w:val="none"/>
                <w:lang w:val="en-US" w:eastAsia="zh-CN"/>
              </w:rPr>
              <w:t>其他</w:t>
            </w:r>
            <w:r>
              <w:rPr>
                <w:rFonts w:hint="eastAsia"/>
                <w:color w:val="auto"/>
                <w:highlight w:val="none"/>
                <w:lang w:eastAsia="zh-CN"/>
              </w:rPr>
              <w:t>”</w:t>
            </w:r>
            <w:r>
              <w:rPr>
                <w:rFonts w:hint="eastAsia"/>
                <w:color w:val="auto"/>
                <w:highlight w:val="none"/>
              </w:rPr>
              <w:t>，因此，项目生产建设内容</w:t>
            </w:r>
            <w:r>
              <w:rPr>
                <w:rFonts w:hint="eastAsia"/>
                <w:color w:val="auto"/>
                <w:highlight w:val="none"/>
                <w:lang w:val="en-US" w:eastAsia="zh-CN"/>
              </w:rPr>
              <w:t>需</w:t>
            </w:r>
            <w:r>
              <w:rPr>
                <w:rFonts w:hint="eastAsia"/>
                <w:color w:val="auto"/>
                <w:highlight w:val="none"/>
              </w:rPr>
              <w:t>进行</w:t>
            </w:r>
            <w:r>
              <w:rPr>
                <w:rFonts w:hint="eastAsia"/>
                <w:color w:val="auto"/>
                <w:highlight w:val="none"/>
                <w:lang w:val="en-US" w:eastAsia="zh-CN"/>
              </w:rPr>
              <w:t>登记</w:t>
            </w:r>
            <w:r>
              <w:rPr>
                <w:rFonts w:hint="eastAsia"/>
                <w:color w:val="auto"/>
                <w:highlight w:val="none"/>
              </w:rPr>
              <w:t>管理。</w:t>
            </w:r>
          </w:p>
          <w:p w14:paraId="0BFEDA71">
            <w:pPr>
              <w:pStyle w:val="44"/>
              <w:bidi w:val="0"/>
            </w:pPr>
            <w:r>
              <w:rPr>
                <w:rFonts w:hint="eastAsia"/>
              </w:rPr>
              <w:t>表2-2 项目排污许可管理类别判定</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638"/>
              <w:gridCol w:w="1195"/>
              <w:gridCol w:w="3705"/>
              <w:gridCol w:w="1171"/>
            </w:tblGrid>
            <w:tr w14:paraId="314E0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9" w:type="dxa"/>
                  <w:noWrap w:val="0"/>
                  <w:vAlign w:val="center"/>
                </w:tcPr>
                <w:p w14:paraId="017AE9B6">
                  <w:pPr>
                    <w:pStyle w:val="47"/>
                    <w:bidi w:val="0"/>
                  </w:pPr>
                  <w:r>
                    <w:rPr>
                      <w:rFonts w:hint="eastAsia"/>
                    </w:rPr>
                    <w:t>序号</w:t>
                  </w:r>
                </w:p>
              </w:tc>
              <w:tc>
                <w:tcPr>
                  <w:tcW w:w="1683" w:type="dxa"/>
                  <w:noWrap w:val="0"/>
                  <w:vAlign w:val="center"/>
                </w:tcPr>
                <w:p w14:paraId="0E3F9CC6">
                  <w:pPr>
                    <w:pStyle w:val="47"/>
                    <w:bidi w:val="0"/>
                  </w:pPr>
                  <w:r>
                    <w:rPr>
                      <w:rFonts w:hint="eastAsia"/>
                    </w:rPr>
                    <w:t>行业类别</w:t>
                  </w:r>
                </w:p>
              </w:tc>
              <w:tc>
                <w:tcPr>
                  <w:tcW w:w="1215" w:type="dxa"/>
                  <w:noWrap w:val="0"/>
                  <w:vAlign w:val="center"/>
                </w:tcPr>
                <w:p w14:paraId="2C36F840">
                  <w:pPr>
                    <w:pStyle w:val="47"/>
                    <w:bidi w:val="0"/>
                  </w:pPr>
                  <w:r>
                    <w:rPr>
                      <w:rFonts w:hint="eastAsia"/>
                    </w:rPr>
                    <w:t>重点管理</w:t>
                  </w:r>
                </w:p>
              </w:tc>
              <w:tc>
                <w:tcPr>
                  <w:tcW w:w="3822" w:type="dxa"/>
                  <w:noWrap w:val="0"/>
                  <w:vAlign w:val="center"/>
                </w:tcPr>
                <w:p w14:paraId="6DB159BE">
                  <w:pPr>
                    <w:pStyle w:val="47"/>
                    <w:bidi w:val="0"/>
                  </w:pPr>
                  <w:r>
                    <w:rPr>
                      <w:rFonts w:hint="eastAsia"/>
                    </w:rPr>
                    <w:t>简化管理</w:t>
                  </w:r>
                </w:p>
              </w:tc>
              <w:tc>
                <w:tcPr>
                  <w:tcW w:w="1198" w:type="dxa"/>
                  <w:noWrap w:val="0"/>
                  <w:vAlign w:val="center"/>
                </w:tcPr>
                <w:p w14:paraId="22E8E3B9">
                  <w:pPr>
                    <w:pStyle w:val="47"/>
                    <w:bidi w:val="0"/>
                  </w:pPr>
                  <w:r>
                    <w:rPr>
                      <w:rFonts w:hint="eastAsia"/>
                    </w:rPr>
                    <w:t>登记管理</w:t>
                  </w:r>
                </w:p>
              </w:tc>
            </w:tr>
            <w:tr w14:paraId="551B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7" w:type="dxa"/>
                  <w:gridSpan w:val="5"/>
                  <w:noWrap w:val="0"/>
                  <w:vAlign w:val="center"/>
                </w:tcPr>
                <w:p w14:paraId="4F80CE26">
                  <w:pPr>
                    <w:pStyle w:val="47"/>
                    <w:bidi w:val="0"/>
                    <w:rPr>
                      <w:rFonts w:hint="eastAsia"/>
                    </w:rPr>
                  </w:pPr>
                  <w:r>
                    <w:rPr>
                      <w:rFonts w:hint="eastAsia"/>
                    </w:rPr>
                    <w:t>二十四、橡胶和塑料制品业 29</w:t>
                  </w:r>
                </w:p>
              </w:tc>
            </w:tr>
            <w:tr w14:paraId="3CF9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9" w:type="dxa"/>
                  <w:noWrap w:val="0"/>
                  <w:vAlign w:val="center"/>
                </w:tcPr>
                <w:p w14:paraId="2335DB62">
                  <w:pPr>
                    <w:pStyle w:val="47"/>
                    <w:bidi w:val="0"/>
                    <w:rPr>
                      <w:rFonts w:hint="default"/>
                      <w:lang w:val="en-US" w:eastAsia="zh-CN"/>
                    </w:rPr>
                  </w:pPr>
                  <w:r>
                    <w:rPr>
                      <w:rFonts w:hint="eastAsia"/>
                      <w:lang w:val="en-US" w:eastAsia="zh-CN"/>
                    </w:rPr>
                    <w:t>62</w:t>
                  </w:r>
                </w:p>
              </w:tc>
              <w:tc>
                <w:tcPr>
                  <w:tcW w:w="1683" w:type="dxa"/>
                  <w:noWrap w:val="0"/>
                  <w:vAlign w:val="center"/>
                </w:tcPr>
                <w:p w14:paraId="65D546CC">
                  <w:pPr>
                    <w:pStyle w:val="47"/>
                    <w:bidi w:val="0"/>
                    <w:rPr>
                      <w:rFonts w:hint="default" w:eastAsia="宋体"/>
                      <w:lang w:val="en-US" w:eastAsia="zh-CN"/>
                    </w:rPr>
                  </w:pPr>
                  <w:r>
                    <w:rPr>
                      <w:rFonts w:hint="eastAsia"/>
                      <w:lang w:val="en-US" w:eastAsia="zh-CN"/>
                    </w:rPr>
                    <w:t>塑料制品业292</w:t>
                  </w:r>
                </w:p>
              </w:tc>
              <w:tc>
                <w:tcPr>
                  <w:tcW w:w="1215" w:type="dxa"/>
                  <w:noWrap w:val="0"/>
                  <w:vAlign w:val="center"/>
                </w:tcPr>
                <w:p w14:paraId="269FAF2E">
                  <w:pPr>
                    <w:pStyle w:val="47"/>
                    <w:bidi w:val="0"/>
                    <w:rPr>
                      <w:rFonts w:hint="eastAsia"/>
                    </w:rPr>
                  </w:pPr>
                  <w:r>
                    <w:rPr>
                      <w:rFonts w:hint="eastAsia"/>
                    </w:rPr>
                    <w:t>塑料人造革、合成革制造 2925</w:t>
                  </w:r>
                </w:p>
              </w:tc>
              <w:tc>
                <w:tcPr>
                  <w:tcW w:w="3822" w:type="dxa"/>
                  <w:noWrap w:val="0"/>
                  <w:vAlign w:val="center"/>
                </w:tcPr>
                <w:p w14:paraId="4407271F">
                  <w:pPr>
                    <w:pStyle w:val="47"/>
                    <w:bidi w:val="0"/>
                    <w:rPr>
                      <w:rFonts w:hint="eastAsia"/>
                    </w:rPr>
                  </w:pPr>
                  <w:r>
                    <w:rPr>
                      <w:rFonts w:hint="eastAsia"/>
                    </w:rPr>
                    <w:t>年产1万吨及以上的泡沫塑料制造 2924</w:t>
                  </w:r>
                  <w:r>
                    <w:rPr>
                      <w:rFonts w:hint="eastAsia"/>
                      <w:lang w:eastAsia="zh-CN"/>
                    </w:rPr>
                    <w:t>；</w:t>
                  </w:r>
                  <w:r>
                    <w:rPr>
                      <w:rFonts w:hint="eastAsia"/>
                    </w:rPr>
                    <w:t>年产1万吨及以上涉及改性的塑料薄膜制造 2921、塑料板、管、型材制造 2922、塑料丝、绳和编织品制造 2923、塑料包装箱及容器制造 2926、日用塑料品制造 2927、人造草坪制造 2928、塑料零件及其他塑料制品制造2929</w:t>
                  </w:r>
                </w:p>
              </w:tc>
              <w:tc>
                <w:tcPr>
                  <w:tcW w:w="1198" w:type="dxa"/>
                  <w:shd w:val="clear" w:color="auto" w:fill="A4A4A4" w:themeFill="background1" w:themeFillShade="A5"/>
                  <w:noWrap w:val="0"/>
                  <w:vAlign w:val="center"/>
                </w:tcPr>
                <w:p w14:paraId="5B8D907B">
                  <w:pPr>
                    <w:pStyle w:val="47"/>
                    <w:bidi w:val="0"/>
                    <w:rPr>
                      <w:rFonts w:hint="eastAsia"/>
                    </w:rPr>
                  </w:pPr>
                  <w:r>
                    <w:rPr>
                      <w:rFonts w:hint="eastAsia"/>
                    </w:rPr>
                    <w:t>其他</w:t>
                  </w:r>
                </w:p>
              </w:tc>
            </w:tr>
          </w:tbl>
          <w:p w14:paraId="6E5842F1">
            <w:pPr>
              <w:bidi w:val="0"/>
            </w:pPr>
            <w:r>
              <w:rPr>
                <w:rFonts w:hint="eastAsia"/>
              </w:rPr>
              <w:t>受</w:t>
            </w:r>
            <w:r>
              <w:rPr>
                <w:rFonts w:hint="eastAsia"/>
                <w:lang w:eastAsia="zh-CN"/>
              </w:rPr>
              <w:t>淮南益生包装材料有限公司</w:t>
            </w:r>
            <w:r>
              <w:rPr>
                <w:rFonts w:hint="eastAsia"/>
              </w:rPr>
              <w:t>委托，</w:t>
            </w:r>
            <w:r>
              <w:rPr>
                <w:rFonts w:hint="eastAsia"/>
                <w:lang w:eastAsia="zh-CN"/>
              </w:rPr>
              <w:t>安徽环晟环保科技有限公司</w:t>
            </w:r>
            <w:r>
              <w:rPr>
                <w:rFonts w:hint="eastAsia"/>
              </w:rPr>
              <w:t>承担本项目的环境影响评价工作。我单位通过现场踏勘调查、资料收集，并依据《建设项目环境影响报告表编制技术指南》（污染影响类）的要求编制了本项目的环境影响报告表，报请生态环境主管部门审批。</w:t>
            </w:r>
          </w:p>
          <w:p w14:paraId="04C44924">
            <w:pPr>
              <w:ind w:firstLine="482"/>
              <w:rPr>
                <w:b/>
                <w:bCs/>
                <w:color w:val="auto"/>
                <w:highlight w:val="none"/>
              </w:rPr>
            </w:pPr>
            <w:r>
              <w:rPr>
                <w:rFonts w:hint="eastAsia"/>
                <w:b/>
                <w:bCs/>
                <w:color w:val="auto"/>
                <w:highlight w:val="none"/>
              </w:rPr>
              <w:t>2、项目主要</w:t>
            </w:r>
            <w:r>
              <w:rPr>
                <w:b/>
                <w:bCs/>
                <w:color w:val="auto"/>
                <w:highlight w:val="none"/>
              </w:rPr>
              <w:t>建设内容及规模</w:t>
            </w:r>
          </w:p>
          <w:p w14:paraId="30C240F7">
            <w:pPr>
              <w:bidi w:val="0"/>
              <w:rPr>
                <w:color w:val="auto"/>
              </w:rPr>
            </w:pPr>
            <w:r>
              <w:rPr>
                <w:color w:val="auto"/>
              </w:rPr>
              <w:t>企业租赁</w:t>
            </w:r>
            <w:r>
              <w:rPr>
                <w:rFonts w:hint="eastAsia"/>
                <w:color w:val="auto"/>
                <w:lang w:val="en-US" w:eastAsia="zh-CN"/>
              </w:rPr>
              <w:t>淮南益生啤酒有限公司</w:t>
            </w:r>
            <w:r>
              <w:rPr>
                <w:rFonts w:hint="default"/>
                <w:color w:val="auto"/>
                <w:lang w:val="en-US" w:eastAsia="zh-CN"/>
              </w:rPr>
              <w:t>的厂房</w:t>
            </w:r>
            <w:r>
              <w:rPr>
                <w:color w:val="auto"/>
              </w:rPr>
              <w:t>进行生产建设，同时配套建设其他辅助设施。主要建设内容详见表2-</w:t>
            </w:r>
            <w:r>
              <w:rPr>
                <w:rFonts w:hint="eastAsia"/>
                <w:color w:val="auto"/>
              </w:rPr>
              <w:t>3</w:t>
            </w:r>
            <w:r>
              <w:rPr>
                <w:color w:val="auto"/>
              </w:rPr>
              <w:t>。</w:t>
            </w:r>
          </w:p>
          <w:p w14:paraId="530DBC60">
            <w:pPr>
              <w:pStyle w:val="44"/>
              <w:bidi w:val="0"/>
              <w:rPr>
                <w:rFonts w:hint="eastAsia"/>
              </w:rPr>
            </w:pPr>
            <w:r>
              <w:t>表</w:t>
            </w:r>
            <w:r>
              <w:rPr>
                <w:rFonts w:hint="eastAsia"/>
              </w:rPr>
              <w:t xml:space="preserve">2-3 </w:t>
            </w:r>
            <w:r>
              <w:t>项目建设内容组成一览表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1"/>
              <w:gridCol w:w="908"/>
              <w:gridCol w:w="1124"/>
              <w:gridCol w:w="2816"/>
              <w:gridCol w:w="1460"/>
              <w:gridCol w:w="1458"/>
            </w:tblGrid>
            <w:tr w14:paraId="12BAD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pct"/>
                  <w:noWrap w:val="0"/>
                  <w:vAlign w:val="center"/>
                </w:tcPr>
                <w:p w14:paraId="5FDAA1AE">
                  <w:pPr>
                    <w:pStyle w:val="47"/>
                    <w:bidi w:val="0"/>
                  </w:pPr>
                  <w:r>
                    <w:t>工程类别</w:t>
                  </w:r>
                </w:p>
              </w:tc>
              <w:tc>
                <w:tcPr>
                  <w:tcW w:w="541" w:type="pct"/>
                  <w:noWrap w:val="0"/>
                  <w:vAlign w:val="center"/>
                </w:tcPr>
                <w:p w14:paraId="551F01C2">
                  <w:pPr>
                    <w:pStyle w:val="47"/>
                    <w:bidi w:val="0"/>
                  </w:pPr>
                  <w:r>
                    <w:t>工程名称</w:t>
                  </w:r>
                </w:p>
              </w:tc>
              <w:tc>
                <w:tcPr>
                  <w:tcW w:w="2348" w:type="pct"/>
                  <w:gridSpan w:val="2"/>
                  <w:noWrap w:val="0"/>
                  <w:vAlign w:val="center"/>
                </w:tcPr>
                <w:p w14:paraId="0801E5EC">
                  <w:pPr>
                    <w:pStyle w:val="47"/>
                    <w:bidi w:val="0"/>
                  </w:pPr>
                  <w:r>
                    <w:t>工程建设内容</w:t>
                  </w:r>
                </w:p>
              </w:tc>
              <w:tc>
                <w:tcPr>
                  <w:tcW w:w="869" w:type="pct"/>
                  <w:noWrap w:val="0"/>
                  <w:vAlign w:val="center"/>
                </w:tcPr>
                <w:p w14:paraId="5E78535A">
                  <w:pPr>
                    <w:pStyle w:val="47"/>
                    <w:bidi w:val="0"/>
                  </w:pPr>
                  <w:r>
                    <w:t>工程建设规模</w:t>
                  </w:r>
                </w:p>
              </w:tc>
              <w:tc>
                <w:tcPr>
                  <w:tcW w:w="869" w:type="pct"/>
                  <w:noWrap w:val="0"/>
                  <w:vAlign w:val="center"/>
                </w:tcPr>
                <w:p w14:paraId="039E1F94">
                  <w:pPr>
                    <w:pStyle w:val="47"/>
                    <w:bidi w:val="0"/>
                    <w:rPr>
                      <w:rFonts w:hint="default" w:eastAsia="宋体"/>
                      <w:lang w:val="en-US" w:eastAsia="zh-CN"/>
                    </w:rPr>
                  </w:pPr>
                  <w:r>
                    <w:rPr>
                      <w:rFonts w:hint="eastAsia"/>
                      <w:lang w:val="en-US" w:eastAsia="zh-CN"/>
                    </w:rPr>
                    <w:t>与现有依托性</w:t>
                  </w:r>
                </w:p>
              </w:tc>
            </w:tr>
            <w:tr w14:paraId="0C67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pct"/>
                  <w:vMerge w:val="restart"/>
                  <w:noWrap w:val="0"/>
                  <w:vAlign w:val="center"/>
                </w:tcPr>
                <w:p w14:paraId="0A565AE5">
                  <w:pPr>
                    <w:pStyle w:val="47"/>
                    <w:bidi w:val="0"/>
                    <w:rPr>
                      <w:rFonts w:hint="eastAsia"/>
                    </w:rPr>
                  </w:pPr>
                  <w:r>
                    <w:t>主体</w:t>
                  </w:r>
                </w:p>
                <w:p w14:paraId="3EC45BF0">
                  <w:pPr>
                    <w:pStyle w:val="47"/>
                    <w:bidi w:val="0"/>
                  </w:pPr>
                  <w:r>
                    <w:t>工程</w:t>
                  </w:r>
                </w:p>
              </w:tc>
              <w:tc>
                <w:tcPr>
                  <w:tcW w:w="541" w:type="pct"/>
                  <w:vMerge w:val="restart"/>
                  <w:noWrap w:val="0"/>
                  <w:vAlign w:val="center"/>
                </w:tcPr>
                <w:p w14:paraId="20A047F5">
                  <w:pPr>
                    <w:pStyle w:val="47"/>
                    <w:bidi w:val="0"/>
                  </w:pPr>
                  <w:r>
                    <w:rPr>
                      <w:rFonts w:hint="eastAsia"/>
                    </w:rPr>
                    <w:t>生产车间</w:t>
                  </w:r>
                </w:p>
              </w:tc>
              <w:tc>
                <w:tcPr>
                  <w:tcW w:w="2348" w:type="pct"/>
                  <w:gridSpan w:val="2"/>
                  <w:noWrap w:val="0"/>
                  <w:vAlign w:val="center"/>
                </w:tcPr>
                <w:p w14:paraId="3FCFFB54">
                  <w:pPr>
                    <w:pStyle w:val="47"/>
                    <w:bidi w:val="0"/>
                    <w:rPr>
                      <w:rFonts w:hint="default" w:eastAsia="宋体"/>
                      <w:color w:val="auto"/>
                      <w:lang w:val="en-US" w:eastAsia="zh-CN"/>
                    </w:rPr>
                  </w:pPr>
                  <w:r>
                    <w:rPr>
                      <w:rFonts w:hint="eastAsia"/>
                      <w:color w:val="auto"/>
                    </w:rPr>
                    <w:t>1F</w:t>
                  </w:r>
                  <w:r>
                    <w:rPr>
                      <w:rFonts w:hint="eastAsia"/>
                      <w:color w:val="auto"/>
                      <w:lang w:eastAsia="zh-CN"/>
                    </w:rPr>
                    <w:t>，</w:t>
                  </w:r>
                  <w:r>
                    <w:rPr>
                      <w:rFonts w:hint="eastAsia"/>
                      <w:color w:val="auto"/>
                      <w:lang w:val="en-US" w:eastAsia="zh-CN"/>
                    </w:rPr>
                    <w:t>高8.5</w:t>
                  </w:r>
                  <w:r>
                    <w:rPr>
                      <w:rFonts w:hint="eastAsia"/>
                      <w:color w:val="auto"/>
                    </w:rPr>
                    <w:t>m钢结构厂房，</w:t>
                  </w:r>
                  <w:r>
                    <w:rPr>
                      <w:rFonts w:hint="eastAsia"/>
                      <w:color w:val="auto"/>
                      <w:lang w:val="en-US" w:eastAsia="zh-CN"/>
                    </w:rPr>
                    <w:t>1#厂房位于厂区南侧，占地面积约4000㎡；</w:t>
                  </w:r>
                  <w:r>
                    <w:rPr>
                      <w:rFonts w:hint="eastAsia"/>
                      <w:color w:val="auto"/>
                    </w:rPr>
                    <w:t>地面</w:t>
                  </w:r>
                  <w:r>
                    <w:rPr>
                      <w:rFonts w:hint="eastAsia"/>
                      <w:color w:val="auto"/>
                      <w:lang w:val="en-US" w:eastAsia="zh-CN"/>
                    </w:rPr>
                    <w:t>一般防渗</w:t>
                  </w:r>
                  <w:r>
                    <w:rPr>
                      <w:rFonts w:hint="eastAsia"/>
                      <w:color w:val="auto"/>
                      <w:lang w:eastAsia="zh-CN"/>
                    </w:rPr>
                    <w:t>。</w:t>
                  </w:r>
                  <w:r>
                    <w:rPr>
                      <w:rFonts w:hint="eastAsia"/>
                      <w:color w:val="auto"/>
                      <w:lang w:val="en-US" w:eastAsia="zh-CN"/>
                    </w:rPr>
                    <w:t>布设EPS包装材料生产线1条，其中EPS包装材料生产区位于1#厂房南侧，面积为2000㎡，</w:t>
                  </w:r>
                  <w:r>
                    <w:rPr>
                      <w:rFonts w:hint="eastAsia"/>
                      <w:color w:val="auto"/>
                      <w:highlight w:val="none"/>
                      <w:lang w:val="en-US" w:eastAsia="zh-CN"/>
                    </w:rPr>
                    <w:t>购置发泡机、预压机、成型机、熟化仓等设备</w:t>
                  </w:r>
                </w:p>
              </w:tc>
              <w:tc>
                <w:tcPr>
                  <w:tcW w:w="869" w:type="pct"/>
                  <w:noWrap w:val="0"/>
                  <w:vAlign w:val="center"/>
                </w:tcPr>
                <w:p w14:paraId="3B2375FE">
                  <w:pPr>
                    <w:pStyle w:val="47"/>
                    <w:bidi w:val="0"/>
                    <w:rPr>
                      <w:rFonts w:hint="default"/>
                      <w:color w:val="auto"/>
                      <w:lang w:val="en-US"/>
                    </w:rPr>
                  </w:pPr>
                  <w:r>
                    <w:rPr>
                      <w:rFonts w:hint="eastAsia"/>
                      <w:color w:val="auto"/>
                      <w:lang w:val="en-US" w:eastAsia="zh-CN"/>
                    </w:rPr>
                    <w:t>生产EPS包装箱制成品6000t/a</w:t>
                  </w:r>
                </w:p>
              </w:tc>
              <w:tc>
                <w:tcPr>
                  <w:tcW w:w="869" w:type="pct"/>
                  <w:noWrap w:val="0"/>
                  <w:vAlign w:val="center"/>
                </w:tcPr>
                <w:p w14:paraId="3EE0D130">
                  <w:pPr>
                    <w:pStyle w:val="47"/>
                    <w:bidi w:val="0"/>
                    <w:rPr>
                      <w:rFonts w:hint="default"/>
                      <w:lang w:val="en-US" w:eastAsia="zh-CN"/>
                    </w:rPr>
                  </w:pPr>
                  <w:r>
                    <w:rPr>
                      <w:rFonts w:hint="eastAsia"/>
                      <w:lang w:val="en-US" w:eastAsia="zh-CN"/>
                    </w:rPr>
                    <w:t>依托现有已建厂房</w:t>
                  </w:r>
                </w:p>
              </w:tc>
            </w:tr>
            <w:tr w14:paraId="21E61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pct"/>
                  <w:vMerge w:val="continue"/>
                  <w:noWrap w:val="0"/>
                  <w:vAlign w:val="center"/>
                </w:tcPr>
                <w:p w14:paraId="4D42B071">
                  <w:pPr>
                    <w:pStyle w:val="47"/>
                    <w:bidi w:val="0"/>
                  </w:pPr>
                </w:p>
              </w:tc>
              <w:tc>
                <w:tcPr>
                  <w:tcW w:w="541" w:type="pct"/>
                  <w:vMerge w:val="continue"/>
                  <w:noWrap w:val="0"/>
                  <w:vAlign w:val="center"/>
                </w:tcPr>
                <w:p w14:paraId="1883365C">
                  <w:pPr>
                    <w:pStyle w:val="47"/>
                    <w:bidi w:val="0"/>
                    <w:rPr>
                      <w:rFonts w:hint="eastAsia"/>
                    </w:rPr>
                  </w:pPr>
                </w:p>
              </w:tc>
              <w:tc>
                <w:tcPr>
                  <w:tcW w:w="2348" w:type="pct"/>
                  <w:gridSpan w:val="2"/>
                  <w:noWrap w:val="0"/>
                  <w:vAlign w:val="center"/>
                </w:tcPr>
                <w:p w14:paraId="08B67F65">
                  <w:pPr>
                    <w:pStyle w:val="47"/>
                    <w:bidi w:val="0"/>
                    <w:rPr>
                      <w:rFonts w:hint="eastAsia"/>
                      <w:color w:val="auto"/>
                    </w:rPr>
                  </w:pPr>
                  <w:r>
                    <w:rPr>
                      <w:rFonts w:hint="eastAsia"/>
                      <w:color w:val="auto"/>
                    </w:rPr>
                    <w:t>1F</w:t>
                  </w:r>
                  <w:r>
                    <w:rPr>
                      <w:rFonts w:hint="eastAsia"/>
                      <w:color w:val="auto"/>
                      <w:lang w:eastAsia="zh-CN"/>
                    </w:rPr>
                    <w:t>，</w:t>
                  </w:r>
                  <w:r>
                    <w:rPr>
                      <w:rFonts w:hint="eastAsia"/>
                      <w:color w:val="auto"/>
                      <w:lang w:val="en-US" w:eastAsia="zh-CN"/>
                    </w:rPr>
                    <w:t>高8.5</w:t>
                  </w:r>
                  <w:r>
                    <w:rPr>
                      <w:rFonts w:hint="eastAsia"/>
                      <w:color w:val="auto"/>
                    </w:rPr>
                    <w:t>m钢结构厂房，</w:t>
                  </w:r>
                  <w:r>
                    <w:rPr>
                      <w:rFonts w:hint="eastAsia"/>
                      <w:color w:val="auto"/>
                      <w:lang w:val="en-US" w:eastAsia="zh-CN"/>
                    </w:rPr>
                    <w:t>2#厂房位于厂区北侧，占地面积约1000㎡，</w:t>
                  </w:r>
                  <w:r>
                    <w:rPr>
                      <w:rFonts w:hint="eastAsia"/>
                      <w:color w:val="auto"/>
                    </w:rPr>
                    <w:t>地面</w:t>
                  </w:r>
                  <w:r>
                    <w:rPr>
                      <w:rFonts w:hint="eastAsia"/>
                      <w:color w:val="auto"/>
                      <w:lang w:val="en-US" w:eastAsia="zh-CN"/>
                    </w:rPr>
                    <w:t>一般防渗，布设EPP汽车零配件，EPP汽车零配件生产区位于2#厂房北侧，</w:t>
                  </w:r>
                  <w:r>
                    <w:rPr>
                      <w:color w:val="auto"/>
                    </w:rPr>
                    <w:t>面积为</w:t>
                  </w:r>
                  <w:r>
                    <w:rPr>
                      <w:rFonts w:hint="eastAsia"/>
                      <w:color w:val="auto"/>
                      <w:lang w:val="en-US" w:eastAsia="zh-CN"/>
                    </w:rPr>
                    <w:t>500㎡。</w:t>
                  </w:r>
                  <w:r>
                    <w:rPr>
                      <w:rFonts w:hint="eastAsia"/>
                      <w:color w:val="auto"/>
                      <w:highlight w:val="none"/>
                      <w:lang w:val="en-US" w:eastAsia="zh-CN"/>
                    </w:rPr>
                    <w:t>购置预压机、成型机等设备</w:t>
                  </w:r>
                </w:p>
              </w:tc>
              <w:tc>
                <w:tcPr>
                  <w:tcW w:w="869" w:type="pct"/>
                  <w:noWrap w:val="0"/>
                  <w:vAlign w:val="center"/>
                </w:tcPr>
                <w:p w14:paraId="43FFCBF2">
                  <w:pPr>
                    <w:pStyle w:val="47"/>
                    <w:bidi w:val="0"/>
                    <w:rPr>
                      <w:rFonts w:hint="eastAsia"/>
                      <w:color w:val="auto"/>
                      <w:lang w:val="en-US" w:eastAsia="zh-CN"/>
                    </w:rPr>
                  </w:pPr>
                  <w:r>
                    <w:rPr>
                      <w:rFonts w:hint="eastAsia"/>
                      <w:color w:val="auto"/>
                      <w:lang w:val="en-US" w:eastAsia="zh-CN"/>
                    </w:rPr>
                    <w:t>生产EPP汽车零配件1000t/a</w:t>
                  </w:r>
                </w:p>
              </w:tc>
              <w:tc>
                <w:tcPr>
                  <w:tcW w:w="869" w:type="pct"/>
                  <w:noWrap w:val="0"/>
                  <w:vAlign w:val="center"/>
                </w:tcPr>
                <w:p w14:paraId="4175CE9E">
                  <w:pPr>
                    <w:pStyle w:val="47"/>
                    <w:bidi w:val="0"/>
                    <w:rPr>
                      <w:rFonts w:hint="default"/>
                      <w:lang w:val="en-US" w:eastAsia="zh-CN"/>
                    </w:rPr>
                  </w:pPr>
                  <w:r>
                    <w:rPr>
                      <w:rFonts w:hint="eastAsia"/>
                      <w:lang w:val="en-US" w:eastAsia="zh-CN"/>
                    </w:rPr>
                    <w:t>新建</w:t>
                  </w:r>
                </w:p>
              </w:tc>
            </w:tr>
            <w:tr w14:paraId="2DF32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pct"/>
                  <w:vMerge w:val="restart"/>
                  <w:noWrap w:val="0"/>
                  <w:vAlign w:val="center"/>
                </w:tcPr>
                <w:p w14:paraId="0F3563E8">
                  <w:pPr>
                    <w:pStyle w:val="47"/>
                    <w:bidi w:val="0"/>
                    <w:rPr>
                      <w:rFonts w:hint="eastAsia"/>
                    </w:rPr>
                  </w:pPr>
                  <w:r>
                    <w:t>辅助</w:t>
                  </w:r>
                </w:p>
                <w:p w14:paraId="5A757291">
                  <w:pPr>
                    <w:pStyle w:val="47"/>
                    <w:bidi w:val="0"/>
                  </w:pPr>
                  <w:r>
                    <w:t>工程</w:t>
                  </w:r>
                </w:p>
              </w:tc>
              <w:tc>
                <w:tcPr>
                  <w:tcW w:w="541" w:type="pct"/>
                  <w:noWrap w:val="0"/>
                  <w:vAlign w:val="center"/>
                </w:tcPr>
                <w:p w14:paraId="1E2FC88D">
                  <w:pPr>
                    <w:pStyle w:val="47"/>
                    <w:bidi w:val="0"/>
                  </w:pPr>
                  <w:r>
                    <w:t>办公室</w:t>
                  </w:r>
                </w:p>
              </w:tc>
              <w:tc>
                <w:tcPr>
                  <w:tcW w:w="2348" w:type="pct"/>
                  <w:gridSpan w:val="2"/>
                  <w:noWrap w:val="0"/>
                  <w:vAlign w:val="center"/>
                </w:tcPr>
                <w:p w14:paraId="4C8339F8">
                  <w:pPr>
                    <w:pStyle w:val="47"/>
                    <w:bidi w:val="0"/>
                    <w:rPr>
                      <w:rFonts w:hint="eastAsia"/>
                      <w:color w:val="auto"/>
                      <w:lang w:eastAsia="zh-CN"/>
                    </w:rPr>
                  </w:pPr>
                  <w:r>
                    <w:rPr>
                      <w:rFonts w:hint="eastAsia"/>
                      <w:color w:val="auto"/>
                      <w:lang w:val="en-US" w:eastAsia="zh-CN"/>
                    </w:rPr>
                    <w:t>位于1#厂房东北角</w:t>
                  </w:r>
                  <w:r>
                    <w:rPr>
                      <w:rFonts w:hint="eastAsia"/>
                      <w:color w:val="auto"/>
                    </w:rPr>
                    <w:t>，用于生产人员办公</w:t>
                  </w:r>
                </w:p>
              </w:tc>
              <w:tc>
                <w:tcPr>
                  <w:tcW w:w="869" w:type="pct"/>
                  <w:noWrap w:val="0"/>
                  <w:vAlign w:val="center"/>
                </w:tcPr>
                <w:p w14:paraId="1CB058D4">
                  <w:pPr>
                    <w:pStyle w:val="47"/>
                    <w:bidi w:val="0"/>
                    <w:rPr>
                      <w:rFonts w:hint="default" w:eastAsia="宋体"/>
                      <w:color w:val="auto"/>
                      <w:lang w:val="en-US" w:eastAsia="zh-CN"/>
                    </w:rPr>
                  </w:pPr>
                  <w:r>
                    <w:rPr>
                      <w:rFonts w:hint="eastAsia"/>
                      <w:color w:val="auto"/>
                    </w:rPr>
                    <w:t>建筑面积约</w:t>
                  </w:r>
                  <w:r>
                    <w:rPr>
                      <w:rFonts w:hint="eastAsia"/>
                      <w:color w:val="auto"/>
                      <w:lang w:val="en-US" w:eastAsia="zh-CN"/>
                    </w:rPr>
                    <w:t>100㎡</w:t>
                  </w:r>
                </w:p>
              </w:tc>
              <w:tc>
                <w:tcPr>
                  <w:tcW w:w="869" w:type="pct"/>
                  <w:noWrap w:val="0"/>
                  <w:vAlign w:val="center"/>
                </w:tcPr>
                <w:p w14:paraId="61F945E5">
                  <w:pPr>
                    <w:pStyle w:val="47"/>
                    <w:bidi w:val="0"/>
                    <w:rPr>
                      <w:rFonts w:hint="eastAsia"/>
                    </w:rPr>
                  </w:pPr>
                  <w:r>
                    <w:rPr>
                      <w:rFonts w:hint="eastAsia"/>
                      <w:lang w:val="en-US" w:eastAsia="zh-CN"/>
                    </w:rPr>
                    <w:t>依托现有已建厂房</w:t>
                  </w:r>
                </w:p>
              </w:tc>
            </w:tr>
            <w:tr w14:paraId="78D1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pct"/>
                  <w:vMerge w:val="continue"/>
                  <w:noWrap w:val="0"/>
                  <w:vAlign w:val="center"/>
                </w:tcPr>
                <w:p w14:paraId="2E99AD07">
                  <w:pPr>
                    <w:pStyle w:val="47"/>
                    <w:bidi w:val="0"/>
                  </w:pPr>
                </w:p>
              </w:tc>
              <w:tc>
                <w:tcPr>
                  <w:tcW w:w="541" w:type="pct"/>
                  <w:vMerge w:val="restart"/>
                  <w:noWrap w:val="0"/>
                  <w:vAlign w:val="center"/>
                </w:tcPr>
                <w:p w14:paraId="13C3187B">
                  <w:pPr>
                    <w:pStyle w:val="47"/>
                    <w:bidi w:val="0"/>
                    <w:rPr>
                      <w:rFonts w:hint="eastAsia" w:eastAsia="宋体"/>
                      <w:lang w:val="en-US" w:eastAsia="zh-CN"/>
                    </w:rPr>
                  </w:pPr>
                  <w:r>
                    <w:rPr>
                      <w:rFonts w:hint="eastAsia"/>
                      <w:lang w:val="en-US" w:eastAsia="zh-CN"/>
                    </w:rPr>
                    <w:t>冷却系统</w:t>
                  </w:r>
                </w:p>
              </w:tc>
              <w:tc>
                <w:tcPr>
                  <w:tcW w:w="2348" w:type="pct"/>
                  <w:gridSpan w:val="2"/>
                  <w:noWrap w:val="0"/>
                  <w:vAlign w:val="center"/>
                </w:tcPr>
                <w:p w14:paraId="6C892ECB">
                  <w:pPr>
                    <w:pStyle w:val="47"/>
                    <w:bidi w:val="0"/>
                    <w:rPr>
                      <w:rFonts w:hint="default"/>
                      <w:color w:val="auto"/>
                      <w:lang w:val="en-US" w:eastAsia="zh-CN"/>
                    </w:rPr>
                  </w:pPr>
                  <w:r>
                    <w:rPr>
                      <w:rFonts w:hint="eastAsia"/>
                      <w:color w:val="auto"/>
                      <w:lang w:val="en-US" w:eastAsia="zh-CN"/>
                    </w:rPr>
                    <w:t>EPS包装材料生产线冷却系统位于1#厂房南侧，包括设备水冷却系统（200m³/h）、设备真空冷却系统、模具冷却水系统（200m³/h）、模具真空冷却系统。</w:t>
                  </w:r>
                </w:p>
              </w:tc>
              <w:tc>
                <w:tcPr>
                  <w:tcW w:w="869" w:type="pct"/>
                  <w:noWrap w:val="0"/>
                  <w:vAlign w:val="center"/>
                </w:tcPr>
                <w:p w14:paraId="261F6CC6">
                  <w:pPr>
                    <w:pStyle w:val="47"/>
                    <w:bidi w:val="0"/>
                    <w:rPr>
                      <w:rFonts w:hint="default" w:eastAsia="宋体"/>
                      <w:color w:val="auto"/>
                      <w:lang w:val="en-US" w:eastAsia="zh-CN"/>
                    </w:rPr>
                  </w:pPr>
                  <w:r>
                    <w:rPr>
                      <w:rFonts w:hint="eastAsia"/>
                      <w:color w:val="auto"/>
                      <w:lang w:val="en-US" w:eastAsia="zh-CN"/>
                    </w:rPr>
                    <w:t>建筑面积约200㎡</w:t>
                  </w:r>
                </w:p>
              </w:tc>
              <w:tc>
                <w:tcPr>
                  <w:tcW w:w="869" w:type="pct"/>
                  <w:noWrap w:val="0"/>
                  <w:vAlign w:val="center"/>
                </w:tcPr>
                <w:p w14:paraId="348DA7CA">
                  <w:pPr>
                    <w:pStyle w:val="47"/>
                    <w:bidi w:val="0"/>
                    <w:rPr>
                      <w:rFonts w:hint="default"/>
                      <w:lang w:val="en-US" w:eastAsia="zh-CN"/>
                    </w:rPr>
                  </w:pPr>
                  <w:r>
                    <w:rPr>
                      <w:rFonts w:hint="eastAsia"/>
                      <w:lang w:val="en-US" w:eastAsia="zh-CN"/>
                    </w:rPr>
                    <w:t>新建</w:t>
                  </w:r>
                </w:p>
              </w:tc>
            </w:tr>
            <w:tr w14:paraId="04289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pct"/>
                  <w:vMerge w:val="continue"/>
                  <w:noWrap w:val="0"/>
                  <w:vAlign w:val="center"/>
                </w:tcPr>
                <w:p w14:paraId="1CED1AF2">
                  <w:pPr>
                    <w:pStyle w:val="47"/>
                    <w:bidi w:val="0"/>
                  </w:pPr>
                </w:p>
              </w:tc>
              <w:tc>
                <w:tcPr>
                  <w:tcW w:w="541" w:type="pct"/>
                  <w:vMerge w:val="continue"/>
                  <w:noWrap w:val="0"/>
                  <w:vAlign w:val="center"/>
                </w:tcPr>
                <w:p w14:paraId="4E324847">
                  <w:pPr>
                    <w:pStyle w:val="47"/>
                    <w:bidi w:val="0"/>
                    <w:rPr>
                      <w:rFonts w:hint="eastAsia"/>
                      <w:lang w:val="en-US" w:eastAsia="zh-CN"/>
                    </w:rPr>
                  </w:pPr>
                </w:p>
              </w:tc>
              <w:tc>
                <w:tcPr>
                  <w:tcW w:w="2348" w:type="pct"/>
                  <w:gridSpan w:val="2"/>
                  <w:noWrap w:val="0"/>
                  <w:vAlign w:val="center"/>
                </w:tcPr>
                <w:p w14:paraId="4AF41FA6">
                  <w:pPr>
                    <w:pStyle w:val="47"/>
                    <w:bidi w:val="0"/>
                    <w:rPr>
                      <w:rFonts w:hint="eastAsia"/>
                      <w:color w:val="auto"/>
                      <w:lang w:val="en-US" w:eastAsia="zh-CN"/>
                    </w:rPr>
                  </w:pPr>
                  <w:r>
                    <w:rPr>
                      <w:rFonts w:hint="eastAsia"/>
                      <w:color w:val="auto"/>
                      <w:lang w:val="en-US" w:eastAsia="zh-CN"/>
                    </w:rPr>
                    <w:t>EPP汽车零配件生产线冷却系统位于2#厂房南侧，包括设备水冷却系统（200m³/h）、设备真空冷却系统、模具冷却水系统（200m³/h）、模具真空冷却系统。</w:t>
                  </w:r>
                </w:p>
              </w:tc>
              <w:tc>
                <w:tcPr>
                  <w:tcW w:w="869" w:type="pct"/>
                  <w:noWrap w:val="0"/>
                  <w:vAlign w:val="center"/>
                </w:tcPr>
                <w:p w14:paraId="65A205C1">
                  <w:pPr>
                    <w:pStyle w:val="47"/>
                    <w:bidi w:val="0"/>
                    <w:rPr>
                      <w:rFonts w:hint="eastAsia"/>
                      <w:color w:val="auto"/>
                      <w:lang w:val="en-US" w:eastAsia="zh-CN"/>
                    </w:rPr>
                  </w:pPr>
                  <w:r>
                    <w:rPr>
                      <w:rFonts w:hint="eastAsia"/>
                      <w:color w:val="auto"/>
                      <w:lang w:val="en-US" w:eastAsia="zh-CN"/>
                    </w:rPr>
                    <w:t>建筑面积约100㎡</w:t>
                  </w:r>
                </w:p>
              </w:tc>
              <w:tc>
                <w:tcPr>
                  <w:tcW w:w="869" w:type="pct"/>
                  <w:noWrap w:val="0"/>
                  <w:vAlign w:val="center"/>
                </w:tcPr>
                <w:p w14:paraId="10913719">
                  <w:pPr>
                    <w:pStyle w:val="47"/>
                    <w:bidi w:val="0"/>
                    <w:rPr>
                      <w:rFonts w:hint="eastAsia"/>
                      <w:lang w:val="en-US" w:eastAsia="zh-CN"/>
                    </w:rPr>
                  </w:pPr>
                  <w:r>
                    <w:rPr>
                      <w:rFonts w:hint="eastAsia"/>
                      <w:lang w:val="en-US" w:eastAsia="zh-CN"/>
                    </w:rPr>
                    <w:t>新建</w:t>
                  </w:r>
                </w:p>
              </w:tc>
            </w:tr>
            <w:tr w14:paraId="2B1C0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pct"/>
                  <w:vMerge w:val="continue"/>
                  <w:noWrap w:val="0"/>
                  <w:vAlign w:val="center"/>
                </w:tcPr>
                <w:p w14:paraId="1CF4D97D">
                  <w:pPr>
                    <w:pStyle w:val="47"/>
                    <w:bidi w:val="0"/>
                  </w:pPr>
                </w:p>
              </w:tc>
              <w:tc>
                <w:tcPr>
                  <w:tcW w:w="541" w:type="pct"/>
                  <w:vMerge w:val="restart"/>
                  <w:noWrap w:val="0"/>
                  <w:vAlign w:val="center"/>
                </w:tcPr>
                <w:p w14:paraId="1DAFCEE5">
                  <w:pPr>
                    <w:pStyle w:val="47"/>
                    <w:bidi w:val="0"/>
                    <w:rPr>
                      <w:rFonts w:hint="default"/>
                      <w:lang w:val="en-US" w:eastAsia="zh-CN"/>
                    </w:rPr>
                  </w:pPr>
                  <w:r>
                    <w:rPr>
                      <w:rFonts w:hint="eastAsia"/>
                      <w:lang w:val="en-US" w:eastAsia="zh-CN"/>
                    </w:rPr>
                    <w:t>空气压缩系统</w:t>
                  </w:r>
                </w:p>
              </w:tc>
              <w:tc>
                <w:tcPr>
                  <w:tcW w:w="2348" w:type="pct"/>
                  <w:gridSpan w:val="2"/>
                  <w:shd w:val="clear" w:color="auto" w:fill="auto"/>
                  <w:noWrap w:val="0"/>
                  <w:vAlign w:val="center"/>
                </w:tcPr>
                <w:p w14:paraId="04525C3E">
                  <w:pPr>
                    <w:pStyle w:val="47"/>
                    <w:bidi w:val="0"/>
                    <w:ind w:left="24" w:leftChars="10" w:right="24" w:rightChars="10" w:firstLine="0" w:firstLineChars="0"/>
                    <w:rPr>
                      <w:rFonts w:hint="default" w:ascii="Times New Roman" w:hAnsi="Times New Roman" w:eastAsia="宋体" w:cs="Times New Roman"/>
                      <w:b w:val="0"/>
                      <w:color w:val="auto"/>
                      <w:kern w:val="2"/>
                      <w:sz w:val="21"/>
                      <w:szCs w:val="21"/>
                      <w:lang w:val="en-US" w:eastAsia="zh-CN" w:bidi="ar-SA"/>
                    </w:rPr>
                  </w:pPr>
                  <w:r>
                    <w:rPr>
                      <w:rFonts w:hint="eastAsia"/>
                      <w:color w:val="auto"/>
                      <w:lang w:val="en-US" w:eastAsia="zh-CN"/>
                    </w:rPr>
                    <w:t>EPS包装材料生产线空气压缩系统位于1#厂房外西南角，包括高压、低压罐各一个及气泵</w:t>
                  </w:r>
                </w:p>
              </w:tc>
              <w:tc>
                <w:tcPr>
                  <w:tcW w:w="869" w:type="pct"/>
                  <w:noWrap w:val="0"/>
                  <w:vAlign w:val="center"/>
                </w:tcPr>
                <w:p w14:paraId="30A3D5D0">
                  <w:pPr>
                    <w:pStyle w:val="47"/>
                    <w:bidi w:val="0"/>
                    <w:rPr>
                      <w:rFonts w:hint="default"/>
                      <w:color w:val="auto"/>
                      <w:lang w:val="en-US" w:eastAsia="zh-CN"/>
                    </w:rPr>
                  </w:pPr>
                  <w:r>
                    <w:rPr>
                      <w:rFonts w:hint="eastAsia"/>
                      <w:color w:val="auto"/>
                      <w:lang w:val="en-US" w:eastAsia="zh-CN"/>
                    </w:rPr>
                    <w:t>建筑面积约30㎡</w:t>
                  </w:r>
                </w:p>
              </w:tc>
              <w:tc>
                <w:tcPr>
                  <w:tcW w:w="869" w:type="pct"/>
                  <w:noWrap w:val="0"/>
                  <w:vAlign w:val="center"/>
                </w:tcPr>
                <w:p w14:paraId="7C71FE28">
                  <w:pPr>
                    <w:pStyle w:val="47"/>
                    <w:bidi w:val="0"/>
                    <w:rPr>
                      <w:rFonts w:hint="eastAsia"/>
                      <w:lang w:val="en-US" w:eastAsia="zh-CN"/>
                    </w:rPr>
                  </w:pPr>
                  <w:r>
                    <w:rPr>
                      <w:rFonts w:hint="eastAsia"/>
                      <w:lang w:val="en-US" w:eastAsia="zh-CN"/>
                    </w:rPr>
                    <w:t>新建</w:t>
                  </w:r>
                </w:p>
              </w:tc>
            </w:tr>
            <w:tr w14:paraId="4E33A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pct"/>
                  <w:vMerge w:val="continue"/>
                  <w:noWrap w:val="0"/>
                  <w:vAlign w:val="center"/>
                </w:tcPr>
                <w:p w14:paraId="483A077D">
                  <w:pPr>
                    <w:pStyle w:val="47"/>
                    <w:bidi w:val="0"/>
                  </w:pPr>
                </w:p>
              </w:tc>
              <w:tc>
                <w:tcPr>
                  <w:tcW w:w="541" w:type="pct"/>
                  <w:vMerge w:val="continue"/>
                  <w:noWrap w:val="0"/>
                  <w:vAlign w:val="center"/>
                </w:tcPr>
                <w:p w14:paraId="4F89A5F5">
                  <w:pPr>
                    <w:pStyle w:val="47"/>
                    <w:bidi w:val="0"/>
                    <w:rPr>
                      <w:rFonts w:hint="eastAsia"/>
                      <w:lang w:val="en-US" w:eastAsia="zh-CN"/>
                    </w:rPr>
                  </w:pPr>
                </w:p>
              </w:tc>
              <w:tc>
                <w:tcPr>
                  <w:tcW w:w="2348" w:type="pct"/>
                  <w:gridSpan w:val="2"/>
                  <w:shd w:val="clear" w:color="auto" w:fill="auto"/>
                  <w:noWrap w:val="0"/>
                  <w:vAlign w:val="center"/>
                </w:tcPr>
                <w:p w14:paraId="1B610418">
                  <w:pPr>
                    <w:pStyle w:val="47"/>
                    <w:bidi w:val="0"/>
                    <w:ind w:left="24" w:leftChars="10" w:right="24" w:rightChars="10" w:firstLine="0" w:firstLineChars="0"/>
                    <w:rPr>
                      <w:rFonts w:hint="eastAsia" w:ascii="Times New Roman" w:hAnsi="Times New Roman" w:eastAsia="宋体" w:cs="Times New Roman"/>
                      <w:b w:val="0"/>
                      <w:color w:val="auto"/>
                      <w:kern w:val="2"/>
                      <w:sz w:val="21"/>
                      <w:szCs w:val="21"/>
                      <w:lang w:val="en-US" w:eastAsia="zh-CN" w:bidi="ar-SA"/>
                    </w:rPr>
                  </w:pPr>
                  <w:r>
                    <w:rPr>
                      <w:rFonts w:hint="eastAsia"/>
                      <w:color w:val="auto"/>
                      <w:lang w:val="en-US" w:eastAsia="zh-CN"/>
                    </w:rPr>
                    <w:t>EPP汽车零配件生产线冷却系统位于2#厂房外南角，包括包括高压、低压罐各一个及气泵</w:t>
                  </w:r>
                </w:p>
              </w:tc>
              <w:tc>
                <w:tcPr>
                  <w:tcW w:w="869" w:type="pct"/>
                  <w:noWrap w:val="0"/>
                  <w:vAlign w:val="center"/>
                </w:tcPr>
                <w:p w14:paraId="338DC399">
                  <w:pPr>
                    <w:pStyle w:val="47"/>
                    <w:bidi w:val="0"/>
                    <w:rPr>
                      <w:rFonts w:hint="eastAsia"/>
                      <w:color w:val="auto"/>
                      <w:lang w:val="en-US" w:eastAsia="zh-CN"/>
                    </w:rPr>
                  </w:pPr>
                  <w:r>
                    <w:rPr>
                      <w:rFonts w:hint="eastAsia"/>
                      <w:color w:val="auto"/>
                      <w:lang w:val="en-US" w:eastAsia="zh-CN"/>
                    </w:rPr>
                    <w:t>建筑面积约30㎡</w:t>
                  </w:r>
                </w:p>
              </w:tc>
              <w:tc>
                <w:tcPr>
                  <w:tcW w:w="869" w:type="pct"/>
                  <w:noWrap w:val="0"/>
                  <w:vAlign w:val="center"/>
                </w:tcPr>
                <w:p w14:paraId="4A6B3619">
                  <w:pPr>
                    <w:pStyle w:val="47"/>
                    <w:bidi w:val="0"/>
                    <w:rPr>
                      <w:rFonts w:hint="eastAsia"/>
                      <w:lang w:val="en-US" w:eastAsia="zh-CN"/>
                    </w:rPr>
                  </w:pPr>
                  <w:r>
                    <w:rPr>
                      <w:rFonts w:hint="eastAsia"/>
                      <w:lang w:val="en-US" w:eastAsia="zh-CN"/>
                    </w:rPr>
                    <w:t>新建</w:t>
                  </w:r>
                </w:p>
              </w:tc>
            </w:tr>
            <w:tr w14:paraId="5CC8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pct"/>
                  <w:vMerge w:val="continue"/>
                  <w:noWrap w:val="0"/>
                  <w:vAlign w:val="center"/>
                </w:tcPr>
                <w:p w14:paraId="7137ADB6">
                  <w:pPr>
                    <w:pStyle w:val="47"/>
                    <w:bidi w:val="0"/>
                  </w:pPr>
                </w:p>
              </w:tc>
              <w:tc>
                <w:tcPr>
                  <w:tcW w:w="541" w:type="pct"/>
                  <w:vMerge w:val="restart"/>
                  <w:noWrap w:val="0"/>
                  <w:vAlign w:val="center"/>
                </w:tcPr>
                <w:p w14:paraId="1E88BA3A">
                  <w:pPr>
                    <w:pStyle w:val="47"/>
                    <w:bidi w:val="0"/>
                    <w:rPr>
                      <w:rFonts w:hint="default"/>
                      <w:lang w:val="en-US" w:eastAsia="zh-CN"/>
                    </w:rPr>
                  </w:pPr>
                  <w:r>
                    <w:rPr>
                      <w:rFonts w:hint="eastAsia"/>
                      <w:lang w:val="en-US" w:eastAsia="zh-CN"/>
                    </w:rPr>
                    <w:t>烘房</w:t>
                  </w:r>
                </w:p>
              </w:tc>
              <w:tc>
                <w:tcPr>
                  <w:tcW w:w="2348" w:type="pct"/>
                  <w:gridSpan w:val="2"/>
                  <w:shd w:val="clear" w:color="auto" w:fill="auto"/>
                  <w:noWrap w:val="0"/>
                  <w:vAlign w:val="center"/>
                </w:tcPr>
                <w:p w14:paraId="434E7D53">
                  <w:pPr>
                    <w:pStyle w:val="47"/>
                    <w:bidi w:val="0"/>
                    <w:ind w:left="24" w:leftChars="10" w:right="24" w:rightChars="10" w:firstLine="0" w:firstLineChars="0"/>
                    <w:rPr>
                      <w:rFonts w:hint="default" w:ascii="Times New Roman" w:hAnsi="Times New Roman" w:eastAsia="宋体" w:cs="Times New Roman"/>
                      <w:b w:val="0"/>
                      <w:color w:val="auto"/>
                      <w:kern w:val="2"/>
                      <w:sz w:val="21"/>
                      <w:szCs w:val="21"/>
                      <w:lang w:val="en-US" w:eastAsia="zh-CN" w:bidi="ar-SA"/>
                    </w:rPr>
                  </w:pPr>
                  <w:r>
                    <w:rPr>
                      <w:rFonts w:hint="eastAsia"/>
                      <w:color w:val="auto"/>
                      <w:lang w:val="en-US" w:eastAsia="zh-CN"/>
                    </w:rPr>
                    <w:t>EPS包装材料生产线烘房位于1#厂房中部，用于EPS包装材料烘干工序</w:t>
                  </w:r>
                </w:p>
              </w:tc>
              <w:tc>
                <w:tcPr>
                  <w:tcW w:w="869" w:type="pct"/>
                  <w:noWrap w:val="0"/>
                  <w:vAlign w:val="center"/>
                </w:tcPr>
                <w:p w14:paraId="242CE062">
                  <w:pPr>
                    <w:pStyle w:val="47"/>
                    <w:bidi w:val="0"/>
                    <w:rPr>
                      <w:rFonts w:hint="default"/>
                      <w:color w:val="auto"/>
                      <w:highlight w:val="none"/>
                      <w:lang w:val="en-US" w:eastAsia="zh-CN"/>
                    </w:rPr>
                  </w:pPr>
                  <w:r>
                    <w:rPr>
                      <w:rFonts w:hint="eastAsia"/>
                      <w:color w:val="auto"/>
                      <w:highlight w:val="none"/>
                      <w:lang w:val="en-US" w:eastAsia="zh-CN"/>
                    </w:rPr>
                    <w:t>长×宽×高：69m×12m×3m</w:t>
                  </w:r>
                </w:p>
              </w:tc>
              <w:tc>
                <w:tcPr>
                  <w:tcW w:w="869" w:type="pct"/>
                  <w:noWrap w:val="0"/>
                  <w:vAlign w:val="center"/>
                </w:tcPr>
                <w:p w14:paraId="4271D48C">
                  <w:pPr>
                    <w:pStyle w:val="47"/>
                    <w:bidi w:val="0"/>
                    <w:rPr>
                      <w:rFonts w:hint="eastAsia"/>
                      <w:highlight w:val="none"/>
                      <w:lang w:val="en-US" w:eastAsia="zh-CN"/>
                    </w:rPr>
                  </w:pPr>
                  <w:r>
                    <w:rPr>
                      <w:rFonts w:hint="eastAsia"/>
                      <w:lang w:val="en-US" w:eastAsia="zh-CN"/>
                    </w:rPr>
                    <w:t>新建</w:t>
                  </w:r>
                </w:p>
              </w:tc>
            </w:tr>
            <w:tr w14:paraId="61D09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pct"/>
                  <w:vMerge w:val="continue"/>
                  <w:noWrap w:val="0"/>
                  <w:vAlign w:val="center"/>
                </w:tcPr>
                <w:p w14:paraId="210F7FD0">
                  <w:pPr>
                    <w:pStyle w:val="47"/>
                    <w:bidi w:val="0"/>
                  </w:pPr>
                </w:p>
              </w:tc>
              <w:tc>
                <w:tcPr>
                  <w:tcW w:w="541" w:type="pct"/>
                  <w:vMerge w:val="continue"/>
                  <w:noWrap w:val="0"/>
                  <w:vAlign w:val="center"/>
                </w:tcPr>
                <w:p w14:paraId="1527F8C0">
                  <w:pPr>
                    <w:pStyle w:val="47"/>
                    <w:bidi w:val="0"/>
                    <w:rPr>
                      <w:rFonts w:hint="eastAsia"/>
                      <w:lang w:val="en-US" w:eastAsia="zh-CN"/>
                    </w:rPr>
                  </w:pPr>
                </w:p>
              </w:tc>
              <w:tc>
                <w:tcPr>
                  <w:tcW w:w="2348" w:type="pct"/>
                  <w:gridSpan w:val="2"/>
                  <w:shd w:val="clear" w:color="auto" w:fill="auto"/>
                  <w:noWrap w:val="0"/>
                  <w:vAlign w:val="center"/>
                </w:tcPr>
                <w:p w14:paraId="32F5D544">
                  <w:pPr>
                    <w:pStyle w:val="47"/>
                    <w:bidi w:val="0"/>
                    <w:ind w:left="24" w:leftChars="10" w:right="24" w:rightChars="10" w:firstLine="0" w:firstLineChars="0"/>
                    <w:rPr>
                      <w:rFonts w:hint="default" w:ascii="Times New Roman" w:hAnsi="Times New Roman" w:eastAsia="宋体" w:cs="Times New Roman"/>
                      <w:b w:val="0"/>
                      <w:color w:val="auto"/>
                      <w:kern w:val="2"/>
                      <w:sz w:val="21"/>
                      <w:szCs w:val="21"/>
                      <w:lang w:val="en-US" w:eastAsia="zh-CN" w:bidi="ar-SA"/>
                    </w:rPr>
                  </w:pPr>
                  <w:r>
                    <w:rPr>
                      <w:rFonts w:hint="eastAsia"/>
                      <w:color w:val="auto"/>
                      <w:lang w:val="en-US" w:eastAsia="zh-CN"/>
                    </w:rPr>
                    <w:t>EPP汽车零配件生产线烘房位于2#厂房中部，用于EPP汽车零配件烘干工序</w:t>
                  </w:r>
                </w:p>
              </w:tc>
              <w:tc>
                <w:tcPr>
                  <w:tcW w:w="869" w:type="pct"/>
                  <w:noWrap w:val="0"/>
                  <w:vAlign w:val="center"/>
                </w:tcPr>
                <w:p w14:paraId="5DC14E25">
                  <w:pPr>
                    <w:pStyle w:val="47"/>
                    <w:bidi w:val="0"/>
                    <w:rPr>
                      <w:rFonts w:hint="eastAsia"/>
                      <w:color w:val="auto"/>
                      <w:highlight w:val="none"/>
                      <w:lang w:val="en-US" w:eastAsia="zh-CN"/>
                    </w:rPr>
                  </w:pPr>
                  <w:r>
                    <w:rPr>
                      <w:rFonts w:hint="eastAsia"/>
                      <w:color w:val="auto"/>
                      <w:highlight w:val="none"/>
                      <w:lang w:val="en-US" w:eastAsia="zh-CN"/>
                    </w:rPr>
                    <w:t>长×宽×高：69m×5m×3m</w:t>
                  </w:r>
                </w:p>
              </w:tc>
              <w:tc>
                <w:tcPr>
                  <w:tcW w:w="869" w:type="pct"/>
                  <w:noWrap w:val="0"/>
                  <w:vAlign w:val="center"/>
                </w:tcPr>
                <w:p w14:paraId="22A44EFA">
                  <w:pPr>
                    <w:pStyle w:val="47"/>
                    <w:bidi w:val="0"/>
                    <w:rPr>
                      <w:rFonts w:hint="eastAsia"/>
                      <w:highlight w:val="none"/>
                      <w:lang w:val="en-US" w:eastAsia="zh-CN"/>
                    </w:rPr>
                  </w:pPr>
                  <w:r>
                    <w:rPr>
                      <w:rFonts w:hint="eastAsia"/>
                      <w:lang w:val="en-US" w:eastAsia="zh-CN"/>
                    </w:rPr>
                    <w:t>新建</w:t>
                  </w:r>
                </w:p>
              </w:tc>
            </w:tr>
            <w:tr w14:paraId="795A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70" w:type="pct"/>
                  <w:vMerge w:val="restart"/>
                  <w:noWrap w:val="0"/>
                  <w:vAlign w:val="center"/>
                </w:tcPr>
                <w:p w14:paraId="0FFF155A">
                  <w:pPr>
                    <w:pStyle w:val="47"/>
                    <w:bidi w:val="0"/>
                    <w:rPr>
                      <w:rFonts w:hint="eastAsia"/>
                    </w:rPr>
                  </w:pPr>
                  <w:r>
                    <w:t>公用</w:t>
                  </w:r>
                </w:p>
                <w:p w14:paraId="74D8BC98">
                  <w:pPr>
                    <w:pStyle w:val="47"/>
                    <w:bidi w:val="0"/>
                  </w:pPr>
                  <w:r>
                    <w:t>工程</w:t>
                  </w:r>
                </w:p>
              </w:tc>
              <w:tc>
                <w:tcPr>
                  <w:tcW w:w="541" w:type="pct"/>
                  <w:noWrap w:val="0"/>
                  <w:vAlign w:val="center"/>
                </w:tcPr>
                <w:p w14:paraId="69F609EA">
                  <w:pPr>
                    <w:pStyle w:val="47"/>
                    <w:bidi w:val="0"/>
                  </w:pPr>
                  <w:r>
                    <w:t>供配电</w:t>
                  </w:r>
                </w:p>
              </w:tc>
              <w:tc>
                <w:tcPr>
                  <w:tcW w:w="2348" w:type="pct"/>
                  <w:gridSpan w:val="2"/>
                  <w:noWrap w:val="0"/>
                  <w:vAlign w:val="center"/>
                </w:tcPr>
                <w:p w14:paraId="66E04DEA">
                  <w:pPr>
                    <w:pStyle w:val="47"/>
                    <w:bidi w:val="0"/>
                    <w:rPr>
                      <w:rFonts w:hint="eastAsia"/>
                      <w:color w:val="auto"/>
                      <w:lang w:eastAsia="zh-CN"/>
                    </w:rPr>
                  </w:pPr>
                  <w:r>
                    <w:rPr>
                      <w:rFonts w:hint="eastAsia"/>
                      <w:color w:val="auto"/>
                    </w:rPr>
                    <w:t>来自市政供电电网</w:t>
                  </w:r>
                </w:p>
              </w:tc>
              <w:tc>
                <w:tcPr>
                  <w:tcW w:w="869" w:type="pct"/>
                  <w:noWrap w:val="0"/>
                  <w:vAlign w:val="center"/>
                </w:tcPr>
                <w:p w14:paraId="76D79FC2">
                  <w:pPr>
                    <w:pStyle w:val="47"/>
                    <w:bidi w:val="0"/>
                    <w:rPr>
                      <w:rFonts w:hint="eastAsia"/>
                      <w:color w:val="auto"/>
                    </w:rPr>
                  </w:pPr>
                  <w:r>
                    <w:rPr>
                      <w:rFonts w:hint="eastAsia"/>
                      <w:color w:val="auto"/>
                    </w:rPr>
                    <w:t>年用电量</w:t>
                  </w:r>
                  <w:r>
                    <w:rPr>
                      <w:rFonts w:hint="eastAsia"/>
                      <w:color w:val="auto"/>
                      <w:lang w:val="en-US" w:eastAsia="zh-CN"/>
                    </w:rPr>
                    <w:t>200</w:t>
                  </w:r>
                  <w:r>
                    <w:rPr>
                      <w:rFonts w:hint="eastAsia"/>
                      <w:color w:val="auto"/>
                    </w:rPr>
                    <w:t>万kW</w:t>
                  </w:r>
                  <w:r>
                    <w:rPr>
                      <w:color w:val="auto"/>
                    </w:rPr>
                    <w:t>•</w:t>
                  </w:r>
                  <w:r>
                    <w:rPr>
                      <w:rFonts w:hint="eastAsia"/>
                      <w:color w:val="auto"/>
                    </w:rPr>
                    <w:t>h</w:t>
                  </w:r>
                </w:p>
              </w:tc>
              <w:tc>
                <w:tcPr>
                  <w:tcW w:w="869" w:type="pct"/>
                  <w:noWrap w:val="0"/>
                  <w:vAlign w:val="center"/>
                </w:tcPr>
                <w:p w14:paraId="13B99803">
                  <w:pPr>
                    <w:pStyle w:val="47"/>
                    <w:bidi w:val="0"/>
                    <w:rPr>
                      <w:rFonts w:hint="default" w:eastAsia="宋体"/>
                      <w:lang w:val="en-US" w:eastAsia="zh-CN"/>
                    </w:rPr>
                  </w:pPr>
                  <w:r>
                    <w:rPr>
                      <w:rFonts w:hint="eastAsia"/>
                      <w:lang w:val="en-US" w:eastAsia="zh-CN"/>
                    </w:rPr>
                    <w:t>依托现有电网</w:t>
                  </w:r>
                </w:p>
              </w:tc>
            </w:tr>
            <w:tr w14:paraId="109C2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pct"/>
                  <w:vMerge w:val="continue"/>
                  <w:noWrap w:val="0"/>
                  <w:vAlign w:val="center"/>
                </w:tcPr>
                <w:p w14:paraId="66362010">
                  <w:pPr>
                    <w:pStyle w:val="47"/>
                    <w:bidi w:val="0"/>
                  </w:pPr>
                </w:p>
              </w:tc>
              <w:tc>
                <w:tcPr>
                  <w:tcW w:w="541" w:type="pct"/>
                  <w:noWrap w:val="0"/>
                  <w:vAlign w:val="center"/>
                </w:tcPr>
                <w:p w14:paraId="4CA4923A">
                  <w:pPr>
                    <w:pStyle w:val="47"/>
                    <w:bidi w:val="0"/>
                  </w:pPr>
                  <w:r>
                    <w:t>供水</w:t>
                  </w:r>
                </w:p>
              </w:tc>
              <w:tc>
                <w:tcPr>
                  <w:tcW w:w="2348" w:type="pct"/>
                  <w:gridSpan w:val="2"/>
                  <w:noWrap w:val="0"/>
                  <w:vAlign w:val="center"/>
                </w:tcPr>
                <w:p w14:paraId="4954FD1C">
                  <w:pPr>
                    <w:pStyle w:val="47"/>
                    <w:bidi w:val="0"/>
                    <w:rPr>
                      <w:color w:val="auto"/>
                    </w:rPr>
                  </w:pPr>
                  <w:r>
                    <w:rPr>
                      <w:rFonts w:hint="eastAsia"/>
                      <w:color w:val="auto"/>
                    </w:rPr>
                    <w:t>来自</w:t>
                  </w:r>
                  <w:r>
                    <w:rPr>
                      <w:color w:val="auto"/>
                    </w:rPr>
                    <w:t>市政供水系统提供</w:t>
                  </w:r>
                </w:p>
              </w:tc>
              <w:tc>
                <w:tcPr>
                  <w:tcW w:w="869" w:type="pct"/>
                  <w:noWrap w:val="0"/>
                  <w:vAlign w:val="center"/>
                </w:tcPr>
                <w:p w14:paraId="64472DCB">
                  <w:pPr>
                    <w:pStyle w:val="47"/>
                    <w:bidi w:val="0"/>
                    <w:rPr>
                      <w:rFonts w:hint="eastAsia"/>
                      <w:color w:val="auto"/>
                    </w:rPr>
                  </w:pPr>
                  <w:r>
                    <w:rPr>
                      <w:color w:val="auto"/>
                    </w:rPr>
                    <w:t>用水</w:t>
                  </w:r>
                  <w:r>
                    <w:rPr>
                      <w:color w:val="auto"/>
                      <w:highlight w:val="none"/>
                    </w:rPr>
                    <w:t>量</w:t>
                  </w:r>
                  <w:r>
                    <w:rPr>
                      <w:rFonts w:hint="eastAsia"/>
                      <w:color w:val="auto"/>
                      <w:highlight w:val="none"/>
                      <w:lang w:val="en-US" w:eastAsia="zh-CN"/>
                    </w:rPr>
                    <w:t>25560</w:t>
                  </w:r>
                  <w:r>
                    <w:rPr>
                      <w:color w:val="auto"/>
                      <w:highlight w:val="none"/>
                    </w:rPr>
                    <w:t>t/a</w:t>
                  </w:r>
                </w:p>
              </w:tc>
              <w:tc>
                <w:tcPr>
                  <w:tcW w:w="869" w:type="pct"/>
                  <w:noWrap w:val="0"/>
                  <w:vAlign w:val="center"/>
                </w:tcPr>
                <w:p w14:paraId="29818F56">
                  <w:pPr>
                    <w:pStyle w:val="47"/>
                    <w:bidi w:val="0"/>
                    <w:rPr>
                      <w:rFonts w:hint="default"/>
                      <w:lang w:val="en-US"/>
                    </w:rPr>
                  </w:pPr>
                  <w:r>
                    <w:rPr>
                      <w:rFonts w:hint="eastAsia"/>
                      <w:lang w:val="en-US" w:eastAsia="zh-CN"/>
                    </w:rPr>
                    <w:t>依托现有供水管网</w:t>
                  </w:r>
                </w:p>
              </w:tc>
            </w:tr>
            <w:tr w14:paraId="1564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pct"/>
                  <w:vMerge w:val="continue"/>
                  <w:noWrap w:val="0"/>
                  <w:vAlign w:val="center"/>
                </w:tcPr>
                <w:p w14:paraId="7652F72B">
                  <w:pPr>
                    <w:pStyle w:val="47"/>
                    <w:bidi w:val="0"/>
                  </w:pPr>
                </w:p>
              </w:tc>
              <w:tc>
                <w:tcPr>
                  <w:tcW w:w="541" w:type="pct"/>
                  <w:noWrap w:val="0"/>
                  <w:vAlign w:val="center"/>
                </w:tcPr>
                <w:p w14:paraId="18EA3836">
                  <w:pPr>
                    <w:pStyle w:val="47"/>
                    <w:bidi w:val="0"/>
                  </w:pPr>
                  <w:r>
                    <w:t>排水</w:t>
                  </w:r>
                </w:p>
              </w:tc>
              <w:tc>
                <w:tcPr>
                  <w:tcW w:w="2348" w:type="pct"/>
                  <w:gridSpan w:val="2"/>
                  <w:noWrap w:val="0"/>
                  <w:vAlign w:val="center"/>
                </w:tcPr>
                <w:p w14:paraId="7EE0C082">
                  <w:pPr>
                    <w:pStyle w:val="47"/>
                    <w:bidi w:val="0"/>
                    <w:rPr>
                      <w:color w:val="auto"/>
                    </w:rPr>
                  </w:pPr>
                  <w:r>
                    <w:rPr>
                      <w:color w:val="auto"/>
                    </w:rPr>
                    <w:t>雨污分流，雨水接管雨水管网，</w:t>
                  </w:r>
                  <w:r>
                    <w:rPr>
                      <w:rFonts w:hint="eastAsia"/>
                      <w:color w:val="auto"/>
                      <w:lang w:val="en-US" w:eastAsia="zh-CN"/>
                    </w:rPr>
                    <w:t>冷却水循环使用不排放，无生产废水外排。</w:t>
                  </w:r>
                  <w:r>
                    <w:rPr>
                      <w:rFonts w:hint="eastAsia"/>
                      <w:color w:val="auto"/>
                    </w:rPr>
                    <w:t>生活污水经</w:t>
                  </w:r>
                  <w:r>
                    <w:rPr>
                      <w:rFonts w:hint="eastAsia"/>
                      <w:color w:val="auto"/>
                      <w:lang w:val="en-US" w:eastAsia="zh-CN"/>
                    </w:rPr>
                    <w:t>化粪池处理后</w:t>
                  </w:r>
                  <w:r>
                    <w:rPr>
                      <w:rFonts w:hint="default"/>
                      <w:color w:val="auto"/>
                    </w:rPr>
                    <w:t>排入</w:t>
                  </w:r>
                  <w:r>
                    <w:rPr>
                      <w:rFonts w:hint="eastAsia"/>
                      <w:color w:val="auto"/>
                      <w:lang w:val="en-US" w:eastAsia="zh-CN"/>
                    </w:rPr>
                    <w:t>市政</w:t>
                  </w:r>
                  <w:r>
                    <w:rPr>
                      <w:rFonts w:hint="default"/>
                      <w:color w:val="auto"/>
                    </w:rPr>
                    <w:t>污水管网后进入淮南经济开发区污水处理厂（三万吨污水处理厂）</w:t>
                  </w:r>
                </w:p>
              </w:tc>
              <w:tc>
                <w:tcPr>
                  <w:tcW w:w="869" w:type="pct"/>
                  <w:noWrap w:val="0"/>
                  <w:vAlign w:val="center"/>
                </w:tcPr>
                <w:p w14:paraId="518FF647">
                  <w:pPr>
                    <w:pStyle w:val="47"/>
                    <w:bidi w:val="0"/>
                    <w:rPr>
                      <w:color w:val="auto"/>
                    </w:rPr>
                  </w:pPr>
                  <w:r>
                    <w:rPr>
                      <w:color w:val="auto"/>
                    </w:rPr>
                    <w:t>废水排放量</w:t>
                  </w:r>
                  <w:r>
                    <w:rPr>
                      <w:color w:val="auto"/>
                      <w:highlight w:val="none"/>
                    </w:rPr>
                    <w:t>为</w:t>
                  </w:r>
                  <w:r>
                    <w:rPr>
                      <w:rFonts w:hint="eastAsia"/>
                      <w:color w:val="auto"/>
                      <w:highlight w:val="none"/>
                      <w:lang w:val="en-US" w:eastAsia="zh-CN"/>
                    </w:rPr>
                    <w:t>720</w:t>
                  </w:r>
                  <w:r>
                    <w:rPr>
                      <w:color w:val="auto"/>
                      <w:highlight w:val="none"/>
                    </w:rPr>
                    <w:t>t/a</w:t>
                  </w:r>
                </w:p>
              </w:tc>
              <w:tc>
                <w:tcPr>
                  <w:tcW w:w="869" w:type="pct"/>
                  <w:noWrap w:val="0"/>
                  <w:vAlign w:val="center"/>
                </w:tcPr>
                <w:p w14:paraId="327FFE21">
                  <w:pPr>
                    <w:pStyle w:val="47"/>
                    <w:bidi w:val="0"/>
                    <w:rPr>
                      <w:rFonts w:hint="default" w:eastAsia="宋体"/>
                      <w:lang w:val="en-US" w:eastAsia="zh-CN"/>
                    </w:rPr>
                  </w:pPr>
                  <w:r>
                    <w:rPr>
                      <w:rFonts w:hint="eastAsia"/>
                      <w:lang w:val="en-US" w:eastAsia="zh-CN"/>
                    </w:rPr>
                    <w:t>依托现有化粪池</w:t>
                  </w:r>
                </w:p>
              </w:tc>
            </w:tr>
            <w:tr w14:paraId="70E68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pct"/>
                  <w:vMerge w:val="continue"/>
                  <w:noWrap w:val="0"/>
                  <w:vAlign w:val="center"/>
                </w:tcPr>
                <w:p w14:paraId="3734F67C">
                  <w:pPr>
                    <w:pStyle w:val="47"/>
                    <w:bidi w:val="0"/>
                  </w:pPr>
                </w:p>
              </w:tc>
              <w:tc>
                <w:tcPr>
                  <w:tcW w:w="541" w:type="pct"/>
                  <w:noWrap w:val="0"/>
                  <w:vAlign w:val="center"/>
                </w:tcPr>
                <w:p w14:paraId="16B37D44">
                  <w:pPr>
                    <w:pStyle w:val="47"/>
                    <w:bidi w:val="0"/>
                    <w:rPr>
                      <w:rFonts w:hint="default" w:eastAsia="宋体"/>
                      <w:lang w:val="en-US" w:eastAsia="zh-CN"/>
                    </w:rPr>
                  </w:pPr>
                  <w:r>
                    <w:rPr>
                      <w:rFonts w:hint="eastAsia"/>
                      <w:lang w:val="en-US" w:eastAsia="zh-CN"/>
                    </w:rPr>
                    <w:t>供热</w:t>
                  </w:r>
                </w:p>
              </w:tc>
              <w:tc>
                <w:tcPr>
                  <w:tcW w:w="2348" w:type="pct"/>
                  <w:gridSpan w:val="2"/>
                  <w:noWrap w:val="0"/>
                  <w:vAlign w:val="center"/>
                </w:tcPr>
                <w:p w14:paraId="2F564B90">
                  <w:pPr>
                    <w:pStyle w:val="47"/>
                    <w:bidi w:val="0"/>
                    <w:rPr>
                      <w:color w:val="auto"/>
                    </w:rPr>
                  </w:pPr>
                  <w:r>
                    <w:rPr>
                      <w:rFonts w:hint="eastAsia"/>
                      <w:color w:val="auto"/>
                      <w:lang w:val="en-US" w:eastAsia="zh-CN"/>
                    </w:rPr>
                    <w:t>由园区提供</w:t>
                  </w:r>
                  <w:r>
                    <w:rPr>
                      <w:rFonts w:hint="eastAsia"/>
                      <w:color w:val="auto"/>
                      <w:highlight w:val="none"/>
                      <w:lang w:eastAsia="zh-CN"/>
                    </w:rPr>
                    <w:t>，</w:t>
                  </w:r>
                  <w:r>
                    <w:rPr>
                      <w:rFonts w:hint="eastAsia"/>
                      <w:color w:val="auto"/>
                      <w:highlight w:val="none"/>
                      <w:lang w:val="en-US" w:eastAsia="zh-CN"/>
                    </w:rPr>
                    <w:t>开</w:t>
                  </w:r>
                  <w:r>
                    <w:rPr>
                      <w:rFonts w:hint="eastAsia"/>
                      <w:color w:val="auto"/>
                      <w:lang w:val="en-US" w:eastAsia="zh-CN"/>
                    </w:rPr>
                    <w:t>发区供热管网已覆盖全区。冷凝水顺回流管道回流。</w:t>
                  </w:r>
                </w:p>
              </w:tc>
              <w:tc>
                <w:tcPr>
                  <w:tcW w:w="869" w:type="pct"/>
                  <w:noWrap w:val="0"/>
                  <w:vAlign w:val="center"/>
                </w:tcPr>
                <w:p w14:paraId="713E73F1">
                  <w:pPr>
                    <w:pStyle w:val="47"/>
                    <w:bidi w:val="0"/>
                    <w:rPr>
                      <w:color w:val="auto"/>
                      <w:highlight w:val="none"/>
                    </w:rPr>
                  </w:pPr>
                  <w:r>
                    <w:rPr>
                      <w:rFonts w:hint="eastAsia"/>
                      <w:color w:val="auto"/>
                      <w:highlight w:val="none"/>
                      <w:lang w:val="en-US" w:eastAsia="zh-CN"/>
                    </w:rPr>
                    <w:t>蒸汽用</w:t>
                  </w:r>
                  <w:r>
                    <w:rPr>
                      <w:color w:val="auto"/>
                      <w:highlight w:val="none"/>
                    </w:rPr>
                    <w:t>量</w:t>
                  </w:r>
                  <w:r>
                    <w:rPr>
                      <w:rFonts w:hint="eastAsia"/>
                      <w:color w:val="auto"/>
                      <w:highlight w:val="none"/>
                      <w:lang w:val="en-US" w:eastAsia="zh-CN"/>
                    </w:rPr>
                    <w:t>为7</w:t>
                  </w:r>
                  <w:r>
                    <w:rPr>
                      <w:color w:val="auto"/>
                      <w:highlight w:val="none"/>
                    </w:rPr>
                    <w:t>万</w:t>
                  </w:r>
                  <w:r>
                    <w:rPr>
                      <w:rFonts w:hint="eastAsia"/>
                      <w:color w:val="auto"/>
                      <w:highlight w:val="none"/>
                      <w:lang w:val="en-US" w:eastAsia="zh-CN"/>
                    </w:rPr>
                    <w:t>m³</w:t>
                  </w:r>
                  <w:r>
                    <w:rPr>
                      <w:color w:val="auto"/>
                      <w:highlight w:val="none"/>
                    </w:rPr>
                    <w:t>/a</w:t>
                  </w:r>
                </w:p>
              </w:tc>
              <w:tc>
                <w:tcPr>
                  <w:tcW w:w="869" w:type="pct"/>
                  <w:noWrap w:val="0"/>
                  <w:vAlign w:val="center"/>
                </w:tcPr>
                <w:p w14:paraId="5CF6CC34">
                  <w:pPr>
                    <w:pStyle w:val="47"/>
                    <w:bidi w:val="0"/>
                    <w:rPr>
                      <w:rFonts w:hint="default"/>
                      <w:highlight w:val="none"/>
                      <w:lang w:val="en-US" w:eastAsia="zh-CN"/>
                    </w:rPr>
                  </w:pPr>
                  <w:r>
                    <w:rPr>
                      <w:rFonts w:hint="eastAsia"/>
                      <w:highlight w:val="none"/>
                      <w:lang w:val="en-US" w:eastAsia="zh-CN"/>
                    </w:rPr>
                    <w:t>依托现有供热管网</w:t>
                  </w:r>
                </w:p>
              </w:tc>
            </w:tr>
            <w:tr w14:paraId="5CB5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pct"/>
                  <w:vMerge w:val="restart"/>
                  <w:noWrap w:val="0"/>
                  <w:vAlign w:val="center"/>
                </w:tcPr>
                <w:p w14:paraId="007B2F9D">
                  <w:pPr>
                    <w:pStyle w:val="47"/>
                    <w:bidi w:val="0"/>
                    <w:rPr>
                      <w:rFonts w:hint="eastAsia"/>
                    </w:rPr>
                  </w:pPr>
                  <w:r>
                    <w:t>储运</w:t>
                  </w:r>
                </w:p>
                <w:p w14:paraId="2262CD82">
                  <w:pPr>
                    <w:pStyle w:val="47"/>
                    <w:bidi w:val="0"/>
                  </w:pPr>
                  <w:r>
                    <w:t>工程</w:t>
                  </w:r>
                </w:p>
              </w:tc>
              <w:tc>
                <w:tcPr>
                  <w:tcW w:w="541" w:type="pct"/>
                  <w:vMerge w:val="restart"/>
                  <w:shd w:val="clear" w:color="auto" w:fill="auto"/>
                  <w:noWrap w:val="0"/>
                  <w:vAlign w:val="center"/>
                </w:tcPr>
                <w:p w14:paraId="18D186A5">
                  <w:pPr>
                    <w:pStyle w:val="47"/>
                    <w:bidi w:val="0"/>
                    <w:ind w:left="24" w:leftChars="10" w:right="24" w:rightChars="10" w:firstLine="0" w:firstLineChars="0"/>
                    <w:rPr>
                      <w:rFonts w:hint="eastAsia" w:ascii="Times New Roman" w:hAnsi="Times New Roman" w:eastAsia="宋体" w:cs="Times New Roman"/>
                      <w:b w:val="0"/>
                      <w:color w:val="auto"/>
                      <w:kern w:val="2"/>
                      <w:sz w:val="21"/>
                      <w:szCs w:val="21"/>
                      <w:lang w:val="en-US" w:eastAsia="zh-CN" w:bidi="ar-SA"/>
                    </w:rPr>
                  </w:pPr>
                  <w:r>
                    <w:rPr>
                      <w:rFonts w:hint="eastAsia"/>
                      <w:color w:val="auto"/>
                      <w:lang w:val="en-US" w:eastAsia="zh-CN"/>
                    </w:rPr>
                    <w:t>成品区</w:t>
                  </w:r>
                </w:p>
              </w:tc>
              <w:tc>
                <w:tcPr>
                  <w:tcW w:w="2348" w:type="pct"/>
                  <w:gridSpan w:val="2"/>
                  <w:shd w:val="clear" w:color="auto" w:fill="auto"/>
                  <w:noWrap w:val="0"/>
                  <w:vAlign w:val="center"/>
                </w:tcPr>
                <w:p w14:paraId="2FA0007A">
                  <w:pPr>
                    <w:pStyle w:val="47"/>
                    <w:bidi w:val="0"/>
                    <w:ind w:left="24" w:leftChars="10" w:right="24" w:rightChars="10" w:firstLine="0" w:firstLineChars="0"/>
                    <w:rPr>
                      <w:rFonts w:hint="default" w:ascii="Times New Roman" w:hAnsi="Times New Roman" w:eastAsia="宋体" w:cs="Times New Roman"/>
                      <w:b w:val="0"/>
                      <w:color w:val="auto"/>
                      <w:kern w:val="2"/>
                      <w:sz w:val="21"/>
                      <w:szCs w:val="21"/>
                      <w:lang w:val="en-US" w:eastAsia="zh-CN" w:bidi="ar-SA"/>
                    </w:rPr>
                  </w:pPr>
                  <w:r>
                    <w:rPr>
                      <w:rFonts w:hint="eastAsia"/>
                      <w:color w:val="auto"/>
                      <w:lang w:val="en-US" w:eastAsia="zh-CN"/>
                    </w:rPr>
                    <w:t>EPP汽车零配件生产线成品区位于2#厂房北侧，用于汽车零配件的储存</w:t>
                  </w:r>
                </w:p>
              </w:tc>
              <w:tc>
                <w:tcPr>
                  <w:tcW w:w="869" w:type="pct"/>
                  <w:shd w:val="clear" w:color="auto" w:fill="auto"/>
                  <w:noWrap w:val="0"/>
                  <w:vAlign w:val="center"/>
                </w:tcPr>
                <w:p w14:paraId="65D2FC3E">
                  <w:pPr>
                    <w:pStyle w:val="47"/>
                    <w:bidi w:val="0"/>
                    <w:ind w:left="24" w:leftChars="10" w:right="24" w:rightChars="10" w:firstLine="0" w:firstLineChars="0"/>
                    <w:rPr>
                      <w:rFonts w:hint="eastAsia" w:ascii="Times New Roman" w:hAnsi="Times New Roman" w:eastAsia="宋体" w:cs="Times New Roman"/>
                      <w:b w:val="0"/>
                      <w:color w:val="auto"/>
                      <w:kern w:val="2"/>
                      <w:sz w:val="21"/>
                      <w:szCs w:val="21"/>
                      <w:lang w:val="en-US" w:eastAsia="zh-CN" w:bidi="ar-SA"/>
                    </w:rPr>
                  </w:pPr>
                  <w:r>
                    <w:rPr>
                      <w:rFonts w:hint="eastAsia"/>
                      <w:color w:val="auto"/>
                      <w:lang w:val="en-US" w:eastAsia="zh-CN"/>
                    </w:rPr>
                    <w:t>建筑面积300㎡</w:t>
                  </w:r>
                </w:p>
              </w:tc>
              <w:tc>
                <w:tcPr>
                  <w:tcW w:w="869" w:type="pct"/>
                  <w:shd w:val="clear" w:color="auto" w:fill="auto"/>
                  <w:noWrap w:val="0"/>
                  <w:vAlign w:val="center"/>
                </w:tcPr>
                <w:p w14:paraId="3D41D45D">
                  <w:pPr>
                    <w:pStyle w:val="47"/>
                    <w:bidi w:val="0"/>
                    <w:ind w:left="24" w:leftChars="10" w:right="24" w:rightChars="10" w:firstLine="0" w:firstLineChars="0"/>
                    <w:rPr>
                      <w:rFonts w:hint="default"/>
                      <w:lang w:val="en-US" w:eastAsia="zh-CN"/>
                    </w:rPr>
                  </w:pPr>
                  <w:r>
                    <w:rPr>
                      <w:rFonts w:hint="eastAsia"/>
                      <w:lang w:val="en-US" w:eastAsia="zh-CN"/>
                    </w:rPr>
                    <w:t>新建</w:t>
                  </w:r>
                </w:p>
              </w:tc>
            </w:tr>
            <w:tr w14:paraId="09B63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pct"/>
                  <w:vMerge w:val="continue"/>
                  <w:noWrap w:val="0"/>
                  <w:vAlign w:val="center"/>
                </w:tcPr>
                <w:p w14:paraId="6A047605">
                  <w:pPr>
                    <w:pStyle w:val="47"/>
                    <w:bidi w:val="0"/>
                  </w:pPr>
                </w:p>
              </w:tc>
              <w:tc>
                <w:tcPr>
                  <w:tcW w:w="541" w:type="pct"/>
                  <w:vMerge w:val="continue"/>
                  <w:shd w:val="clear" w:color="auto" w:fill="auto"/>
                  <w:noWrap w:val="0"/>
                  <w:vAlign w:val="center"/>
                </w:tcPr>
                <w:p w14:paraId="06C6C0DF">
                  <w:pPr>
                    <w:pStyle w:val="47"/>
                    <w:bidi w:val="0"/>
                    <w:ind w:left="24" w:leftChars="10" w:right="24" w:rightChars="10" w:firstLine="0" w:firstLineChars="0"/>
                    <w:rPr>
                      <w:rFonts w:hint="eastAsia"/>
                      <w:color w:val="auto"/>
                      <w:lang w:val="en-US" w:eastAsia="zh-CN"/>
                    </w:rPr>
                  </w:pPr>
                </w:p>
              </w:tc>
              <w:tc>
                <w:tcPr>
                  <w:tcW w:w="2348" w:type="pct"/>
                  <w:gridSpan w:val="2"/>
                  <w:shd w:val="clear" w:color="auto" w:fill="auto"/>
                  <w:noWrap w:val="0"/>
                  <w:vAlign w:val="center"/>
                </w:tcPr>
                <w:p w14:paraId="21FD75AA">
                  <w:pPr>
                    <w:pStyle w:val="47"/>
                    <w:bidi w:val="0"/>
                    <w:ind w:left="24" w:leftChars="10" w:right="24" w:rightChars="10" w:firstLine="0" w:firstLineChars="0"/>
                    <w:rPr>
                      <w:rFonts w:hint="eastAsia"/>
                      <w:color w:val="auto"/>
                      <w:lang w:val="en-US" w:eastAsia="zh-CN"/>
                    </w:rPr>
                  </w:pPr>
                  <w:r>
                    <w:rPr>
                      <w:rFonts w:hint="eastAsia"/>
                      <w:color w:val="auto"/>
                      <w:lang w:val="en-US" w:eastAsia="zh-CN"/>
                    </w:rPr>
                    <w:t>EPS包装材料生产线成品区位于1#厂房北侧，用于包装箱制成品储存</w:t>
                  </w:r>
                </w:p>
              </w:tc>
              <w:tc>
                <w:tcPr>
                  <w:tcW w:w="869" w:type="pct"/>
                  <w:shd w:val="clear" w:color="auto" w:fill="auto"/>
                  <w:noWrap w:val="0"/>
                  <w:vAlign w:val="center"/>
                </w:tcPr>
                <w:p w14:paraId="3194C960">
                  <w:pPr>
                    <w:pStyle w:val="47"/>
                    <w:bidi w:val="0"/>
                    <w:ind w:left="24" w:leftChars="10" w:right="24" w:rightChars="10" w:firstLine="0" w:firstLineChars="0"/>
                    <w:rPr>
                      <w:rFonts w:hint="eastAsia"/>
                      <w:color w:val="auto"/>
                      <w:lang w:val="en-US" w:eastAsia="zh-CN"/>
                    </w:rPr>
                  </w:pPr>
                  <w:r>
                    <w:rPr>
                      <w:rFonts w:hint="eastAsia"/>
                      <w:color w:val="auto"/>
                      <w:lang w:val="en-US" w:eastAsia="zh-CN"/>
                    </w:rPr>
                    <w:t>建筑面积1300㎡</w:t>
                  </w:r>
                </w:p>
              </w:tc>
              <w:tc>
                <w:tcPr>
                  <w:tcW w:w="869" w:type="pct"/>
                  <w:shd w:val="clear" w:color="auto" w:fill="auto"/>
                  <w:noWrap w:val="0"/>
                  <w:vAlign w:val="center"/>
                </w:tcPr>
                <w:p w14:paraId="123C1357">
                  <w:pPr>
                    <w:pStyle w:val="47"/>
                    <w:bidi w:val="0"/>
                    <w:ind w:left="24" w:leftChars="10" w:right="24" w:rightChars="10" w:firstLine="0" w:firstLineChars="0"/>
                    <w:rPr>
                      <w:rFonts w:hint="default"/>
                      <w:lang w:val="en-US" w:eastAsia="zh-CN"/>
                    </w:rPr>
                  </w:pPr>
                  <w:r>
                    <w:rPr>
                      <w:rFonts w:hint="eastAsia"/>
                      <w:lang w:val="en-US" w:eastAsia="zh-CN"/>
                    </w:rPr>
                    <w:t>新建</w:t>
                  </w:r>
                </w:p>
              </w:tc>
            </w:tr>
            <w:tr w14:paraId="08C3F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pct"/>
                  <w:vMerge w:val="continue"/>
                  <w:noWrap w:val="0"/>
                  <w:vAlign w:val="center"/>
                </w:tcPr>
                <w:p w14:paraId="53C1377D">
                  <w:pPr>
                    <w:pStyle w:val="47"/>
                    <w:bidi w:val="0"/>
                  </w:pPr>
                </w:p>
              </w:tc>
              <w:tc>
                <w:tcPr>
                  <w:tcW w:w="541" w:type="pct"/>
                  <w:vMerge w:val="restart"/>
                  <w:noWrap w:val="0"/>
                  <w:vAlign w:val="center"/>
                </w:tcPr>
                <w:p w14:paraId="322B9367">
                  <w:pPr>
                    <w:pStyle w:val="47"/>
                    <w:bidi w:val="0"/>
                  </w:pPr>
                  <w:r>
                    <w:rPr>
                      <w:rFonts w:hint="default"/>
                      <w:color w:val="auto"/>
                    </w:rPr>
                    <w:t>原辅料</w:t>
                  </w:r>
                  <w:r>
                    <w:rPr>
                      <w:color w:val="auto"/>
                    </w:rPr>
                    <w:t>区</w:t>
                  </w:r>
                </w:p>
              </w:tc>
              <w:tc>
                <w:tcPr>
                  <w:tcW w:w="2348" w:type="pct"/>
                  <w:gridSpan w:val="2"/>
                  <w:noWrap w:val="0"/>
                  <w:vAlign w:val="center"/>
                </w:tcPr>
                <w:p w14:paraId="5DC14734">
                  <w:pPr>
                    <w:pStyle w:val="47"/>
                    <w:bidi w:val="0"/>
                    <w:rPr>
                      <w:rFonts w:hint="default" w:eastAsia="宋体"/>
                      <w:color w:val="auto"/>
                      <w:lang w:val="en-US" w:eastAsia="zh-CN"/>
                    </w:rPr>
                  </w:pPr>
                  <w:r>
                    <w:rPr>
                      <w:rFonts w:hint="eastAsia"/>
                      <w:color w:val="auto"/>
                      <w:lang w:val="en-US" w:eastAsia="zh-CN"/>
                    </w:rPr>
                    <w:t>EPP汽车零配件生产线原辅材料储存区位于2#厂房西南</w:t>
                  </w:r>
                </w:p>
              </w:tc>
              <w:tc>
                <w:tcPr>
                  <w:tcW w:w="869" w:type="pct"/>
                  <w:noWrap w:val="0"/>
                  <w:vAlign w:val="center"/>
                </w:tcPr>
                <w:p w14:paraId="7A4AFDBB">
                  <w:pPr>
                    <w:pStyle w:val="47"/>
                    <w:bidi w:val="0"/>
                    <w:rPr>
                      <w:rFonts w:hint="eastAsia"/>
                      <w:color w:val="auto"/>
                    </w:rPr>
                  </w:pPr>
                  <w:r>
                    <w:rPr>
                      <w:color w:val="auto"/>
                    </w:rPr>
                    <w:t>建筑面积</w:t>
                  </w:r>
                  <w:r>
                    <w:rPr>
                      <w:rFonts w:hint="eastAsia"/>
                      <w:color w:val="auto"/>
                      <w:lang w:val="en-US" w:eastAsia="zh-CN"/>
                    </w:rPr>
                    <w:t>2</w:t>
                  </w:r>
                  <w:r>
                    <w:rPr>
                      <w:rFonts w:hint="eastAsia"/>
                      <w:color w:val="auto"/>
                    </w:rPr>
                    <w:t>0</w:t>
                  </w:r>
                  <w:r>
                    <w:rPr>
                      <w:rFonts w:hint="eastAsia"/>
                      <w:color w:val="auto"/>
                      <w:lang w:val="en-US" w:eastAsia="zh-CN"/>
                    </w:rPr>
                    <w:t>0㎡</w:t>
                  </w:r>
                </w:p>
              </w:tc>
              <w:tc>
                <w:tcPr>
                  <w:tcW w:w="869" w:type="pct"/>
                  <w:noWrap w:val="0"/>
                  <w:vAlign w:val="center"/>
                </w:tcPr>
                <w:p w14:paraId="1B7ED754">
                  <w:pPr>
                    <w:pStyle w:val="47"/>
                    <w:bidi w:val="0"/>
                    <w:rPr>
                      <w:rFonts w:hint="eastAsia" w:eastAsia="宋体"/>
                      <w:lang w:val="en-US" w:eastAsia="zh-CN"/>
                    </w:rPr>
                  </w:pPr>
                  <w:r>
                    <w:rPr>
                      <w:rFonts w:hint="eastAsia"/>
                      <w:lang w:val="en-US" w:eastAsia="zh-CN"/>
                    </w:rPr>
                    <w:t>新建</w:t>
                  </w:r>
                </w:p>
              </w:tc>
            </w:tr>
            <w:tr w14:paraId="78C3D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pct"/>
                  <w:vMerge w:val="continue"/>
                  <w:noWrap w:val="0"/>
                  <w:vAlign w:val="center"/>
                </w:tcPr>
                <w:p w14:paraId="73BE19F3">
                  <w:pPr>
                    <w:pStyle w:val="47"/>
                    <w:bidi w:val="0"/>
                  </w:pPr>
                </w:p>
              </w:tc>
              <w:tc>
                <w:tcPr>
                  <w:tcW w:w="541" w:type="pct"/>
                  <w:vMerge w:val="continue"/>
                  <w:noWrap w:val="0"/>
                  <w:vAlign w:val="center"/>
                </w:tcPr>
                <w:p w14:paraId="0C8AEE3B">
                  <w:pPr>
                    <w:pStyle w:val="47"/>
                    <w:bidi w:val="0"/>
                    <w:rPr>
                      <w:rFonts w:hint="default"/>
                      <w:color w:val="auto"/>
                    </w:rPr>
                  </w:pPr>
                </w:p>
              </w:tc>
              <w:tc>
                <w:tcPr>
                  <w:tcW w:w="2348" w:type="pct"/>
                  <w:gridSpan w:val="2"/>
                  <w:noWrap w:val="0"/>
                  <w:vAlign w:val="center"/>
                </w:tcPr>
                <w:p w14:paraId="115721BA">
                  <w:pPr>
                    <w:pStyle w:val="47"/>
                    <w:bidi w:val="0"/>
                    <w:rPr>
                      <w:rFonts w:hint="default" w:eastAsia="宋体"/>
                      <w:color w:val="auto"/>
                      <w:lang w:val="en-US" w:eastAsia="zh-CN"/>
                    </w:rPr>
                  </w:pPr>
                  <w:r>
                    <w:rPr>
                      <w:rFonts w:hint="eastAsia"/>
                      <w:color w:val="auto"/>
                      <w:lang w:val="en-US" w:eastAsia="zh-CN"/>
                    </w:rPr>
                    <w:t>EPS包装材料生产线原辅材料储存区位于1#厂房东侧</w:t>
                  </w:r>
                </w:p>
              </w:tc>
              <w:tc>
                <w:tcPr>
                  <w:tcW w:w="869" w:type="pct"/>
                  <w:noWrap w:val="0"/>
                  <w:vAlign w:val="center"/>
                </w:tcPr>
                <w:p w14:paraId="601A2131">
                  <w:pPr>
                    <w:pStyle w:val="47"/>
                    <w:bidi w:val="0"/>
                    <w:rPr>
                      <w:rFonts w:hint="default" w:eastAsia="宋体"/>
                      <w:color w:val="auto"/>
                      <w:lang w:val="en-US" w:eastAsia="zh-CN"/>
                    </w:rPr>
                  </w:pPr>
                  <w:r>
                    <w:rPr>
                      <w:rFonts w:hint="eastAsia"/>
                      <w:color w:val="auto"/>
                      <w:lang w:val="en-US" w:eastAsia="zh-CN"/>
                    </w:rPr>
                    <w:t>建筑面积700㎡</w:t>
                  </w:r>
                </w:p>
              </w:tc>
              <w:tc>
                <w:tcPr>
                  <w:tcW w:w="869" w:type="pct"/>
                  <w:noWrap w:val="0"/>
                  <w:vAlign w:val="center"/>
                </w:tcPr>
                <w:p w14:paraId="47F44F84">
                  <w:pPr>
                    <w:pStyle w:val="47"/>
                    <w:bidi w:val="0"/>
                    <w:rPr>
                      <w:rFonts w:hint="default"/>
                      <w:lang w:val="en-US" w:eastAsia="zh-CN"/>
                    </w:rPr>
                  </w:pPr>
                  <w:r>
                    <w:rPr>
                      <w:rFonts w:hint="eastAsia"/>
                      <w:lang w:val="en-US" w:eastAsia="zh-CN"/>
                    </w:rPr>
                    <w:t>新建</w:t>
                  </w:r>
                </w:p>
              </w:tc>
            </w:tr>
            <w:tr w14:paraId="3577A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pct"/>
                  <w:vMerge w:val="restart"/>
                  <w:noWrap w:val="0"/>
                  <w:vAlign w:val="center"/>
                </w:tcPr>
                <w:p w14:paraId="75907292">
                  <w:pPr>
                    <w:pStyle w:val="47"/>
                    <w:bidi w:val="0"/>
                    <w:rPr>
                      <w:rFonts w:hint="eastAsia"/>
                    </w:rPr>
                  </w:pPr>
                  <w:r>
                    <w:t>环保</w:t>
                  </w:r>
                </w:p>
                <w:p w14:paraId="617F1740">
                  <w:pPr>
                    <w:pStyle w:val="47"/>
                    <w:bidi w:val="0"/>
                  </w:pPr>
                  <w:r>
                    <w:t>工程</w:t>
                  </w:r>
                </w:p>
              </w:tc>
              <w:tc>
                <w:tcPr>
                  <w:tcW w:w="541" w:type="pct"/>
                  <w:noWrap w:val="0"/>
                  <w:vAlign w:val="center"/>
                </w:tcPr>
                <w:p w14:paraId="41DAD227">
                  <w:pPr>
                    <w:pStyle w:val="47"/>
                    <w:bidi w:val="0"/>
                    <w:rPr>
                      <w:rFonts w:hint="eastAsia"/>
                    </w:rPr>
                  </w:pPr>
                  <w:r>
                    <w:t>废水</w:t>
                  </w:r>
                </w:p>
                <w:p w14:paraId="128759CA">
                  <w:pPr>
                    <w:pStyle w:val="47"/>
                    <w:bidi w:val="0"/>
                  </w:pPr>
                  <w:r>
                    <w:t>治理</w:t>
                  </w:r>
                </w:p>
              </w:tc>
              <w:tc>
                <w:tcPr>
                  <w:tcW w:w="2348" w:type="pct"/>
                  <w:gridSpan w:val="2"/>
                  <w:noWrap w:val="0"/>
                  <w:vAlign w:val="center"/>
                </w:tcPr>
                <w:p w14:paraId="420891A3">
                  <w:pPr>
                    <w:pStyle w:val="47"/>
                    <w:bidi w:val="0"/>
                    <w:rPr>
                      <w:rFonts w:hint="default"/>
                      <w:color w:val="auto"/>
                      <w:lang w:val="en-US" w:eastAsia="zh-CN"/>
                    </w:rPr>
                  </w:pPr>
                  <w:r>
                    <w:rPr>
                      <w:color w:val="auto"/>
                    </w:rPr>
                    <w:t>雨污分流，雨水接管雨水管网，</w:t>
                  </w:r>
                  <w:r>
                    <w:rPr>
                      <w:rFonts w:hint="eastAsia"/>
                      <w:color w:val="auto"/>
                      <w:lang w:val="en-US" w:eastAsia="zh-CN"/>
                    </w:rPr>
                    <w:t>冷却水循环使用不排放，无生产废水外排。</w:t>
                  </w:r>
                  <w:r>
                    <w:rPr>
                      <w:rFonts w:hint="eastAsia"/>
                      <w:color w:val="auto"/>
                    </w:rPr>
                    <w:t>生活污水经</w:t>
                  </w:r>
                  <w:r>
                    <w:rPr>
                      <w:rFonts w:hint="eastAsia"/>
                      <w:color w:val="auto"/>
                      <w:lang w:val="en-US" w:eastAsia="zh-CN"/>
                    </w:rPr>
                    <w:t>化粪池处理后</w:t>
                  </w:r>
                  <w:r>
                    <w:rPr>
                      <w:rFonts w:hint="default"/>
                      <w:color w:val="auto"/>
                    </w:rPr>
                    <w:t>排入</w:t>
                  </w:r>
                  <w:r>
                    <w:rPr>
                      <w:rFonts w:hint="eastAsia"/>
                      <w:color w:val="auto"/>
                      <w:lang w:val="en-US" w:eastAsia="zh-CN"/>
                    </w:rPr>
                    <w:t>市政</w:t>
                  </w:r>
                  <w:r>
                    <w:rPr>
                      <w:rFonts w:hint="default"/>
                      <w:color w:val="auto"/>
                    </w:rPr>
                    <w:t>污水管网后进入淮南经济开发区污水处理厂（三万吨污水处理厂）</w:t>
                  </w:r>
                  <w:r>
                    <w:rPr>
                      <w:rFonts w:hint="eastAsia"/>
                      <w:color w:val="auto"/>
                      <w:lang w:val="en-US" w:eastAsia="zh-CN"/>
                    </w:rPr>
                    <w:t>。</w:t>
                  </w:r>
                </w:p>
              </w:tc>
              <w:tc>
                <w:tcPr>
                  <w:tcW w:w="869" w:type="pct"/>
                  <w:noWrap w:val="0"/>
                  <w:vAlign w:val="center"/>
                </w:tcPr>
                <w:p w14:paraId="62169AC1">
                  <w:pPr>
                    <w:pStyle w:val="47"/>
                    <w:bidi w:val="0"/>
                    <w:rPr>
                      <w:color w:val="auto"/>
                    </w:rPr>
                  </w:pPr>
                  <w:r>
                    <w:rPr>
                      <w:color w:val="auto"/>
                    </w:rPr>
                    <w:t>废水排放量为</w:t>
                  </w:r>
                  <w:r>
                    <w:rPr>
                      <w:rFonts w:hint="eastAsia"/>
                      <w:color w:val="auto"/>
                      <w:highlight w:val="none"/>
                      <w:lang w:val="en-US" w:eastAsia="zh-CN"/>
                    </w:rPr>
                    <w:t>720</w:t>
                  </w:r>
                  <w:r>
                    <w:rPr>
                      <w:color w:val="auto"/>
                      <w:highlight w:val="none"/>
                    </w:rPr>
                    <w:t>t/a</w:t>
                  </w:r>
                </w:p>
              </w:tc>
              <w:tc>
                <w:tcPr>
                  <w:tcW w:w="869" w:type="pct"/>
                  <w:noWrap w:val="0"/>
                  <w:vAlign w:val="center"/>
                </w:tcPr>
                <w:p w14:paraId="4CD78D5A">
                  <w:pPr>
                    <w:pStyle w:val="47"/>
                    <w:bidi w:val="0"/>
                    <w:rPr>
                      <w:rFonts w:hint="default" w:eastAsia="宋体"/>
                      <w:lang w:val="en-US" w:eastAsia="zh-CN"/>
                    </w:rPr>
                  </w:pPr>
                  <w:r>
                    <w:rPr>
                      <w:rFonts w:hint="eastAsia"/>
                      <w:lang w:val="en-US" w:eastAsia="zh-CN"/>
                    </w:rPr>
                    <w:t>依托现有化粪池</w:t>
                  </w:r>
                </w:p>
              </w:tc>
            </w:tr>
            <w:tr w14:paraId="364AF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pct"/>
                  <w:vMerge w:val="continue"/>
                  <w:noWrap w:val="0"/>
                  <w:vAlign w:val="center"/>
                </w:tcPr>
                <w:p w14:paraId="3CE1DC7A">
                  <w:pPr>
                    <w:pStyle w:val="47"/>
                    <w:bidi w:val="0"/>
                  </w:pPr>
                </w:p>
              </w:tc>
              <w:tc>
                <w:tcPr>
                  <w:tcW w:w="541" w:type="pct"/>
                  <w:noWrap w:val="0"/>
                  <w:vAlign w:val="center"/>
                </w:tcPr>
                <w:p w14:paraId="3C9B03C5">
                  <w:pPr>
                    <w:pStyle w:val="47"/>
                    <w:bidi w:val="0"/>
                    <w:rPr>
                      <w:rFonts w:hint="eastAsia"/>
                    </w:rPr>
                  </w:pPr>
                  <w:r>
                    <w:t>噪声</w:t>
                  </w:r>
                </w:p>
                <w:p w14:paraId="1DE351EF">
                  <w:pPr>
                    <w:pStyle w:val="47"/>
                    <w:bidi w:val="0"/>
                  </w:pPr>
                  <w:r>
                    <w:t>治理</w:t>
                  </w:r>
                </w:p>
              </w:tc>
              <w:tc>
                <w:tcPr>
                  <w:tcW w:w="3218" w:type="pct"/>
                  <w:gridSpan w:val="3"/>
                  <w:noWrap w:val="0"/>
                  <w:vAlign w:val="center"/>
                </w:tcPr>
                <w:p w14:paraId="7E3D9554">
                  <w:pPr>
                    <w:pStyle w:val="47"/>
                    <w:bidi w:val="0"/>
                    <w:rPr>
                      <w:color w:val="auto"/>
                    </w:rPr>
                  </w:pPr>
                  <w:r>
                    <w:rPr>
                      <w:rFonts w:hint="eastAsia"/>
                      <w:color w:val="auto"/>
                    </w:rPr>
                    <w:t>高噪声</w:t>
                  </w:r>
                  <w:r>
                    <w:rPr>
                      <w:color w:val="auto"/>
                    </w:rPr>
                    <w:t>设备配备基础减振装置</w:t>
                  </w:r>
                  <w:r>
                    <w:rPr>
                      <w:rFonts w:hint="eastAsia"/>
                      <w:color w:val="auto"/>
                    </w:rPr>
                    <w:t>，厂房隔声，各类生产设备选用低噪声设备</w:t>
                  </w:r>
                </w:p>
              </w:tc>
              <w:tc>
                <w:tcPr>
                  <w:tcW w:w="869" w:type="pct"/>
                  <w:noWrap w:val="0"/>
                  <w:vAlign w:val="center"/>
                </w:tcPr>
                <w:p w14:paraId="27F897AC">
                  <w:pPr>
                    <w:pStyle w:val="47"/>
                    <w:bidi w:val="0"/>
                    <w:rPr>
                      <w:rFonts w:hint="eastAsia" w:eastAsia="宋体"/>
                      <w:lang w:val="en-US" w:eastAsia="zh-CN"/>
                    </w:rPr>
                  </w:pPr>
                  <w:r>
                    <w:rPr>
                      <w:rFonts w:hint="eastAsia"/>
                      <w:lang w:val="en-US" w:eastAsia="zh-CN"/>
                    </w:rPr>
                    <w:t>新建</w:t>
                  </w:r>
                </w:p>
              </w:tc>
            </w:tr>
            <w:tr w14:paraId="3180B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70" w:type="pct"/>
                  <w:vMerge w:val="continue"/>
                  <w:noWrap w:val="0"/>
                  <w:vAlign w:val="center"/>
                </w:tcPr>
                <w:p w14:paraId="46C28CA5">
                  <w:pPr>
                    <w:pStyle w:val="47"/>
                    <w:bidi w:val="0"/>
                  </w:pPr>
                </w:p>
              </w:tc>
              <w:tc>
                <w:tcPr>
                  <w:tcW w:w="541" w:type="pct"/>
                  <w:vMerge w:val="restart"/>
                  <w:noWrap w:val="0"/>
                  <w:vAlign w:val="center"/>
                </w:tcPr>
                <w:p w14:paraId="53ACE40C">
                  <w:pPr>
                    <w:pStyle w:val="47"/>
                    <w:bidi w:val="0"/>
                    <w:rPr>
                      <w:rFonts w:hint="eastAsia"/>
                    </w:rPr>
                  </w:pPr>
                  <w:r>
                    <w:t>废气</w:t>
                  </w:r>
                </w:p>
                <w:p w14:paraId="006BE36A">
                  <w:pPr>
                    <w:pStyle w:val="47"/>
                    <w:bidi w:val="0"/>
                  </w:pPr>
                  <w:r>
                    <w:t>治理</w:t>
                  </w:r>
                </w:p>
              </w:tc>
              <w:tc>
                <w:tcPr>
                  <w:tcW w:w="670" w:type="pct"/>
                  <w:noWrap w:val="0"/>
                  <w:vAlign w:val="center"/>
                </w:tcPr>
                <w:p w14:paraId="5ADA296D">
                  <w:pPr>
                    <w:pStyle w:val="47"/>
                    <w:bidi w:val="0"/>
                    <w:rPr>
                      <w:rFonts w:hint="default"/>
                      <w:color w:val="auto"/>
                      <w:lang w:val="en-US" w:eastAsia="zh-CN"/>
                    </w:rPr>
                  </w:pPr>
                  <w:r>
                    <w:rPr>
                      <w:rFonts w:hint="eastAsia"/>
                      <w:color w:val="auto"/>
                      <w:lang w:val="en-US" w:eastAsia="zh-CN"/>
                    </w:rPr>
                    <w:t>EPS包装材料生产线</w:t>
                  </w:r>
                </w:p>
              </w:tc>
              <w:tc>
                <w:tcPr>
                  <w:tcW w:w="2548" w:type="pct"/>
                  <w:gridSpan w:val="2"/>
                  <w:shd w:val="clear" w:color="auto" w:fill="auto"/>
                  <w:noWrap w:val="0"/>
                  <w:vAlign w:val="center"/>
                </w:tcPr>
                <w:p w14:paraId="512B2371">
                  <w:pPr>
                    <w:pStyle w:val="47"/>
                    <w:bidi w:val="0"/>
                    <w:ind w:left="24" w:leftChars="10" w:right="24" w:rightChars="10" w:firstLine="0" w:firstLineChars="0"/>
                    <w:rPr>
                      <w:rFonts w:hint="eastAsia" w:ascii="Times New Roman" w:hAnsi="Times New Roman" w:eastAsia="宋体" w:cs="Times New Roman"/>
                      <w:b w:val="0"/>
                      <w:color w:val="auto"/>
                      <w:kern w:val="2"/>
                      <w:sz w:val="21"/>
                      <w:szCs w:val="21"/>
                      <w:highlight w:val="yellow"/>
                      <w:lang w:val="en-US" w:eastAsia="zh-CN" w:bidi="ar-SA"/>
                    </w:rPr>
                  </w:pPr>
                  <w:r>
                    <w:rPr>
                      <w:rFonts w:hint="eastAsia"/>
                      <w:bCs/>
                      <w:color w:val="auto"/>
                      <w:highlight w:val="none"/>
                      <w:lang w:val="en-US" w:eastAsia="zh-CN"/>
                    </w:rPr>
                    <w:t>发泡废气经集气罩收集后与经管道收集的成型、烘干废气一同进入冷凝+二级活性炭装置+21m排气筒（DA001）</w:t>
                  </w:r>
                </w:p>
              </w:tc>
              <w:tc>
                <w:tcPr>
                  <w:tcW w:w="869" w:type="pct"/>
                  <w:shd w:val="clear" w:color="auto" w:fill="auto"/>
                  <w:noWrap w:val="0"/>
                  <w:vAlign w:val="center"/>
                </w:tcPr>
                <w:p w14:paraId="020179AD">
                  <w:pPr>
                    <w:pStyle w:val="47"/>
                    <w:bidi w:val="0"/>
                    <w:ind w:left="24" w:leftChars="10" w:right="24" w:rightChars="10" w:firstLine="0" w:firstLineChars="0"/>
                    <w:rPr>
                      <w:rFonts w:hint="default"/>
                      <w:bCs/>
                      <w:highlight w:val="none"/>
                      <w:lang w:val="en-US" w:eastAsia="zh-CN"/>
                    </w:rPr>
                  </w:pPr>
                  <w:r>
                    <w:rPr>
                      <w:rFonts w:hint="eastAsia"/>
                      <w:bCs/>
                      <w:highlight w:val="none"/>
                      <w:lang w:val="en-US" w:eastAsia="zh-CN"/>
                    </w:rPr>
                    <w:t>新建</w:t>
                  </w:r>
                </w:p>
              </w:tc>
            </w:tr>
            <w:tr w14:paraId="63A3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pct"/>
                  <w:vMerge w:val="continue"/>
                  <w:noWrap w:val="0"/>
                  <w:vAlign w:val="center"/>
                </w:tcPr>
                <w:p w14:paraId="339D6E3E">
                  <w:pPr>
                    <w:pStyle w:val="47"/>
                    <w:bidi w:val="0"/>
                  </w:pPr>
                </w:p>
              </w:tc>
              <w:tc>
                <w:tcPr>
                  <w:tcW w:w="541" w:type="pct"/>
                  <w:vMerge w:val="continue"/>
                  <w:noWrap w:val="0"/>
                  <w:vAlign w:val="center"/>
                </w:tcPr>
                <w:p w14:paraId="41FE81F3">
                  <w:pPr>
                    <w:pStyle w:val="47"/>
                    <w:bidi w:val="0"/>
                  </w:pPr>
                </w:p>
              </w:tc>
              <w:tc>
                <w:tcPr>
                  <w:tcW w:w="670" w:type="pct"/>
                  <w:noWrap w:val="0"/>
                  <w:vAlign w:val="center"/>
                </w:tcPr>
                <w:p w14:paraId="2A119237">
                  <w:pPr>
                    <w:pStyle w:val="47"/>
                    <w:bidi w:val="0"/>
                    <w:rPr>
                      <w:rFonts w:hint="default" w:eastAsia="宋体"/>
                      <w:color w:val="auto"/>
                      <w:lang w:val="en-US" w:eastAsia="zh-CN"/>
                    </w:rPr>
                  </w:pPr>
                  <w:r>
                    <w:rPr>
                      <w:rFonts w:hint="eastAsia"/>
                      <w:color w:val="auto"/>
                      <w:lang w:val="en-US" w:eastAsia="zh-CN"/>
                    </w:rPr>
                    <w:t>EPP汽车零配件生产线</w:t>
                  </w:r>
                </w:p>
              </w:tc>
              <w:tc>
                <w:tcPr>
                  <w:tcW w:w="2548" w:type="pct"/>
                  <w:gridSpan w:val="2"/>
                  <w:shd w:val="clear" w:color="auto" w:fill="auto"/>
                  <w:noWrap w:val="0"/>
                  <w:vAlign w:val="center"/>
                </w:tcPr>
                <w:p w14:paraId="4DB4C651">
                  <w:pPr>
                    <w:pStyle w:val="47"/>
                    <w:bidi w:val="0"/>
                    <w:ind w:left="24" w:leftChars="10" w:right="24" w:rightChars="10" w:firstLine="0" w:firstLineChars="0"/>
                    <w:rPr>
                      <w:rFonts w:hint="eastAsia"/>
                      <w:color w:val="auto"/>
                      <w:highlight w:val="yellow"/>
                      <w:lang w:val="en-US" w:eastAsia="zh-CN"/>
                    </w:rPr>
                  </w:pPr>
                  <w:r>
                    <w:rPr>
                      <w:rFonts w:hint="eastAsia"/>
                      <w:bCs/>
                      <w:color w:val="auto"/>
                      <w:highlight w:val="none"/>
                      <w:lang w:val="en-US" w:eastAsia="zh-CN"/>
                    </w:rPr>
                    <w:t>成型、烘干废气经</w:t>
                  </w:r>
                  <w:r>
                    <w:rPr>
                      <w:rFonts w:hint="eastAsia"/>
                      <w:bCs/>
                      <w:color w:val="auto"/>
                      <w:highlight w:val="none"/>
                    </w:rPr>
                    <w:t>集气</w:t>
                  </w:r>
                  <w:r>
                    <w:rPr>
                      <w:rFonts w:hint="eastAsia"/>
                      <w:bCs/>
                      <w:color w:val="auto"/>
                      <w:highlight w:val="none"/>
                      <w:lang w:val="en-US" w:eastAsia="zh-CN"/>
                    </w:rPr>
                    <w:t>管道</w:t>
                  </w:r>
                  <w:r>
                    <w:rPr>
                      <w:rFonts w:hint="eastAsia"/>
                      <w:bCs/>
                      <w:color w:val="auto"/>
                      <w:highlight w:val="none"/>
                    </w:rPr>
                    <w:t>+</w:t>
                  </w:r>
                  <w:r>
                    <w:rPr>
                      <w:rFonts w:hint="eastAsia"/>
                      <w:bCs/>
                      <w:color w:val="auto"/>
                      <w:highlight w:val="none"/>
                      <w:lang w:eastAsia="zh-CN"/>
                    </w:rPr>
                    <w:t>冷凝+二级活性炭</w:t>
                  </w:r>
                  <w:r>
                    <w:rPr>
                      <w:rFonts w:hint="eastAsia"/>
                      <w:bCs/>
                      <w:color w:val="auto"/>
                      <w:highlight w:val="none"/>
                    </w:rPr>
                    <w:t>装置+</w:t>
                  </w:r>
                  <w:r>
                    <w:rPr>
                      <w:rFonts w:hint="eastAsia"/>
                      <w:bCs/>
                      <w:color w:val="auto"/>
                      <w:highlight w:val="none"/>
                      <w:lang w:val="en-US" w:eastAsia="zh-CN"/>
                    </w:rPr>
                    <w:t>21</w:t>
                  </w:r>
                  <w:r>
                    <w:rPr>
                      <w:rFonts w:hint="eastAsia"/>
                      <w:bCs/>
                      <w:color w:val="auto"/>
                      <w:highlight w:val="none"/>
                    </w:rPr>
                    <w:t>m排气筒</w:t>
                  </w:r>
                  <w:r>
                    <w:rPr>
                      <w:rFonts w:hint="eastAsia"/>
                      <w:bCs/>
                      <w:color w:val="auto"/>
                      <w:highlight w:val="none"/>
                      <w:lang w:val="en-US" w:eastAsia="zh-CN"/>
                    </w:rPr>
                    <w:t>（DA002）</w:t>
                  </w:r>
                </w:p>
              </w:tc>
              <w:tc>
                <w:tcPr>
                  <w:tcW w:w="869" w:type="pct"/>
                  <w:shd w:val="clear" w:color="auto" w:fill="auto"/>
                  <w:noWrap w:val="0"/>
                  <w:vAlign w:val="center"/>
                </w:tcPr>
                <w:p w14:paraId="384CEADF">
                  <w:pPr>
                    <w:pStyle w:val="47"/>
                    <w:bidi w:val="0"/>
                    <w:ind w:left="24" w:leftChars="10" w:right="24" w:rightChars="10" w:firstLine="0" w:firstLineChars="0"/>
                    <w:rPr>
                      <w:rFonts w:hint="default"/>
                      <w:bCs/>
                      <w:highlight w:val="none"/>
                      <w:lang w:val="en-US" w:eastAsia="zh-CN"/>
                    </w:rPr>
                  </w:pPr>
                  <w:r>
                    <w:rPr>
                      <w:rFonts w:hint="eastAsia"/>
                      <w:bCs/>
                      <w:highlight w:val="none"/>
                      <w:lang w:val="en-US" w:eastAsia="zh-CN"/>
                    </w:rPr>
                    <w:t>新建</w:t>
                  </w:r>
                </w:p>
              </w:tc>
            </w:tr>
            <w:tr w14:paraId="7DD1A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pct"/>
                  <w:vMerge w:val="continue"/>
                  <w:noWrap w:val="0"/>
                  <w:vAlign w:val="center"/>
                </w:tcPr>
                <w:p w14:paraId="2C030113">
                  <w:pPr>
                    <w:pStyle w:val="47"/>
                    <w:bidi w:val="0"/>
                  </w:pPr>
                </w:p>
              </w:tc>
              <w:tc>
                <w:tcPr>
                  <w:tcW w:w="541" w:type="pct"/>
                  <w:noWrap w:val="0"/>
                  <w:vAlign w:val="center"/>
                </w:tcPr>
                <w:p w14:paraId="6B2E2E2A">
                  <w:pPr>
                    <w:pStyle w:val="47"/>
                    <w:bidi w:val="0"/>
                    <w:rPr>
                      <w:rFonts w:hint="eastAsia"/>
                    </w:rPr>
                  </w:pPr>
                  <w:r>
                    <w:t>固废</w:t>
                  </w:r>
                </w:p>
                <w:p w14:paraId="0AAA218E">
                  <w:pPr>
                    <w:pStyle w:val="47"/>
                    <w:bidi w:val="0"/>
                  </w:pPr>
                  <w:r>
                    <w:t>治理</w:t>
                  </w:r>
                </w:p>
              </w:tc>
              <w:tc>
                <w:tcPr>
                  <w:tcW w:w="3218" w:type="pct"/>
                  <w:gridSpan w:val="3"/>
                  <w:noWrap w:val="0"/>
                  <w:vAlign w:val="center"/>
                </w:tcPr>
                <w:p w14:paraId="0B8767D4">
                  <w:pPr>
                    <w:pStyle w:val="47"/>
                    <w:bidi w:val="0"/>
                    <w:rPr>
                      <w:rFonts w:hint="eastAsia"/>
                      <w:color w:val="auto"/>
                    </w:rPr>
                  </w:pPr>
                  <w:r>
                    <w:rPr>
                      <w:rFonts w:hint="eastAsia"/>
                      <w:color w:val="auto"/>
                    </w:rPr>
                    <w:t>废包装物、边角料等收集暂存于一般固废间（</w:t>
                  </w:r>
                  <w:r>
                    <w:rPr>
                      <w:rFonts w:hint="eastAsia"/>
                      <w:color w:val="auto"/>
                      <w:lang w:val="en-US" w:eastAsia="zh-CN"/>
                    </w:rPr>
                    <w:t>1#</w:t>
                  </w:r>
                  <w:r>
                    <w:rPr>
                      <w:rFonts w:hint="eastAsia"/>
                      <w:color w:val="auto"/>
                    </w:rPr>
                    <w:t>厂房</w:t>
                  </w:r>
                  <w:r>
                    <w:rPr>
                      <w:rFonts w:hint="eastAsia"/>
                      <w:color w:val="auto"/>
                      <w:lang w:val="en-US" w:eastAsia="zh-CN"/>
                    </w:rPr>
                    <w:t>东南角2</w:t>
                  </w:r>
                  <w:r>
                    <w:rPr>
                      <w:rFonts w:hint="eastAsia"/>
                      <w:color w:val="auto"/>
                    </w:rPr>
                    <w:t>0</w:t>
                  </w:r>
                  <w:r>
                    <w:rPr>
                      <w:rFonts w:hint="eastAsia"/>
                      <w:color w:val="auto"/>
                      <w:lang w:val="en-US" w:eastAsia="zh-CN"/>
                    </w:rPr>
                    <w:t>㎡</w:t>
                  </w:r>
                  <w:r>
                    <w:rPr>
                      <w:rFonts w:hint="eastAsia"/>
                      <w:color w:val="auto"/>
                    </w:rPr>
                    <w:t>）；</w:t>
                  </w:r>
                  <w:r>
                    <w:rPr>
                      <w:color w:val="auto"/>
                    </w:rPr>
                    <w:t>生活垃圾由当地环卫部门统一清运</w:t>
                  </w:r>
                  <w:r>
                    <w:rPr>
                      <w:rFonts w:hint="eastAsia"/>
                      <w:color w:val="auto"/>
                    </w:rPr>
                    <w:t>；废机油、废活性炭属于危险废物，暂存于厂内危废间，占地面积约10</w:t>
                  </w:r>
                  <w:r>
                    <w:rPr>
                      <w:rFonts w:hint="eastAsia"/>
                      <w:color w:val="auto"/>
                      <w:lang w:val="en-US" w:eastAsia="zh-CN"/>
                    </w:rPr>
                    <w:t>㎡</w:t>
                  </w:r>
                  <w:r>
                    <w:rPr>
                      <w:rFonts w:hint="eastAsia"/>
                      <w:color w:val="auto"/>
                    </w:rPr>
                    <w:t>（</w:t>
                  </w:r>
                  <w:r>
                    <w:rPr>
                      <w:rFonts w:hint="eastAsia"/>
                      <w:color w:val="auto"/>
                      <w:lang w:val="en-US" w:eastAsia="zh-CN"/>
                    </w:rPr>
                    <w:t>1#</w:t>
                  </w:r>
                  <w:r>
                    <w:rPr>
                      <w:rFonts w:hint="eastAsia"/>
                      <w:color w:val="auto"/>
                    </w:rPr>
                    <w:t>厂房</w:t>
                  </w:r>
                  <w:r>
                    <w:rPr>
                      <w:rFonts w:hint="eastAsia"/>
                      <w:color w:val="auto"/>
                      <w:lang w:val="en-US" w:eastAsia="zh-CN"/>
                    </w:rPr>
                    <w:t>东南角</w:t>
                  </w:r>
                  <w:r>
                    <w:rPr>
                      <w:rFonts w:hint="eastAsia"/>
                      <w:color w:val="auto"/>
                    </w:rPr>
                    <w:t>），委托资质单位处置。</w:t>
                  </w:r>
                </w:p>
              </w:tc>
              <w:tc>
                <w:tcPr>
                  <w:tcW w:w="869" w:type="pct"/>
                  <w:noWrap w:val="0"/>
                  <w:vAlign w:val="center"/>
                </w:tcPr>
                <w:p w14:paraId="3C543D76">
                  <w:pPr>
                    <w:pStyle w:val="47"/>
                    <w:bidi w:val="0"/>
                    <w:rPr>
                      <w:rFonts w:hint="eastAsia" w:eastAsia="宋体"/>
                      <w:lang w:val="en-US" w:eastAsia="zh-CN"/>
                    </w:rPr>
                  </w:pPr>
                  <w:r>
                    <w:rPr>
                      <w:rFonts w:hint="eastAsia"/>
                      <w:lang w:val="en-US" w:eastAsia="zh-CN"/>
                    </w:rPr>
                    <w:t>新建</w:t>
                  </w:r>
                </w:p>
              </w:tc>
            </w:tr>
            <w:tr w14:paraId="2687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pct"/>
                  <w:vMerge w:val="continue"/>
                  <w:noWrap w:val="0"/>
                  <w:vAlign w:val="center"/>
                </w:tcPr>
                <w:p w14:paraId="23E5A0EC">
                  <w:pPr>
                    <w:pStyle w:val="47"/>
                    <w:bidi w:val="0"/>
                  </w:pPr>
                </w:p>
              </w:tc>
              <w:tc>
                <w:tcPr>
                  <w:tcW w:w="541" w:type="pct"/>
                  <w:noWrap w:val="0"/>
                  <w:vAlign w:val="center"/>
                </w:tcPr>
                <w:p w14:paraId="36B258D7">
                  <w:pPr>
                    <w:pStyle w:val="47"/>
                    <w:bidi w:val="0"/>
                  </w:pPr>
                  <w:r>
                    <w:rPr>
                      <w:rFonts w:hint="eastAsia"/>
                    </w:rPr>
                    <w:t>土壤及地下水</w:t>
                  </w:r>
                </w:p>
              </w:tc>
              <w:tc>
                <w:tcPr>
                  <w:tcW w:w="3218" w:type="pct"/>
                  <w:gridSpan w:val="3"/>
                  <w:noWrap w:val="0"/>
                  <w:vAlign w:val="center"/>
                </w:tcPr>
                <w:p w14:paraId="5AD44879">
                  <w:pPr>
                    <w:pStyle w:val="47"/>
                    <w:bidi w:val="0"/>
                    <w:rPr>
                      <w:color w:val="auto"/>
                    </w:rPr>
                  </w:pPr>
                  <w:r>
                    <w:rPr>
                      <w:color w:val="auto"/>
                    </w:rPr>
                    <w:t>按照分区防渗要求，进行重点防渗区</w:t>
                  </w:r>
                  <w:r>
                    <w:rPr>
                      <w:rFonts w:hint="eastAsia"/>
                      <w:color w:val="auto"/>
                      <w:lang w:eastAsia="zh-CN"/>
                    </w:rPr>
                    <w:t>、</w:t>
                  </w:r>
                  <w:r>
                    <w:rPr>
                      <w:rFonts w:hint="eastAsia"/>
                      <w:color w:val="auto"/>
                      <w:lang w:val="en-US" w:eastAsia="zh-CN"/>
                    </w:rPr>
                    <w:t>一般防渗区</w:t>
                  </w:r>
                  <w:r>
                    <w:rPr>
                      <w:color w:val="auto"/>
                    </w:rPr>
                    <w:t>防腐防渗建设。</w:t>
                  </w:r>
                </w:p>
                <w:p w14:paraId="53210D39">
                  <w:pPr>
                    <w:pStyle w:val="47"/>
                    <w:bidi w:val="0"/>
                    <w:rPr>
                      <w:rFonts w:hint="eastAsia" w:eastAsia="宋体"/>
                      <w:color w:val="auto"/>
                      <w:lang w:eastAsia="zh-CN"/>
                    </w:rPr>
                  </w:pPr>
                  <w:r>
                    <w:rPr>
                      <w:color w:val="auto"/>
                    </w:rPr>
                    <w:t>危废贮存间进行重点防</w:t>
                  </w:r>
                  <w:r>
                    <w:rPr>
                      <w:rFonts w:hint="default"/>
                      <w:color w:val="auto"/>
                    </w:rPr>
                    <w:t>渗，防渗层为2mm</w:t>
                  </w:r>
                  <w:r>
                    <w:rPr>
                      <w:color w:val="auto"/>
                    </w:rPr>
                    <w:t>厚的环氧树脂防水涂料，其渗透系数</w:t>
                  </w:r>
                  <w:r>
                    <w:rPr>
                      <w:color w:val="auto"/>
                      <w:lang w:val="en-GB"/>
                    </w:rPr>
                    <w:t>≤10</w:t>
                  </w:r>
                  <w:r>
                    <w:rPr>
                      <w:color w:val="auto"/>
                      <w:vertAlign w:val="superscript"/>
                      <w:lang w:val="en-GB"/>
                    </w:rPr>
                    <w:t>-10</w:t>
                  </w:r>
                  <w:r>
                    <w:rPr>
                      <w:color w:val="auto"/>
                      <w:lang w:val="en-GB"/>
                    </w:rPr>
                    <w:t>cm/s</w:t>
                  </w:r>
                  <w:r>
                    <w:rPr>
                      <w:color w:val="auto"/>
                    </w:rPr>
                    <w:t>；</w:t>
                  </w:r>
                  <w:r>
                    <w:rPr>
                      <w:rFonts w:hint="eastAsia"/>
                      <w:color w:val="auto"/>
                      <w:lang w:val="en-US" w:eastAsia="zh-CN"/>
                    </w:rPr>
                    <w:t>生产车间（包含一般固废间）进行一般防渗，防渗层为1mm</w:t>
                  </w:r>
                  <w:r>
                    <w:rPr>
                      <w:color w:val="auto"/>
                    </w:rPr>
                    <w:t>厚的环氧树脂防水涂料，其渗透系数</w:t>
                  </w:r>
                  <w:r>
                    <w:rPr>
                      <w:color w:val="auto"/>
                      <w:lang w:val="en-GB"/>
                    </w:rPr>
                    <w:t>≤10</w:t>
                  </w:r>
                  <w:r>
                    <w:rPr>
                      <w:color w:val="auto"/>
                      <w:vertAlign w:val="superscript"/>
                      <w:lang w:val="en-GB"/>
                    </w:rPr>
                    <w:t>-</w:t>
                  </w:r>
                  <w:r>
                    <w:rPr>
                      <w:rFonts w:hint="eastAsia"/>
                      <w:color w:val="auto"/>
                      <w:vertAlign w:val="superscript"/>
                      <w:lang w:val="en-US" w:eastAsia="zh-CN"/>
                    </w:rPr>
                    <w:t>5</w:t>
                  </w:r>
                  <w:r>
                    <w:rPr>
                      <w:color w:val="auto"/>
                      <w:lang w:val="en-GB"/>
                    </w:rPr>
                    <w:t>cm/s</w:t>
                  </w:r>
                  <w:r>
                    <w:rPr>
                      <w:rFonts w:hint="eastAsia"/>
                      <w:color w:val="auto"/>
                      <w:lang w:val="en-GB" w:eastAsia="zh-CN"/>
                    </w:rPr>
                    <w:t>；</w:t>
                  </w:r>
                </w:p>
              </w:tc>
              <w:tc>
                <w:tcPr>
                  <w:tcW w:w="869" w:type="pct"/>
                  <w:noWrap w:val="0"/>
                  <w:vAlign w:val="center"/>
                </w:tcPr>
                <w:p w14:paraId="0E3C975E">
                  <w:pPr>
                    <w:pStyle w:val="47"/>
                    <w:bidi w:val="0"/>
                  </w:pPr>
                  <w:r>
                    <w:rPr>
                      <w:rFonts w:hint="eastAsia"/>
                      <w:lang w:val="en-US" w:eastAsia="zh-CN"/>
                    </w:rPr>
                    <w:t>新建</w:t>
                  </w:r>
                </w:p>
              </w:tc>
            </w:tr>
            <w:tr w14:paraId="41CBE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0" w:type="pct"/>
                  <w:vMerge w:val="continue"/>
                  <w:noWrap w:val="0"/>
                  <w:vAlign w:val="center"/>
                </w:tcPr>
                <w:p w14:paraId="1AB484E4">
                  <w:pPr>
                    <w:pStyle w:val="47"/>
                    <w:bidi w:val="0"/>
                  </w:pPr>
                </w:p>
              </w:tc>
              <w:tc>
                <w:tcPr>
                  <w:tcW w:w="541" w:type="pct"/>
                  <w:noWrap w:val="0"/>
                  <w:vAlign w:val="center"/>
                </w:tcPr>
                <w:p w14:paraId="05D45882">
                  <w:pPr>
                    <w:pStyle w:val="47"/>
                    <w:bidi w:val="0"/>
                    <w:rPr>
                      <w:rFonts w:hint="eastAsia"/>
                      <w:lang w:val="en-US" w:eastAsia="zh-CN"/>
                    </w:rPr>
                  </w:pPr>
                  <w:r>
                    <w:rPr>
                      <w:rFonts w:hint="eastAsia"/>
                      <w:lang w:val="en-US" w:eastAsia="zh-CN"/>
                    </w:rPr>
                    <w:t>环境</w:t>
                  </w:r>
                </w:p>
                <w:p w14:paraId="4222F11A">
                  <w:pPr>
                    <w:pStyle w:val="47"/>
                    <w:bidi w:val="0"/>
                    <w:rPr>
                      <w:rFonts w:hint="eastAsia"/>
                    </w:rPr>
                  </w:pPr>
                  <w:r>
                    <w:rPr>
                      <w:rFonts w:hint="eastAsia"/>
                    </w:rPr>
                    <w:t>风险</w:t>
                  </w:r>
                </w:p>
              </w:tc>
              <w:tc>
                <w:tcPr>
                  <w:tcW w:w="3218" w:type="pct"/>
                  <w:gridSpan w:val="3"/>
                  <w:noWrap w:val="0"/>
                  <w:vAlign w:val="center"/>
                </w:tcPr>
                <w:p w14:paraId="4D18D6A7">
                  <w:pPr>
                    <w:pStyle w:val="47"/>
                    <w:bidi w:val="0"/>
                    <w:rPr>
                      <w:rFonts w:hint="eastAsia"/>
                    </w:rPr>
                  </w:pPr>
                  <w:r>
                    <w:rPr>
                      <w:rFonts w:hint="eastAsia"/>
                    </w:rPr>
                    <w:t>储备应急物资，加强生产管理，</w:t>
                  </w:r>
                  <w:r>
                    <w:t>制定完善消防安全管理制度，明确消防职责</w:t>
                  </w:r>
                  <w:r>
                    <w:rPr>
                      <w:rFonts w:hint="eastAsia"/>
                    </w:rPr>
                    <w:t>；危废暂存间设置截流设施，危废暂存间应有渗漏收集措施</w:t>
                  </w:r>
                </w:p>
              </w:tc>
              <w:tc>
                <w:tcPr>
                  <w:tcW w:w="869" w:type="pct"/>
                  <w:noWrap w:val="0"/>
                  <w:vAlign w:val="center"/>
                </w:tcPr>
                <w:p w14:paraId="067C56C9">
                  <w:pPr>
                    <w:pStyle w:val="47"/>
                    <w:bidi w:val="0"/>
                    <w:rPr>
                      <w:rFonts w:hint="eastAsia"/>
                    </w:rPr>
                  </w:pPr>
                  <w:r>
                    <w:rPr>
                      <w:rFonts w:hint="eastAsia"/>
                      <w:lang w:val="en-US" w:eastAsia="zh-CN"/>
                    </w:rPr>
                    <w:t>新建</w:t>
                  </w:r>
                </w:p>
              </w:tc>
            </w:tr>
            <w:bookmarkEnd w:id="2"/>
          </w:tbl>
          <w:p w14:paraId="48EC9E41">
            <w:pPr>
              <w:numPr>
                <w:ilvl w:val="0"/>
                <w:numId w:val="0"/>
              </w:numPr>
              <w:rPr>
                <w:rFonts w:hint="default"/>
                <w:b/>
                <w:bCs/>
                <w:color w:val="auto"/>
                <w:highlight w:val="none"/>
                <w:lang w:val="en-US" w:eastAsia="zh-CN"/>
              </w:rPr>
            </w:pPr>
            <w:r>
              <w:rPr>
                <w:rFonts w:hint="eastAsia"/>
                <w:b/>
                <w:bCs/>
                <w:color w:val="auto"/>
                <w:highlight w:val="none"/>
                <w:lang w:val="en-US" w:eastAsia="zh-CN"/>
              </w:rPr>
              <w:t>（2）现有厂房改造方案</w:t>
            </w:r>
          </w:p>
          <w:p w14:paraId="3F6ECBFB">
            <w:pPr>
              <w:bidi w:val="0"/>
              <w:rPr>
                <w:color w:val="auto"/>
              </w:rPr>
            </w:pPr>
            <w:r>
              <w:rPr>
                <w:rFonts w:hint="eastAsia"/>
                <w:lang w:val="en-US" w:eastAsia="zh-CN"/>
              </w:rPr>
              <w:t>本项目租赁厂房为</w:t>
            </w:r>
            <w:r>
              <w:rPr>
                <w:rFonts w:hint="eastAsia"/>
                <w:color w:val="auto"/>
                <w:lang w:val="en-US" w:eastAsia="zh-CN"/>
              </w:rPr>
              <w:t>淮南益生酒业有限公司</w:t>
            </w:r>
            <w:r>
              <w:rPr>
                <w:rFonts w:hint="eastAsia"/>
                <w:lang w:val="en-US" w:eastAsia="zh-CN"/>
              </w:rPr>
              <w:t>闲置厂房，</w:t>
            </w:r>
            <w:r>
              <w:rPr>
                <w:rFonts w:hint="eastAsia"/>
                <w:color w:val="auto"/>
                <w:lang w:val="en-US" w:eastAsia="zh-CN"/>
              </w:rPr>
              <w:t>淮南益生啤酒有限公司现有配套污水管网及化粪池，</w:t>
            </w:r>
            <w:r>
              <w:rPr>
                <w:rFonts w:hint="eastAsia"/>
                <w:color w:val="auto"/>
              </w:rPr>
              <w:t>租赁范围</w:t>
            </w:r>
            <w:r>
              <w:rPr>
                <w:color w:val="auto"/>
              </w:rPr>
              <w:t>未包含其他构筑物及环保设备</w:t>
            </w:r>
            <w:r>
              <w:rPr>
                <w:rFonts w:hint="eastAsia"/>
                <w:color w:val="auto"/>
                <w:lang w:eastAsia="zh-CN"/>
              </w:rPr>
              <w:t>，</w:t>
            </w:r>
            <w:r>
              <w:rPr>
                <w:rFonts w:hint="eastAsia"/>
                <w:color w:val="auto"/>
                <w:lang w:val="en-US" w:eastAsia="zh-CN"/>
              </w:rPr>
              <w:t>改造部分只针对现有</w:t>
            </w:r>
            <w:r>
              <w:rPr>
                <w:rFonts w:hint="eastAsia"/>
                <w:color w:val="auto"/>
              </w:rPr>
              <w:t>租赁厂房</w:t>
            </w:r>
            <w:r>
              <w:rPr>
                <w:color w:val="auto"/>
              </w:rPr>
              <w:t>内部进行生产布局</w:t>
            </w:r>
            <w:r>
              <w:rPr>
                <w:rFonts w:hint="eastAsia"/>
                <w:color w:val="auto"/>
              </w:rPr>
              <w:t>规划</w:t>
            </w:r>
            <w:r>
              <w:rPr>
                <w:color w:val="auto"/>
              </w:rPr>
              <w:t>。</w:t>
            </w:r>
          </w:p>
          <w:p w14:paraId="0592B651">
            <w:pPr>
              <w:bidi w:val="0"/>
              <w:rPr>
                <w:rFonts w:hint="eastAsia"/>
                <w:color w:val="auto"/>
                <w:lang w:val="en-US" w:eastAsia="zh-CN"/>
              </w:rPr>
            </w:pPr>
            <w:r>
              <w:rPr>
                <w:rFonts w:hint="eastAsia"/>
                <w:color w:val="auto"/>
                <w:lang w:val="en-US" w:eastAsia="zh-CN"/>
              </w:rPr>
              <w:t>1#厂房约为89.5</w:t>
            </w:r>
            <w:r>
              <w:rPr>
                <w:color w:val="auto"/>
              </w:rPr>
              <w:t>m</w:t>
            </w:r>
            <w:r>
              <w:rPr>
                <w:rFonts w:hint="eastAsia"/>
                <w:color w:val="auto"/>
                <w:lang w:val="en-US" w:eastAsia="zh-CN"/>
              </w:rPr>
              <w:t>×44</w:t>
            </w:r>
            <w:r>
              <w:rPr>
                <w:color w:val="auto"/>
              </w:rPr>
              <w:t>m（长</w:t>
            </w:r>
            <w:r>
              <w:rPr>
                <w:rFonts w:hint="eastAsia"/>
                <w:color w:val="auto"/>
                <w:lang w:eastAsia="zh-CN"/>
              </w:rPr>
              <w:t>×</w:t>
            </w:r>
            <w:r>
              <w:rPr>
                <w:color w:val="auto"/>
              </w:rPr>
              <w:t>宽）厂房</w:t>
            </w:r>
            <w:r>
              <w:rPr>
                <w:rFonts w:hint="eastAsia"/>
                <w:lang w:val="en-US" w:eastAsia="zh-CN"/>
              </w:rPr>
              <w:t>，</w:t>
            </w:r>
            <w:r>
              <w:rPr>
                <w:color w:val="auto"/>
              </w:rPr>
              <w:t>按照</w:t>
            </w:r>
            <w:r>
              <w:rPr>
                <w:rFonts w:hint="eastAsia"/>
                <w:color w:val="auto"/>
              </w:rPr>
              <w:t>拟建项目生产需求将厂房主要划分为</w:t>
            </w:r>
            <w:r>
              <w:rPr>
                <w:rFonts w:hint="eastAsia"/>
                <w:color w:val="auto"/>
                <w:lang w:val="en-US" w:eastAsia="zh-CN"/>
              </w:rPr>
              <w:t>生产区、原料区、产品区、真空及冷却系统区（平面布局</w:t>
            </w:r>
            <w:r>
              <w:rPr>
                <w:rFonts w:hint="eastAsia"/>
                <w:color w:val="auto"/>
                <w:highlight w:val="none"/>
                <w:lang w:val="en-US" w:eastAsia="zh-CN"/>
              </w:rPr>
              <w:t>见附图10-1）</w:t>
            </w:r>
            <w:r>
              <w:rPr>
                <w:rFonts w:hint="eastAsia"/>
                <w:color w:val="auto"/>
                <w:lang w:eastAsia="zh-CN"/>
              </w:rPr>
              <w:t>。</w:t>
            </w:r>
            <w:r>
              <w:rPr>
                <w:rFonts w:hint="eastAsia"/>
                <w:color w:val="auto"/>
                <w:lang w:val="en-US" w:eastAsia="zh-CN"/>
              </w:rPr>
              <w:t>生产区分为成型区、发泡区、熟化区、烘干区，其中成型区位于厂房南侧，发泡区、熟化区位于厂房中部烘干区上方。</w:t>
            </w:r>
          </w:p>
          <w:p w14:paraId="3E7439B9">
            <w:pPr>
              <w:bidi w:val="0"/>
              <w:rPr>
                <w:rFonts w:hint="eastAsia"/>
                <w:color w:val="auto"/>
                <w:lang w:val="en-US" w:eastAsia="zh-CN"/>
              </w:rPr>
            </w:pPr>
            <w:r>
              <w:rPr>
                <w:rFonts w:hint="eastAsia"/>
                <w:color w:val="auto"/>
                <w:lang w:val="en-US" w:eastAsia="zh-CN"/>
              </w:rPr>
              <w:t>2#厂房约为69.5</w:t>
            </w:r>
            <w:r>
              <w:rPr>
                <w:color w:val="auto"/>
              </w:rPr>
              <w:t>m</w:t>
            </w:r>
            <w:r>
              <w:rPr>
                <w:rFonts w:hint="eastAsia"/>
                <w:color w:val="auto"/>
                <w:lang w:val="en-US" w:eastAsia="zh-CN"/>
              </w:rPr>
              <w:t>×15</w:t>
            </w:r>
            <w:r>
              <w:rPr>
                <w:color w:val="auto"/>
              </w:rPr>
              <w:t>m（长</w:t>
            </w:r>
            <w:r>
              <w:rPr>
                <w:rFonts w:hint="eastAsia"/>
                <w:color w:val="auto"/>
                <w:lang w:eastAsia="zh-CN"/>
              </w:rPr>
              <w:t>×</w:t>
            </w:r>
            <w:r>
              <w:rPr>
                <w:color w:val="auto"/>
              </w:rPr>
              <w:t>宽）厂房</w:t>
            </w:r>
            <w:r>
              <w:rPr>
                <w:rFonts w:hint="eastAsia"/>
                <w:lang w:val="en-US" w:eastAsia="zh-CN"/>
              </w:rPr>
              <w:t>，</w:t>
            </w:r>
            <w:r>
              <w:rPr>
                <w:color w:val="auto"/>
              </w:rPr>
              <w:t>按照</w:t>
            </w:r>
            <w:r>
              <w:rPr>
                <w:rFonts w:hint="eastAsia"/>
                <w:color w:val="auto"/>
              </w:rPr>
              <w:t>拟建项目生产需求将厂房主要划分为</w:t>
            </w:r>
            <w:r>
              <w:rPr>
                <w:rFonts w:hint="eastAsia"/>
                <w:color w:val="auto"/>
                <w:lang w:val="en-US" w:eastAsia="zh-CN"/>
              </w:rPr>
              <w:t>生产区、原料区、产品区、真空及冷却系统区（平面布局见</w:t>
            </w:r>
            <w:r>
              <w:rPr>
                <w:rFonts w:hint="eastAsia"/>
                <w:color w:val="auto"/>
                <w:highlight w:val="none"/>
                <w:lang w:val="en-US" w:eastAsia="zh-CN"/>
              </w:rPr>
              <w:t>附图10-2）</w:t>
            </w:r>
            <w:r>
              <w:rPr>
                <w:rFonts w:hint="eastAsia"/>
                <w:color w:val="auto"/>
                <w:lang w:eastAsia="zh-CN"/>
              </w:rPr>
              <w:t>。</w:t>
            </w:r>
            <w:r>
              <w:rPr>
                <w:rFonts w:hint="eastAsia"/>
                <w:color w:val="auto"/>
                <w:lang w:val="en-US" w:eastAsia="zh-CN"/>
              </w:rPr>
              <w:t>生产区分为</w:t>
            </w:r>
            <w:r>
              <w:rPr>
                <w:rFonts w:hint="eastAsia"/>
                <w:color w:val="auto"/>
                <w:highlight w:val="none"/>
                <w:lang w:val="en-US" w:eastAsia="zh-CN"/>
              </w:rPr>
              <w:t>成型区、预压区、烘干区，其中成型区位于厂房南侧，预压区位于厂房中部烘干区上方。</w:t>
            </w:r>
          </w:p>
          <w:p w14:paraId="197760E4">
            <w:pPr>
              <w:bidi w:val="0"/>
              <w:rPr>
                <w:rFonts w:hint="default" w:eastAsia="宋体"/>
                <w:color w:val="auto"/>
                <w:lang w:val="en-US" w:eastAsia="zh-CN"/>
              </w:rPr>
            </w:pPr>
            <w:r>
              <w:rPr>
                <w:rFonts w:hint="eastAsia"/>
                <w:color w:val="auto"/>
                <w:lang w:val="en-US" w:eastAsia="zh-CN"/>
              </w:rPr>
              <w:t>1#厂房东南角设置</w:t>
            </w:r>
            <w:r>
              <w:rPr>
                <w:rFonts w:hint="eastAsia"/>
                <w:color w:val="auto"/>
              </w:rPr>
              <w:t>一般固废间、危废间</w:t>
            </w:r>
            <w:r>
              <w:rPr>
                <w:color w:val="auto"/>
              </w:rPr>
              <w:t>等储运工程</w:t>
            </w:r>
            <w:r>
              <w:rPr>
                <w:rFonts w:hint="eastAsia"/>
                <w:color w:val="auto"/>
              </w:rPr>
              <w:t>，根据不同的生产工艺流程及产污环节</w:t>
            </w:r>
            <w:r>
              <w:rPr>
                <w:color w:val="auto"/>
              </w:rPr>
              <w:t>配套</w:t>
            </w:r>
            <w:r>
              <w:rPr>
                <w:rFonts w:hint="eastAsia"/>
                <w:color w:val="auto"/>
                <w:lang w:val="en-US" w:eastAsia="zh-CN"/>
              </w:rPr>
              <w:t>冷凝+</w:t>
            </w:r>
            <w:r>
              <w:rPr>
                <w:rFonts w:hint="eastAsia"/>
                <w:color w:val="auto"/>
              </w:rPr>
              <w:t>二级活性炭装置</w:t>
            </w:r>
            <w:r>
              <w:rPr>
                <w:color w:val="auto"/>
              </w:rPr>
              <w:t>。</w:t>
            </w:r>
            <w:r>
              <w:rPr>
                <w:rFonts w:hint="eastAsia"/>
                <w:color w:val="auto"/>
                <w:lang w:val="en-US" w:eastAsia="zh-CN"/>
              </w:rPr>
              <w:t>厂房地面已进行一般防渗</w:t>
            </w:r>
            <w:r>
              <w:rPr>
                <w:color w:val="auto"/>
              </w:rPr>
              <w:t>，</w:t>
            </w:r>
            <w:r>
              <w:rPr>
                <w:rFonts w:hint="eastAsia"/>
                <w:color w:val="auto"/>
              </w:rPr>
              <w:t>配套危废间须按照重点防渗要求对地面进行防渗处理。厂房外道路已建成，运输依托现有厂区道路。</w:t>
            </w:r>
          </w:p>
          <w:p w14:paraId="43815111">
            <w:pPr>
              <w:ind w:firstLine="480"/>
              <w:rPr>
                <w:b/>
                <w:bCs/>
                <w:color w:val="auto"/>
                <w:highlight w:val="none"/>
              </w:rPr>
            </w:pPr>
            <w:r>
              <w:rPr>
                <w:rFonts w:hint="eastAsia"/>
                <w:b/>
                <w:bCs/>
                <w:color w:val="auto"/>
                <w:highlight w:val="none"/>
                <w:lang w:val="en-US" w:eastAsia="zh-CN"/>
              </w:rPr>
              <w:t>3</w:t>
            </w:r>
            <w:r>
              <w:rPr>
                <w:rFonts w:hint="eastAsia"/>
                <w:b/>
                <w:bCs/>
                <w:color w:val="auto"/>
                <w:highlight w:val="none"/>
              </w:rPr>
              <w:t>、产品方案</w:t>
            </w:r>
          </w:p>
          <w:p w14:paraId="50539775">
            <w:pPr>
              <w:ind w:firstLine="480"/>
              <w:rPr>
                <w:rFonts w:hint="default"/>
                <w:color w:val="auto"/>
                <w:highlight w:val="none"/>
                <w:lang w:val="en-US"/>
              </w:rPr>
            </w:pPr>
            <w:r>
              <w:rPr>
                <w:rFonts w:hint="eastAsia"/>
                <w:color w:val="auto"/>
                <w:highlight w:val="none"/>
                <w:lang w:eastAsia="zh-CN"/>
              </w:rPr>
              <w:t>淮南益生包装材料有限公司</w:t>
            </w:r>
            <w:r>
              <w:rPr>
                <w:rFonts w:hint="eastAsia"/>
                <w:color w:val="auto"/>
                <w:highlight w:val="none"/>
                <w:lang w:val="en-US" w:eastAsia="zh-CN"/>
              </w:rPr>
              <w:t>产品为各种规格泡沫箱及EPP汽车零配件</w:t>
            </w:r>
            <w:r>
              <w:rPr>
                <w:rFonts w:hint="eastAsia" w:cs="Times New Roman"/>
                <w:color w:val="auto"/>
                <w:highlight w:val="none"/>
                <w:lang w:val="en-US" w:eastAsia="zh-CN"/>
              </w:rPr>
              <w:t>。</w:t>
            </w:r>
          </w:p>
          <w:p w14:paraId="5FFB9D0B">
            <w:pPr>
              <w:ind w:firstLine="480"/>
              <w:rPr>
                <w:color w:val="auto"/>
                <w:highlight w:val="none"/>
              </w:rPr>
            </w:pPr>
            <w:r>
              <w:rPr>
                <w:rFonts w:hint="eastAsia"/>
                <w:color w:val="auto"/>
                <w:highlight w:val="none"/>
              </w:rPr>
              <w:t>本项目主要产品方案见下表：</w:t>
            </w:r>
          </w:p>
          <w:p w14:paraId="4BC9A5F7">
            <w:pPr>
              <w:pStyle w:val="49"/>
              <w:rPr>
                <w:rFonts w:hint="eastAsia"/>
                <w:color w:val="auto"/>
                <w:highlight w:val="none"/>
              </w:rPr>
            </w:pPr>
            <w:r>
              <w:rPr>
                <w:rFonts w:hint="eastAsia"/>
                <w:color w:val="auto"/>
                <w:highlight w:val="none"/>
              </w:rPr>
              <w:t>表2-</w:t>
            </w:r>
            <w:r>
              <w:rPr>
                <w:rFonts w:hint="eastAsia"/>
                <w:color w:val="auto"/>
                <w:highlight w:val="none"/>
                <w:lang w:val="en-US" w:eastAsia="zh-CN"/>
              </w:rPr>
              <w:t>4</w:t>
            </w:r>
            <w:r>
              <w:rPr>
                <w:rFonts w:hint="eastAsia"/>
                <w:color w:val="auto"/>
                <w:highlight w:val="none"/>
              </w:rPr>
              <w:t xml:space="preserve"> 产品</w:t>
            </w:r>
            <w:r>
              <w:rPr>
                <w:rFonts w:hint="eastAsia"/>
                <w:color w:val="auto"/>
                <w:highlight w:val="none"/>
                <w:lang w:val="en-US" w:eastAsia="zh-CN"/>
              </w:rPr>
              <w:t>方案</w:t>
            </w:r>
            <w:r>
              <w:rPr>
                <w:rFonts w:hint="eastAsia"/>
                <w:color w:val="auto"/>
                <w:highlight w:val="none"/>
              </w:rPr>
              <w:t>一览表</w:t>
            </w:r>
          </w:p>
          <w:tbl>
            <w:tblPr>
              <w:tblStyle w:val="26"/>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74"/>
              <w:gridCol w:w="1305"/>
              <w:gridCol w:w="2085"/>
              <w:gridCol w:w="1395"/>
              <w:gridCol w:w="2926"/>
            </w:tblGrid>
            <w:tr w14:paraId="474D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1979" w:type="dxa"/>
                  <w:gridSpan w:val="2"/>
                  <w:shd w:val="clear" w:color="auto" w:fill="auto"/>
                  <w:vAlign w:val="center"/>
                </w:tcPr>
                <w:p w14:paraId="67B98C68">
                  <w:pPr>
                    <w:pStyle w:val="51"/>
                    <w:bidi w:val="0"/>
                    <w:jc w:val="center"/>
                    <w:rPr>
                      <w:rFonts w:hint="eastAsia"/>
                    </w:rPr>
                  </w:pPr>
                  <w:r>
                    <w:rPr>
                      <w:rFonts w:hint="eastAsia"/>
                      <w:lang w:val="en-US" w:eastAsia="zh-CN"/>
                    </w:rPr>
                    <w:t>名称</w:t>
                  </w:r>
                </w:p>
              </w:tc>
              <w:tc>
                <w:tcPr>
                  <w:tcW w:w="2085" w:type="dxa"/>
                  <w:shd w:val="clear" w:color="auto" w:fill="auto"/>
                  <w:vAlign w:val="center"/>
                </w:tcPr>
                <w:p w14:paraId="5B71BF82">
                  <w:pPr>
                    <w:pStyle w:val="51"/>
                    <w:bidi w:val="0"/>
                    <w:jc w:val="center"/>
                    <w:rPr>
                      <w:rFonts w:hint="eastAsia"/>
                    </w:rPr>
                  </w:pPr>
                  <w:r>
                    <w:rPr>
                      <w:rFonts w:hint="eastAsia"/>
                      <w:lang w:val="en-US" w:eastAsia="zh-CN"/>
                    </w:rPr>
                    <w:t>规格</w:t>
                  </w:r>
                </w:p>
              </w:tc>
              <w:tc>
                <w:tcPr>
                  <w:tcW w:w="1395" w:type="dxa"/>
                  <w:shd w:val="clear" w:color="auto" w:fill="auto"/>
                  <w:vAlign w:val="center"/>
                </w:tcPr>
                <w:p w14:paraId="753E0F3D">
                  <w:pPr>
                    <w:pStyle w:val="51"/>
                    <w:bidi w:val="0"/>
                    <w:jc w:val="center"/>
                    <w:rPr>
                      <w:rFonts w:hint="eastAsia"/>
                    </w:rPr>
                  </w:pPr>
                  <w:r>
                    <w:rPr>
                      <w:rFonts w:hint="eastAsia"/>
                      <w:lang w:val="en-US" w:eastAsia="zh-CN"/>
                    </w:rPr>
                    <w:t>产能t/年</w:t>
                  </w:r>
                </w:p>
              </w:tc>
              <w:tc>
                <w:tcPr>
                  <w:tcW w:w="2926" w:type="dxa"/>
                  <w:shd w:val="clear" w:color="auto" w:fill="auto"/>
                  <w:vAlign w:val="center"/>
                </w:tcPr>
                <w:p w14:paraId="005F14ED">
                  <w:pPr>
                    <w:pStyle w:val="51"/>
                    <w:bidi w:val="0"/>
                    <w:jc w:val="center"/>
                    <w:rPr>
                      <w:rFonts w:hint="eastAsia"/>
                    </w:rPr>
                  </w:pPr>
                  <w:r>
                    <w:rPr>
                      <w:rFonts w:hint="eastAsia"/>
                      <w:lang w:val="en-US" w:eastAsia="zh-CN"/>
                    </w:rPr>
                    <w:t>备注</w:t>
                  </w:r>
                </w:p>
              </w:tc>
            </w:tr>
            <w:tr w14:paraId="65F7C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79" w:type="dxa"/>
                  <w:gridSpan w:val="2"/>
                  <w:shd w:val="clear" w:color="auto" w:fill="auto"/>
                  <w:vAlign w:val="center"/>
                </w:tcPr>
                <w:p w14:paraId="294BD17E">
                  <w:pPr>
                    <w:pStyle w:val="51"/>
                    <w:bidi w:val="0"/>
                    <w:jc w:val="center"/>
                    <w:rPr>
                      <w:rFonts w:hint="default"/>
                      <w:lang w:val="en-US"/>
                    </w:rPr>
                  </w:pPr>
                  <w:r>
                    <w:rPr>
                      <w:rFonts w:hint="eastAsia"/>
                      <w:color w:val="auto"/>
                      <w:highlight w:val="none"/>
                      <w:lang w:val="en-US" w:eastAsia="zh-CN"/>
                    </w:rPr>
                    <w:t>EPP汽车零配件</w:t>
                  </w:r>
                </w:p>
              </w:tc>
              <w:tc>
                <w:tcPr>
                  <w:tcW w:w="2085" w:type="dxa"/>
                  <w:shd w:val="clear" w:color="auto" w:fill="auto"/>
                  <w:vAlign w:val="center"/>
                </w:tcPr>
                <w:p w14:paraId="4EFD5DF1">
                  <w:pPr>
                    <w:pStyle w:val="51"/>
                    <w:bidi w:val="0"/>
                    <w:jc w:val="center"/>
                    <w:rPr>
                      <w:rFonts w:hint="default"/>
                    </w:rPr>
                  </w:pPr>
                  <w:r>
                    <w:rPr>
                      <w:rFonts w:hint="default"/>
                      <w:lang w:val="en-US" w:eastAsia="zh-CN"/>
                    </w:rPr>
                    <w:t>/</w:t>
                  </w:r>
                </w:p>
              </w:tc>
              <w:tc>
                <w:tcPr>
                  <w:tcW w:w="1395" w:type="dxa"/>
                  <w:shd w:val="clear" w:color="auto" w:fill="auto"/>
                  <w:vAlign w:val="center"/>
                </w:tcPr>
                <w:p w14:paraId="27CD3EBD">
                  <w:pPr>
                    <w:pStyle w:val="51"/>
                    <w:bidi w:val="0"/>
                    <w:jc w:val="center"/>
                    <w:rPr>
                      <w:rFonts w:hint="default" w:eastAsia="宋体"/>
                      <w:lang w:val="en-US" w:eastAsia="zh-CN"/>
                    </w:rPr>
                  </w:pPr>
                  <w:r>
                    <w:rPr>
                      <w:rFonts w:hint="eastAsia"/>
                      <w:lang w:val="en-US" w:eastAsia="zh-CN"/>
                    </w:rPr>
                    <w:t>1000</w:t>
                  </w:r>
                </w:p>
              </w:tc>
              <w:tc>
                <w:tcPr>
                  <w:tcW w:w="2926" w:type="dxa"/>
                  <w:shd w:val="clear" w:color="auto" w:fill="auto"/>
                  <w:vAlign w:val="center"/>
                </w:tcPr>
                <w:p w14:paraId="7B0C1B5E">
                  <w:pPr>
                    <w:pStyle w:val="47"/>
                    <w:bidi w:val="0"/>
                    <w:rPr>
                      <w:rFonts w:hint="default"/>
                      <w:lang w:val="en-US"/>
                    </w:rPr>
                  </w:pPr>
                  <w:r>
                    <w:rPr>
                      <w:rFonts w:hint="eastAsia"/>
                      <w:lang w:val="en-US" w:eastAsia="zh-CN"/>
                    </w:rPr>
                    <w:t>产品种类繁多有保险杠、汽车座椅件、工具箱，规格根据客户需求调整</w:t>
                  </w:r>
                </w:p>
              </w:tc>
            </w:tr>
            <w:tr w14:paraId="08D61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74" w:type="dxa"/>
                  <w:vMerge w:val="restart"/>
                  <w:shd w:val="clear" w:color="auto" w:fill="auto"/>
                  <w:vAlign w:val="center"/>
                </w:tcPr>
                <w:p w14:paraId="66637217">
                  <w:pPr>
                    <w:pStyle w:val="51"/>
                    <w:bidi w:val="0"/>
                    <w:jc w:val="center"/>
                    <w:rPr>
                      <w:rFonts w:hint="default"/>
                      <w:lang w:val="en-US"/>
                    </w:rPr>
                  </w:pPr>
                  <w:r>
                    <w:rPr>
                      <w:rFonts w:hint="eastAsia"/>
                      <w:lang w:val="en-US" w:eastAsia="zh-CN"/>
                    </w:rPr>
                    <w:t>EPP包装材料</w:t>
                  </w:r>
                </w:p>
              </w:tc>
              <w:tc>
                <w:tcPr>
                  <w:tcW w:w="1305" w:type="dxa"/>
                  <w:shd w:val="clear" w:color="auto" w:fill="auto"/>
                  <w:vAlign w:val="center"/>
                </w:tcPr>
                <w:p w14:paraId="33183BB5">
                  <w:pPr>
                    <w:pStyle w:val="51"/>
                    <w:bidi w:val="0"/>
                    <w:rPr>
                      <w:rFonts w:hint="eastAsia"/>
                      <w:lang w:val="en-US" w:eastAsia="zh-CN"/>
                    </w:rPr>
                  </w:pPr>
                  <w:r>
                    <w:rPr>
                      <w:rFonts w:hint="eastAsia"/>
                    </w:rPr>
                    <w:t>邮政4号泡沫箱</w:t>
                  </w:r>
                </w:p>
              </w:tc>
              <w:tc>
                <w:tcPr>
                  <w:tcW w:w="2085" w:type="dxa"/>
                  <w:shd w:val="clear" w:color="auto" w:fill="auto"/>
                  <w:vAlign w:val="center"/>
                </w:tcPr>
                <w:p w14:paraId="590B818F">
                  <w:pPr>
                    <w:pStyle w:val="51"/>
                    <w:bidi w:val="0"/>
                    <w:rPr>
                      <w:rFonts w:hint="eastAsia"/>
                    </w:rPr>
                  </w:pPr>
                  <w:r>
                    <w:rPr>
                      <w:rFonts w:hint="eastAsia"/>
                    </w:rPr>
                    <w:t>32</w:t>
                  </w:r>
                  <w:r>
                    <w:t>×</w:t>
                  </w:r>
                  <w:r>
                    <w:rPr>
                      <w:rFonts w:hint="eastAsia"/>
                    </w:rPr>
                    <w:t>22</w:t>
                  </w:r>
                  <w:r>
                    <w:t>×</w:t>
                  </w:r>
                  <w:r>
                    <w:rPr>
                      <w:rFonts w:hint="eastAsia"/>
                    </w:rPr>
                    <w:t>18cm；</w:t>
                  </w:r>
                </w:p>
                <w:p w14:paraId="6BF17FAF">
                  <w:pPr>
                    <w:pStyle w:val="51"/>
                    <w:bidi w:val="0"/>
                    <w:rPr>
                      <w:rFonts w:hint="default"/>
                      <w:lang w:val="en-US" w:eastAsia="zh-CN"/>
                    </w:rPr>
                  </w:pPr>
                  <w:r>
                    <w:rPr>
                      <w:rFonts w:hint="eastAsia"/>
                    </w:rPr>
                    <w:t>壁厚2cm</w:t>
                  </w:r>
                </w:p>
              </w:tc>
              <w:tc>
                <w:tcPr>
                  <w:tcW w:w="1395" w:type="dxa"/>
                  <w:shd w:val="clear" w:color="auto" w:fill="auto"/>
                  <w:vAlign w:val="center"/>
                </w:tcPr>
                <w:p w14:paraId="43B2D704">
                  <w:pPr>
                    <w:pStyle w:val="51"/>
                    <w:bidi w:val="0"/>
                    <w:rPr>
                      <w:rFonts w:hint="default"/>
                      <w:lang w:val="en-US" w:eastAsia="zh-CN"/>
                    </w:rPr>
                  </w:pPr>
                  <w:r>
                    <w:rPr>
                      <w:rFonts w:hint="eastAsia"/>
                    </w:rPr>
                    <w:t>1</w:t>
                  </w:r>
                  <w:r>
                    <w:rPr>
                      <w:rFonts w:hint="eastAsia"/>
                      <w:lang w:val="en-US" w:eastAsia="zh-CN"/>
                    </w:rPr>
                    <w:t>5</w:t>
                  </w:r>
                  <w:r>
                    <w:rPr>
                      <w:rFonts w:hint="eastAsia"/>
                    </w:rPr>
                    <w:t>00</w:t>
                  </w:r>
                </w:p>
              </w:tc>
              <w:tc>
                <w:tcPr>
                  <w:tcW w:w="2926" w:type="dxa"/>
                  <w:vMerge w:val="restart"/>
                  <w:shd w:val="clear" w:color="auto" w:fill="auto"/>
                  <w:vAlign w:val="center"/>
                </w:tcPr>
                <w:p w14:paraId="3C213EA0">
                  <w:pPr>
                    <w:pStyle w:val="51"/>
                    <w:bidi w:val="0"/>
                    <w:jc w:val="center"/>
                    <w:rPr>
                      <w:rFonts w:hint="default"/>
                      <w:lang w:val="en-US"/>
                    </w:rPr>
                  </w:pPr>
                  <w:r>
                    <w:rPr>
                      <w:rFonts w:hint="eastAsia" w:ascii="Times New Roman" w:hAnsi="Times New Roman" w:eastAsia="宋体" w:cs="Times New Roman"/>
                      <w:spacing w:val="-2"/>
                      <w:kern w:val="2"/>
                      <w:sz w:val="21"/>
                      <w:szCs w:val="18"/>
                      <w:lang w:val="en-US" w:eastAsia="zh-CN" w:bidi="ar-SA"/>
                    </w:rPr>
                    <w:t>产品种类繁多，本次只列出常规尺寸</w:t>
                  </w:r>
                </w:p>
              </w:tc>
            </w:tr>
            <w:tr w14:paraId="58E6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74" w:type="dxa"/>
                  <w:vMerge w:val="continue"/>
                  <w:shd w:val="clear" w:color="auto" w:fill="auto"/>
                  <w:vAlign w:val="center"/>
                </w:tcPr>
                <w:p w14:paraId="4E9FD696">
                  <w:pPr>
                    <w:pStyle w:val="51"/>
                    <w:bidi w:val="0"/>
                    <w:jc w:val="center"/>
                    <w:rPr>
                      <w:rFonts w:hint="default"/>
                    </w:rPr>
                  </w:pPr>
                </w:p>
              </w:tc>
              <w:tc>
                <w:tcPr>
                  <w:tcW w:w="1305" w:type="dxa"/>
                  <w:shd w:val="clear" w:color="auto" w:fill="auto"/>
                  <w:vAlign w:val="center"/>
                </w:tcPr>
                <w:p w14:paraId="48A8F44C">
                  <w:pPr>
                    <w:pStyle w:val="51"/>
                    <w:bidi w:val="0"/>
                    <w:rPr>
                      <w:rFonts w:hint="default"/>
                      <w:lang w:val="en-US" w:eastAsia="zh-CN"/>
                    </w:rPr>
                  </w:pPr>
                  <w:r>
                    <w:rPr>
                      <w:rFonts w:hint="eastAsia"/>
                    </w:rPr>
                    <w:t>蔬菜盒</w:t>
                  </w:r>
                </w:p>
              </w:tc>
              <w:tc>
                <w:tcPr>
                  <w:tcW w:w="2085" w:type="dxa"/>
                  <w:shd w:val="clear" w:color="auto" w:fill="auto"/>
                  <w:vAlign w:val="center"/>
                </w:tcPr>
                <w:p w14:paraId="70E602A4">
                  <w:pPr>
                    <w:pStyle w:val="51"/>
                    <w:bidi w:val="0"/>
                    <w:rPr>
                      <w:rFonts w:hint="eastAsia"/>
                    </w:rPr>
                  </w:pPr>
                  <w:r>
                    <w:rPr>
                      <w:rFonts w:hint="eastAsia"/>
                    </w:rPr>
                    <w:t>50</w:t>
                  </w:r>
                  <w:r>
                    <w:t>×</w:t>
                  </w:r>
                  <w:r>
                    <w:rPr>
                      <w:rFonts w:hint="eastAsia"/>
                    </w:rPr>
                    <w:t>38</w:t>
                  </w:r>
                  <w:r>
                    <w:t>×</w:t>
                  </w:r>
                  <w:r>
                    <w:rPr>
                      <w:rFonts w:hint="eastAsia"/>
                    </w:rPr>
                    <w:t>32cm</w:t>
                  </w:r>
                </w:p>
                <w:p w14:paraId="16FE84CE">
                  <w:pPr>
                    <w:pStyle w:val="51"/>
                    <w:bidi w:val="0"/>
                    <w:rPr>
                      <w:rFonts w:hint="eastAsia"/>
                      <w:lang w:val="en-US" w:eastAsia="zh-CN"/>
                    </w:rPr>
                  </w:pPr>
                  <w:r>
                    <w:rPr>
                      <w:rFonts w:hint="eastAsia"/>
                    </w:rPr>
                    <w:t>壁厚2.5cm</w:t>
                  </w:r>
                </w:p>
              </w:tc>
              <w:tc>
                <w:tcPr>
                  <w:tcW w:w="1395" w:type="dxa"/>
                  <w:shd w:val="clear" w:color="auto" w:fill="auto"/>
                  <w:vAlign w:val="center"/>
                </w:tcPr>
                <w:p w14:paraId="1C909B9E">
                  <w:pPr>
                    <w:pStyle w:val="51"/>
                    <w:bidi w:val="0"/>
                    <w:rPr>
                      <w:rFonts w:hint="default"/>
                      <w:lang w:val="en-US" w:eastAsia="zh-CN"/>
                    </w:rPr>
                  </w:pPr>
                  <w:r>
                    <w:rPr>
                      <w:rFonts w:hint="eastAsia"/>
                    </w:rPr>
                    <w:t>1000</w:t>
                  </w:r>
                </w:p>
              </w:tc>
              <w:tc>
                <w:tcPr>
                  <w:tcW w:w="2926" w:type="dxa"/>
                  <w:vMerge w:val="continue"/>
                  <w:shd w:val="clear" w:color="auto" w:fill="auto"/>
                  <w:vAlign w:val="center"/>
                </w:tcPr>
                <w:p w14:paraId="7454C446">
                  <w:pPr>
                    <w:pStyle w:val="51"/>
                    <w:bidi w:val="0"/>
                    <w:jc w:val="center"/>
                    <w:rPr>
                      <w:rFonts w:hint="default"/>
                    </w:rPr>
                  </w:pPr>
                </w:p>
              </w:tc>
            </w:tr>
            <w:tr w14:paraId="4789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74" w:type="dxa"/>
                  <w:vMerge w:val="continue"/>
                  <w:shd w:val="clear" w:color="auto" w:fill="auto"/>
                  <w:vAlign w:val="center"/>
                </w:tcPr>
                <w:p w14:paraId="47970904">
                  <w:pPr>
                    <w:pStyle w:val="51"/>
                    <w:bidi w:val="0"/>
                    <w:jc w:val="center"/>
                    <w:rPr>
                      <w:rFonts w:hint="eastAsia"/>
                    </w:rPr>
                  </w:pPr>
                </w:p>
              </w:tc>
              <w:tc>
                <w:tcPr>
                  <w:tcW w:w="1305" w:type="dxa"/>
                  <w:shd w:val="clear" w:color="auto" w:fill="auto"/>
                  <w:vAlign w:val="center"/>
                </w:tcPr>
                <w:p w14:paraId="39F00D57">
                  <w:pPr>
                    <w:pStyle w:val="51"/>
                    <w:bidi w:val="0"/>
                    <w:rPr>
                      <w:rFonts w:hint="eastAsia"/>
                      <w:lang w:val="en-US" w:eastAsia="zh-CN"/>
                    </w:rPr>
                  </w:pPr>
                  <w:r>
                    <w:rPr>
                      <w:rFonts w:hint="eastAsia"/>
                    </w:rPr>
                    <w:t>保温板</w:t>
                  </w:r>
                </w:p>
              </w:tc>
              <w:tc>
                <w:tcPr>
                  <w:tcW w:w="2085" w:type="dxa"/>
                  <w:shd w:val="clear" w:color="auto" w:fill="auto"/>
                  <w:vAlign w:val="center"/>
                </w:tcPr>
                <w:p w14:paraId="65938A1E">
                  <w:pPr>
                    <w:pStyle w:val="51"/>
                    <w:bidi w:val="0"/>
                    <w:rPr>
                      <w:rFonts w:hint="default"/>
                      <w:lang w:val="en-US" w:eastAsia="zh-CN"/>
                    </w:rPr>
                  </w:pPr>
                  <w:r>
                    <w:rPr>
                      <w:rFonts w:hint="eastAsia"/>
                    </w:rPr>
                    <w:t>200</w:t>
                  </w:r>
                  <w:r>
                    <w:t>×</w:t>
                  </w:r>
                  <w:r>
                    <w:rPr>
                      <w:rFonts w:hint="eastAsia"/>
                    </w:rPr>
                    <w:t>100</w:t>
                  </w:r>
                  <w:r>
                    <w:t>×</w:t>
                  </w:r>
                  <w:r>
                    <w:rPr>
                      <w:rFonts w:hint="eastAsia"/>
                    </w:rPr>
                    <w:t>10cm</w:t>
                  </w:r>
                </w:p>
              </w:tc>
              <w:tc>
                <w:tcPr>
                  <w:tcW w:w="1395" w:type="dxa"/>
                  <w:shd w:val="clear" w:color="auto" w:fill="auto"/>
                  <w:vAlign w:val="center"/>
                </w:tcPr>
                <w:p w14:paraId="06CE540C">
                  <w:pPr>
                    <w:pStyle w:val="51"/>
                    <w:bidi w:val="0"/>
                    <w:rPr>
                      <w:rFonts w:hint="default"/>
                      <w:lang w:val="en-US" w:eastAsia="zh-CN"/>
                    </w:rPr>
                  </w:pPr>
                  <w:r>
                    <w:rPr>
                      <w:rFonts w:hint="eastAsia"/>
                    </w:rPr>
                    <w:t>2000</w:t>
                  </w:r>
                </w:p>
              </w:tc>
              <w:tc>
                <w:tcPr>
                  <w:tcW w:w="2926" w:type="dxa"/>
                  <w:vMerge w:val="continue"/>
                  <w:shd w:val="clear" w:color="auto" w:fill="auto"/>
                  <w:vAlign w:val="center"/>
                </w:tcPr>
                <w:p w14:paraId="70169373">
                  <w:pPr>
                    <w:pStyle w:val="51"/>
                    <w:bidi w:val="0"/>
                    <w:jc w:val="center"/>
                    <w:rPr>
                      <w:rFonts w:hint="default"/>
                    </w:rPr>
                  </w:pPr>
                </w:p>
              </w:tc>
            </w:tr>
            <w:tr w14:paraId="375C9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74" w:type="dxa"/>
                  <w:vMerge w:val="continue"/>
                  <w:shd w:val="clear" w:color="auto" w:fill="auto"/>
                  <w:vAlign w:val="center"/>
                </w:tcPr>
                <w:p w14:paraId="601402B1">
                  <w:pPr>
                    <w:pStyle w:val="51"/>
                    <w:bidi w:val="0"/>
                    <w:jc w:val="center"/>
                    <w:rPr>
                      <w:rFonts w:hint="eastAsia"/>
                    </w:rPr>
                  </w:pPr>
                </w:p>
              </w:tc>
              <w:tc>
                <w:tcPr>
                  <w:tcW w:w="1305" w:type="dxa"/>
                  <w:shd w:val="clear" w:color="auto" w:fill="auto"/>
                  <w:vAlign w:val="center"/>
                </w:tcPr>
                <w:p w14:paraId="1A967163">
                  <w:pPr>
                    <w:pStyle w:val="51"/>
                    <w:bidi w:val="0"/>
                    <w:rPr>
                      <w:rFonts w:hint="eastAsia"/>
                      <w:lang w:val="en-US" w:eastAsia="zh-CN"/>
                    </w:rPr>
                  </w:pPr>
                  <w:r>
                    <w:rPr>
                      <w:rFonts w:hint="eastAsia"/>
                    </w:rPr>
                    <w:t>家电防震包装</w:t>
                  </w:r>
                </w:p>
              </w:tc>
              <w:tc>
                <w:tcPr>
                  <w:tcW w:w="2085" w:type="dxa"/>
                  <w:shd w:val="clear" w:color="auto" w:fill="auto"/>
                  <w:vAlign w:val="center"/>
                </w:tcPr>
                <w:p w14:paraId="4BD09BDF">
                  <w:pPr>
                    <w:pStyle w:val="51"/>
                    <w:bidi w:val="0"/>
                    <w:rPr>
                      <w:rFonts w:hint="default"/>
                      <w:lang w:val="en-US" w:eastAsia="zh-CN"/>
                    </w:rPr>
                  </w:pPr>
                  <w:r>
                    <w:rPr>
                      <w:rFonts w:hint="eastAsia"/>
                    </w:rPr>
                    <w:t>158</w:t>
                  </w:r>
                  <w:r>
                    <w:t>×</w:t>
                  </w:r>
                  <w:r>
                    <w:rPr>
                      <w:rFonts w:hint="eastAsia"/>
                    </w:rPr>
                    <w:t>87</w:t>
                  </w:r>
                  <w:r>
                    <w:t>×</w:t>
                  </w:r>
                  <w:r>
                    <w:rPr>
                      <w:rFonts w:hint="eastAsia"/>
                    </w:rPr>
                    <w:t>24cm</w:t>
                  </w:r>
                </w:p>
              </w:tc>
              <w:tc>
                <w:tcPr>
                  <w:tcW w:w="1395" w:type="dxa"/>
                  <w:shd w:val="clear" w:color="auto" w:fill="auto"/>
                  <w:vAlign w:val="center"/>
                </w:tcPr>
                <w:p w14:paraId="3DA8CA11">
                  <w:pPr>
                    <w:pStyle w:val="51"/>
                    <w:bidi w:val="0"/>
                    <w:rPr>
                      <w:rFonts w:hint="default"/>
                      <w:lang w:val="en-US" w:eastAsia="zh-CN"/>
                    </w:rPr>
                  </w:pPr>
                  <w:r>
                    <w:rPr>
                      <w:rFonts w:hint="eastAsia"/>
                    </w:rPr>
                    <w:t>1500</w:t>
                  </w:r>
                </w:p>
              </w:tc>
              <w:tc>
                <w:tcPr>
                  <w:tcW w:w="2926" w:type="dxa"/>
                  <w:vMerge w:val="continue"/>
                  <w:shd w:val="clear" w:color="auto" w:fill="auto"/>
                  <w:vAlign w:val="center"/>
                </w:tcPr>
                <w:p w14:paraId="76ED3E11">
                  <w:pPr>
                    <w:pStyle w:val="51"/>
                    <w:bidi w:val="0"/>
                    <w:jc w:val="center"/>
                    <w:rPr>
                      <w:rFonts w:hint="default"/>
                      <w:lang w:val="en-US" w:eastAsia="zh-CN"/>
                    </w:rPr>
                  </w:pPr>
                </w:p>
              </w:tc>
            </w:tr>
          </w:tbl>
          <w:p w14:paraId="76FE4911">
            <w:pPr>
              <w:bidi w:val="0"/>
              <w:rPr>
                <w:b/>
                <w:bCs/>
              </w:rPr>
            </w:pPr>
            <w:r>
              <w:rPr>
                <w:rFonts w:hint="eastAsia"/>
                <w:b/>
                <w:bCs/>
                <w:lang w:val="en-US" w:eastAsia="zh-CN"/>
              </w:rPr>
              <w:t>4</w:t>
            </w:r>
            <w:r>
              <w:rPr>
                <w:rFonts w:hint="eastAsia"/>
                <w:b/>
                <w:bCs/>
              </w:rPr>
              <w:t>、主要生产设备</w:t>
            </w:r>
          </w:p>
          <w:p w14:paraId="1FFF500D">
            <w:pPr>
              <w:ind w:firstLine="480"/>
              <w:rPr>
                <w:rFonts w:hint="eastAsia"/>
                <w:b/>
                <w:bCs/>
                <w:color w:val="auto"/>
                <w:highlight w:val="none"/>
              </w:rPr>
            </w:pPr>
            <w:r>
              <w:rPr>
                <w:rFonts w:hint="eastAsia"/>
                <w:b/>
                <w:bCs/>
                <w:color w:val="auto"/>
                <w:highlight w:val="none"/>
                <w:lang w:eastAsia="zh-CN"/>
              </w:rPr>
              <w:t>（</w:t>
            </w:r>
            <w:r>
              <w:rPr>
                <w:rFonts w:hint="eastAsia"/>
                <w:b/>
                <w:bCs/>
                <w:color w:val="auto"/>
                <w:highlight w:val="none"/>
                <w:lang w:val="en-US" w:eastAsia="zh-CN"/>
              </w:rPr>
              <w:t>1</w:t>
            </w:r>
            <w:r>
              <w:rPr>
                <w:rFonts w:hint="eastAsia"/>
                <w:b/>
                <w:bCs/>
                <w:color w:val="auto"/>
                <w:highlight w:val="none"/>
                <w:lang w:eastAsia="zh-CN"/>
              </w:rPr>
              <w:t>）</w:t>
            </w:r>
            <w:r>
              <w:rPr>
                <w:rFonts w:hint="eastAsia"/>
                <w:b/>
                <w:bCs/>
                <w:color w:val="auto"/>
                <w:highlight w:val="none"/>
                <w:lang w:val="en-US" w:eastAsia="zh-CN"/>
              </w:rPr>
              <w:t>主要</w:t>
            </w:r>
            <w:r>
              <w:rPr>
                <w:rFonts w:hint="eastAsia"/>
                <w:b/>
                <w:bCs/>
                <w:color w:val="auto"/>
                <w:highlight w:val="none"/>
              </w:rPr>
              <w:t>生产设备</w:t>
            </w:r>
          </w:p>
          <w:p w14:paraId="6CE996F9">
            <w:pPr>
              <w:bidi w:val="0"/>
              <w:rPr>
                <w:rFonts w:hint="eastAsia"/>
                <w:b/>
                <w:bCs/>
                <w:color w:val="auto"/>
                <w:highlight w:val="none"/>
              </w:rPr>
            </w:pPr>
            <w:r>
              <w:rPr>
                <w:rFonts w:hint="eastAsia"/>
                <w:color w:val="auto"/>
                <w:highlight w:val="none"/>
              </w:rPr>
              <w:t>本</w:t>
            </w:r>
            <w:r>
              <w:rPr>
                <w:rFonts w:hint="eastAsia"/>
                <w:color w:val="auto"/>
                <w:highlight w:val="none"/>
                <w:lang w:val="en-US" w:eastAsia="zh-CN"/>
              </w:rPr>
              <w:t>项目</w:t>
            </w:r>
            <w:r>
              <w:t>主要生产及辅助设备见表</w:t>
            </w:r>
            <w:r>
              <w:rPr>
                <w:rFonts w:hint="eastAsia"/>
              </w:rPr>
              <w:t>2</w:t>
            </w:r>
            <w:r>
              <w:t>-</w:t>
            </w:r>
            <w:r>
              <w:rPr>
                <w:rFonts w:hint="eastAsia"/>
                <w:lang w:val="en-US" w:eastAsia="zh-CN"/>
              </w:rPr>
              <w:t>5</w:t>
            </w:r>
            <w:r>
              <w:rPr>
                <w:rFonts w:hint="eastAsia"/>
              </w:rPr>
              <w:t>，项目使用的生产设备均不属于</w:t>
            </w:r>
            <w:r>
              <w:t>《产业结构调整指导目录》（20</w:t>
            </w:r>
            <w:r>
              <w:rPr>
                <w:rFonts w:hint="eastAsia"/>
              </w:rPr>
              <w:t>24</w:t>
            </w:r>
            <w:r>
              <w:t>年本）</w:t>
            </w:r>
            <w:r>
              <w:rPr>
                <w:rFonts w:hint="eastAsia"/>
              </w:rPr>
              <w:t>中限制、淘汰类，符合国家产业政策要求。</w:t>
            </w:r>
          </w:p>
          <w:p w14:paraId="5F8F28E5">
            <w:pPr>
              <w:pStyle w:val="49"/>
              <w:rPr>
                <w:color w:val="auto"/>
                <w:highlight w:val="none"/>
              </w:rPr>
            </w:pPr>
            <w:r>
              <w:rPr>
                <w:rFonts w:hint="eastAsia"/>
                <w:color w:val="auto"/>
                <w:highlight w:val="none"/>
              </w:rPr>
              <w:t>表2-</w:t>
            </w:r>
            <w:r>
              <w:rPr>
                <w:rFonts w:hint="eastAsia"/>
                <w:color w:val="auto"/>
                <w:highlight w:val="none"/>
                <w:lang w:val="en-US" w:eastAsia="zh-CN"/>
              </w:rPr>
              <w:t>5</w:t>
            </w:r>
            <w:r>
              <w:rPr>
                <w:rFonts w:hint="eastAsia"/>
                <w:color w:val="auto"/>
                <w:highlight w:val="none"/>
              </w:rPr>
              <w:t xml:space="preserve"> 主要设备一览表</w:t>
            </w:r>
          </w:p>
          <w:tbl>
            <w:tblPr>
              <w:tblStyle w:val="27"/>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603"/>
              <w:gridCol w:w="696"/>
              <w:gridCol w:w="1100"/>
              <w:gridCol w:w="1107"/>
              <w:gridCol w:w="1938"/>
              <w:gridCol w:w="2936"/>
            </w:tblGrid>
            <w:tr w14:paraId="5CC81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98" w:hRule="atLeast"/>
                <w:jc w:val="center"/>
              </w:trPr>
              <w:tc>
                <w:tcPr>
                  <w:tcW w:w="360" w:type="pct"/>
                  <w:vAlign w:val="center"/>
                </w:tcPr>
                <w:p w14:paraId="01418143">
                  <w:pPr>
                    <w:pStyle w:val="51"/>
                    <w:spacing w:before="31" w:after="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序号</w:t>
                  </w:r>
                </w:p>
              </w:tc>
              <w:tc>
                <w:tcPr>
                  <w:tcW w:w="415" w:type="pct"/>
                  <w:vAlign w:val="center"/>
                </w:tcPr>
                <w:p w14:paraId="1F87B67B">
                  <w:pPr>
                    <w:pStyle w:val="51"/>
                    <w:spacing w:before="31" w:after="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生产线</w:t>
                  </w:r>
                </w:p>
              </w:tc>
              <w:tc>
                <w:tcPr>
                  <w:tcW w:w="1316" w:type="pct"/>
                  <w:gridSpan w:val="2"/>
                  <w:vAlign w:val="center"/>
                </w:tcPr>
                <w:p w14:paraId="1724A951">
                  <w:pPr>
                    <w:pStyle w:val="51"/>
                    <w:spacing w:before="31" w:after="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设备名称</w:t>
                  </w:r>
                </w:p>
              </w:tc>
              <w:tc>
                <w:tcPr>
                  <w:tcW w:w="1156" w:type="pct"/>
                  <w:vAlign w:val="center"/>
                </w:tcPr>
                <w:p w14:paraId="177E9BF7">
                  <w:pPr>
                    <w:pStyle w:val="51"/>
                    <w:spacing w:before="31" w:after="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型号及规格</w:t>
                  </w:r>
                </w:p>
              </w:tc>
              <w:tc>
                <w:tcPr>
                  <w:tcW w:w="1751" w:type="pct"/>
                  <w:vAlign w:val="center"/>
                </w:tcPr>
                <w:p w14:paraId="71C0A3DF">
                  <w:pPr>
                    <w:pStyle w:val="51"/>
                    <w:spacing w:before="31" w:after="31"/>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数量</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台/套</w:t>
                  </w:r>
                  <w:r>
                    <w:rPr>
                      <w:rFonts w:hint="eastAsia"/>
                      <w:color w:val="000000" w:themeColor="text1"/>
                      <w:highlight w:val="none"/>
                      <w:lang w:eastAsia="zh-CN"/>
                      <w14:textFill>
                        <w14:solidFill>
                          <w14:schemeClr w14:val="tx1"/>
                        </w14:solidFill>
                      </w14:textFill>
                    </w:rPr>
                    <w:t>）</w:t>
                  </w:r>
                </w:p>
              </w:tc>
            </w:tr>
            <w:tr w14:paraId="17A8E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74" w:hRule="atLeast"/>
                <w:jc w:val="center"/>
              </w:trPr>
              <w:tc>
                <w:tcPr>
                  <w:tcW w:w="360" w:type="pct"/>
                  <w:vAlign w:val="center"/>
                </w:tcPr>
                <w:p w14:paraId="197841DF">
                  <w:pPr>
                    <w:pStyle w:val="51"/>
                    <w:spacing w:before="31" w:after="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415" w:type="pct"/>
                  <w:vMerge w:val="restart"/>
                  <w:vAlign w:val="center"/>
                </w:tcPr>
                <w:p w14:paraId="2B04F057">
                  <w:pPr>
                    <w:pStyle w:val="51"/>
                    <w:spacing w:before="31" w:after="31"/>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EPS包装材料生产线</w:t>
                  </w:r>
                </w:p>
              </w:tc>
              <w:tc>
                <w:tcPr>
                  <w:tcW w:w="1316" w:type="pct"/>
                  <w:gridSpan w:val="2"/>
                  <w:shd w:val="clear" w:color="auto" w:fill="auto"/>
                  <w:vAlign w:val="center"/>
                </w:tcPr>
                <w:p w14:paraId="40B02429">
                  <w:pPr>
                    <w:pStyle w:val="43"/>
                    <w:ind w:left="120" w:leftChars="50" w:right="120" w:rightChars="50" w:firstLine="0" w:firstLineChars="0"/>
                    <w:rPr>
                      <w:rFonts w:hint="default" w:ascii="Times New Roman" w:hAnsi="Times New Roman" w:eastAsia="宋体" w:cs="Times New Roman"/>
                      <w:b w:val="0"/>
                      <w:bCs/>
                      <w:color w:val="auto"/>
                      <w:spacing w:val="-2"/>
                      <w:kern w:val="2"/>
                      <w:sz w:val="21"/>
                      <w:szCs w:val="18"/>
                      <w:lang w:val="en-US" w:eastAsia="zh-CN" w:bidi="ar-SA"/>
                    </w:rPr>
                  </w:pPr>
                  <w:r>
                    <w:rPr>
                      <w:rFonts w:hint="eastAsia"/>
                      <w:b w:val="0"/>
                      <w:bCs/>
                      <w:color w:val="auto"/>
                    </w:rPr>
                    <w:t>自动成型机</w:t>
                  </w:r>
                </w:p>
              </w:tc>
              <w:tc>
                <w:tcPr>
                  <w:tcW w:w="1156" w:type="pct"/>
                  <w:vAlign w:val="center"/>
                </w:tcPr>
                <w:p w14:paraId="39102CF6">
                  <w:pPr>
                    <w:pStyle w:val="51"/>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FW-Z1816，0.3t/h</w:t>
                  </w:r>
                </w:p>
              </w:tc>
              <w:tc>
                <w:tcPr>
                  <w:tcW w:w="1751" w:type="pct"/>
                  <w:vAlign w:val="center"/>
                </w:tcPr>
                <w:p w14:paraId="2FB3E365">
                  <w:pPr>
                    <w:pStyle w:val="51"/>
                    <w:spacing w:before="31" w:after="31"/>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p>
              </w:tc>
            </w:tr>
            <w:tr w14:paraId="16A83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6" w:hRule="atLeast"/>
                <w:jc w:val="center"/>
              </w:trPr>
              <w:tc>
                <w:tcPr>
                  <w:tcW w:w="360" w:type="pct"/>
                  <w:vAlign w:val="center"/>
                </w:tcPr>
                <w:p w14:paraId="33545428">
                  <w:pPr>
                    <w:pStyle w:val="51"/>
                    <w:spacing w:before="31" w:after="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p>
              </w:tc>
              <w:tc>
                <w:tcPr>
                  <w:tcW w:w="415" w:type="pct"/>
                  <w:vMerge w:val="continue"/>
                  <w:vAlign w:val="center"/>
                </w:tcPr>
                <w:p w14:paraId="38CE3F79">
                  <w:pPr>
                    <w:pStyle w:val="51"/>
                    <w:spacing w:before="31" w:after="31"/>
                    <w:rPr>
                      <w:color w:val="000000" w:themeColor="text1"/>
                      <w:highlight w:val="none"/>
                      <w14:textFill>
                        <w14:solidFill>
                          <w14:schemeClr w14:val="tx1"/>
                        </w14:solidFill>
                      </w14:textFill>
                    </w:rPr>
                  </w:pPr>
                </w:p>
              </w:tc>
              <w:tc>
                <w:tcPr>
                  <w:tcW w:w="1316" w:type="pct"/>
                  <w:gridSpan w:val="2"/>
                  <w:shd w:val="clear" w:color="auto" w:fill="auto"/>
                  <w:vAlign w:val="center"/>
                </w:tcPr>
                <w:p w14:paraId="50ECC94C">
                  <w:pPr>
                    <w:pStyle w:val="43"/>
                    <w:ind w:left="120" w:leftChars="50" w:right="120" w:rightChars="50" w:firstLine="0" w:firstLineChars="0"/>
                    <w:rPr>
                      <w:rFonts w:hint="default" w:ascii="Times New Roman" w:hAnsi="Times New Roman" w:eastAsia="宋体" w:cs="Times New Roman"/>
                      <w:b w:val="0"/>
                      <w:bCs/>
                      <w:color w:val="auto"/>
                      <w:spacing w:val="-2"/>
                      <w:kern w:val="2"/>
                      <w:sz w:val="21"/>
                      <w:szCs w:val="18"/>
                      <w:lang w:val="en-US" w:eastAsia="zh-CN" w:bidi="ar-SA"/>
                    </w:rPr>
                  </w:pPr>
                  <w:r>
                    <w:rPr>
                      <w:rFonts w:hint="eastAsia"/>
                      <w:b w:val="0"/>
                      <w:bCs/>
                      <w:color w:val="auto"/>
                      <w:lang w:val="en-US" w:eastAsia="zh-CN"/>
                    </w:rPr>
                    <w:t>全自动间歇式发泡机</w:t>
                  </w:r>
                </w:p>
              </w:tc>
              <w:tc>
                <w:tcPr>
                  <w:tcW w:w="1156" w:type="pct"/>
                  <w:vAlign w:val="center"/>
                </w:tcPr>
                <w:p w14:paraId="30DE69E3">
                  <w:pPr>
                    <w:pStyle w:val="51"/>
                    <w:spacing w:before="31" w:after="31"/>
                    <w:rPr>
                      <w:rFonts w:hint="default" w:eastAsia="宋体"/>
                      <w:color w:val="000000" w:themeColor="text1"/>
                      <w:highlight w:val="none"/>
                      <w:lang w:val="en-US" w:eastAsia="zh-CN"/>
                      <w14:textFill>
                        <w14:solidFill>
                          <w14:schemeClr w14:val="tx1"/>
                        </w14:solidFill>
                      </w14:textFill>
                    </w:rPr>
                  </w:pPr>
                  <w:r>
                    <w:rPr>
                      <w:rFonts w:hint="eastAsia"/>
                      <w:sz w:val="21"/>
                      <w:szCs w:val="24"/>
                      <w:vertAlign w:val="baseline"/>
                      <w:lang w:val="en-US" w:eastAsia="zh-CN"/>
                    </w:rPr>
                    <w:t>FW-YF-1300-2</w:t>
                  </w:r>
                </w:p>
              </w:tc>
              <w:tc>
                <w:tcPr>
                  <w:tcW w:w="1751" w:type="pct"/>
                  <w:vAlign w:val="center"/>
                </w:tcPr>
                <w:p w14:paraId="609B236D">
                  <w:pPr>
                    <w:pStyle w:val="51"/>
                    <w:spacing w:before="31" w:after="31"/>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r>
            <w:tr w14:paraId="7ADEC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6" w:hRule="atLeast"/>
                <w:jc w:val="center"/>
              </w:trPr>
              <w:tc>
                <w:tcPr>
                  <w:tcW w:w="360" w:type="pct"/>
                  <w:vAlign w:val="center"/>
                </w:tcPr>
                <w:p w14:paraId="1EE50565">
                  <w:pPr>
                    <w:pStyle w:val="51"/>
                    <w:spacing w:before="31" w:after="31"/>
                    <w:rPr>
                      <w:rFonts w:hint="eastAsia" w:eastAsia="宋体"/>
                      <w:lang w:val="en-US" w:eastAsia="zh-CN"/>
                    </w:rPr>
                  </w:pPr>
                  <w:r>
                    <w:rPr>
                      <w:rFonts w:hint="eastAsia"/>
                      <w:lang w:val="en-US" w:eastAsia="zh-CN"/>
                    </w:rPr>
                    <w:t>3</w:t>
                  </w:r>
                </w:p>
              </w:tc>
              <w:tc>
                <w:tcPr>
                  <w:tcW w:w="415" w:type="pct"/>
                  <w:vMerge w:val="continue"/>
                  <w:vAlign w:val="center"/>
                </w:tcPr>
                <w:p w14:paraId="2A5E4596">
                  <w:pPr>
                    <w:pStyle w:val="51"/>
                    <w:spacing w:before="31" w:after="31"/>
                  </w:pPr>
                </w:p>
              </w:tc>
              <w:tc>
                <w:tcPr>
                  <w:tcW w:w="1316" w:type="pct"/>
                  <w:gridSpan w:val="2"/>
                  <w:shd w:val="clear" w:color="auto" w:fill="auto"/>
                  <w:vAlign w:val="center"/>
                </w:tcPr>
                <w:p w14:paraId="0D9CE0B5">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rFonts w:hint="eastAsia"/>
                      <w:b w:val="0"/>
                      <w:bCs/>
                      <w:color w:val="auto"/>
                    </w:rPr>
                    <w:t>流化干燥机</w:t>
                  </w:r>
                </w:p>
              </w:tc>
              <w:tc>
                <w:tcPr>
                  <w:tcW w:w="1156" w:type="pct"/>
                  <w:vAlign w:val="center"/>
                </w:tcPr>
                <w:p w14:paraId="7803D1A3">
                  <w:pPr>
                    <w:pStyle w:val="51"/>
                    <w:spacing w:before="31" w:after="31"/>
                    <w:rPr>
                      <w:rFonts w:hint="eastAsia"/>
                      <w:color w:val="000000" w:themeColor="text1"/>
                      <w:highlight w:val="none"/>
                      <w14:textFill>
                        <w14:solidFill>
                          <w14:schemeClr w14:val="tx1"/>
                        </w14:solidFill>
                      </w14:textFill>
                    </w:rPr>
                  </w:pPr>
                  <w:r>
                    <w:rPr>
                      <w:rFonts w:hint="eastAsia"/>
                      <w:sz w:val="21"/>
                      <w:szCs w:val="24"/>
                      <w:vertAlign w:val="baseline"/>
                      <w:lang w:val="en-US" w:eastAsia="zh-CN"/>
                    </w:rPr>
                    <w:t>MA2000/770G</w:t>
                  </w:r>
                </w:p>
              </w:tc>
              <w:tc>
                <w:tcPr>
                  <w:tcW w:w="1751" w:type="pct"/>
                  <w:vAlign w:val="center"/>
                </w:tcPr>
                <w:p w14:paraId="063ACD78">
                  <w:pPr>
                    <w:pStyle w:val="51"/>
                    <w:spacing w:before="31" w:after="31"/>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r>
            <w:tr w14:paraId="3AC6F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6" w:hRule="atLeast"/>
                <w:jc w:val="center"/>
              </w:trPr>
              <w:tc>
                <w:tcPr>
                  <w:tcW w:w="360" w:type="pct"/>
                  <w:vAlign w:val="center"/>
                </w:tcPr>
                <w:p w14:paraId="51397D24">
                  <w:pPr>
                    <w:pStyle w:val="51"/>
                    <w:spacing w:before="31" w:after="31"/>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p>
              </w:tc>
              <w:tc>
                <w:tcPr>
                  <w:tcW w:w="415" w:type="pct"/>
                  <w:vMerge w:val="continue"/>
                  <w:vAlign w:val="center"/>
                </w:tcPr>
                <w:p w14:paraId="45F8CDCB">
                  <w:pPr>
                    <w:pStyle w:val="51"/>
                    <w:spacing w:before="31" w:after="31"/>
                    <w:rPr>
                      <w:rFonts w:hint="eastAsia"/>
                      <w:color w:val="000000" w:themeColor="text1"/>
                      <w:highlight w:val="none"/>
                      <w14:textFill>
                        <w14:solidFill>
                          <w14:schemeClr w14:val="tx1"/>
                        </w14:solidFill>
                      </w14:textFill>
                    </w:rPr>
                  </w:pPr>
                </w:p>
              </w:tc>
              <w:tc>
                <w:tcPr>
                  <w:tcW w:w="1316" w:type="pct"/>
                  <w:gridSpan w:val="2"/>
                  <w:shd w:val="clear" w:color="auto" w:fill="auto"/>
                  <w:vAlign w:val="center"/>
                </w:tcPr>
                <w:p w14:paraId="14001AEE">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rFonts w:hint="eastAsia"/>
                      <w:b w:val="0"/>
                      <w:bCs/>
                      <w:color w:val="auto"/>
                      <w:lang w:val="en-US" w:eastAsia="zh-CN"/>
                    </w:rPr>
                    <w:t>设备</w:t>
                  </w:r>
                  <w:r>
                    <w:rPr>
                      <w:rFonts w:hint="eastAsia"/>
                      <w:b w:val="0"/>
                      <w:bCs/>
                      <w:color w:val="auto"/>
                    </w:rPr>
                    <w:t>真空</w:t>
                  </w:r>
                  <w:r>
                    <w:rPr>
                      <w:rFonts w:hint="eastAsia"/>
                      <w:b w:val="0"/>
                      <w:bCs/>
                      <w:color w:val="auto"/>
                      <w:lang w:val="en-US" w:eastAsia="zh-CN"/>
                    </w:rPr>
                    <w:t>冷却</w:t>
                  </w:r>
                  <w:r>
                    <w:rPr>
                      <w:rFonts w:hint="eastAsia"/>
                      <w:b w:val="0"/>
                      <w:bCs/>
                      <w:color w:val="auto"/>
                    </w:rPr>
                    <w:t>系统</w:t>
                  </w:r>
                </w:p>
              </w:tc>
              <w:tc>
                <w:tcPr>
                  <w:tcW w:w="1156" w:type="pct"/>
                  <w:vAlign w:val="center"/>
                </w:tcPr>
                <w:p w14:paraId="43D696B0">
                  <w:pPr>
                    <w:pStyle w:val="51"/>
                    <w:spacing w:before="31" w:after="31"/>
                    <w:rPr>
                      <w:rFonts w:hint="eastAsia"/>
                      <w:color w:val="000000" w:themeColor="text1"/>
                      <w:highlight w:val="none"/>
                      <w14:textFill>
                        <w14:solidFill>
                          <w14:schemeClr w14:val="tx1"/>
                        </w14:solidFill>
                      </w14:textFill>
                    </w:rPr>
                  </w:pPr>
                  <w:r>
                    <w:rPr>
                      <w:rFonts w:hint="eastAsia"/>
                      <w:sz w:val="21"/>
                      <w:szCs w:val="24"/>
                      <w:vertAlign w:val="baseline"/>
                      <w:lang w:val="en-US" w:eastAsia="zh-CN"/>
                    </w:rPr>
                    <w:t>/</w:t>
                  </w:r>
                </w:p>
              </w:tc>
              <w:tc>
                <w:tcPr>
                  <w:tcW w:w="1751" w:type="pct"/>
                  <w:vAlign w:val="center"/>
                </w:tcPr>
                <w:p w14:paraId="3A2C82AA">
                  <w:pPr>
                    <w:pStyle w:val="51"/>
                    <w:spacing w:before="31" w:after="31"/>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554D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6" w:hRule="atLeast"/>
                <w:jc w:val="center"/>
              </w:trPr>
              <w:tc>
                <w:tcPr>
                  <w:tcW w:w="360" w:type="pct"/>
                  <w:vAlign w:val="center"/>
                </w:tcPr>
                <w:p w14:paraId="3904FA87">
                  <w:pPr>
                    <w:pStyle w:val="51"/>
                    <w:spacing w:before="31" w:after="31"/>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p>
              </w:tc>
              <w:tc>
                <w:tcPr>
                  <w:tcW w:w="415" w:type="pct"/>
                  <w:vMerge w:val="continue"/>
                  <w:vAlign w:val="center"/>
                </w:tcPr>
                <w:p w14:paraId="62882C18">
                  <w:pPr>
                    <w:pStyle w:val="51"/>
                    <w:spacing w:before="31" w:after="31"/>
                    <w:rPr>
                      <w:rFonts w:hint="eastAsia"/>
                      <w:color w:val="000000" w:themeColor="text1"/>
                      <w:highlight w:val="none"/>
                      <w14:textFill>
                        <w14:solidFill>
                          <w14:schemeClr w14:val="tx1"/>
                        </w14:solidFill>
                      </w14:textFill>
                    </w:rPr>
                  </w:pPr>
                </w:p>
              </w:tc>
              <w:tc>
                <w:tcPr>
                  <w:tcW w:w="1316" w:type="pct"/>
                  <w:gridSpan w:val="2"/>
                  <w:shd w:val="clear" w:color="auto" w:fill="auto"/>
                  <w:vAlign w:val="center"/>
                </w:tcPr>
                <w:p w14:paraId="32CF78CF">
                  <w:pPr>
                    <w:pStyle w:val="43"/>
                    <w:ind w:left="120" w:leftChars="50" w:right="120" w:rightChars="50" w:firstLine="0" w:firstLineChars="0"/>
                    <w:rPr>
                      <w:rFonts w:hint="default" w:ascii="Times New Roman" w:hAnsi="Times New Roman" w:eastAsia="宋体" w:cs="Times New Roman"/>
                      <w:b w:val="0"/>
                      <w:bCs/>
                      <w:color w:val="auto"/>
                      <w:spacing w:val="-2"/>
                      <w:kern w:val="2"/>
                      <w:sz w:val="21"/>
                      <w:szCs w:val="18"/>
                      <w:lang w:val="en-US" w:eastAsia="zh-CN" w:bidi="ar-SA"/>
                    </w:rPr>
                  </w:pPr>
                  <w:r>
                    <w:rPr>
                      <w:rFonts w:hint="eastAsia" w:cs="Times New Roman"/>
                      <w:b w:val="0"/>
                      <w:bCs/>
                      <w:color w:val="auto"/>
                      <w:spacing w:val="-2"/>
                      <w:kern w:val="2"/>
                      <w:sz w:val="21"/>
                      <w:szCs w:val="18"/>
                      <w:lang w:val="en-US" w:eastAsia="zh-CN" w:bidi="ar-SA"/>
                    </w:rPr>
                    <w:t>模具真空冷却系统</w:t>
                  </w:r>
                </w:p>
              </w:tc>
              <w:tc>
                <w:tcPr>
                  <w:tcW w:w="1156" w:type="pct"/>
                  <w:vAlign w:val="center"/>
                </w:tcPr>
                <w:p w14:paraId="77363491">
                  <w:pPr>
                    <w:pStyle w:val="51"/>
                    <w:spacing w:before="31" w:after="31"/>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751" w:type="pct"/>
                  <w:vAlign w:val="center"/>
                </w:tcPr>
                <w:p w14:paraId="223A9118">
                  <w:pPr>
                    <w:pStyle w:val="51"/>
                    <w:spacing w:before="31" w:after="31"/>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42F3B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vAlign w:val="center"/>
                </w:tcPr>
                <w:p w14:paraId="5C0A196B">
                  <w:pPr>
                    <w:pStyle w:val="51"/>
                    <w:spacing w:before="31" w:after="31"/>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p>
              </w:tc>
              <w:tc>
                <w:tcPr>
                  <w:tcW w:w="415" w:type="pct"/>
                  <w:vMerge w:val="continue"/>
                  <w:vAlign w:val="center"/>
                </w:tcPr>
                <w:p w14:paraId="563B17CB">
                  <w:pPr>
                    <w:pStyle w:val="51"/>
                    <w:spacing w:before="31" w:after="31"/>
                    <w:rPr>
                      <w:color w:val="000000" w:themeColor="text1"/>
                      <w:highlight w:val="none"/>
                      <w14:textFill>
                        <w14:solidFill>
                          <w14:schemeClr w14:val="tx1"/>
                        </w14:solidFill>
                      </w14:textFill>
                    </w:rPr>
                  </w:pPr>
                </w:p>
              </w:tc>
              <w:tc>
                <w:tcPr>
                  <w:tcW w:w="656" w:type="pct"/>
                  <w:vMerge w:val="restart"/>
                  <w:shd w:val="clear" w:color="auto" w:fill="auto"/>
                  <w:vAlign w:val="center"/>
                </w:tcPr>
                <w:p w14:paraId="6B83DB2B">
                  <w:pPr>
                    <w:pStyle w:val="43"/>
                    <w:ind w:left="120" w:leftChars="50" w:right="120" w:rightChars="50" w:firstLine="0" w:firstLineChars="0"/>
                    <w:rPr>
                      <w:rFonts w:hint="default" w:ascii="Times New Roman" w:hAnsi="Times New Roman" w:eastAsia="宋体" w:cs="Times New Roman"/>
                      <w:b w:val="0"/>
                      <w:bCs/>
                      <w:color w:val="auto"/>
                      <w:spacing w:val="-2"/>
                      <w:kern w:val="2"/>
                      <w:sz w:val="21"/>
                      <w:szCs w:val="18"/>
                      <w:lang w:val="en-US" w:eastAsia="zh-CN" w:bidi="ar-SA"/>
                    </w:rPr>
                  </w:pPr>
                  <w:r>
                    <w:rPr>
                      <w:rFonts w:hint="eastAsia" w:cs="Times New Roman"/>
                      <w:b w:val="0"/>
                      <w:bCs/>
                      <w:color w:val="auto"/>
                      <w:spacing w:val="-2"/>
                      <w:kern w:val="2"/>
                      <w:sz w:val="21"/>
                      <w:szCs w:val="18"/>
                      <w:lang w:val="en-US" w:eastAsia="zh-CN" w:bidi="ar-SA"/>
                    </w:rPr>
                    <w:t>设备水冷系统</w:t>
                  </w:r>
                </w:p>
              </w:tc>
              <w:tc>
                <w:tcPr>
                  <w:tcW w:w="659" w:type="pct"/>
                  <w:shd w:val="clear" w:color="auto" w:fill="auto"/>
                  <w:vAlign w:val="center"/>
                </w:tcPr>
                <w:p w14:paraId="2BE050B9">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rFonts w:hint="eastAsia" w:cs="Times New Roman"/>
                      <w:b w:val="0"/>
                      <w:bCs/>
                      <w:color w:val="auto"/>
                      <w:spacing w:val="-2"/>
                      <w:kern w:val="2"/>
                      <w:sz w:val="21"/>
                      <w:szCs w:val="18"/>
                      <w:lang w:val="en-US" w:eastAsia="zh-CN" w:bidi="ar-SA"/>
                    </w:rPr>
                    <w:t>循环水箱</w:t>
                  </w:r>
                </w:p>
              </w:tc>
              <w:tc>
                <w:tcPr>
                  <w:tcW w:w="1156" w:type="pct"/>
                  <w:vAlign w:val="center"/>
                </w:tcPr>
                <w:p w14:paraId="691C596F">
                  <w:pPr>
                    <w:pStyle w:val="51"/>
                    <w:bidi w:val="0"/>
                    <w:rPr>
                      <w:rFonts w:hint="default"/>
                      <w:color w:val="000000" w:themeColor="text1"/>
                      <w:highlight w:val="none"/>
                      <w:lang w:val="en-US"/>
                      <w14:textFill>
                        <w14:solidFill>
                          <w14:schemeClr w14:val="tx1"/>
                        </w14:solidFill>
                      </w14:textFill>
                    </w:rPr>
                  </w:pPr>
                  <w:r>
                    <w:rPr>
                      <w:rFonts w:hint="eastAsia"/>
                      <w:sz w:val="21"/>
                      <w:szCs w:val="24"/>
                      <w:vertAlign w:val="baseline"/>
                      <w:lang w:val="en-US" w:eastAsia="zh-CN"/>
                    </w:rPr>
                    <w:t>200m³</w:t>
                  </w:r>
                </w:p>
              </w:tc>
              <w:tc>
                <w:tcPr>
                  <w:tcW w:w="1751" w:type="pct"/>
                  <w:vAlign w:val="center"/>
                </w:tcPr>
                <w:p w14:paraId="55A878ED">
                  <w:pPr>
                    <w:pStyle w:val="51"/>
                    <w:spacing w:before="31" w:after="31"/>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0B64B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vAlign w:val="center"/>
                </w:tcPr>
                <w:p w14:paraId="78B73CD9">
                  <w:pPr>
                    <w:pStyle w:val="51"/>
                    <w:spacing w:before="31" w:after="31"/>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p>
              </w:tc>
              <w:tc>
                <w:tcPr>
                  <w:tcW w:w="415" w:type="pct"/>
                  <w:vMerge w:val="continue"/>
                  <w:vAlign w:val="center"/>
                </w:tcPr>
                <w:p w14:paraId="4876A1E3">
                  <w:pPr>
                    <w:pStyle w:val="51"/>
                    <w:spacing w:before="31" w:after="31"/>
                    <w:rPr>
                      <w:color w:val="000000" w:themeColor="text1"/>
                      <w:highlight w:val="none"/>
                      <w14:textFill>
                        <w14:solidFill>
                          <w14:schemeClr w14:val="tx1"/>
                        </w14:solidFill>
                      </w14:textFill>
                    </w:rPr>
                  </w:pPr>
                </w:p>
              </w:tc>
              <w:tc>
                <w:tcPr>
                  <w:tcW w:w="656" w:type="pct"/>
                  <w:vMerge w:val="continue"/>
                  <w:shd w:val="clear" w:color="auto" w:fill="auto"/>
                  <w:vAlign w:val="center"/>
                </w:tcPr>
                <w:p w14:paraId="3FF38AC3">
                  <w:pPr>
                    <w:pStyle w:val="43"/>
                    <w:ind w:left="120" w:leftChars="50" w:right="120" w:rightChars="50" w:firstLine="0" w:firstLineChars="0"/>
                    <w:rPr>
                      <w:rFonts w:hint="default" w:ascii="Times New Roman" w:hAnsi="Times New Roman" w:eastAsia="宋体" w:cs="Times New Roman"/>
                      <w:b w:val="0"/>
                      <w:bCs/>
                      <w:color w:val="auto"/>
                      <w:spacing w:val="-2"/>
                      <w:kern w:val="2"/>
                      <w:sz w:val="21"/>
                      <w:szCs w:val="18"/>
                      <w:lang w:val="en-US" w:eastAsia="zh-CN" w:bidi="ar-SA"/>
                    </w:rPr>
                  </w:pPr>
                </w:p>
              </w:tc>
              <w:tc>
                <w:tcPr>
                  <w:tcW w:w="659" w:type="pct"/>
                  <w:shd w:val="clear" w:color="auto" w:fill="auto"/>
                  <w:vAlign w:val="center"/>
                </w:tcPr>
                <w:p w14:paraId="54307DBF">
                  <w:pPr>
                    <w:pStyle w:val="43"/>
                    <w:ind w:left="120" w:leftChars="50" w:right="120" w:rightChars="50" w:firstLine="0" w:firstLineChars="0"/>
                    <w:rPr>
                      <w:rFonts w:hint="default" w:ascii="Times New Roman" w:hAnsi="Times New Roman" w:eastAsia="宋体" w:cs="Times New Roman"/>
                      <w:b w:val="0"/>
                      <w:bCs/>
                      <w:color w:val="auto"/>
                      <w:spacing w:val="-2"/>
                      <w:kern w:val="2"/>
                      <w:sz w:val="21"/>
                      <w:szCs w:val="18"/>
                      <w:lang w:val="en-US" w:eastAsia="zh-CN" w:bidi="ar-SA"/>
                    </w:rPr>
                  </w:pPr>
                  <w:r>
                    <w:rPr>
                      <w:rFonts w:hint="eastAsia" w:cs="Times New Roman"/>
                      <w:b w:val="0"/>
                      <w:bCs/>
                      <w:color w:val="auto"/>
                      <w:spacing w:val="-2"/>
                      <w:kern w:val="2"/>
                      <w:sz w:val="21"/>
                      <w:szCs w:val="18"/>
                      <w:lang w:val="en-US" w:eastAsia="zh-CN" w:bidi="ar-SA"/>
                    </w:rPr>
                    <w:t>冷却塔</w:t>
                  </w:r>
                </w:p>
              </w:tc>
              <w:tc>
                <w:tcPr>
                  <w:tcW w:w="1156" w:type="pct"/>
                  <w:vAlign w:val="center"/>
                </w:tcPr>
                <w:p w14:paraId="2F8C80D4">
                  <w:pPr>
                    <w:pStyle w:val="51"/>
                    <w:bidi w:val="0"/>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sz w:val="21"/>
                      <w:szCs w:val="24"/>
                      <w:vertAlign w:val="baseline"/>
                      <w:lang w:val="en-US" w:eastAsia="zh-CN"/>
                    </w:rPr>
                    <w:t>200m³</w:t>
                  </w:r>
                </w:p>
              </w:tc>
              <w:tc>
                <w:tcPr>
                  <w:tcW w:w="1751" w:type="pct"/>
                  <w:vAlign w:val="center"/>
                </w:tcPr>
                <w:p w14:paraId="7979191A">
                  <w:pPr>
                    <w:pStyle w:val="51"/>
                    <w:spacing w:before="31" w:after="31"/>
                    <w:ind w:left="24" w:leftChars="10" w:right="24" w:rightChars="10" w:firstLine="0" w:firstLineChars="0"/>
                    <w:rPr>
                      <w:rFonts w:hint="default"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2</w:t>
                  </w:r>
                </w:p>
              </w:tc>
            </w:tr>
            <w:tr w14:paraId="56248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vAlign w:val="center"/>
                </w:tcPr>
                <w:p w14:paraId="694A9194">
                  <w:pPr>
                    <w:pStyle w:val="51"/>
                    <w:spacing w:before="31" w:after="31"/>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w:t>
                  </w:r>
                </w:p>
              </w:tc>
              <w:tc>
                <w:tcPr>
                  <w:tcW w:w="415" w:type="pct"/>
                  <w:vMerge w:val="continue"/>
                  <w:vAlign w:val="center"/>
                </w:tcPr>
                <w:p w14:paraId="66D43EC8">
                  <w:pPr>
                    <w:pStyle w:val="51"/>
                    <w:spacing w:before="31" w:after="31"/>
                    <w:rPr>
                      <w:color w:val="000000" w:themeColor="text1"/>
                      <w:highlight w:val="none"/>
                      <w14:textFill>
                        <w14:solidFill>
                          <w14:schemeClr w14:val="tx1"/>
                        </w14:solidFill>
                      </w14:textFill>
                    </w:rPr>
                  </w:pPr>
                </w:p>
              </w:tc>
              <w:tc>
                <w:tcPr>
                  <w:tcW w:w="656" w:type="pct"/>
                  <w:vMerge w:val="restart"/>
                  <w:shd w:val="clear" w:color="auto" w:fill="auto"/>
                  <w:vAlign w:val="center"/>
                </w:tcPr>
                <w:p w14:paraId="5DB04AFE">
                  <w:pPr>
                    <w:pStyle w:val="43"/>
                    <w:ind w:left="120" w:leftChars="50" w:right="120" w:rightChars="50" w:firstLine="0" w:firstLineChars="0"/>
                    <w:rPr>
                      <w:rFonts w:hint="default" w:ascii="Times New Roman" w:hAnsi="Times New Roman" w:eastAsia="宋体" w:cs="Times New Roman"/>
                      <w:b w:val="0"/>
                      <w:bCs/>
                      <w:color w:val="auto"/>
                      <w:spacing w:val="-2"/>
                      <w:kern w:val="2"/>
                      <w:sz w:val="21"/>
                      <w:szCs w:val="18"/>
                      <w:lang w:val="en-US" w:eastAsia="zh-CN" w:bidi="ar-SA"/>
                    </w:rPr>
                  </w:pPr>
                  <w:r>
                    <w:rPr>
                      <w:rFonts w:hint="eastAsia" w:cs="Times New Roman"/>
                      <w:b w:val="0"/>
                      <w:bCs/>
                      <w:color w:val="auto"/>
                      <w:spacing w:val="-2"/>
                      <w:kern w:val="2"/>
                      <w:sz w:val="21"/>
                      <w:szCs w:val="18"/>
                      <w:lang w:val="en-US" w:eastAsia="zh-CN" w:bidi="ar-SA"/>
                    </w:rPr>
                    <w:t>模具水冷系统</w:t>
                  </w:r>
                </w:p>
              </w:tc>
              <w:tc>
                <w:tcPr>
                  <w:tcW w:w="659" w:type="pct"/>
                  <w:shd w:val="clear" w:color="auto" w:fill="auto"/>
                  <w:vAlign w:val="center"/>
                </w:tcPr>
                <w:p w14:paraId="23BA030F">
                  <w:pPr>
                    <w:pStyle w:val="43"/>
                    <w:ind w:left="120" w:leftChars="50" w:right="120" w:rightChars="50" w:firstLine="0" w:firstLineChars="0"/>
                    <w:rPr>
                      <w:rFonts w:hint="default" w:cs="Times New Roman"/>
                      <w:b w:val="0"/>
                      <w:bCs/>
                      <w:color w:val="auto"/>
                      <w:spacing w:val="-2"/>
                      <w:kern w:val="2"/>
                      <w:sz w:val="21"/>
                      <w:szCs w:val="18"/>
                      <w:lang w:val="en-US" w:eastAsia="zh-CN" w:bidi="ar-SA"/>
                    </w:rPr>
                  </w:pPr>
                  <w:r>
                    <w:rPr>
                      <w:rFonts w:hint="eastAsia" w:cs="Times New Roman"/>
                      <w:b w:val="0"/>
                      <w:bCs/>
                      <w:color w:val="auto"/>
                      <w:spacing w:val="-2"/>
                      <w:kern w:val="2"/>
                      <w:sz w:val="21"/>
                      <w:szCs w:val="18"/>
                      <w:lang w:val="en-US" w:eastAsia="zh-CN" w:bidi="ar-SA"/>
                    </w:rPr>
                    <w:t>循环水箱</w:t>
                  </w:r>
                </w:p>
              </w:tc>
              <w:tc>
                <w:tcPr>
                  <w:tcW w:w="1156" w:type="pct"/>
                  <w:vAlign w:val="center"/>
                </w:tcPr>
                <w:p w14:paraId="36FE73DD">
                  <w:pPr>
                    <w:pStyle w:val="51"/>
                    <w:bidi w:val="0"/>
                    <w:ind w:left="24" w:leftChars="10" w:right="24" w:rightChars="10" w:firstLine="0" w:firstLineChars="0"/>
                    <w:rPr>
                      <w:rFonts w:hint="default"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90m³</w:t>
                  </w:r>
                </w:p>
              </w:tc>
              <w:tc>
                <w:tcPr>
                  <w:tcW w:w="1751" w:type="pct"/>
                  <w:vAlign w:val="center"/>
                </w:tcPr>
                <w:p w14:paraId="5A10112D">
                  <w:pPr>
                    <w:pStyle w:val="51"/>
                    <w:spacing w:before="31" w:after="31"/>
                    <w:ind w:left="24" w:leftChars="10" w:right="24" w:rightChars="10" w:firstLine="0" w:firstLineChars="0"/>
                    <w:rPr>
                      <w:rFonts w:hint="default"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1</w:t>
                  </w:r>
                </w:p>
              </w:tc>
            </w:tr>
            <w:tr w14:paraId="141C4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vAlign w:val="center"/>
                </w:tcPr>
                <w:p w14:paraId="2D91E59C">
                  <w:pPr>
                    <w:pStyle w:val="51"/>
                    <w:spacing w:before="31" w:after="31"/>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9</w:t>
                  </w:r>
                </w:p>
              </w:tc>
              <w:tc>
                <w:tcPr>
                  <w:tcW w:w="415" w:type="pct"/>
                  <w:vMerge w:val="continue"/>
                  <w:vAlign w:val="center"/>
                </w:tcPr>
                <w:p w14:paraId="1F6CB28B">
                  <w:pPr>
                    <w:pStyle w:val="51"/>
                    <w:spacing w:before="31" w:after="31"/>
                    <w:rPr>
                      <w:color w:val="000000" w:themeColor="text1"/>
                      <w:highlight w:val="none"/>
                      <w14:textFill>
                        <w14:solidFill>
                          <w14:schemeClr w14:val="tx1"/>
                        </w14:solidFill>
                      </w14:textFill>
                    </w:rPr>
                  </w:pPr>
                </w:p>
              </w:tc>
              <w:tc>
                <w:tcPr>
                  <w:tcW w:w="656" w:type="pct"/>
                  <w:vMerge w:val="continue"/>
                  <w:shd w:val="clear" w:color="auto" w:fill="auto"/>
                  <w:vAlign w:val="center"/>
                </w:tcPr>
                <w:p w14:paraId="0FF5E712">
                  <w:pPr>
                    <w:pStyle w:val="43"/>
                    <w:ind w:left="120" w:leftChars="50" w:right="120" w:rightChars="50" w:firstLine="0" w:firstLineChars="0"/>
                    <w:rPr>
                      <w:rFonts w:hint="default" w:ascii="Times New Roman" w:hAnsi="Times New Roman" w:eastAsia="宋体" w:cs="Times New Roman"/>
                      <w:b w:val="0"/>
                      <w:bCs/>
                      <w:color w:val="auto"/>
                      <w:spacing w:val="-2"/>
                      <w:kern w:val="2"/>
                      <w:sz w:val="21"/>
                      <w:szCs w:val="18"/>
                      <w:lang w:val="en-US" w:eastAsia="zh-CN" w:bidi="ar-SA"/>
                    </w:rPr>
                  </w:pPr>
                </w:p>
              </w:tc>
              <w:tc>
                <w:tcPr>
                  <w:tcW w:w="659" w:type="pct"/>
                  <w:shd w:val="clear" w:color="auto" w:fill="auto"/>
                  <w:vAlign w:val="center"/>
                </w:tcPr>
                <w:p w14:paraId="4D888170">
                  <w:pPr>
                    <w:pStyle w:val="43"/>
                    <w:ind w:left="120" w:leftChars="50" w:right="120" w:rightChars="50" w:firstLine="0" w:firstLineChars="0"/>
                    <w:rPr>
                      <w:rFonts w:hint="default" w:ascii="Times New Roman" w:hAnsi="Times New Roman" w:eastAsia="宋体" w:cs="Times New Roman"/>
                      <w:b w:val="0"/>
                      <w:bCs/>
                      <w:color w:val="auto"/>
                      <w:spacing w:val="-2"/>
                      <w:kern w:val="2"/>
                      <w:sz w:val="21"/>
                      <w:szCs w:val="18"/>
                      <w:lang w:val="en-US" w:eastAsia="zh-CN" w:bidi="ar-SA"/>
                    </w:rPr>
                  </w:pPr>
                  <w:r>
                    <w:rPr>
                      <w:rFonts w:hint="eastAsia" w:cs="Times New Roman"/>
                      <w:b w:val="0"/>
                      <w:bCs/>
                      <w:color w:val="auto"/>
                      <w:spacing w:val="-2"/>
                      <w:kern w:val="2"/>
                      <w:sz w:val="21"/>
                      <w:szCs w:val="18"/>
                      <w:lang w:val="en-US" w:eastAsia="zh-CN" w:bidi="ar-SA"/>
                    </w:rPr>
                    <w:t>冷却塔</w:t>
                  </w:r>
                </w:p>
              </w:tc>
              <w:tc>
                <w:tcPr>
                  <w:tcW w:w="1156" w:type="pct"/>
                  <w:vAlign w:val="center"/>
                </w:tcPr>
                <w:p w14:paraId="5B893DBB">
                  <w:pPr>
                    <w:pStyle w:val="51"/>
                    <w:bidi w:val="0"/>
                    <w:rPr>
                      <w:rFonts w:hint="default"/>
                      <w:color w:val="000000" w:themeColor="text1"/>
                      <w:highlight w:val="none"/>
                      <w:lang w:val="en-US"/>
                      <w14:textFill>
                        <w14:solidFill>
                          <w14:schemeClr w14:val="tx1"/>
                        </w14:solidFill>
                      </w14:textFill>
                    </w:rPr>
                  </w:pPr>
                  <w:r>
                    <w:rPr>
                      <w:rFonts w:hint="eastAsia"/>
                      <w:sz w:val="21"/>
                      <w:szCs w:val="24"/>
                      <w:vertAlign w:val="baseline"/>
                      <w:lang w:val="en-US" w:eastAsia="zh-CN"/>
                    </w:rPr>
                    <w:t>200m³</w:t>
                  </w:r>
                </w:p>
              </w:tc>
              <w:tc>
                <w:tcPr>
                  <w:tcW w:w="1751" w:type="pct"/>
                  <w:vAlign w:val="center"/>
                </w:tcPr>
                <w:p w14:paraId="11F8C0DE">
                  <w:pPr>
                    <w:pStyle w:val="51"/>
                    <w:spacing w:before="31" w:after="31"/>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r>
            <w:tr w14:paraId="0093D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387C2505">
                  <w:pPr>
                    <w:pStyle w:val="51"/>
                    <w:spacing w:before="31" w:after="31"/>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w:t>
                  </w:r>
                </w:p>
              </w:tc>
              <w:tc>
                <w:tcPr>
                  <w:tcW w:w="415" w:type="pct"/>
                  <w:vMerge w:val="continue"/>
                  <w:vAlign w:val="center"/>
                </w:tcPr>
                <w:p w14:paraId="5A425FA7">
                  <w:pPr>
                    <w:pStyle w:val="51"/>
                    <w:spacing w:before="31" w:after="31"/>
                    <w:rPr>
                      <w:color w:val="000000" w:themeColor="text1"/>
                      <w:highlight w:val="none"/>
                      <w14:textFill>
                        <w14:solidFill>
                          <w14:schemeClr w14:val="tx1"/>
                        </w14:solidFill>
                      </w14:textFill>
                    </w:rPr>
                  </w:pPr>
                </w:p>
              </w:tc>
              <w:tc>
                <w:tcPr>
                  <w:tcW w:w="1316" w:type="pct"/>
                  <w:gridSpan w:val="2"/>
                  <w:shd w:val="clear" w:color="auto" w:fill="auto"/>
                  <w:vAlign w:val="center"/>
                </w:tcPr>
                <w:p w14:paraId="17FBC5B7">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rFonts w:hint="eastAsia"/>
                      <w:b w:val="0"/>
                      <w:bCs/>
                      <w:color w:val="auto"/>
                      <w:lang w:val="en-US" w:eastAsia="zh-CN"/>
                    </w:rPr>
                    <w:t>烘房</w:t>
                  </w:r>
                </w:p>
              </w:tc>
              <w:tc>
                <w:tcPr>
                  <w:tcW w:w="1156" w:type="pct"/>
                  <w:vAlign w:val="center"/>
                </w:tcPr>
                <w:p w14:paraId="29C0BBA8">
                  <w:pPr>
                    <w:pStyle w:val="51"/>
                    <w:bidi w:val="0"/>
                    <w:rPr>
                      <w:rFonts w:hint="eastAsia"/>
                      <w:sz w:val="21"/>
                      <w:szCs w:val="24"/>
                      <w:highlight w:val="none"/>
                      <w:vertAlign w:val="baseline"/>
                      <w:lang w:val="en-US" w:eastAsia="zh-CN"/>
                    </w:rPr>
                  </w:pPr>
                  <w:r>
                    <w:rPr>
                      <w:rFonts w:hint="eastAsia"/>
                      <w:color w:val="auto"/>
                      <w:highlight w:val="none"/>
                      <w:lang w:val="en-US" w:eastAsia="zh-CN"/>
                    </w:rPr>
                    <w:t>69</w:t>
                  </w:r>
                  <w:r>
                    <w:rPr>
                      <w:rFonts w:hint="eastAsia"/>
                      <w:color w:val="auto"/>
                      <w:highlight w:val="none"/>
                    </w:rPr>
                    <w:t>m</w:t>
                  </w:r>
                  <w:r>
                    <w:rPr>
                      <w:rFonts w:ascii="Arial" w:hAnsi="Arial" w:cs="Arial"/>
                      <w:color w:val="auto"/>
                      <w:highlight w:val="none"/>
                    </w:rPr>
                    <w:t>×</w:t>
                  </w:r>
                  <w:r>
                    <w:rPr>
                      <w:rFonts w:hint="eastAsia"/>
                      <w:color w:val="auto"/>
                      <w:highlight w:val="none"/>
                      <w:lang w:val="en-US" w:eastAsia="zh-CN"/>
                    </w:rPr>
                    <w:t>12</w:t>
                  </w:r>
                  <w:r>
                    <w:rPr>
                      <w:rFonts w:hint="eastAsia"/>
                      <w:color w:val="auto"/>
                      <w:highlight w:val="none"/>
                    </w:rPr>
                    <w:t>m</w:t>
                  </w:r>
                  <w:r>
                    <w:rPr>
                      <w:rFonts w:ascii="Arial" w:hAnsi="Arial" w:cs="Arial"/>
                      <w:color w:val="auto"/>
                      <w:highlight w:val="none"/>
                    </w:rPr>
                    <w:t>×</w:t>
                  </w:r>
                  <w:r>
                    <w:rPr>
                      <w:rFonts w:hint="eastAsia"/>
                      <w:color w:val="auto"/>
                      <w:highlight w:val="none"/>
                    </w:rPr>
                    <w:t>3m</w:t>
                  </w:r>
                </w:p>
              </w:tc>
              <w:tc>
                <w:tcPr>
                  <w:tcW w:w="1751" w:type="pct"/>
                  <w:vAlign w:val="center"/>
                </w:tcPr>
                <w:p w14:paraId="0363E092">
                  <w:pPr>
                    <w:pStyle w:val="51"/>
                    <w:spacing w:before="31" w:after="31"/>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1C3E4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63D0A573">
                  <w:pPr>
                    <w:pStyle w:val="51"/>
                    <w:spacing w:before="31" w:after="31"/>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w:t>
                  </w:r>
                </w:p>
              </w:tc>
              <w:tc>
                <w:tcPr>
                  <w:tcW w:w="415" w:type="pct"/>
                  <w:vMerge w:val="continue"/>
                  <w:vAlign w:val="center"/>
                </w:tcPr>
                <w:p w14:paraId="4C1B6E8D">
                  <w:pPr>
                    <w:pStyle w:val="51"/>
                    <w:spacing w:before="31" w:after="31"/>
                    <w:rPr>
                      <w:color w:val="000000" w:themeColor="text1"/>
                      <w:highlight w:val="none"/>
                      <w14:textFill>
                        <w14:solidFill>
                          <w14:schemeClr w14:val="tx1"/>
                        </w14:solidFill>
                      </w14:textFill>
                    </w:rPr>
                  </w:pPr>
                </w:p>
              </w:tc>
              <w:tc>
                <w:tcPr>
                  <w:tcW w:w="1316" w:type="pct"/>
                  <w:gridSpan w:val="2"/>
                  <w:shd w:val="clear" w:color="auto" w:fill="auto"/>
                  <w:vAlign w:val="center"/>
                </w:tcPr>
                <w:p w14:paraId="7F57083D">
                  <w:pPr>
                    <w:pStyle w:val="43"/>
                    <w:ind w:left="120" w:leftChars="50" w:right="120" w:rightChars="50" w:firstLine="0" w:firstLineChars="0"/>
                    <w:rPr>
                      <w:rFonts w:hint="default" w:ascii="Times New Roman" w:hAnsi="Times New Roman" w:eastAsia="宋体" w:cs="Times New Roman"/>
                      <w:b w:val="0"/>
                      <w:bCs/>
                      <w:color w:val="auto"/>
                      <w:spacing w:val="-2"/>
                      <w:kern w:val="2"/>
                      <w:sz w:val="21"/>
                      <w:szCs w:val="18"/>
                      <w:lang w:val="en-US" w:eastAsia="zh-CN" w:bidi="ar-SA"/>
                    </w:rPr>
                  </w:pPr>
                  <w:r>
                    <w:rPr>
                      <w:rFonts w:hint="eastAsia"/>
                      <w:b w:val="0"/>
                      <w:bCs/>
                      <w:color w:val="auto"/>
                      <w:lang w:val="en-US" w:eastAsia="zh-CN"/>
                    </w:rPr>
                    <w:t>熟化料仓</w:t>
                  </w:r>
                </w:p>
              </w:tc>
              <w:tc>
                <w:tcPr>
                  <w:tcW w:w="1156" w:type="pct"/>
                  <w:vAlign w:val="center"/>
                </w:tcPr>
                <w:p w14:paraId="6137975A">
                  <w:pPr>
                    <w:pStyle w:val="51"/>
                    <w:bidi w:val="0"/>
                    <w:rPr>
                      <w:rFonts w:hint="eastAsia"/>
                      <w:sz w:val="21"/>
                      <w:szCs w:val="24"/>
                      <w:vertAlign w:val="baseline"/>
                      <w:lang w:val="en-US" w:eastAsia="zh-CN"/>
                    </w:rPr>
                  </w:pPr>
                  <w:r>
                    <w:rPr>
                      <w:rFonts w:hint="eastAsia"/>
                      <w:color w:val="auto"/>
                      <w:lang w:val="en-US" w:eastAsia="zh-CN"/>
                    </w:rPr>
                    <w:t>2.5</w:t>
                  </w:r>
                  <w:r>
                    <w:rPr>
                      <w:rFonts w:hint="eastAsia"/>
                      <w:color w:val="auto"/>
                    </w:rPr>
                    <w:t>m</w:t>
                  </w:r>
                  <w:r>
                    <w:rPr>
                      <w:rFonts w:ascii="Arial" w:hAnsi="Arial" w:cs="Arial"/>
                      <w:color w:val="auto"/>
                    </w:rPr>
                    <w:t>×</w:t>
                  </w:r>
                  <w:r>
                    <w:rPr>
                      <w:rFonts w:hint="eastAsia"/>
                      <w:color w:val="auto"/>
                      <w:lang w:val="en-US" w:eastAsia="zh-CN"/>
                    </w:rPr>
                    <w:t>2.5</w:t>
                  </w:r>
                  <w:r>
                    <w:rPr>
                      <w:rFonts w:hint="eastAsia"/>
                      <w:color w:val="auto"/>
                    </w:rPr>
                    <w:t>m</w:t>
                  </w:r>
                  <w:r>
                    <w:rPr>
                      <w:rFonts w:ascii="Arial" w:hAnsi="Arial" w:cs="Arial"/>
                      <w:color w:val="auto"/>
                    </w:rPr>
                    <w:t>×</w:t>
                  </w:r>
                  <w:r>
                    <w:rPr>
                      <w:rFonts w:hint="eastAsia"/>
                      <w:color w:val="auto"/>
                      <w:lang w:val="en-US" w:eastAsia="zh-CN"/>
                    </w:rPr>
                    <w:t>5</w:t>
                  </w:r>
                  <w:r>
                    <w:rPr>
                      <w:rFonts w:hint="eastAsia"/>
                      <w:color w:val="auto"/>
                    </w:rPr>
                    <w:t>m</w:t>
                  </w:r>
                </w:p>
              </w:tc>
              <w:tc>
                <w:tcPr>
                  <w:tcW w:w="1751" w:type="pct"/>
                  <w:vAlign w:val="center"/>
                </w:tcPr>
                <w:p w14:paraId="6B88D963">
                  <w:pPr>
                    <w:pStyle w:val="51"/>
                    <w:spacing w:before="31" w:after="31"/>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60</w:t>
                  </w:r>
                </w:p>
              </w:tc>
            </w:tr>
            <w:tr w14:paraId="16635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2208AAC2">
                  <w:pPr>
                    <w:pStyle w:val="51"/>
                    <w:spacing w:before="31" w:after="31"/>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12</w:t>
                  </w:r>
                </w:p>
              </w:tc>
              <w:tc>
                <w:tcPr>
                  <w:tcW w:w="415" w:type="pct"/>
                  <w:vMerge w:val="continue"/>
                  <w:vAlign w:val="center"/>
                </w:tcPr>
                <w:p w14:paraId="29E68D90">
                  <w:pPr>
                    <w:pStyle w:val="51"/>
                    <w:spacing w:before="31" w:after="31"/>
                    <w:rPr>
                      <w:color w:val="000000" w:themeColor="text1"/>
                      <w:highlight w:val="none"/>
                      <w14:textFill>
                        <w14:solidFill>
                          <w14:schemeClr w14:val="tx1"/>
                        </w14:solidFill>
                      </w14:textFill>
                    </w:rPr>
                  </w:pPr>
                </w:p>
              </w:tc>
              <w:tc>
                <w:tcPr>
                  <w:tcW w:w="1316" w:type="pct"/>
                  <w:gridSpan w:val="2"/>
                  <w:shd w:val="clear" w:color="auto" w:fill="auto"/>
                  <w:vAlign w:val="center"/>
                </w:tcPr>
                <w:p w14:paraId="2B1B7920">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rFonts w:hint="eastAsia"/>
                      <w:b w:val="0"/>
                      <w:bCs/>
                      <w:color w:val="auto"/>
                    </w:rPr>
                    <w:t>监控自动化</w:t>
                  </w:r>
                </w:p>
              </w:tc>
              <w:tc>
                <w:tcPr>
                  <w:tcW w:w="1156" w:type="pct"/>
                  <w:vAlign w:val="center"/>
                </w:tcPr>
                <w:p w14:paraId="073A34A5">
                  <w:pPr>
                    <w:pStyle w:val="51"/>
                    <w:bidi w:val="0"/>
                    <w:rPr>
                      <w:rFonts w:hint="default"/>
                      <w:sz w:val="21"/>
                      <w:szCs w:val="24"/>
                      <w:vertAlign w:val="baseline"/>
                      <w:lang w:val="en-US" w:eastAsia="zh-CN"/>
                    </w:rPr>
                  </w:pPr>
                  <w:r>
                    <w:rPr>
                      <w:rFonts w:hint="eastAsia"/>
                      <w:sz w:val="21"/>
                      <w:szCs w:val="24"/>
                      <w:vertAlign w:val="baseline"/>
                      <w:lang w:val="en-US" w:eastAsia="zh-CN"/>
                    </w:rPr>
                    <w:t>/</w:t>
                  </w:r>
                </w:p>
              </w:tc>
              <w:tc>
                <w:tcPr>
                  <w:tcW w:w="1751" w:type="pct"/>
                  <w:vAlign w:val="center"/>
                </w:tcPr>
                <w:p w14:paraId="7B20005E">
                  <w:pPr>
                    <w:pStyle w:val="51"/>
                    <w:spacing w:before="31" w:after="31"/>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p>
              </w:tc>
            </w:tr>
            <w:tr w14:paraId="6825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6AF00FE2">
                  <w:pPr>
                    <w:pStyle w:val="51"/>
                    <w:spacing w:before="31" w:after="31"/>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w:t>
                  </w:r>
                </w:p>
              </w:tc>
              <w:tc>
                <w:tcPr>
                  <w:tcW w:w="415" w:type="pct"/>
                  <w:vMerge w:val="continue"/>
                  <w:vAlign w:val="center"/>
                </w:tcPr>
                <w:p w14:paraId="25325464">
                  <w:pPr>
                    <w:pStyle w:val="51"/>
                    <w:spacing w:before="31" w:after="31"/>
                    <w:rPr>
                      <w:color w:val="000000" w:themeColor="text1"/>
                      <w:highlight w:val="none"/>
                      <w14:textFill>
                        <w14:solidFill>
                          <w14:schemeClr w14:val="tx1"/>
                        </w14:solidFill>
                      </w14:textFill>
                    </w:rPr>
                  </w:pPr>
                </w:p>
              </w:tc>
              <w:tc>
                <w:tcPr>
                  <w:tcW w:w="1316" w:type="pct"/>
                  <w:gridSpan w:val="2"/>
                  <w:shd w:val="clear" w:color="auto" w:fill="auto"/>
                  <w:vAlign w:val="center"/>
                </w:tcPr>
                <w:p w14:paraId="1F9D7673">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rFonts w:hint="eastAsia"/>
                      <w:b w:val="0"/>
                      <w:bCs/>
                      <w:color w:val="auto"/>
                    </w:rPr>
                    <w:t>模具</w:t>
                  </w:r>
                </w:p>
              </w:tc>
              <w:tc>
                <w:tcPr>
                  <w:tcW w:w="1156" w:type="pct"/>
                  <w:vAlign w:val="center"/>
                </w:tcPr>
                <w:p w14:paraId="587062D7">
                  <w:pPr>
                    <w:pStyle w:val="51"/>
                    <w:bidi w:val="0"/>
                    <w:rPr>
                      <w:rFonts w:hint="default"/>
                      <w:sz w:val="21"/>
                      <w:szCs w:val="24"/>
                      <w:vertAlign w:val="baseline"/>
                      <w:lang w:val="en-US" w:eastAsia="zh-CN"/>
                    </w:rPr>
                  </w:pPr>
                  <w:r>
                    <w:rPr>
                      <w:rFonts w:hint="eastAsia"/>
                      <w:sz w:val="21"/>
                      <w:szCs w:val="24"/>
                      <w:vertAlign w:val="baseline"/>
                      <w:lang w:val="en-US" w:eastAsia="zh-CN"/>
                    </w:rPr>
                    <w:t>/</w:t>
                  </w:r>
                </w:p>
              </w:tc>
              <w:tc>
                <w:tcPr>
                  <w:tcW w:w="1751" w:type="pct"/>
                  <w:vAlign w:val="center"/>
                </w:tcPr>
                <w:p w14:paraId="2CD08DAA">
                  <w:pPr>
                    <w:pStyle w:val="51"/>
                    <w:spacing w:before="31" w:after="31"/>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70</w:t>
                  </w:r>
                </w:p>
              </w:tc>
            </w:tr>
            <w:tr w14:paraId="04E0D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0F72CE94">
                  <w:pPr>
                    <w:pStyle w:val="51"/>
                    <w:spacing w:before="31" w:after="31"/>
                    <w:ind w:left="24" w:leftChars="10" w:right="24" w:rightChars="10" w:firstLine="0" w:firstLineChars="0"/>
                    <w:rPr>
                      <w:rFonts w:hint="default"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14</w:t>
                  </w:r>
                </w:p>
              </w:tc>
              <w:tc>
                <w:tcPr>
                  <w:tcW w:w="415" w:type="pct"/>
                  <w:vMerge w:val="continue"/>
                  <w:vAlign w:val="center"/>
                </w:tcPr>
                <w:p w14:paraId="66B1D8CA">
                  <w:pPr>
                    <w:pStyle w:val="51"/>
                    <w:spacing w:before="31" w:after="31"/>
                    <w:rPr>
                      <w:color w:val="000000" w:themeColor="text1"/>
                      <w:highlight w:val="none"/>
                      <w14:textFill>
                        <w14:solidFill>
                          <w14:schemeClr w14:val="tx1"/>
                        </w14:solidFill>
                      </w14:textFill>
                    </w:rPr>
                  </w:pPr>
                </w:p>
              </w:tc>
              <w:tc>
                <w:tcPr>
                  <w:tcW w:w="1316" w:type="pct"/>
                  <w:gridSpan w:val="2"/>
                  <w:shd w:val="clear" w:color="auto" w:fill="auto"/>
                  <w:vAlign w:val="center"/>
                </w:tcPr>
                <w:p w14:paraId="3CA7861A">
                  <w:pPr>
                    <w:pStyle w:val="43"/>
                    <w:ind w:left="120" w:leftChars="50" w:right="120" w:rightChars="50" w:firstLine="0" w:firstLineChars="0"/>
                    <w:rPr>
                      <w:rFonts w:hint="default" w:ascii="Times New Roman" w:hAnsi="Times New Roman" w:eastAsia="宋体" w:cs="Times New Roman"/>
                      <w:b w:val="0"/>
                      <w:bCs/>
                      <w:color w:val="auto"/>
                      <w:spacing w:val="-2"/>
                      <w:kern w:val="2"/>
                      <w:sz w:val="21"/>
                      <w:szCs w:val="18"/>
                      <w:lang w:val="en-US" w:eastAsia="zh-CN" w:bidi="ar-SA"/>
                    </w:rPr>
                  </w:pPr>
                  <w:r>
                    <w:rPr>
                      <w:rFonts w:hint="eastAsia" w:cs="Times New Roman"/>
                      <w:b w:val="0"/>
                      <w:bCs/>
                      <w:color w:val="auto"/>
                      <w:spacing w:val="-2"/>
                      <w:kern w:val="2"/>
                      <w:sz w:val="21"/>
                      <w:szCs w:val="18"/>
                      <w:lang w:val="en-US" w:eastAsia="zh-CN" w:bidi="ar-SA"/>
                    </w:rPr>
                    <w:t>模具冷却水池</w:t>
                  </w:r>
                </w:p>
              </w:tc>
              <w:tc>
                <w:tcPr>
                  <w:tcW w:w="1156" w:type="pct"/>
                  <w:vAlign w:val="center"/>
                </w:tcPr>
                <w:p w14:paraId="55B06A12">
                  <w:pPr>
                    <w:pStyle w:val="51"/>
                    <w:bidi w:val="0"/>
                    <w:rPr>
                      <w:rFonts w:hint="default"/>
                      <w:sz w:val="21"/>
                      <w:szCs w:val="24"/>
                      <w:vertAlign w:val="baseline"/>
                      <w:lang w:val="en-US" w:eastAsia="zh-CN"/>
                    </w:rPr>
                  </w:pPr>
                  <w:r>
                    <w:rPr>
                      <w:rFonts w:hint="eastAsia"/>
                      <w:sz w:val="21"/>
                      <w:szCs w:val="24"/>
                      <w:vertAlign w:val="baseline"/>
                      <w:lang w:val="en-US" w:eastAsia="zh-CN"/>
                    </w:rPr>
                    <w:t>18m³</w:t>
                  </w:r>
                </w:p>
              </w:tc>
              <w:tc>
                <w:tcPr>
                  <w:tcW w:w="1751" w:type="pct"/>
                  <w:vAlign w:val="center"/>
                </w:tcPr>
                <w:p w14:paraId="16314EEE">
                  <w:pPr>
                    <w:pStyle w:val="51"/>
                    <w:spacing w:before="31" w:after="31"/>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64C7A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75EAF791">
                  <w:pPr>
                    <w:pStyle w:val="51"/>
                    <w:spacing w:before="31" w:after="31"/>
                    <w:ind w:left="24" w:leftChars="10" w:right="24" w:rightChars="10" w:firstLine="0" w:firstLineChars="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415" w:type="pct"/>
                  <w:vMerge w:val="continue"/>
                  <w:vAlign w:val="center"/>
                </w:tcPr>
                <w:p w14:paraId="75ED30A2">
                  <w:pPr>
                    <w:pStyle w:val="51"/>
                    <w:spacing w:before="31" w:after="31"/>
                    <w:rPr>
                      <w:color w:val="000000" w:themeColor="text1"/>
                      <w:highlight w:val="none"/>
                      <w14:textFill>
                        <w14:solidFill>
                          <w14:schemeClr w14:val="tx1"/>
                        </w14:solidFill>
                      </w14:textFill>
                    </w:rPr>
                  </w:pPr>
                </w:p>
              </w:tc>
              <w:tc>
                <w:tcPr>
                  <w:tcW w:w="1316" w:type="pct"/>
                  <w:gridSpan w:val="2"/>
                  <w:shd w:val="clear" w:color="auto" w:fill="auto"/>
                  <w:vAlign w:val="center"/>
                </w:tcPr>
                <w:p w14:paraId="00F8539B">
                  <w:pPr>
                    <w:pStyle w:val="43"/>
                    <w:ind w:left="120" w:leftChars="50" w:right="120" w:rightChars="50" w:firstLine="0" w:firstLineChars="0"/>
                    <w:rPr>
                      <w:rFonts w:hint="default" w:cs="Times New Roman"/>
                      <w:b w:val="0"/>
                      <w:bCs/>
                      <w:color w:val="auto"/>
                      <w:spacing w:val="-2"/>
                      <w:kern w:val="2"/>
                      <w:sz w:val="21"/>
                      <w:szCs w:val="18"/>
                      <w:lang w:val="en-US" w:eastAsia="zh-CN" w:bidi="ar-SA"/>
                    </w:rPr>
                  </w:pPr>
                  <w:r>
                    <w:rPr>
                      <w:rFonts w:hint="eastAsia" w:cs="Times New Roman"/>
                      <w:b w:val="0"/>
                      <w:bCs/>
                      <w:color w:val="auto"/>
                      <w:spacing w:val="-2"/>
                      <w:kern w:val="2"/>
                      <w:sz w:val="21"/>
                      <w:szCs w:val="18"/>
                      <w:lang w:val="en-US" w:eastAsia="zh-CN" w:bidi="ar-SA"/>
                    </w:rPr>
                    <w:t>高压空气储罐</w:t>
                  </w:r>
                </w:p>
              </w:tc>
              <w:tc>
                <w:tcPr>
                  <w:tcW w:w="1156" w:type="pct"/>
                  <w:vAlign w:val="center"/>
                </w:tcPr>
                <w:p w14:paraId="7E5C3B6B">
                  <w:pPr>
                    <w:pStyle w:val="51"/>
                    <w:bidi w:val="0"/>
                    <w:rPr>
                      <w:rFonts w:hint="default"/>
                      <w:sz w:val="21"/>
                      <w:szCs w:val="24"/>
                      <w:vertAlign w:val="baseline"/>
                      <w:lang w:val="en-US" w:eastAsia="zh-CN"/>
                    </w:rPr>
                  </w:pPr>
                  <w:r>
                    <w:rPr>
                      <w:rFonts w:hint="eastAsia"/>
                      <w:sz w:val="21"/>
                      <w:szCs w:val="24"/>
                      <w:vertAlign w:val="baseline"/>
                      <w:lang w:val="en-US" w:eastAsia="zh-CN"/>
                    </w:rPr>
                    <w:t>10m³</w:t>
                  </w:r>
                </w:p>
              </w:tc>
              <w:tc>
                <w:tcPr>
                  <w:tcW w:w="1751" w:type="pct"/>
                  <w:vAlign w:val="center"/>
                </w:tcPr>
                <w:p w14:paraId="05A149E4">
                  <w:pPr>
                    <w:pStyle w:val="51"/>
                    <w:spacing w:before="31" w:after="31"/>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7942F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5F86F88E">
                  <w:pPr>
                    <w:pStyle w:val="51"/>
                    <w:spacing w:before="31" w:after="31"/>
                    <w:ind w:left="24" w:leftChars="10" w:right="24" w:rightChars="10" w:firstLine="0" w:firstLineChars="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16</w:t>
                  </w:r>
                </w:p>
              </w:tc>
              <w:tc>
                <w:tcPr>
                  <w:tcW w:w="415" w:type="pct"/>
                  <w:vMerge w:val="continue"/>
                  <w:vAlign w:val="center"/>
                </w:tcPr>
                <w:p w14:paraId="07993740">
                  <w:pPr>
                    <w:pStyle w:val="51"/>
                    <w:spacing w:before="31" w:after="31"/>
                    <w:rPr>
                      <w:color w:val="000000" w:themeColor="text1"/>
                      <w:highlight w:val="none"/>
                      <w14:textFill>
                        <w14:solidFill>
                          <w14:schemeClr w14:val="tx1"/>
                        </w14:solidFill>
                      </w14:textFill>
                    </w:rPr>
                  </w:pPr>
                </w:p>
              </w:tc>
              <w:tc>
                <w:tcPr>
                  <w:tcW w:w="1316" w:type="pct"/>
                  <w:gridSpan w:val="2"/>
                  <w:shd w:val="clear" w:color="auto" w:fill="auto"/>
                  <w:vAlign w:val="center"/>
                </w:tcPr>
                <w:p w14:paraId="5F119A99">
                  <w:pPr>
                    <w:pStyle w:val="43"/>
                    <w:ind w:left="120" w:leftChars="50" w:right="120" w:rightChars="50" w:firstLine="0" w:firstLineChars="0"/>
                    <w:rPr>
                      <w:rFonts w:hint="default" w:cs="Times New Roman"/>
                      <w:b w:val="0"/>
                      <w:bCs/>
                      <w:color w:val="auto"/>
                      <w:spacing w:val="-2"/>
                      <w:kern w:val="2"/>
                      <w:sz w:val="21"/>
                      <w:szCs w:val="18"/>
                      <w:lang w:val="en-US" w:eastAsia="zh-CN" w:bidi="ar-SA"/>
                    </w:rPr>
                  </w:pPr>
                  <w:r>
                    <w:rPr>
                      <w:rFonts w:hint="eastAsia" w:cs="Times New Roman"/>
                      <w:b w:val="0"/>
                      <w:bCs/>
                      <w:color w:val="auto"/>
                      <w:spacing w:val="-2"/>
                      <w:kern w:val="2"/>
                      <w:sz w:val="21"/>
                      <w:szCs w:val="18"/>
                      <w:lang w:val="en-US" w:eastAsia="zh-CN" w:bidi="ar-SA"/>
                    </w:rPr>
                    <w:t>低压空气储罐</w:t>
                  </w:r>
                </w:p>
              </w:tc>
              <w:tc>
                <w:tcPr>
                  <w:tcW w:w="1156" w:type="pct"/>
                  <w:vAlign w:val="center"/>
                </w:tcPr>
                <w:p w14:paraId="1EE477BB">
                  <w:pPr>
                    <w:pStyle w:val="51"/>
                    <w:bidi w:val="0"/>
                    <w:rPr>
                      <w:rFonts w:hint="default"/>
                      <w:sz w:val="21"/>
                      <w:szCs w:val="24"/>
                      <w:vertAlign w:val="baseline"/>
                      <w:lang w:val="en-US" w:eastAsia="zh-CN"/>
                    </w:rPr>
                  </w:pPr>
                  <w:r>
                    <w:rPr>
                      <w:rFonts w:hint="eastAsia"/>
                      <w:sz w:val="21"/>
                      <w:szCs w:val="24"/>
                      <w:vertAlign w:val="baseline"/>
                      <w:lang w:val="en-US" w:eastAsia="zh-CN"/>
                    </w:rPr>
                    <w:t>15m³</w:t>
                  </w:r>
                </w:p>
              </w:tc>
              <w:tc>
                <w:tcPr>
                  <w:tcW w:w="1751" w:type="pct"/>
                  <w:vAlign w:val="center"/>
                </w:tcPr>
                <w:p w14:paraId="61F1C039">
                  <w:pPr>
                    <w:pStyle w:val="51"/>
                    <w:spacing w:before="31" w:after="31"/>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4EF61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6129D419">
                  <w:pPr>
                    <w:pStyle w:val="51"/>
                    <w:spacing w:before="31" w:after="31"/>
                    <w:ind w:left="24" w:leftChars="10" w:right="24" w:rightChars="10" w:firstLine="0" w:firstLineChars="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17</w:t>
                  </w:r>
                </w:p>
              </w:tc>
              <w:tc>
                <w:tcPr>
                  <w:tcW w:w="415" w:type="pct"/>
                  <w:vMerge w:val="continue"/>
                  <w:vAlign w:val="center"/>
                </w:tcPr>
                <w:p w14:paraId="6E034E61">
                  <w:pPr>
                    <w:pStyle w:val="51"/>
                    <w:spacing w:before="31" w:after="31"/>
                    <w:rPr>
                      <w:color w:val="000000" w:themeColor="text1"/>
                      <w:highlight w:val="none"/>
                      <w14:textFill>
                        <w14:solidFill>
                          <w14:schemeClr w14:val="tx1"/>
                        </w14:solidFill>
                      </w14:textFill>
                    </w:rPr>
                  </w:pPr>
                </w:p>
              </w:tc>
              <w:tc>
                <w:tcPr>
                  <w:tcW w:w="1316" w:type="pct"/>
                  <w:gridSpan w:val="2"/>
                  <w:shd w:val="clear" w:color="auto" w:fill="auto"/>
                  <w:vAlign w:val="center"/>
                </w:tcPr>
                <w:p w14:paraId="3E19C830">
                  <w:pPr>
                    <w:pStyle w:val="43"/>
                    <w:ind w:left="120" w:leftChars="50" w:right="120" w:rightChars="50" w:firstLine="0" w:firstLineChars="0"/>
                    <w:rPr>
                      <w:rFonts w:hint="default" w:cs="Times New Roman"/>
                      <w:b w:val="0"/>
                      <w:bCs/>
                      <w:color w:val="auto"/>
                      <w:spacing w:val="-2"/>
                      <w:kern w:val="2"/>
                      <w:sz w:val="21"/>
                      <w:szCs w:val="18"/>
                      <w:lang w:val="en-US" w:eastAsia="zh-CN" w:bidi="ar-SA"/>
                    </w:rPr>
                  </w:pPr>
                  <w:r>
                    <w:rPr>
                      <w:rFonts w:hint="eastAsia" w:cs="Times New Roman"/>
                      <w:b w:val="0"/>
                      <w:bCs/>
                      <w:color w:val="auto"/>
                      <w:spacing w:val="-2"/>
                      <w:kern w:val="2"/>
                      <w:sz w:val="21"/>
                      <w:szCs w:val="18"/>
                      <w:lang w:val="en-US" w:eastAsia="zh-CN" w:bidi="ar-SA"/>
                    </w:rPr>
                    <w:t>储能罐</w:t>
                  </w:r>
                </w:p>
              </w:tc>
              <w:tc>
                <w:tcPr>
                  <w:tcW w:w="1156" w:type="pct"/>
                  <w:vAlign w:val="center"/>
                </w:tcPr>
                <w:p w14:paraId="6A90864B">
                  <w:pPr>
                    <w:pStyle w:val="51"/>
                    <w:bidi w:val="0"/>
                    <w:rPr>
                      <w:rFonts w:hint="default"/>
                      <w:sz w:val="21"/>
                      <w:szCs w:val="24"/>
                      <w:vertAlign w:val="baseline"/>
                      <w:lang w:val="en-US" w:eastAsia="zh-CN"/>
                    </w:rPr>
                  </w:pPr>
                  <w:r>
                    <w:rPr>
                      <w:rFonts w:hint="eastAsia"/>
                      <w:sz w:val="21"/>
                      <w:szCs w:val="24"/>
                      <w:vertAlign w:val="baseline"/>
                      <w:lang w:val="en-US" w:eastAsia="zh-CN"/>
                    </w:rPr>
                    <w:t>/</w:t>
                  </w:r>
                </w:p>
              </w:tc>
              <w:tc>
                <w:tcPr>
                  <w:tcW w:w="1751" w:type="pct"/>
                  <w:vAlign w:val="center"/>
                </w:tcPr>
                <w:p w14:paraId="58DBB3C7">
                  <w:pPr>
                    <w:pStyle w:val="51"/>
                    <w:spacing w:before="31" w:after="31"/>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r>
            <w:tr w14:paraId="7CC28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02" w:hRule="atLeast"/>
                <w:jc w:val="center"/>
              </w:trPr>
              <w:tc>
                <w:tcPr>
                  <w:tcW w:w="360" w:type="pct"/>
                  <w:shd w:val="clear" w:color="auto" w:fill="auto"/>
                  <w:vAlign w:val="center"/>
                </w:tcPr>
                <w:p w14:paraId="1F595D7F">
                  <w:pPr>
                    <w:pStyle w:val="51"/>
                    <w:spacing w:before="31" w:after="31"/>
                    <w:ind w:left="24" w:leftChars="10" w:right="24" w:rightChars="10" w:firstLine="0" w:firstLineChars="0"/>
                    <w:rPr>
                      <w:rFonts w:hint="default"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18</w:t>
                  </w:r>
                </w:p>
              </w:tc>
              <w:tc>
                <w:tcPr>
                  <w:tcW w:w="415" w:type="pct"/>
                  <w:vMerge w:val="restart"/>
                  <w:vAlign w:val="center"/>
                </w:tcPr>
                <w:p w14:paraId="0E0BD222">
                  <w:pPr>
                    <w:pStyle w:val="51"/>
                    <w:spacing w:before="31" w:after="31"/>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EPS包装材料生产线环保设施</w:t>
                  </w:r>
                </w:p>
              </w:tc>
              <w:tc>
                <w:tcPr>
                  <w:tcW w:w="1316" w:type="pct"/>
                  <w:gridSpan w:val="2"/>
                  <w:vAlign w:val="center"/>
                </w:tcPr>
                <w:p w14:paraId="512D3CF2">
                  <w:pPr>
                    <w:pStyle w:val="51"/>
                    <w:bidi w:val="0"/>
                    <w:rPr>
                      <w:rFonts w:hint="eastAsia" w:ascii="Times New Roman" w:hAnsi="Times New Roman" w:eastAsia="宋体" w:cs="Times New Roman"/>
                      <w:color w:val="000000" w:themeColor="text1"/>
                      <w:kern w:val="2"/>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集气罩</w:t>
                  </w:r>
                </w:p>
              </w:tc>
              <w:tc>
                <w:tcPr>
                  <w:tcW w:w="1156" w:type="pct"/>
                  <w:vAlign w:val="center"/>
                </w:tcPr>
                <w:p w14:paraId="55349DEB">
                  <w:pPr>
                    <w:pStyle w:val="51"/>
                    <w:bidi w:val="0"/>
                    <w:ind w:left="24" w:leftChars="10" w:right="24" w:rightChars="10" w:firstLine="0" w:firstLineChars="0"/>
                    <w:rPr>
                      <w:rFonts w:hint="default"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w:t>
                  </w:r>
                </w:p>
              </w:tc>
              <w:tc>
                <w:tcPr>
                  <w:tcW w:w="1751" w:type="pct"/>
                  <w:vAlign w:val="center"/>
                </w:tcPr>
                <w:p w14:paraId="4AE92617">
                  <w:pPr>
                    <w:pStyle w:val="51"/>
                    <w:spacing w:before="31" w:after="31"/>
                    <w:ind w:left="24" w:leftChars="10" w:right="24" w:rightChars="10" w:firstLine="0" w:firstLineChars="0"/>
                    <w:rPr>
                      <w:rFonts w:hint="default"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1</w:t>
                  </w:r>
                </w:p>
              </w:tc>
            </w:tr>
            <w:tr w14:paraId="4DC32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6E4648B6">
                  <w:pPr>
                    <w:pStyle w:val="51"/>
                    <w:spacing w:before="31" w:after="31"/>
                    <w:ind w:left="24" w:leftChars="10" w:right="24" w:rightChars="10" w:firstLine="0" w:firstLineChars="0"/>
                    <w:rPr>
                      <w:rFonts w:hint="default"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19</w:t>
                  </w:r>
                </w:p>
              </w:tc>
              <w:tc>
                <w:tcPr>
                  <w:tcW w:w="415" w:type="pct"/>
                  <w:vMerge w:val="continue"/>
                  <w:vAlign w:val="center"/>
                </w:tcPr>
                <w:p w14:paraId="77571009">
                  <w:pPr>
                    <w:pStyle w:val="51"/>
                    <w:spacing w:before="31" w:after="31"/>
                    <w:rPr>
                      <w:color w:val="000000" w:themeColor="text1"/>
                      <w:highlight w:val="none"/>
                      <w14:textFill>
                        <w14:solidFill>
                          <w14:schemeClr w14:val="tx1"/>
                        </w14:solidFill>
                      </w14:textFill>
                    </w:rPr>
                  </w:pPr>
                </w:p>
              </w:tc>
              <w:tc>
                <w:tcPr>
                  <w:tcW w:w="1316" w:type="pct"/>
                  <w:gridSpan w:val="2"/>
                  <w:vAlign w:val="center"/>
                </w:tcPr>
                <w:p w14:paraId="727D11A9">
                  <w:pPr>
                    <w:pStyle w:val="78"/>
                    <w:bidi w:val="0"/>
                    <w:ind w:firstLine="0" w:firstLineChars="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冷凝+二级活性炭装置</w:t>
                  </w:r>
                </w:p>
              </w:tc>
              <w:tc>
                <w:tcPr>
                  <w:tcW w:w="1156" w:type="pct"/>
                  <w:vAlign w:val="center"/>
                </w:tcPr>
                <w:p w14:paraId="7DF6BF41">
                  <w:pPr>
                    <w:pStyle w:val="51"/>
                    <w:bidi w:val="0"/>
                    <w:ind w:left="24" w:leftChars="10" w:right="24" w:rightChars="10" w:firstLine="0" w:firstLineChars="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751" w:type="pct"/>
                  <w:vAlign w:val="center"/>
                </w:tcPr>
                <w:p w14:paraId="7535716D">
                  <w:pPr>
                    <w:pStyle w:val="51"/>
                    <w:spacing w:before="31" w:after="31"/>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171CE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427D0BE5">
                  <w:pPr>
                    <w:pStyle w:val="51"/>
                    <w:spacing w:before="31" w:after="31"/>
                    <w:ind w:left="24" w:leftChars="10" w:right="24" w:rightChars="10" w:firstLine="0" w:firstLineChars="0"/>
                    <w:rPr>
                      <w:rFonts w:hint="default"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20</w:t>
                  </w:r>
                </w:p>
              </w:tc>
              <w:tc>
                <w:tcPr>
                  <w:tcW w:w="415" w:type="pct"/>
                  <w:vMerge w:val="continue"/>
                  <w:vAlign w:val="center"/>
                </w:tcPr>
                <w:p w14:paraId="29CF35B8">
                  <w:pPr>
                    <w:pStyle w:val="51"/>
                    <w:spacing w:before="31" w:after="31"/>
                    <w:rPr>
                      <w:color w:val="000000" w:themeColor="text1"/>
                      <w:highlight w:val="none"/>
                      <w14:textFill>
                        <w14:solidFill>
                          <w14:schemeClr w14:val="tx1"/>
                        </w14:solidFill>
                      </w14:textFill>
                    </w:rPr>
                  </w:pPr>
                </w:p>
              </w:tc>
              <w:tc>
                <w:tcPr>
                  <w:tcW w:w="1316" w:type="pct"/>
                  <w:gridSpan w:val="2"/>
                  <w:vAlign w:val="center"/>
                </w:tcPr>
                <w:p w14:paraId="6F4F942A">
                  <w:pPr>
                    <w:pStyle w:val="78"/>
                    <w:bidi w:val="0"/>
                    <w:ind w:firstLine="0" w:firstLineChars="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风机</w:t>
                  </w:r>
                </w:p>
              </w:tc>
              <w:tc>
                <w:tcPr>
                  <w:tcW w:w="1156" w:type="pct"/>
                  <w:vAlign w:val="center"/>
                </w:tcPr>
                <w:p w14:paraId="38AAD68F">
                  <w:pPr>
                    <w:pStyle w:val="51"/>
                    <w:bidi w:val="0"/>
                    <w:ind w:left="24" w:leftChars="10" w:right="24" w:rightChars="10" w:firstLine="0" w:firstLineChars="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751" w:type="pct"/>
                  <w:vAlign w:val="center"/>
                </w:tcPr>
                <w:p w14:paraId="24D4184E">
                  <w:pPr>
                    <w:pStyle w:val="51"/>
                    <w:spacing w:before="31" w:after="31"/>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24FB9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7DEC4351">
                  <w:pPr>
                    <w:pStyle w:val="51"/>
                    <w:spacing w:before="31" w:after="31"/>
                    <w:ind w:left="24" w:leftChars="10" w:right="24" w:rightChars="10" w:firstLine="0" w:firstLineChars="0"/>
                    <w:rPr>
                      <w:rFonts w:hint="default"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21</w:t>
                  </w:r>
                </w:p>
              </w:tc>
              <w:tc>
                <w:tcPr>
                  <w:tcW w:w="415" w:type="pct"/>
                  <w:vMerge w:val="continue"/>
                  <w:vAlign w:val="center"/>
                </w:tcPr>
                <w:p w14:paraId="70FF8DFE">
                  <w:pPr>
                    <w:pStyle w:val="51"/>
                    <w:spacing w:before="31" w:after="31"/>
                    <w:rPr>
                      <w:color w:val="000000" w:themeColor="text1"/>
                      <w:highlight w:val="none"/>
                      <w14:textFill>
                        <w14:solidFill>
                          <w14:schemeClr w14:val="tx1"/>
                        </w14:solidFill>
                      </w14:textFill>
                    </w:rPr>
                  </w:pPr>
                </w:p>
              </w:tc>
              <w:tc>
                <w:tcPr>
                  <w:tcW w:w="1316" w:type="pct"/>
                  <w:gridSpan w:val="2"/>
                  <w:shd w:val="clear" w:color="auto" w:fill="auto"/>
                  <w:vAlign w:val="center"/>
                </w:tcPr>
                <w:p w14:paraId="15482340">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rFonts w:hint="eastAsia"/>
                      <w:b w:val="0"/>
                      <w:bCs/>
                      <w:color w:val="auto"/>
                    </w:rPr>
                    <w:t>排气筒</w:t>
                  </w:r>
                </w:p>
              </w:tc>
              <w:tc>
                <w:tcPr>
                  <w:tcW w:w="1156" w:type="pct"/>
                  <w:shd w:val="clear" w:color="auto" w:fill="auto"/>
                  <w:vAlign w:val="center"/>
                </w:tcPr>
                <w:p w14:paraId="5168A2F9">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rFonts w:hint="eastAsia"/>
                      <w:b w:val="0"/>
                      <w:bCs/>
                      <w:color w:val="auto"/>
                      <w:lang w:val="en-US" w:eastAsia="zh-CN"/>
                    </w:rPr>
                    <w:t>21</w:t>
                  </w:r>
                  <w:r>
                    <w:rPr>
                      <w:rFonts w:hint="eastAsia"/>
                      <w:b w:val="0"/>
                      <w:bCs/>
                      <w:color w:val="auto"/>
                    </w:rPr>
                    <w:t>m</w:t>
                  </w:r>
                </w:p>
              </w:tc>
              <w:tc>
                <w:tcPr>
                  <w:tcW w:w="1751" w:type="pct"/>
                  <w:shd w:val="clear" w:color="auto" w:fill="auto"/>
                  <w:vAlign w:val="center"/>
                </w:tcPr>
                <w:p w14:paraId="002ACFDB">
                  <w:pPr>
                    <w:pStyle w:val="43"/>
                    <w:ind w:left="120" w:leftChars="50" w:right="120" w:rightChars="50" w:firstLine="0" w:firstLineChars="0"/>
                    <w:rPr>
                      <w:rFonts w:hint="default" w:ascii="Times New Roman" w:hAnsi="Times New Roman" w:eastAsia="宋体" w:cs="Times New Roman"/>
                      <w:b w:val="0"/>
                      <w:bCs/>
                      <w:color w:val="auto"/>
                      <w:spacing w:val="-2"/>
                      <w:kern w:val="2"/>
                      <w:sz w:val="21"/>
                      <w:szCs w:val="18"/>
                      <w:lang w:val="en-US" w:eastAsia="zh-CN" w:bidi="ar-SA"/>
                    </w:rPr>
                  </w:pPr>
                  <w:r>
                    <w:rPr>
                      <w:rFonts w:hint="eastAsia"/>
                      <w:b w:val="0"/>
                      <w:bCs/>
                      <w:color w:val="auto"/>
                    </w:rPr>
                    <w:t>1</w:t>
                  </w:r>
                </w:p>
              </w:tc>
            </w:tr>
            <w:tr w14:paraId="2BD5C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42A453EB">
                  <w:pPr>
                    <w:pStyle w:val="51"/>
                    <w:spacing w:before="31" w:after="31"/>
                    <w:ind w:left="24" w:leftChars="10" w:right="24" w:rightChars="10" w:firstLine="0" w:firstLineChars="0"/>
                    <w:rPr>
                      <w:rFonts w:hint="default"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22</w:t>
                  </w:r>
                </w:p>
              </w:tc>
              <w:tc>
                <w:tcPr>
                  <w:tcW w:w="415" w:type="pct"/>
                  <w:vMerge w:val="restart"/>
                  <w:vAlign w:val="center"/>
                </w:tcPr>
                <w:p w14:paraId="4E68EF01">
                  <w:pPr>
                    <w:pStyle w:val="51"/>
                    <w:spacing w:before="31" w:after="31"/>
                    <w:rPr>
                      <w:color w:val="000000" w:themeColor="text1"/>
                      <w:highlight w:val="none"/>
                      <w14:textFill>
                        <w14:solidFill>
                          <w14:schemeClr w14:val="tx1"/>
                        </w14:solidFill>
                      </w14:textFill>
                    </w:rPr>
                  </w:pPr>
                  <w:r>
                    <w:rPr>
                      <w:rFonts w:hint="eastAsia"/>
                      <w:lang w:val="en-US" w:eastAsia="zh-CN"/>
                    </w:rPr>
                    <w:t>EPP汽车零配件生产线</w:t>
                  </w:r>
                </w:p>
              </w:tc>
              <w:tc>
                <w:tcPr>
                  <w:tcW w:w="1316" w:type="pct"/>
                  <w:gridSpan w:val="2"/>
                  <w:shd w:val="clear" w:color="auto" w:fill="auto"/>
                  <w:vAlign w:val="center"/>
                </w:tcPr>
                <w:p w14:paraId="5143B86D">
                  <w:pPr>
                    <w:pStyle w:val="43"/>
                    <w:ind w:left="120" w:leftChars="50" w:right="120" w:rightChars="50" w:firstLine="0" w:firstLineChars="0"/>
                    <w:rPr>
                      <w:rFonts w:hint="default" w:eastAsia="宋体"/>
                      <w:b w:val="0"/>
                      <w:bCs/>
                      <w:color w:val="auto"/>
                      <w:lang w:val="en-US" w:eastAsia="zh-CN"/>
                    </w:rPr>
                  </w:pPr>
                  <w:r>
                    <w:rPr>
                      <w:rFonts w:hint="eastAsia"/>
                      <w:b w:val="0"/>
                      <w:bCs/>
                      <w:color w:val="auto"/>
                      <w:lang w:val="en-US" w:eastAsia="zh-CN"/>
                    </w:rPr>
                    <w:t>自动成型机</w:t>
                  </w:r>
                </w:p>
              </w:tc>
              <w:tc>
                <w:tcPr>
                  <w:tcW w:w="1156" w:type="pct"/>
                  <w:shd w:val="clear" w:color="auto" w:fill="auto"/>
                  <w:vAlign w:val="center"/>
                </w:tcPr>
                <w:p w14:paraId="39FB7382">
                  <w:pPr>
                    <w:pStyle w:val="43"/>
                    <w:ind w:left="120" w:leftChars="50" w:right="120" w:rightChars="50" w:firstLine="0" w:firstLineChars="0"/>
                    <w:rPr>
                      <w:rFonts w:hint="default" w:eastAsia="宋体"/>
                      <w:b w:val="0"/>
                      <w:bCs/>
                      <w:color w:val="auto"/>
                      <w:lang w:val="en-US" w:eastAsia="zh-CN"/>
                    </w:rPr>
                  </w:pPr>
                  <w:r>
                    <w:rPr>
                      <w:rFonts w:hint="eastAsia"/>
                      <w:b w:val="0"/>
                      <w:bCs/>
                      <w:color w:val="auto"/>
                      <w:lang w:val="en-US" w:eastAsia="zh-CN"/>
                    </w:rPr>
                    <w:t>/</w:t>
                  </w:r>
                </w:p>
              </w:tc>
              <w:tc>
                <w:tcPr>
                  <w:tcW w:w="1751" w:type="pct"/>
                  <w:shd w:val="clear" w:color="auto" w:fill="auto"/>
                  <w:vAlign w:val="center"/>
                </w:tcPr>
                <w:p w14:paraId="7F2C04DF">
                  <w:pPr>
                    <w:pStyle w:val="43"/>
                    <w:ind w:left="120" w:leftChars="50" w:right="120" w:rightChars="50" w:firstLine="0" w:firstLineChars="0"/>
                    <w:rPr>
                      <w:rFonts w:hint="default" w:eastAsia="宋体"/>
                      <w:b w:val="0"/>
                      <w:bCs/>
                      <w:color w:val="auto"/>
                      <w:lang w:val="en-US" w:eastAsia="zh-CN"/>
                    </w:rPr>
                  </w:pPr>
                  <w:r>
                    <w:rPr>
                      <w:rFonts w:hint="eastAsia"/>
                      <w:b w:val="0"/>
                      <w:bCs/>
                      <w:color w:val="auto"/>
                      <w:lang w:val="en-US" w:eastAsia="zh-CN"/>
                    </w:rPr>
                    <w:t>10</w:t>
                  </w:r>
                </w:p>
              </w:tc>
            </w:tr>
            <w:tr w14:paraId="584A6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5125FED0">
                  <w:pPr>
                    <w:pStyle w:val="51"/>
                    <w:spacing w:before="31" w:after="31"/>
                    <w:ind w:left="24" w:leftChars="10" w:right="24" w:rightChars="10" w:firstLine="0" w:firstLineChars="0"/>
                    <w:rPr>
                      <w:rFonts w:hint="default"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23</w:t>
                  </w:r>
                </w:p>
              </w:tc>
              <w:tc>
                <w:tcPr>
                  <w:tcW w:w="415" w:type="pct"/>
                  <w:vMerge w:val="continue"/>
                  <w:vAlign w:val="center"/>
                </w:tcPr>
                <w:p w14:paraId="4E3FC097">
                  <w:pPr>
                    <w:pStyle w:val="51"/>
                    <w:spacing w:before="31" w:after="31"/>
                    <w:rPr>
                      <w:color w:val="000000" w:themeColor="text1"/>
                      <w:highlight w:val="none"/>
                      <w14:textFill>
                        <w14:solidFill>
                          <w14:schemeClr w14:val="tx1"/>
                        </w14:solidFill>
                      </w14:textFill>
                    </w:rPr>
                  </w:pPr>
                </w:p>
              </w:tc>
              <w:tc>
                <w:tcPr>
                  <w:tcW w:w="1316" w:type="pct"/>
                  <w:gridSpan w:val="2"/>
                  <w:shd w:val="clear" w:color="auto" w:fill="auto"/>
                  <w:vAlign w:val="center"/>
                </w:tcPr>
                <w:p w14:paraId="7C7626DD">
                  <w:pPr>
                    <w:pStyle w:val="43"/>
                    <w:ind w:left="120" w:leftChars="50" w:right="120" w:rightChars="50" w:firstLine="0" w:firstLineChars="0"/>
                    <w:rPr>
                      <w:rFonts w:hint="default" w:eastAsia="宋体"/>
                      <w:b w:val="0"/>
                      <w:bCs/>
                      <w:color w:val="auto"/>
                      <w:lang w:val="en-US" w:eastAsia="zh-CN"/>
                    </w:rPr>
                  </w:pPr>
                  <w:r>
                    <w:rPr>
                      <w:rFonts w:hint="eastAsia"/>
                      <w:b w:val="0"/>
                      <w:bCs/>
                      <w:color w:val="auto"/>
                      <w:lang w:val="en-US" w:eastAsia="zh-CN"/>
                    </w:rPr>
                    <w:t>预压罐</w:t>
                  </w:r>
                </w:p>
              </w:tc>
              <w:tc>
                <w:tcPr>
                  <w:tcW w:w="1156" w:type="pct"/>
                  <w:shd w:val="clear" w:color="auto" w:fill="auto"/>
                  <w:vAlign w:val="center"/>
                </w:tcPr>
                <w:p w14:paraId="61A02200">
                  <w:pPr>
                    <w:pStyle w:val="43"/>
                    <w:ind w:left="120" w:leftChars="50" w:right="120" w:rightChars="50" w:firstLine="0" w:firstLineChars="0"/>
                    <w:rPr>
                      <w:rFonts w:hint="default" w:eastAsia="宋体"/>
                      <w:b w:val="0"/>
                      <w:bCs/>
                      <w:color w:val="auto"/>
                      <w:lang w:val="en-US" w:eastAsia="zh-CN"/>
                    </w:rPr>
                  </w:pPr>
                  <w:r>
                    <w:rPr>
                      <w:rFonts w:hint="eastAsia"/>
                      <w:b w:val="0"/>
                      <w:bCs/>
                      <w:color w:val="auto"/>
                      <w:lang w:val="en-US" w:eastAsia="zh-CN"/>
                    </w:rPr>
                    <w:t>25m³</w:t>
                  </w:r>
                </w:p>
              </w:tc>
              <w:tc>
                <w:tcPr>
                  <w:tcW w:w="1751" w:type="pct"/>
                  <w:shd w:val="clear" w:color="auto" w:fill="auto"/>
                  <w:vAlign w:val="center"/>
                </w:tcPr>
                <w:p w14:paraId="54451577">
                  <w:pPr>
                    <w:pStyle w:val="43"/>
                    <w:ind w:left="120" w:leftChars="50" w:right="120" w:rightChars="50" w:firstLine="0" w:firstLineChars="0"/>
                    <w:rPr>
                      <w:rFonts w:hint="eastAsia" w:eastAsia="宋体"/>
                      <w:b w:val="0"/>
                      <w:bCs/>
                      <w:color w:val="auto"/>
                      <w:lang w:val="en-US" w:eastAsia="zh-CN"/>
                    </w:rPr>
                  </w:pPr>
                  <w:r>
                    <w:rPr>
                      <w:rFonts w:hint="eastAsia"/>
                      <w:b w:val="0"/>
                      <w:bCs/>
                      <w:color w:val="auto"/>
                      <w:lang w:val="en-US" w:eastAsia="zh-CN"/>
                    </w:rPr>
                    <w:t>2</w:t>
                  </w:r>
                </w:p>
              </w:tc>
            </w:tr>
            <w:tr w14:paraId="1754E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2F571341">
                  <w:pPr>
                    <w:pStyle w:val="51"/>
                    <w:spacing w:before="31" w:after="31"/>
                    <w:ind w:left="24" w:leftChars="10" w:right="24" w:rightChars="10" w:firstLine="0" w:firstLineChars="0"/>
                    <w:rPr>
                      <w:rFonts w:hint="default"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24</w:t>
                  </w:r>
                </w:p>
              </w:tc>
              <w:tc>
                <w:tcPr>
                  <w:tcW w:w="415" w:type="pct"/>
                  <w:vMerge w:val="continue"/>
                  <w:vAlign w:val="center"/>
                </w:tcPr>
                <w:p w14:paraId="566D803B">
                  <w:pPr>
                    <w:pStyle w:val="51"/>
                    <w:spacing w:before="31" w:after="31"/>
                    <w:rPr>
                      <w:color w:val="000000" w:themeColor="text1"/>
                      <w:highlight w:val="none"/>
                      <w14:textFill>
                        <w14:solidFill>
                          <w14:schemeClr w14:val="tx1"/>
                        </w14:solidFill>
                      </w14:textFill>
                    </w:rPr>
                  </w:pPr>
                </w:p>
              </w:tc>
              <w:tc>
                <w:tcPr>
                  <w:tcW w:w="1316" w:type="pct"/>
                  <w:gridSpan w:val="2"/>
                  <w:shd w:val="clear" w:color="auto" w:fill="auto"/>
                  <w:vAlign w:val="center"/>
                </w:tcPr>
                <w:p w14:paraId="07CF1E8A">
                  <w:pPr>
                    <w:pStyle w:val="43"/>
                    <w:ind w:left="120" w:leftChars="50" w:right="120" w:rightChars="50" w:firstLine="0" w:firstLineChars="0"/>
                    <w:rPr>
                      <w:rFonts w:hint="default" w:eastAsia="宋体"/>
                      <w:b w:val="0"/>
                      <w:bCs/>
                      <w:color w:val="auto"/>
                      <w:lang w:val="en-US" w:eastAsia="zh-CN"/>
                    </w:rPr>
                  </w:pPr>
                  <w:r>
                    <w:rPr>
                      <w:rFonts w:hint="eastAsia"/>
                      <w:b w:val="0"/>
                      <w:bCs/>
                      <w:color w:val="auto"/>
                      <w:lang w:val="en-US" w:eastAsia="zh-CN"/>
                    </w:rPr>
                    <w:t>预压控制系统</w:t>
                  </w:r>
                </w:p>
              </w:tc>
              <w:tc>
                <w:tcPr>
                  <w:tcW w:w="1156" w:type="pct"/>
                  <w:shd w:val="clear" w:color="auto" w:fill="auto"/>
                  <w:vAlign w:val="center"/>
                </w:tcPr>
                <w:p w14:paraId="2AAC860E">
                  <w:pPr>
                    <w:pStyle w:val="43"/>
                    <w:ind w:left="120" w:leftChars="50" w:right="120" w:rightChars="50" w:firstLine="0" w:firstLineChars="0"/>
                    <w:rPr>
                      <w:rFonts w:hint="eastAsia" w:eastAsia="宋体"/>
                      <w:b w:val="0"/>
                      <w:bCs/>
                      <w:color w:val="auto"/>
                      <w:lang w:val="en-US" w:eastAsia="zh-CN"/>
                    </w:rPr>
                  </w:pPr>
                  <w:r>
                    <w:rPr>
                      <w:rFonts w:hint="eastAsia"/>
                      <w:b w:val="0"/>
                      <w:bCs/>
                      <w:color w:val="auto"/>
                      <w:lang w:val="en-US" w:eastAsia="zh-CN"/>
                    </w:rPr>
                    <w:t>/</w:t>
                  </w:r>
                </w:p>
              </w:tc>
              <w:tc>
                <w:tcPr>
                  <w:tcW w:w="1751" w:type="pct"/>
                  <w:shd w:val="clear" w:color="auto" w:fill="auto"/>
                  <w:vAlign w:val="center"/>
                </w:tcPr>
                <w:p w14:paraId="20363EB4">
                  <w:pPr>
                    <w:pStyle w:val="43"/>
                    <w:ind w:left="120" w:leftChars="50" w:right="120" w:rightChars="50" w:firstLine="0" w:firstLineChars="0"/>
                    <w:rPr>
                      <w:rFonts w:hint="eastAsia" w:eastAsia="宋体"/>
                      <w:b w:val="0"/>
                      <w:bCs/>
                      <w:color w:val="auto"/>
                      <w:lang w:val="en-US" w:eastAsia="zh-CN"/>
                    </w:rPr>
                  </w:pPr>
                  <w:r>
                    <w:rPr>
                      <w:rFonts w:hint="eastAsia"/>
                      <w:b w:val="0"/>
                      <w:bCs/>
                      <w:color w:val="auto"/>
                      <w:lang w:val="en-US" w:eastAsia="zh-CN"/>
                    </w:rPr>
                    <w:t>1</w:t>
                  </w:r>
                </w:p>
              </w:tc>
            </w:tr>
            <w:tr w14:paraId="28FA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6B094D27">
                  <w:pPr>
                    <w:pStyle w:val="51"/>
                    <w:spacing w:before="31" w:after="31"/>
                    <w:ind w:left="24" w:leftChars="10" w:right="24" w:rightChars="10" w:firstLine="0" w:firstLineChars="0"/>
                    <w:rPr>
                      <w:rFonts w:hint="default"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25</w:t>
                  </w:r>
                </w:p>
              </w:tc>
              <w:tc>
                <w:tcPr>
                  <w:tcW w:w="415" w:type="pct"/>
                  <w:vMerge w:val="continue"/>
                  <w:vAlign w:val="center"/>
                </w:tcPr>
                <w:p w14:paraId="631AFB16">
                  <w:pPr>
                    <w:pStyle w:val="51"/>
                    <w:spacing w:before="31" w:after="31"/>
                    <w:rPr>
                      <w:color w:val="000000" w:themeColor="text1"/>
                      <w:highlight w:val="none"/>
                      <w14:textFill>
                        <w14:solidFill>
                          <w14:schemeClr w14:val="tx1"/>
                        </w14:solidFill>
                      </w14:textFill>
                    </w:rPr>
                  </w:pPr>
                </w:p>
              </w:tc>
              <w:tc>
                <w:tcPr>
                  <w:tcW w:w="1316" w:type="pct"/>
                  <w:gridSpan w:val="2"/>
                  <w:shd w:val="clear" w:color="auto" w:fill="auto"/>
                  <w:vAlign w:val="center"/>
                </w:tcPr>
                <w:p w14:paraId="1E3CC793">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rFonts w:hint="eastAsia"/>
                      <w:b w:val="0"/>
                      <w:bCs/>
                      <w:color w:val="auto"/>
                      <w:lang w:val="en-US" w:eastAsia="zh-CN"/>
                    </w:rPr>
                    <w:t>设备</w:t>
                  </w:r>
                  <w:r>
                    <w:rPr>
                      <w:rFonts w:hint="eastAsia"/>
                      <w:b w:val="0"/>
                      <w:bCs/>
                      <w:color w:val="auto"/>
                    </w:rPr>
                    <w:t>真空</w:t>
                  </w:r>
                  <w:r>
                    <w:rPr>
                      <w:rFonts w:hint="eastAsia"/>
                      <w:b w:val="0"/>
                      <w:bCs/>
                      <w:color w:val="auto"/>
                      <w:lang w:val="en-US" w:eastAsia="zh-CN"/>
                    </w:rPr>
                    <w:t>冷却</w:t>
                  </w:r>
                  <w:r>
                    <w:rPr>
                      <w:rFonts w:hint="eastAsia"/>
                      <w:b w:val="0"/>
                      <w:bCs/>
                      <w:color w:val="auto"/>
                    </w:rPr>
                    <w:t>系统</w:t>
                  </w:r>
                </w:p>
              </w:tc>
              <w:tc>
                <w:tcPr>
                  <w:tcW w:w="1156" w:type="pct"/>
                  <w:shd w:val="clear" w:color="auto" w:fill="auto"/>
                  <w:vAlign w:val="center"/>
                </w:tcPr>
                <w:p w14:paraId="5008687A">
                  <w:pPr>
                    <w:pStyle w:val="51"/>
                    <w:spacing w:before="31" w:after="31"/>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sz w:val="21"/>
                      <w:szCs w:val="24"/>
                      <w:vertAlign w:val="baseline"/>
                      <w:lang w:val="en-US" w:eastAsia="zh-CN"/>
                    </w:rPr>
                    <w:t>/</w:t>
                  </w:r>
                </w:p>
              </w:tc>
              <w:tc>
                <w:tcPr>
                  <w:tcW w:w="1751" w:type="pct"/>
                  <w:shd w:val="clear" w:color="auto" w:fill="auto"/>
                  <w:vAlign w:val="center"/>
                </w:tcPr>
                <w:p w14:paraId="2A1A4929">
                  <w:pPr>
                    <w:pStyle w:val="51"/>
                    <w:spacing w:before="31" w:after="31"/>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7DE50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7A7DE9D1">
                  <w:pPr>
                    <w:pStyle w:val="51"/>
                    <w:spacing w:before="31" w:after="31"/>
                    <w:ind w:left="24" w:leftChars="10" w:right="24" w:rightChars="10" w:firstLine="0" w:firstLineChars="0"/>
                    <w:rPr>
                      <w:rFonts w:hint="default"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26</w:t>
                  </w:r>
                </w:p>
              </w:tc>
              <w:tc>
                <w:tcPr>
                  <w:tcW w:w="415" w:type="pct"/>
                  <w:vMerge w:val="continue"/>
                  <w:vAlign w:val="center"/>
                </w:tcPr>
                <w:p w14:paraId="251DB5FF">
                  <w:pPr>
                    <w:pStyle w:val="51"/>
                    <w:spacing w:before="31" w:after="31"/>
                    <w:rPr>
                      <w:color w:val="000000" w:themeColor="text1"/>
                      <w:highlight w:val="none"/>
                      <w14:textFill>
                        <w14:solidFill>
                          <w14:schemeClr w14:val="tx1"/>
                        </w14:solidFill>
                      </w14:textFill>
                    </w:rPr>
                  </w:pPr>
                </w:p>
              </w:tc>
              <w:tc>
                <w:tcPr>
                  <w:tcW w:w="1316" w:type="pct"/>
                  <w:gridSpan w:val="2"/>
                  <w:shd w:val="clear" w:color="auto" w:fill="auto"/>
                  <w:vAlign w:val="center"/>
                </w:tcPr>
                <w:p w14:paraId="3FEA4821">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rFonts w:hint="eastAsia" w:cs="Times New Roman"/>
                      <w:b w:val="0"/>
                      <w:bCs/>
                      <w:color w:val="auto"/>
                      <w:spacing w:val="-2"/>
                      <w:kern w:val="2"/>
                      <w:sz w:val="21"/>
                      <w:szCs w:val="18"/>
                      <w:lang w:val="en-US" w:eastAsia="zh-CN" w:bidi="ar-SA"/>
                    </w:rPr>
                    <w:t>模具真空冷却系统</w:t>
                  </w:r>
                </w:p>
              </w:tc>
              <w:tc>
                <w:tcPr>
                  <w:tcW w:w="1156" w:type="pct"/>
                  <w:shd w:val="clear" w:color="auto" w:fill="auto"/>
                  <w:vAlign w:val="center"/>
                </w:tcPr>
                <w:p w14:paraId="4D59E7E6">
                  <w:pPr>
                    <w:pStyle w:val="51"/>
                    <w:spacing w:before="31" w:after="31"/>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751" w:type="pct"/>
                  <w:shd w:val="clear" w:color="auto" w:fill="auto"/>
                  <w:vAlign w:val="center"/>
                </w:tcPr>
                <w:p w14:paraId="2F20E503">
                  <w:pPr>
                    <w:pStyle w:val="51"/>
                    <w:spacing w:before="31" w:after="31"/>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7E7D3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0CF62D78">
                  <w:pPr>
                    <w:pStyle w:val="51"/>
                    <w:spacing w:before="31" w:after="31"/>
                    <w:ind w:left="24" w:leftChars="10" w:right="24" w:rightChars="10" w:firstLine="0" w:firstLineChars="0"/>
                    <w:rPr>
                      <w:rFonts w:hint="default"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27</w:t>
                  </w:r>
                </w:p>
              </w:tc>
              <w:tc>
                <w:tcPr>
                  <w:tcW w:w="415" w:type="pct"/>
                  <w:vMerge w:val="continue"/>
                  <w:vAlign w:val="center"/>
                </w:tcPr>
                <w:p w14:paraId="7CAD1C0B">
                  <w:pPr>
                    <w:pStyle w:val="51"/>
                    <w:spacing w:before="31" w:after="31"/>
                    <w:rPr>
                      <w:color w:val="000000" w:themeColor="text1"/>
                      <w:highlight w:val="none"/>
                      <w14:textFill>
                        <w14:solidFill>
                          <w14:schemeClr w14:val="tx1"/>
                        </w14:solidFill>
                      </w14:textFill>
                    </w:rPr>
                  </w:pPr>
                </w:p>
              </w:tc>
              <w:tc>
                <w:tcPr>
                  <w:tcW w:w="656" w:type="pct"/>
                  <w:vMerge w:val="restart"/>
                  <w:shd w:val="clear" w:color="auto" w:fill="auto"/>
                  <w:vAlign w:val="center"/>
                </w:tcPr>
                <w:p w14:paraId="1016D834">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rFonts w:hint="eastAsia" w:cs="Times New Roman"/>
                      <w:b w:val="0"/>
                      <w:bCs/>
                      <w:color w:val="auto"/>
                      <w:spacing w:val="-2"/>
                      <w:kern w:val="2"/>
                      <w:sz w:val="21"/>
                      <w:szCs w:val="18"/>
                      <w:lang w:val="en-US" w:eastAsia="zh-CN" w:bidi="ar-SA"/>
                    </w:rPr>
                    <w:t>设备水冷系统</w:t>
                  </w:r>
                </w:p>
              </w:tc>
              <w:tc>
                <w:tcPr>
                  <w:tcW w:w="659" w:type="pct"/>
                  <w:shd w:val="clear" w:color="auto" w:fill="auto"/>
                  <w:vAlign w:val="center"/>
                </w:tcPr>
                <w:p w14:paraId="5EEF10E7">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rFonts w:hint="eastAsia" w:cs="Times New Roman"/>
                      <w:b w:val="0"/>
                      <w:bCs/>
                      <w:color w:val="auto"/>
                      <w:spacing w:val="-2"/>
                      <w:kern w:val="2"/>
                      <w:sz w:val="21"/>
                      <w:szCs w:val="18"/>
                      <w:lang w:val="en-US" w:eastAsia="zh-CN" w:bidi="ar-SA"/>
                    </w:rPr>
                    <w:t>循环水箱</w:t>
                  </w:r>
                </w:p>
              </w:tc>
              <w:tc>
                <w:tcPr>
                  <w:tcW w:w="1156" w:type="pct"/>
                  <w:shd w:val="clear" w:color="auto" w:fill="auto"/>
                  <w:vAlign w:val="center"/>
                </w:tcPr>
                <w:p w14:paraId="04459D44">
                  <w:pPr>
                    <w:pStyle w:val="51"/>
                    <w:bidi w:val="0"/>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sz w:val="21"/>
                      <w:szCs w:val="24"/>
                      <w:vertAlign w:val="baseline"/>
                      <w:lang w:val="en-US" w:eastAsia="zh-CN"/>
                    </w:rPr>
                    <w:t>200m³</w:t>
                  </w:r>
                </w:p>
              </w:tc>
              <w:tc>
                <w:tcPr>
                  <w:tcW w:w="1751" w:type="pct"/>
                  <w:shd w:val="clear" w:color="auto" w:fill="auto"/>
                  <w:vAlign w:val="center"/>
                </w:tcPr>
                <w:p w14:paraId="2115D6B2">
                  <w:pPr>
                    <w:pStyle w:val="51"/>
                    <w:spacing w:before="31" w:after="31"/>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14FFE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369AEBAB">
                  <w:pPr>
                    <w:pStyle w:val="51"/>
                    <w:spacing w:before="31" w:after="31"/>
                    <w:ind w:left="24" w:leftChars="10" w:right="24" w:rightChars="10" w:firstLine="0" w:firstLineChars="0"/>
                    <w:rPr>
                      <w:rFonts w:hint="default"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28</w:t>
                  </w:r>
                </w:p>
              </w:tc>
              <w:tc>
                <w:tcPr>
                  <w:tcW w:w="415" w:type="pct"/>
                  <w:vMerge w:val="continue"/>
                  <w:vAlign w:val="center"/>
                </w:tcPr>
                <w:p w14:paraId="6E1184DD">
                  <w:pPr>
                    <w:pStyle w:val="51"/>
                    <w:spacing w:before="31" w:after="31"/>
                    <w:rPr>
                      <w:color w:val="000000" w:themeColor="text1"/>
                      <w:highlight w:val="none"/>
                      <w14:textFill>
                        <w14:solidFill>
                          <w14:schemeClr w14:val="tx1"/>
                        </w14:solidFill>
                      </w14:textFill>
                    </w:rPr>
                  </w:pPr>
                </w:p>
              </w:tc>
              <w:tc>
                <w:tcPr>
                  <w:tcW w:w="656" w:type="pct"/>
                  <w:vMerge w:val="continue"/>
                  <w:shd w:val="clear" w:color="auto" w:fill="auto"/>
                  <w:vAlign w:val="center"/>
                </w:tcPr>
                <w:p w14:paraId="43502239">
                  <w:pPr>
                    <w:pStyle w:val="43"/>
                    <w:ind w:left="120" w:leftChars="50" w:right="120" w:rightChars="50" w:firstLine="0" w:firstLineChars="0"/>
                    <w:rPr>
                      <w:rFonts w:hint="eastAsia"/>
                      <w:b w:val="0"/>
                      <w:bCs/>
                      <w:color w:val="auto"/>
                    </w:rPr>
                  </w:pPr>
                </w:p>
              </w:tc>
              <w:tc>
                <w:tcPr>
                  <w:tcW w:w="659" w:type="pct"/>
                  <w:shd w:val="clear" w:color="auto" w:fill="auto"/>
                  <w:vAlign w:val="center"/>
                </w:tcPr>
                <w:p w14:paraId="0F8ED986">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rFonts w:hint="eastAsia" w:cs="Times New Roman"/>
                      <w:b w:val="0"/>
                      <w:bCs/>
                      <w:color w:val="auto"/>
                      <w:spacing w:val="-2"/>
                      <w:kern w:val="2"/>
                      <w:sz w:val="21"/>
                      <w:szCs w:val="18"/>
                      <w:lang w:val="en-US" w:eastAsia="zh-CN" w:bidi="ar-SA"/>
                    </w:rPr>
                    <w:t>冷却塔</w:t>
                  </w:r>
                </w:p>
              </w:tc>
              <w:tc>
                <w:tcPr>
                  <w:tcW w:w="1156" w:type="pct"/>
                  <w:shd w:val="clear" w:color="auto" w:fill="auto"/>
                  <w:vAlign w:val="center"/>
                </w:tcPr>
                <w:p w14:paraId="7C14DFE5">
                  <w:pPr>
                    <w:pStyle w:val="51"/>
                    <w:bidi w:val="0"/>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sz w:val="21"/>
                      <w:szCs w:val="24"/>
                      <w:vertAlign w:val="baseline"/>
                      <w:lang w:val="en-US" w:eastAsia="zh-CN"/>
                    </w:rPr>
                    <w:t>200m³</w:t>
                  </w:r>
                </w:p>
              </w:tc>
              <w:tc>
                <w:tcPr>
                  <w:tcW w:w="1751" w:type="pct"/>
                  <w:shd w:val="clear" w:color="auto" w:fill="auto"/>
                  <w:vAlign w:val="center"/>
                </w:tcPr>
                <w:p w14:paraId="38A421C1">
                  <w:pPr>
                    <w:pStyle w:val="51"/>
                    <w:spacing w:before="31" w:after="31"/>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2</w:t>
                  </w:r>
                </w:p>
              </w:tc>
            </w:tr>
            <w:tr w14:paraId="4058E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100D4B84">
                  <w:pPr>
                    <w:pStyle w:val="51"/>
                    <w:spacing w:before="31" w:after="31"/>
                    <w:ind w:left="24" w:leftChars="10" w:right="24" w:rightChars="10" w:firstLine="0" w:firstLineChars="0"/>
                    <w:rPr>
                      <w:rFonts w:hint="default"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29</w:t>
                  </w:r>
                </w:p>
              </w:tc>
              <w:tc>
                <w:tcPr>
                  <w:tcW w:w="415" w:type="pct"/>
                  <w:vMerge w:val="continue"/>
                  <w:vAlign w:val="center"/>
                </w:tcPr>
                <w:p w14:paraId="064994D7">
                  <w:pPr>
                    <w:pStyle w:val="51"/>
                    <w:spacing w:before="31" w:after="31"/>
                    <w:rPr>
                      <w:color w:val="000000" w:themeColor="text1"/>
                      <w:highlight w:val="none"/>
                      <w14:textFill>
                        <w14:solidFill>
                          <w14:schemeClr w14:val="tx1"/>
                        </w14:solidFill>
                      </w14:textFill>
                    </w:rPr>
                  </w:pPr>
                </w:p>
              </w:tc>
              <w:tc>
                <w:tcPr>
                  <w:tcW w:w="656" w:type="pct"/>
                  <w:vMerge w:val="restart"/>
                  <w:shd w:val="clear" w:color="auto" w:fill="auto"/>
                  <w:vAlign w:val="center"/>
                </w:tcPr>
                <w:p w14:paraId="1713FEE3">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rFonts w:hint="eastAsia" w:cs="Times New Roman"/>
                      <w:b w:val="0"/>
                      <w:bCs/>
                      <w:color w:val="auto"/>
                      <w:spacing w:val="-2"/>
                      <w:kern w:val="2"/>
                      <w:sz w:val="21"/>
                      <w:szCs w:val="18"/>
                      <w:lang w:val="en-US" w:eastAsia="zh-CN" w:bidi="ar-SA"/>
                    </w:rPr>
                    <w:t>模具水冷系统</w:t>
                  </w:r>
                </w:p>
              </w:tc>
              <w:tc>
                <w:tcPr>
                  <w:tcW w:w="659" w:type="pct"/>
                  <w:shd w:val="clear" w:color="auto" w:fill="auto"/>
                  <w:vAlign w:val="center"/>
                </w:tcPr>
                <w:p w14:paraId="0E21D001">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rFonts w:hint="eastAsia" w:cs="Times New Roman"/>
                      <w:b w:val="0"/>
                      <w:bCs/>
                      <w:color w:val="auto"/>
                      <w:spacing w:val="-2"/>
                      <w:kern w:val="2"/>
                      <w:sz w:val="21"/>
                      <w:szCs w:val="18"/>
                      <w:lang w:val="en-US" w:eastAsia="zh-CN" w:bidi="ar-SA"/>
                    </w:rPr>
                    <w:t>循环水箱</w:t>
                  </w:r>
                </w:p>
              </w:tc>
              <w:tc>
                <w:tcPr>
                  <w:tcW w:w="1156" w:type="pct"/>
                  <w:shd w:val="clear" w:color="auto" w:fill="auto"/>
                  <w:vAlign w:val="center"/>
                </w:tcPr>
                <w:p w14:paraId="0DA73E31">
                  <w:pPr>
                    <w:pStyle w:val="51"/>
                    <w:bidi w:val="0"/>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90m³</w:t>
                  </w:r>
                </w:p>
              </w:tc>
              <w:tc>
                <w:tcPr>
                  <w:tcW w:w="1751" w:type="pct"/>
                  <w:shd w:val="clear" w:color="auto" w:fill="auto"/>
                  <w:vAlign w:val="center"/>
                </w:tcPr>
                <w:p w14:paraId="75881072">
                  <w:pPr>
                    <w:pStyle w:val="51"/>
                    <w:spacing w:before="31" w:after="31"/>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1</w:t>
                  </w:r>
                </w:p>
              </w:tc>
            </w:tr>
            <w:tr w14:paraId="6C6AA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7386EBE7">
                  <w:pPr>
                    <w:pStyle w:val="51"/>
                    <w:spacing w:before="31" w:after="31"/>
                    <w:ind w:left="24" w:leftChars="10" w:right="24" w:rightChars="10" w:firstLine="0" w:firstLineChars="0"/>
                    <w:rPr>
                      <w:rFonts w:hint="default"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30</w:t>
                  </w:r>
                </w:p>
              </w:tc>
              <w:tc>
                <w:tcPr>
                  <w:tcW w:w="415" w:type="pct"/>
                  <w:vMerge w:val="continue"/>
                  <w:vAlign w:val="center"/>
                </w:tcPr>
                <w:p w14:paraId="6E09AC3E">
                  <w:pPr>
                    <w:pStyle w:val="51"/>
                    <w:spacing w:before="31" w:after="31"/>
                    <w:rPr>
                      <w:color w:val="000000" w:themeColor="text1"/>
                      <w:highlight w:val="none"/>
                      <w14:textFill>
                        <w14:solidFill>
                          <w14:schemeClr w14:val="tx1"/>
                        </w14:solidFill>
                      </w14:textFill>
                    </w:rPr>
                  </w:pPr>
                </w:p>
              </w:tc>
              <w:tc>
                <w:tcPr>
                  <w:tcW w:w="656" w:type="pct"/>
                  <w:vMerge w:val="continue"/>
                  <w:shd w:val="clear" w:color="auto" w:fill="auto"/>
                  <w:vAlign w:val="center"/>
                </w:tcPr>
                <w:p w14:paraId="2D634B67">
                  <w:pPr>
                    <w:pStyle w:val="43"/>
                    <w:ind w:left="120" w:leftChars="50" w:right="120" w:rightChars="50" w:firstLine="0" w:firstLineChars="0"/>
                    <w:rPr>
                      <w:rFonts w:hint="eastAsia"/>
                      <w:b w:val="0"/>
                      <w:bCs/>
                      <w:color w:val="auto"/>
                    </w:rPr>
                  </w:pPr>
                </w:p>
              </w:tc>
              <w:tc>
                <w:tcPr>
                  <w:tcW w:w="659" w:type="pct"/>
                  <w:shd w:val="clear" w:color="auto" w:fill="auto"/>
                  <w:vAlign w:val="center"/>
                </w:tcPr>
                <w:p w14:paraId="2D02B1DB">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rFonts w:hint="eastAsia" w:cs="Times New Roman"/>
                      <w:b w:val="0"/>
                      <w:bCs/>
                      <w:color w:val="auto"/>
                      <w:spacing w:val="-2"/>
                      <w:kern w:val="2"/>
                      <w:sz w:val="21"/>
                      <w:szCs w:val="18"/>
                      <w:lang w:val="en-US" w:eastAsia="zh-CN" w:bidi="ar-SA"/>
                    </w:rPr>
                    <w:t>冷却塔</w:t>
                  </w:r>
                </w:p>
              </w:tc>
              <w:tc>
                <w:tcPr>
                  <w:tcW w:w="1156" w:type="pct"/>
                  <w:shd w:val="clear" w:color="auto" w:fill="auto"/>
                  <w:vAlign w:val="center"/>
                </w:tcPr>
                <w:p w14:paraId="18BD41A7">
                  <w:pPr>
                    <w:pStyle w:val="51"/>
                    <w:bidi w:val="0"/>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sz w:val="21"/>
                      <w:szCs w:val="24"/>
                      <w:vertAlign w:val="baseline"/>
                      <w:lang w:val="en-US" w:eastAsia="zh-CN"/>
                    </w:rPr>
                    <w:t>200m³</w:t>
                  </w:r>
                </w:p>
              </w:tc>
              <w:tc>
                <w:tcPr>
                  <w:tcW w:w="1751" w:type="pct"/>
                  <w:shd w:val="clear" w:color="auto" w:fill="auto"/>
                  <w:vAlign w:val="center"/>
                </w:tcPr>
                <w:p w14:paraId="32AFA6BF">
                  <w:pPr>
                    <w:pStyle w:val="51"/>
                    <w:spacing w:before="31" w:after="31"/>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r>
            <w:tr w14:paraId="519AE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0FFE8FEF">
                  <w:pPr>
                    <w:pStyle w:val="51"/>
                    <w:spacing w:before="31" w:after="31"/>
                    <w:ind w:left="24" w:leftChars="10" w:right="24" w:rightChars="10" w:firstLine="0" w:firstLineChars="0"/>
                    <w:rPr>
                      <w:rFonts w:hint="default"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31</w:t>
                  </w:r>
                </w:p>
              </w:tc>
              <w:tc>
                <w:tcPr>
                  <w:tcW w:w="415" w:type="pct"/>
                  <w:vMerge w:val="continue"/>
                  <w:vAlign w:val="center"/>
                </w:tcPr>
                <w:p w14:paraId="1A1E6ACC">
                  <w:pPr>
                    <w:pStyle w:val="51"/>
                    <w:spacing w:before="31" w:after="31"/>
                    <w:rPr>
                      <w:color w:val="000000" w:themeColor="text1"/>
                      <w:highlight w:val="none"/>
                      <w14:textFill>
                        <w14:solidFill>
                          <w14:schemeClr w14:val="tx1"/>
                        </w14:solidFill>
                      </w14:textFill>
                    </w:rPr>
                  </w:pPr>
                </w:p>
              </w:tc>
              <w:tc>
                <w:tcPr>
                  <w:tcW w:w="1316" w:type="pct"/>
                  <w:gridSpan w:val="2"/>
                  <w:shd w:val="clear" w:color="auto" w:fill="auto"/>
                  <w:vAlign w:val="center"/>
                </w:tcPr>
                <w:p w14:paraId="0523A0F5">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rFonts w:hint="eastAsia"/>
                      <w:b w:val="0"/>
                      <w:bCs/>
                      <w:color w:val="auto"/>
                      <w:lang w:val="en-US" w:eastAsia="zh-CN"/>
                    </w:rPr>
                    <w:t>烘房</w:t>
                  </w:r>
                </w:p>
              </w:tc>
              <w:tc>
                <w:tcPr>
                  <w:tcW w:w="1156" w:type="pct"/>
                  <w:shd w:val="clear" w:color="auto" w:fill="auto"/>
                  <w:vAlign w:val="center"/>
                </w:tcPr>
                <w:p w14:paraId="15B45E1C">
                  <w:pPr>
                    <w:pStyle w:val="51"/>
                    <w:bidi w:val="0"/>
                    <w:ind w:left="24" w:leftChars="10" w:right="24" w:rightChars="10" w:firstLine="0" w:firstLineChars="0"/>
                    <w:rPr>
                      <w:rFonts w:hint="eastAsia" w:ascii="Times New Roman" w:hAnsi="Times New Roman" w:eastAsia="宋体" w:cs="Times New Roman"/>
                      <w:spacing w:val="-2"/>
                      <w:kern w:val="2"/>
                      <w:sz w:val="21"/>
                      <w:szCs w:val="24"/>
                      <w:highlight w:val="none"/>
                      <w:vertAlign w:val="baseline"/>
                      <w:lang w:val="en-US" w:eastAsia="zh-CN" w:bidi="ar-SA"/>
                    </w:rPr>
                  </w:pPr>
                  <w:r>
                    <w:rPr>
                      <w:rFonts w:hint="eastAsia"/>
                      <w:color w:val="auto"/>
                      <w:highlight w:val="none"/>
                      <w:lang w:val="en-US" w:eastAsia="zh-CN"/>
                    </w:rPr>
                    <w:t>69m×5m×3m</w:t>
                  </w:r>
                </w:p>
              </w:tc>
              <w:tc>
                <w:tcPr>
                  <w:tcW w:w="1751" w:type="pct"/>
                  <w:shd w:val="clear" w:color="auto" w:fill="auto"/>
                  <w:vAlign w:val="center"/>
                </w:tcPr>
                <w:p w14:paraId="58363523">
                  <w:pPr>
                    <w:pStyle w:val="51"/>
                    <w:spacing w:before="31" w:after="31"/>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2E3BB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0E966584">
                  <w:pPr>
                    <w:pStyle w:val="51"/>
                    <w:spacing w:before="31" w:after="31"/>
                    <w:ind w:left="24" w:leftChars="10" w:right="24" w:rightChars="10" w:firstLine="0" w:firstLineChars="0"/>
                    <w:rPr>
                      <w:rFonts w:hint="default"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32</w:t>
                  </w:r>
                </w:p>
              </w:tc>
              <w:tc>
                <w:tcPr>
                  <w:tcW w:w="415" w:type="pct"/>
                  <w:vMerge w:val="continue"/>
                  <w:vAlign w:val="center"/>
                </w:tcPr>
                <w:p w14:paraId="77202C42">
                  <w:pPr>
                    <w:pStyle w:val="51"/>
                    <w:spacing w:before="31" w:after="31"/>
                    <w:rPr>
                      <w:color w:val="000000" w:themeColor="text1"/>
                      <w:highlight w:val="none"/>
                      <w14:textFill>
                        <w14:solidFill>
                          <w14:schemeClr w14:val="tx1"/>
                        </w14:solidFill>
                      </w14:textFill>
                    </w:rPr>
                  </w:pPr>
                </w:p>
              </w:tc>
              <w:tc>
                <w:tcPr>
                  <w:tcW w:w="1316" w:type="pct"/>
                  <w:gridSpan w:val="2"/>
                  <w:shd w:val="clear" w:color="auto" w:fill="auto"/>
                  <w:vAlign w:val="center"/>
                </w:tcPr>
                <w:p w14:paraId="39ED1CFC">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rFonts w:hint="eastAsia"/>
                      <w:b w:val="0"/>
                      <w:bCs/>
                      <w:color w:val="auto"/>
                    </w:rPr>
                    <w:t>模具</w:t>
                  </w:r>
                </w:p>
              </w:tc>
              <w:tc>
                <w:tcPr>
                  <w:tcW w:w="1156" w:type="pct"/>
                  <w:shd w:val="clear" w:color="auto" w:fill="auto"/>
                  <w:vAlign w:val="center"/>
                </w:tcPr>
                <w:p w14:paraId="46E57024">
                  <w:pPr>
                    <w:pStyle w:val="51"/>
                    <w:bidi w:val="0"/>
                    <w:ind w:left="24" w:leftChars="10" w:right="24" w:rightChars="10" w:firstLine="0" w:firstLineChars="0"/>
                    <w:rPr>
                      <w:rFonts w:hint="eastAsia" w:ascii="Times New Roman" w:hAnsi="Times New Roman" w:eastAsia="宋体" w:cs="Times New Roman"/>
                      <w:spacing w:val="-2"/>
                      <w:kern w:val="2"/>
                      <w:sz w:val="21"/>
                      <w:szCs w:val="24"/>
                      <w:vertAlign w:val="baseline"/>
                      <w:lang w:val="en-US" w:eastAsia="zh-CN" w:bidi="ar-SA"/>
                    </w:rPr>
                  </w:pPr>
                  <w:r>
                    <w:rPr>
                      <w:rFonts w:hint="eastAsia"/>
                      <w:sz w:val="21"/>
                      <w:szCs w:val="24"/>
                      <w:vertAlign w:val="baseline"/>
                      <w:lang w:val="en-US" w:eastAsia="zh-CN"/>
                    </w:rPr>
                    <w:t>/</w:t>
                  </w:r>
                </w:p>
              </w:tc>
              <w:tc>
                <w:tcPr>
                  <w:tcW w:w="1751" w:type="pct"/>
                  <w:shd w:val="clear" w:color="auto" w:fill="auto"/>
                  <w:vAlign w:val="center"/>
                </w:tcPr>
                <w:p w14:paraId="4B8D306D">
                  <w:pPr>
                    <w:pStyle w:val="51"/>
                    <w:spacing w:before="31" w:after="31"/>
                    <w:ind w:left="24" w:leftChars="10" w:right="24" w:rightChars="10" w:firstLine="0" w:firstLineChars="0"/>
                    <w:rPr>
                      <w:rFonts w:hint="default"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30</w:t>
                  </w:r>
                </w:p>
              </w:tc>
            </w:tr>
            <w:tr w14:paraId="2E0D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3B506C18">
                  <w:pPr>
                    <w:pStyle w:val="51"/>
                    <w:spacing w:before="31" w:after="31"/>
                    <w:ind w:left="24" w:leftChars="10" w:right="24" w:rightChars="10" w:firstLine="0" w:firstLineChars="0"/>
                    <w:rPr>
                      <w:rFonts w:hint="default"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33</w:t>
                  </w:r>
                </w:p>
              </w:tc>
              <w:tc>
                <w:tcPr>
                  <w:tcW w:w="415" w:type="pct"/>
                  <w:vMerge w:val="continue"/>
                  <w:vAlign w:val="center"/>
                </w:tcPr>
                <w:p w14:paraId="7668E2C3">
                  <w:pPr>
                    <w:pStyle w:val="51"/>
                    <w:spacing w:before="31" w:after="31"/>
                    <w:rPr>
                      <w:color w:val="000000" w:themeColor="text1"/>
                      <w:highlight w:val="none"/>
                      <w14:textFill>
                        <w14:solidFill>
                          <w14:schemeClr w14:val="tx1"/>
                        </w14:solidFill>
                      </w14:textFill>
                    </w:rPr>
                  </w:pPr>
                </w:p>
              </w:tc>
              <w:tc>
                <w:tcPr>
                  <w:tcW w:w="1316" w:type="pct"/>
                  <w:gridSpan w:val="2"/>
                  <w:shd w:val="clear" w:color="auto" w:fill="auto"/>
                  <w:vAlign w:val="center"/>
                </w:tcPr>
                <w:p w14:paraId="0F49BD7A">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rFonts w:hint="eastAsia" w:cs="Times New Roman"/>
                      <w:b w:val="0"/>
                      <w:bCs/>
                      <w:color w:val="auto"/>
                      <w:spacing w:val="-2"/>
                      <w:kern w:val="2"/>
                      <w:sz w:val="21"/>
                      <w:szCs w:val="18"/>
                      <w:lang w:val="en-US" w:eastAsia="zh-CN" w:bidi="ar-SA"/>
                    </w:rPr>
                    <w:t>模具冷却水池</w:t>
                  </w:r>
                </w:p>
              </w:tc>
              <w:tc>
                <w:tcPr>
                  <w:tcW w:w="1156" w:type="pct"/>
                  <w:shd w:val="clear" w:color="auto" w:fill="auto"/>
                  <w:vAlign w:val="center"/>
                </w:tcPr>
                <w:p w14:paraId="2EAA472E">
                  <w:pPr>
                    <w:pStyle w:val="51"/>
                    <w:bidi w:val="0"/>
                    <w:ind w:left="24" w:leftChars="10" w:right="24" w:rightChars="10" w:firstLine="0" w:firstLineChars="0"/>
                    <w:rPr>
                      <w:rFonts w:hint="eastAsia" w:ascii="Times New Roman" w:hAnsi="Times New Roman" w:eastAsia="宋体" w:cs="Times New Roman"/>
                      <w:spacing w:val="-2"/>
                      <w:kern w:val="2"/>
                      <w:sz w:val="21"/>
                      <w:szCs w:val="24"/>
                      <w:vertAlign w:val="baseline"/>
                      <w:lang w:val="en-US" w:eastAsia="zh-CN" w:bidi="ar-SA"/>
                    </w:rPr>
                  </w:pPr>
                  <w:r>
                    <w:rPr>
                      <w:rFonts w:hint="eastAsia"/>
                      <w:sz w:val="21"/>
                      <w:szCs w:val="24"/>
                      <w:vertAlign w:val="baseline"/>
                      <w:lang w:val="en-US" w:eastAsia="zh-CN"/>
                    </w:rPr>
                    <w:t>10m³</w:t>
                  </w:r>
                </w:p>
              </w:tc>
              <w:tc>
                <w:tcPr>
                  <w:tcW w:w="1751" w:type="pct"/>
                  <w:shd w:val="clear" w:color="auto" w:fill="auto"/>
                  <w:vAlign w:val="center"/>
                </w:tcPr>
                <w:p w14:paraId="7F45BE5C">
                  <w:pPr>
                    <w:pStyle w:val="51"/>
                    <w:spacing w:before="31" w:after="31"/>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2BA9D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43C2F620">
                  <w:pPr>
                    <w:pStyle w:val="51"/>
                    <w:spacing w:before="31" w:after="31"/>
                    <w:ind w:left="24" w:leftChars="10" w:right="24" w:rightChars="10" w:firstLine="0" w:firstLineChars="0"/>
                    <w:rPr>
                      <w:rFonts w:hint="default"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34</w:t>
                  </w:r>
                </w:p>
              </w:tc>
              <w:tc>
                <w:tcPr>
                  <w:tcW w:w="415" w:type="pct"/>
                  <w:vMerge w:val="continue"/>
                  <w:vAlign w:val="center"/>
                </w:tcPr>
                <w:p w14:paraId="2A84AF34">
                  <w:pPr>
                    <w:pStyle w:val="51"/>
                    <w:spacing w:before="31" w:after="31"/>
                    <w:rPr>
                      <w:color w:val="000000" w:themeColor="text1"/>
                      <w:highlight w:val="none"/>
                      <w14:textFill>
                        <w14:solidFill>
                          <w14:schemeClr w14:val="tx1"/>
                        </w14:solidFill>
                      </w14:textFill>
                    </w:rPr>
                  </w:pPr>
                </w:p>
              </w:tc>
              <w:tc>
                <w:tcPr>
                  <w:tcW w:w="1316" w:type="pct"/>
                  <w:gridSpan w:val="2"/>
                  <w:shd w:val="clear" w:color="auto" w:fill="auto"/>
                  <w:vAlign w:val="center"/>
                </w:tcPr>
                <w:p w14:paraId="14346AAC">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rFonts w:hint="eastAsia" w:cs="Times New Roman"/>
                      <w:b w:val="0"/>
                      <w:bCs/>
                      <w:color w:val="auto"/>
                      <w:spacing w:val="-2"/>
                      <w:kern w:val="2"/>
                      <w:sz w:val="21"/>
                      <w:szCs w:val="18"/>
                      <w:lang w:val="en-US" w:eastAsia="zh-CN" w:bidi="ar-SA"/>
                    </w:rPr>
                    <w:t>高压储罐</w:t>
                  </w:r>
                </w:p>
              </w:tc>
              <w:tc>
                <w:tcPr>
                  <w:tcW w:w="1156" w:type="pct"/>
                  <w:shd w:val="clear" w:color="auto" w:fill="auto"/>
                  <w:vAlign w:val="center"/>
                </w:tcPr>
                <w:p w14:paraId="1FCA147A">
                  <w:pPr>
                    <w:pStyle w:val="51"/>
                    <w:bidi w:val="0"/>
                    <w:ind w:left="24" w:leftChars="10" w:right="24" w:rightChars="10" w:firstLine="0" w:firstLineChars="0"/>
                    <w:rPr>
                      <w:rFonts w:hint="eastAsia" w:ascii="Times New Roman" w:hAnsi="Times New Roman" w:eastAsia="宋体" w:cs="Times New Roman"/>
                      <w:spacing w:val="-2"/>
                      <w:kern w:val="2"/>
                      <w:sz w:val="21"/>
                      <w:szCs w:val="24"/>
                      <w:vertAlign w:val="baseline"/>
                      <w:lang w:val="en-US" w:eastAsia="zh-CN" w:bidi="ar-SA"/>
                    </w:rPr>
                  </w:pPr>
                  <w:r>
                    <w:rPr>
                      <w:rFonts w:hint="eastAsia"/>
                      <w:sz w:val="21"/>
                      <w:szCs w:val="24"/>
                      <w:vertAlign w:val="baseline"/>
                      <w:lang w:val="en-US" w:eastAsia="zh-CN"/>
                    </w:rPr>
                    <w:t>10m³</w:t>
                  </w:r>
                </w:p>
              </w:tc>
              <w:tc>
                <w:tcPr>
                  <w:tcW w:w="1751" w:type="pct"/>
                  <w:shd w:val="clear" w:color="auto" w:fill="auto"/>
                  <w:vAlign w:val="center"/>
                </w:tcPr>
                <w:p w14:paraId="439E4913">
                  <w:pPr>
                    <w:pStyle w:val="51"/>
                    <w:spacing w:before="31" w:after="31"/>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52C76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vAlign w:val="center"/>
                </w:tcPr>
                <w:p w14:paraId="626DAB30">
                  <w:pPr>
                    <w:pStyle w:val="51"/>
                    <w:spacing w:before="31" w:after="31"/>
                    <w:ind w:left="24" w:leftChars="10" w:right="24" w:rightChars="10" w:firstLine="0" w:firstLineChars="0"/>
                    <w:rPr>
                      <w:rFonts w:hint="default"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35</w:t>
                  </w:r>
                </w:p>
              </w:tc>
              <w:tc>
                <w:tcPr>
                  <w:tcW w:w="415" w:type="pct"/>
                  <w:vMerge w:val="continue"/>
                  <w:vAlign w:val="center"/>
                </w:tcPr>
                <w:p w14:paraId="6CB1161F">
                  <w:pPr>
                    <w:pStyle w:val="51"/>
                    <w:spacing w:before="31" w:after="31"/>
                    <w:rPr>
                      <w:color w:val="000000" w:themeColor="text1"/>
                      <w:highlight w:val="none"/>
                      <w14:textFill>
                        <w14:solidFill>
                          <w14:schemeClr w14:val="tx1"/>
                        </w14:solidFill>
                      </w14:textFill>
                    </w:rPr>
                  </w:pPr>
                </w:p>
              </w:tc>
              <w:tc>
                <w:tcPr>
                  <w:tcW w:w="1316" w:type="pct"/>
                  <w:gridSpan w:val="2"/>
                  <w:shd w:val="clear" w:color="auto" w:fill="auto"/>
                  <w:vAlign w:val="center"/>
                </w:tcPr>
                <w:p w14:paraId="414666C3">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rFonts w:hint="eastAsia" w:cs="Times New Roman"/>
                      <w:b w:val="0"/>
                      <w:bCs/>
                      <w:color w:val="auto"/>
                      <w:spacing w:val="-2"/>
                      <w:kern w:val="2"/>
                      <w:sz w:val="21"/>
                      <w:szCs w:val="18"/>
                      <w:lang w:val="en-US" w:eastAsia="zh-CN" w:bidi="ar-SA"/>
                    </w:rPr>
                    <w:t>低压储罐</w:t>
                  </w:r>
                </w:p>
              </w:tc>
              <w:tc>
                <w:tcPr>
                  <w:tcW w:w="1156" w:type="pct"/>
                  <w:shd w:val="clear" w:color="auto" w:fill="auto"/>
                  <w:vAlign w:val="center"/>
                </w:tcPr>
                <w:p w14:paraId="12F38289">
                  <w:pPr>
                    <w:pStyle w:val="51"/>
                    <w:bidi w:val="0"/>
                    <w:ind w:left="24" w:leftChars="10" w:right="24" w:rightChars="10" w:firstLine="0" w:firstLineChars="0"/>
                    <w:rPr>
                      <w:rFonts w:hint="eastAsia" w:ascii="Times New Roman" w:hAnsi="Times New Roman" w:eastAsia="宋体" w:cs="Times New Roman"/>
                      <w:spacing w:val="-2"/>
                      <w:kern w:val="2"/>
                      <w:sz w:val="21"/>
                      <w:szCs w:val="24"/>
                      <w:vertAlign w:val="baseline"/>
                      <w:lang w:val="en-US" w:eastAsia="zh-CN" w:bidi="ar-SA"/>
                    </w:rPr>
                  </w:pPr>
                  <w:r>
                    <w:rPr>
                      <w:rFonts w:hint="eastAsia"/>
                      <w:sz w:val="21"/>
                      <w:szCs w:val="24"/>
                      <w:vertAlign w:val="baseline"/>
                      <w:lang w:val="en-US" w:eastAsia="zh-CN"/>
                    </w:rPr>
                    <w:t>15m³</w:t>
                  </w:r>
                </w:p>
              </w:tc>
              <w:tc>
                <w:tcPr>
                  <w:tcW w:w="1751" w:type="pct"/>
                  <w:shd w:val="clear" w:color="auto" w:fill="auto"/>
                  <w:vAlign w:val="center"/>
                </w:tcPr>
                <w:p w14:paraId="6403A8BC">
                  <w:pPr>
                    <w:pStyle w:val="51"/>
                    <w:spacing w:before="31" w:after="31"/>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56D5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5AFCBC96">
                  <w:pPr>
                    <w:pStyle w:val="51"/>
                    <w:spacing w:before="31" w:after="31"/>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36</w:t>
                  </w:r>
                </w:p>
              </w:tc>
              <w:tc>
                <w:tcPr>
                  <w:tcW w:w="415" w:type="pct"/>
                  <w:vMerge w:val="continue"/>
                  <w:vAlign w:val="center"/>
                </w:tcPr>
                <w:p w14:paraId="11ECEDED">
                  <w:pPr>
                    <w:pStyle w:val="51"/>
                    <w:spacing w:before="31" w:after="31"/>
                    <w:rPr>
                      <w:color w:val="000000" w:themeColor="text1"/>
                      <w:highlight w:val="none"/>
                      <w14:textFill>
                        <w14:solidFill>
                          <w14:schemeClr w14:val="tx1"/>
                        </w14:solidFill>
                      </w14:textFill>
                    </w:rPr>
                  </w:pPr>
                </w:p>
              </w:tc>
              <w:tc>
                <w:tcPr>
                  <w:tcW w:w="1316" w:type="pct"/>
                  <w:gridSpan w:val="2"/>
                  <w:shd w:val="clear" w:color="auto" w:fill="auto"/>
                  <w:vAlign w:val="center"/>
                </w:tcPr>
                <w:p w14:paraId="5BE37392">
                  <w:pPr>
                    <w:pStyle w:val="43"/>
                    <w:ind w:left="120" w:leftChars="50" w:right="120" w:rightChars="50" w:firstLine="0" w:firstLineChars="0"/>
                    <w:rPr>
                      <w:rFonts w:hint="default" w:cs="Times New Roman"/>
                      <w:b w:val="0"/>
                      <w:bCs/>
                      <w:color w:val="auto"/>
                      <w:spacing w:val="-2"/>
                      <w:kern w:val="2"/>
                      <w:sz w:val="21"/>
                      <w:szCs w:val="18"/>
                      <w:lang w:val="en-US" w:eastAsia="zh-CN" w:bidi="ar-SA"/>
                    </w:rPr>
                  </w:pPr>
                  <w:r>
                    <w:rPr>
                      <w:rFonts w:hint="eastAsia" w:cs="Times New Roman"/>
                      <w:b w:val="0"/>
                      <w:bCs/>
                      <w:color w:val="auto"/>
                      <w:spacing w:val="-2"/>
                      <w:kern w:val="2"/>
                      <w:sz w:val="21"/>
                      <w:szCs w:val="18"/>
                      <w:lang w:val="en-US" w:eastAsia="zh-CN" w:bidi="ar-SA"/>
                    </w:rPr>
                    <w:t>储能罐</w:t>
                  </w:r>
                </w:p>
              </w:tc>
              <w:tc>
                <w:tcPr>
                  <w:tcW w:w="1156" w:type="pct"/>
                  <w:shd w:val="clear" w:color="auto" w:fill="auto"/>
                  <w:vAlign w:val="center"/>
                </w:tcPr>
                <w:p w14:paraId="5D7362C8">
                  <w:pPr>
                    <w:pStyle w:val="51"/>
                    <w:bidi w:val="0"/>
                    <w:ind w:left="24" w:leftChars="10" w:right="24" w:rightChars="10" w:firstLine="0" w:firstLineChars="0"/>
                    <w:rPr>
                      <w:rFonts w:hint="default"/>
                      <w:sz w:val="21"/>
                      <w:szCs w:val="24"/>
                      <w:vertAlign w:val="baseline"/>
                      <w:lang w:val="en-US" w:eastAsia="zh-CN"/>
                    </w:rPr>
                  </w:pPr>
                  <w:r>
                    <w:rPr>
                      <w:rFonts w:hint="eastAsia"/>
                      <w:sz w:val="21"/>
                      <w:szCs w:val="24"/>
                      <w:vertAlign w:val="baseline"/>
                      <w:lang w:val="en-US" w:eastAsia="zh-CN"/>
                    </w:rPr>
                    <w:t>/</w:t>
                  </w:r>
                </w:p>
              </w:tc>
              <w:tc>
                <w:tcPr>
                  <w:tcW w:w="1751" w:type="pct"/>
                  <w:shd w:val="clear" w:color="auto" w:fill="auto"/>
                  <w:vAlign w:val="center"/>
                </w:tcPr>
                <w:p w14:paraId="329DEC59">
                  <w:pPr>
                    <w:pStyle w:val="51"/>
                    <w:spacing w:before="31" w:after="31"/>
                    <w:ind w:left="24" w:leftChars="10" w:right="24" w:rightChars="10" w:firstLine="0" w:firstLineChars="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r>
            <w:tr w14:paraId="0D970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1A52EA43">
                  <w:pPr>
                    <w:pStyle w:val="51"/>
                    <w:spacing w:before="31" w:after="31"/>
                    <w:ind w:left="24" w:leftChars="10" w:right="24" w:rightChars="10" w:firstLine="0" w:firstLineChars="0"/>
                    <w:rPr>
                      <w:rFonts w:hint="default"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37</w:t>
                  </w:r>
                </w:p>
              </w:tc>
              <w:tc>
                <w:tcPr>
                  <w:tcW w:w="415" w:type="pct"/>
                  <w:vMerge w:val="restart"/>
                  <w:vAlign w:val="center"/>
                </w:tcPr>
                <w:p w14:paraId="6DF56CDD">
                  <w:pPr>
                    <w:pStyle w:val="51"/>
                    <w:spacing w:before="31" w:after="31"/>
                    <w:rPr>
                      <w:rFonts w:hint="default"/>
                      <w:color w:val="000000" w:themeColor="text1"/>
                      <w:highlight w:val="none"/>
                      <w:lang w:val="en-US"/>
                      <w14:textFill>
                        <w14:solidFill>
                          <w14:schemeClr w14:val="tx1"/>
                        </w14:solidFill>
                      </w14:textFill>
                    </w:rPr>
                  </w:pPr>
                  <w:r>
                    <w:rPr>
                      <w:rFonts w:hint="eastAsia"/>
                      <w:lang w:val="en-US" w:eastAsia="zh-CN"/>
                    </w:rPr>
                    <w:t>EPP汽车零配件生产线环保设备</w:t>
                  </w:r>
                </w:p>
              </w:tc>
              <w:tc>
                <w:tcPr>
                  <w:tcW w:w="1316" w:type="pct"/>
                  <w:gridSpan w:val="2"/>
                  <w:shd w:val="clear" w:color="auto" w:fill="auto"/>
                  <w:vAlign w:val="center"/>
                </w:tcPr>
                <w:p w14:paraId="55C7D566">
                  <w:pPr>
                    <w:pStyle w:val="51"/>
                    <w:bidi w:val="0"/>
                    <w:ind w:left="24" w:leftChars="10" w:right="24" w:rightChars="10" w:firstLine="0" w:firstLineChars="0"/>
                    <w:rPr>
                      <w:rFonts w:hint="eastAsia" w:ascii="Times New Roman" w:hAnsi="Times New Roman" w:eastAsia="宋体" w:cs="Times New Roman"/>
                      <w:color w:val="000000" w:themeColor="text1"/>
                      <w:spacing w:val="-2"/>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集气罩</w:t>
                  </w:r>
                </w:p>
              </w:tc>
              <w:tc>
                <w:tcPr>
                  <w:tcW w:w="1156" w:type="pct"/>
                  <w:shd w:val="clear" w:color="auto" w:fill="auto"/>
                  <w:vAlign w:val="center"/>
                </w:tcPr>
                <w:p w14:paraId="51481A9F">
                  <w:pPr>
                    <w:pStyle w:val="51"/>
                    <w:bidi w:val="0"/>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w:t>
                  </w:r>
                </w:p>
              </w:tc>
              <w:tc>
                <w:tcPr>
                  <w:tcW w:w="1751" w:type="pct"/>
                  <w:shd w:val="clear" w:color="auto" w:fill="auto"/>
                  <w:vAlign w:val="center"/>
                </w:tcPr>
                <w:p w14:paraId="552E00BD">
                  <w:pPr>
                    <w:pStyle w:val="51"/>
                    <w:spacing w:before="31" w:after="31"/>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1</w:t>
                  </w:r>
                </w:p>
              </w:tc>
            </w:tr>
            <w:tr w14:paraId="586F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73867A14">
                  <w:pPr>
                    <w:pStyle w:val="51"/>
                    <w:spacing w:before="31" w:after="31"/>
                    <w:ind w:left="24" w:leftChars="10" w:right="24" w:rightChars="10" w:firstLine="0" w:firstLineChars="0"/>
                    <w:rPr>
                      <w:rFonts w:hint="default"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38</w:t>
                  </w:r>
                </w:p>
              </w:tc>
              <w:tc>
                <w:tcPr>
                  <w:tcW w:w="415" w:type="pct"/>
                  <w:vMerge w:val="continue"/>
                  <w:vAlign w:val="center"/>
                </w:tcPr>
                <w:p w14:paraId="5A761CD4">
                  <w:pPr>
                    <w:pStyle w:val="51"/>
                    <w:spacing w:before="31" w:after="31"/>
                    <w:rPr>
                      <w:color w:val="000000" w:themeColor="text1"/>
                      <w:highlight w:val="none"/>
                      <w14:textFill>
                        <w14:solidFill>
                          <w14:schemeClr w14:val="tx1"/>
                        </w14:solidFill>
                      </w14:textFill>
                    </w:rPr>
                  </w:pPr>
                </w:p>
              </w:tc>
              <w:tc>
                <w:tcPr>
                  <w:tcW w:w="1316" w:type="pct"/>
                  <w:gridSpan w:val="2"/>
                  <w:shd w:val="clear" w:color="auto" w:fill="auto"/>
                  <w:vAlign w:val="center"/>
                </w:tcPr>
                <w:p w14:paraId="69CEEDD8">
                  <w:pPr>
                    <w:pStyle w:val="78"/>
                    <w:bidi w:val="0"/>
                    <w:ind w:firstLine="0" w:firstLineChars="0"/>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冷凝+二级活性炭装置</w:t>
                  </w:r>
                </w:p>
              </w:tc>
              <w:tc>
                <w:tcPr>
                  <w:tcW w:w="1156" w:type="pct"/>
                  <w:shd w:val="clear" w:color="auto" w:fill="auto"/>
                  <w:vAlign w:val="center"/>
                </w:tcPr>
                <w:p w14:paraId="265536F4">
                  <w:pPr>
                    <w:pStyle w:val="51"/>
                    <w:bidi w:val="0"/>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751" w:type="pct"/>
                  <w:shd w:val="clear" w:color="auto" w:fill="auto"/>
                  <w:vAlign w:val="center"/>
                </w:tcPr>
                <w:p w14:paraId="0D01F040">
                  <w:pPr>
                    <w:pStyle w:val="51"/>
                    <w:spacing w:before="31" w:after="31"/>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6FB2B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shd w:val="clear" w:color="auto" w:fill="auto"/>
                  <w:vAlign w:val="center"/>
                </w:tcPr>
                <w:p w14:paraId="0D2C03D4">
                  <w:pPr>
                    <w:pStyle w:val="51"/>
                    <w:spacing w:before="31" w:after="31"/>
                    <w:ind w:left="24" w:leftChars="10" w:right="24" w:rightChars="10" w:firstLine="0" w:firstLineChars="0"/>
                    <w:rPr>
                      <w:rFonts w:hint="default"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39</w:t>
                  </w:r>
                </w:p>
              </w:tc>
              <w:tc>
                <w:tcPr>
                  <w:tcW w:w="415" w:type="pct"/>
                  <w:vMerge w:val="continue"/>
                  <w:vAlign w:val="center"/>
                </w:tcPr>
                <w:p w14:paraId="2CC43B75">
                  <w:pPr>
                    <w:pStyle w:val="51"/>
                    <w:spacing w:before="31" w:after="31"/>
                    <w:rPr>
                      <w:color w:val="000000" w:themeColor="text1"/>
                      <w:highlight w:val="none"/>
                      <w14:textFill>
                        <w14:solidFill>
                          <w14:schemeClr w14:val="tx1"/>
                        </w14:solidFill>
                      </w14:textFill>
                    </w:rPr>
                  </w:pPr>
                </w:p>
              </w:tc>
              <w:tc>
                <w:tcPr>
                  <w:tcW w:w="1316" w:type="pct"/>
                  <w:gridSpan w:val="2"/>
                  <w:shd w:val="clear" w:color="auto" w:fill="auto"/>
                  <w:vAlign w:val="center"/>
                </w:tcPr>
                <w:p w14:paraId="605ED5CB">
                  <w:pPr>
                    <w:pStyle w:val="78"/>
                    <w:bidi w:val="0"/>
                    <w:ind w:firstLine="0" w:firstLineChars="0"/>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风机</w:t>
                  </w:r>
                </w:p>
              </w:tc>
              <w:tc>
                <w:tcPr>
                  <w:tcW w:w="1156" w:type="pct"/>
                  <w:shd w:val="clear" w:color="auto" w:fill="auto"/>
                  <w:vAlign w:val="center"/>
                </w:tcPr>
                <w:p w14:paraId="3F50362B">
                  <w:pPr>
                    <w:pStyle w:val="51"/>
                    <w:bidi w:val="0"/>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751" w:type="pct"/>
                  <w:shd w:val="clear" w:color="auto" w:fill="auto"/>
                  <w:vAlign w:val="center"/>
                </w:tcPr>
                <w:p w14:paraId="7ABD5B10">
                  <w:pPr>
                    <w:pStyle w:val="51"/>
                    <w:spacing w:before="31" w:after="31"/>
                    <w:ind w:left="24" w:leftChars="10" w:right="24" w:rightChars="10" w:firstLine="0" w:firstLineChars="0"/>
                    <w:rPr>
                      <w:rFonts w:hint="eastAsia" w:ascii="Times New Roman" w:hAnsi="Times New Roman" w:eastAsia="宋体"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7374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vAlign w:val="center"/>
                </w:tcPr>
                <w:p w14:paraId="0B8BE398">
                  <w:pPr>
                    <w:pStyle w:val="51"/>
                    <w:spacing w:before="31" w:after="31"/>
                    <w:ind w:left="24" w:leftChars="10" w:right="24" w:rightChars="10" w:firstLine="0" w:firstLineChars="0"/>
                    <w:rPr>
                      <w:rFonts w:hint="default"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40</w:t>
                  </w:r>
                </w:p>
              </w:tc>
              <w:tc>
                <w:tcPr>
                  <w:tcW w:w="415" w:type="pct"/>
                  <w:vMerge w:val="continue"/>
                  <w:vAlign w:val="center"/>
                </w:tcPr>
                <w:p w14:paraId="139CBA3E">
                  <w:pPr>
                    <w:pStyle w:val="51"/>
                    <w:spacing w:before="31" w:after="31"/>
                    <w:rPr>
                      <w:color w:val="000000" w:themeColor="text1"/>
                      <w:highlight w:val="none"/>
                      <w14:textFill>
                        <w14:solidFill>
                          <w14:schemeClr w14:val="tx1"/>
                        </w14:solidFill>
                      </w14:textFill>
                    </w:rPr>
                  </w:pPr>
                </w:p>
              </w:tc>
              <w:tc>
                <w:tcPr>
                  <w:tcW w:w="1316" w:type="pct"/>
                  <w:gridSpan w:val="2"/>
                  <w:shd w:val="clear" w:color="auto" w:fill="auto"/>
                  <w:vAlign w:val="center"/>
                </w:tcPr>
                <w:p w14:paraId="78432A38">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rFonts w:hint="eastAsia"/>
                      <w:b w:val="0"/>
                      <w:bCs/>
                      <w:color w:val="auto"/>
                    </w:rPr>
                    <w:t>排气筒</w:t>
                  </w:r>
                </w:p>
              </w:tc>
              <w:tc>
                <w:tcPr>
                  <w:tcW w:w="1156" w:type="pct"/>
                  <w:shd w:val="clear" w:color="auto" w:fill="auto"/>
                  <w:vAlign w:val="center"/>
                </w:tcPr>
                <w:p w14:paraId="540B26B0">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rFonts w:hint="eastAsia"/>
                      <w:b w:val="0"/>
                      <w:bCs/>
                      <w:color w:val="auto"/>
                      <w:lang w:val="en-US" w:eastAsia="zh-CN"/>
                    </w:rPr>
                    <w:t>21</w:t>
                  </w:r>
                  <w:r>
                    <w:rPr>
                      <w:rFonts w:hint="eastAsia"/>
                      <w:b w:val="0"/>
                      <w:bCs/>
                      <w:color w:val="auto"/>
                    </w:rPr>
                    <w:t>m</w:t>
                  </w:r>
                </w:p>
              </w:tc>
              <w:tc>
                <w:tcPr>
                  <w:tcW w:w="1751" w:type="pct"/>
                  <w:shd w:val="clear" w:color="auto" w:fill="auto"/>
                  <w:vAlign w:val="center"/>
                </w:tcPr>
                <w:p w14:paraId="0ED8B9F4">
                  <w:pPr>
                    <w:pStyle w:val="43"/>
                    <w:ind w:left="120" w:leftChars="50" w:right="120" w:rightChars="50" w:firstLine="0" w:firstLineChars="0"/>
                    <w:rPr>
                      <w:rFonts w:hint="eastAsia" w:ascii="Times New Roman" w:hAnsi="Times New Roman" w:eastAsia="宋体" w:cs="Times New Roman"/>
                      <w:b w:val="0"/>
                      <w:bCs/>
                      <w:color w:val="auto"/>
                      <w:spacing w:val="-2"/>
                      <w:kern w:val="2"/>
                      <w:sz w:val="21"/>
                      <w:szCs w:val="18"/>
                      <w:lang w:val="en-US" w:eastAsia="zh-CN" w:bidi="ar-SA"/>
                    </w:rPr>
                  </w:pPr>
                  <w:r>
                    <w:rPr>
                      <w:rFonts w:hint="eastAsia"/>
                      <w:b w:val="0"/>
                      <w:bCs/>
                      <w:color w:val="auto"/>
                    </w:rPr>
                    <w:t>1</w:t>
                  </w:r>
                </w:p>
              </w:tc>
            </w:tr>
            <w:tr w14:paraId="1C6A5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60" w:type="pct"/>
                  <w:vAlign w:val="center"/>
                </w:tcPr>
                <w:p w14:paraId="476378A2">
                  <w:pPr>
                    <w:pStyle w:val="51"/>
                    <w:spacing w:before="31" w:after="31"/>
                    <w:ind w:left="24" w:leftChars="10" w:right="24" w:rightChars="10" w:firstLine="0" w:firstLineChars="0"/>
                    <w:rPr>
                      <w:rFonts w:hint="default" w:cs="Times New Roman"/>
                      <w:color w:val="000000" w:themeColor="text1"/>
                      <w:spacing w:val="-2"/>
                      <w:kern w:val="2"/>
                      <w:sz w:val="21"/>
                      <w:szCs w:val="18"/>
                      <w:highlight w:val="none"/>
                      <w:lang w:val="en-US" w:eastAsia="zh-CN" w:bidi="ar-SA"/>
                      <w14:textFill>
                        <w14:solidFill>
                          <w14:schemeClr w14:val="tx1"/>
                        </w14:solidFill>
                      </w14:textFill>
                    </w:rPr>
                  </w:pPr>
                  <w:r>
                    <w:rPr>
                      <w:rFonts w:hint="eastAsia" w:cs="Times New Roman"/>
                      <w:color w:val="000000" w:themeColor="text1"/>
                      <w:spacing w:val="-2"/>
                      <w:kern w:val="2"/>
                      <w:sz w:val="21"/>
                      <w:szCs w:val="18"/>
                      <w:highlight w:val="none"/>
                      <w:lang w:val="en-US" w:eastAsia="zh-CN" w:bidi="ar-SA"/>
                      <w14:textFill>
                        <w14:solidFill>
                          <w14:schemeClr w14:val="tx1"/>
                        </w14:solidFill>
                      </w14:textFill>
                    </w:rPr>
                    <w:t>41</w:t>
                  </w:r>
                </w:p>
              </w:tc>
              <w:tc>
                <w:tcPr>
                  <w:tcW w:w="415" w:type="pct"/>
                  <w:vAlign w:val="center"/>
                </w:tcPr>
                <w:p w14:paraId="67746325">
                  <w:pPr>
                    <w:pStyle w:val="51"/>
                    <w:spacing w:before="31" w:after="31"/>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辅助设备</w:t>
                  </w:r>
                </w:p>
              </w:tc>
              <w:tc>
                <w:tcPr>
                  <w:tcW w:w="1316" w:type="pct"/>
                  <w:gridSpan w:val="2"/>
                  <w:shd w:val="clear" w:color="auto" w:fill="auto"/>
                  <w:vAlign w:val="center"/>
                </w:tcPr>
                <w:p w14:paraId="17925CC3">
                  <w:pPr>
                    <w:pStyle w:val="43"/>
                    <w:ind w:left="120" w:leftChars="50" w:right="120" w:rightChars="50" w:firstLine="0" w:firstLineChars="0"/>
                    <w:rPr>
                      <w:rFonts w:hint="default" w:eastAsia="宋体"/>
                      <w:b w:val="0"/>
                      <w:bCs/>
                      <w:color w:val="auto"/>
                      <w:lang w:val="en-US" w:eastAsia="zh-CN"/>
                    </w:rPr>
                  </w:pPr>
                  <w:r>
                    <w:rPr>
                      <w:rFonts w:hint="eastAsia"/>
                      <w:b w:val="0"/>
                      <w:bCs/>
                      <w:color w:val="auto"/>
                      <w:lang w:val="en-US" w:eastAsia="zh-CN"/>
                    </w:rPr>
                    <w:t>空气压缩机</w:t>
                  </w:r>
                </w:p>
              </w:tc>
              <w:tc>
                <w:tcPr>
                  <w:tcW w:w="1156" w:type="pct"/>
                  <w:shd w:val="clear" w:color="auto" w:fill="auto"/>
                  <w:vAlign w:val="center"/>
                </w:tcPr>
                <w:p w14:paraId="0600EF1F">
                  <w:pPr>
                    <w:pStyle w:val="43"/>
                    <w:ind w:left="120" w:leftChars="50" w:right="120" w:rightChars="50" w:firstLine="0" w:firstLineChars="0"/>
                    <w:rPr>
                      <w:rFonts w:hint="eastAsia" w:eastAsia="宋体"/>
                      <w:b w:val="0"/>
                      <w:bCs/>
                      <w:color w:val="auto"/>
                      <w:lang w:val="en-US" w:eastAsia="zh-CN"/>
                    </w:rPr>
                  </w:pPr>
                  <w:r>
                    <w:rPr>
                      <w:rFonts w:hint="eastAsia"/>
                      <w:b w:val="0"/>
                      <w:bCs/>
                      <w:color w:val="auto"/>
                      <w:lang w:val="en-US" w:eastAsia="zh-CN"/>
                    </w:rPr>
                    <w:t>/</w:t>
                  </w:r>
                </w:p>
              </w:tc>
              <w:tc>
                <w:tcPr>
                  <w:tcW w:w="1751" w:type="pct"/>
                  <w:shd w:val="clear" w:color="auto" w:fill="auto"/>
                  <w:vAlign w:val="center"/>
                </w:tcPr>
                <w:p w14:paraId="68DBD983">
                  <w:pPr>
                    <w:pStyle w:val="43"/>
                    <w:ind w:left="120" w:leftChars="50" w:right="120" w:rightChars="50" w:firstLine="0" w:firstLineChars="0"/>
                    <w:rPr>
                      <w:rFonts w:hint="eastAsia" w:eastAsia="宋体"/>
                      <w:b w:val="0"/>
                      <w:bCs/>
                      <w:color w:val="auto"/>
                      <w:lang w:val="en-US" w:eastAsia="zh-CN"/>
                    </w:rPr>
                  </w:pPr>
                  <w:r>
                    <w:rPr>
                      <w:rFonts w:hint="eastAsia"/>
                      <w:b w:val="0"/>
                      <w:bCs/>
                      <w:color w:val="auto"/>
                      <w:lang w:val="en-US" w:eastAsia="zh-CN"/>
                    </w:rPr>
                    <w:t>6</w:t>
                  </w:r>
                </w:p>
              </w:tc>
            </w:tr>
          </w:tbl>
          <w:p w14:paraId="530BBF0B">
            <w:pPr>
              <w:pStyle w:val="46"/>
              <w:bidi w:val="0"/>
              <w:rPr>
                <w:rFonts w:hint="eastAsia"/>
                <w:b/>
                <w:bCs/>
                <w:color w:val="auto"/>
                <w:highlight w:val="none"/>
                <w:lang w:val="en-US" w:eastAsia="zh-CN"/>
              </w:rPr>
            </w:pPr>
            <w:r>
              <w:rPr>
                <w:rFonts w:hint="eastAsia"/>
                <w:b/>
                <w:bCs/>
                <w:color w:val="auto"/>
                <w:highlight w:val="none"/>
                <w:lang w:val="en-US" w:eastAsia="zh-CN"/>
              </w:rPr>
              <w:t>（2）产能符合性分析</w:t>
            </w:r>
          </w:p>
          <w:p w14:paraId="06B06992">
            <w:pPr>
              <w:pStyle w:val="46"/>
              <w:bidi w:val="0"/>
              <w:rPr>
                <w:rFonts w:hint="eastAsia"/>
                <w:color w:val="auto"/>
                <w:highlight w:val="none"/>
                <w:lang w:val="en-US" w:eastAsia="zh-CN"/>
              </w:rPr>
            </w:pPr>
            <w:r>
              <w:rPr>
                <w:rFonts w:hint="eastAsia"/>
                <w:color w:val="auto"/>
                <w:highlight w:val="none"/>
                <w:lang w:val="en-US" w:eastAsia="zh-CN"/>
              </w:rPr>
              <w:t>本项目设计年产塑料包装箱6000t/年，单台</w:t>
            </w:r>
            <w:r>
              <w:rPr>
                <w:rFonts w:hint="eastAsia"/>
                <w:b w:val="0"/>
                <w:bCs/>
                <w:color w:val="auto"/>
                <w:highlight w:val="none"/>
                <w:lang w:val="en-US" w:eastAsia="zh-CN"/>
              </w:rPr>
              <w:t>全自动间歇式发泡机</w:t>
            </w:r>
            <w:r>
              <w:rPr>
                <w:rFonts w:hint="eastAsia"/>
                <w:color w:val="auto"/>
                <w:highlight w:val="none"/>
              </w:rPr>
              <w:t>年满负荷产能为</w:t>
            </w:r>
            <w:r>
              <w:rPr>
                <w:rFonts w:hint="eastAsia"/>
                <w:color w:val="auto"/>
                <w:highlight w:val="none"/>
                <w:lang w:val="en-US" w:eastAsia="zh-CN"/>
              </w:rPr>
              <w:t>0.5t/h×720</w:t>
            </w:r>
            <w:r>
              <w:rPr>
                <w:rFonts w:hint="eastAsia"/>
                <w:color w:val="auto"/>
                <w:highlight w:val="none"/>
              </w:rPr>
              <w:t>0h=</w:t>
            </w:r>
            <w:r>
              <w:rPr>
                <w:rFonts w:hint="eastAsia"/>
                <w:color w:val="auto"/>
                <w:highlight w:val="none"/>
                <w:lang w:val="en-US" w:eastAsia="zh-CN"/>
              </w:rPr>
              <w:t>3600t/年，项目共设置2台</w:t>
            </w:r>
            <w:r>
              <w:rPr>
                <w:rFonts w:hint="eastAsia"/>
                <w:b w:val="0"/>
                <w:bCs/>
                <w:color w:val="auto"/>
                <w:highlight w:val="none"/>
                <w:lang w:val="en-US" w:eastAsia="zh-CN"/>
              </w:rPr>
              <w:t>全自动间歇式发泡机，则年生产能力为7200t/年＞</w:t>
            </w:r>
            <w:r>
              <w:rPr>
                <w:rFonts w:hint="eastAsia"/>
                <w:color w:val="auto"/>
                <w:highlight w:val="none"/>
                <w:lang w:val="en-US" w:eastAsia="zh-CN"/>
              </w:rPr>
              <w:t>6000t/年</w:t>
            </w:r>
            <w:r>
              <w:rPr>
                <w:rFonts w:hint="eastAsia"/>
                <w:color w:val="auto"/>
                <w:highlight w:val="none"/>
              </w:rPr>
              <w:t>，可以满足生产要求，产能匹配</w:t>
            </w:r>
            <w:r>
              <w:rPr>
                <w:rFonts w:hint="eastAsia"/>
                <w:color w:val="auto"/>
                <w:highlight w:val="none"/>
                <w:lang w:val="en-US" w:eastAsia="zh-CN"/>
              </w:rPr>
              <w:t>。</w:t>
            </w:r>
          </w:p>
          <w:p w14:paraId="0B212B0E">
            <w:pPr>
              <w:pStyle w:val="46"/>
              <w:bidi w:val="0"/>
              <w:rPr>
                <w:rFonts w:hint="default"/>
                <w:color w:val="auto"/>
                <w:highlight w:val="yellow"/>
                <w:lang w:val="en-US" w:eastAsia="zh-CN"/>
              </w:rPr>
            </w:pPr>
            <w:r>
              <w:rPr>
                <w:rFonts w:hint="eastAsia"/>
                <w:color w:val="auto"/>
                <w:highlight w:val="none"/>
                <w:lang w:val="en-US" w:eastAsia="zh-CN"/>
              </w:rPr>
              <w:t>本项目设计年产汽车零配件1000t/年，单台</w:t>
            </w:r>
            <w:r>
              <w:rPr>
                <w:rFonts w:hint="eastAsia"/>
                <w:b w:val="0"/>
                <w:bCs/>
                <w:color w:val="auto"/>
                <w:highlight w:val="none"/>
                <w:lang w:val="en-US" w:eastAsia="zh-CN"/>
              </w:rPr>
              <w:t>预压罐</w:t>
            </w:r>
            <w:r>
              <w:rPr>
                <w:rFonts w:hint="eastAsia"/>
                <w:color w:val="auto"/>
                <w:highlight w:val="none"/>
              </w:rPr>
              <w:t>年满负荷产能为</w:t>
            </w:r>
            <w:r>
              <w:rPr>
                <w:rFonts w:hint="eastAsia"/>
                <w:color w:val="auto"/>
                <w:highlight w:val="none"/>
                <w:lang w:val="en-US" w:eastAsia="zh-CN"/>
              </w:rPr>
              <w:t>0.08t/h×720</w:t>
            </w:r>
            <w:r>
              <w:rPr>
                <w:rFonts w:hint="eastAsia"/>
                <w:color w:val="auto"/>
                <w:highlight w:val="none"/>
              </w:rPr>
              <w:t>0h=</w:t>
            </w:r>
            <w:r>
              <w:rPr>
                <w:rFonts w:hint="eastAsia"/>
                <w:color w:val="auto"/>
                <w:highlight w:val="none"/>
                <w:lang w:val="en-US" w:eastAsia="zh-CN"/>
              </w:rPr>
              <w:t>576t/年，项目共设置2台</w:t>
            </w:r>
            <w:r>
              <w:rPr>
                <w:rFonts w:hint="eastAsia"/>
                <w:b w:val="0"/>
                <w:bCs/>
                <w:color w:val="auto"/>
                <w:lang w:val="en-US" w:eastAsia="zh-CN"/>
              </w:rPr>
              <w:t>预压罐，</w:t>
            </w:r>
            <w:r>
              <w:rPr>
                <w:rFonts w:hint="eastAsia"/>
                <w:b w:val="0"/>
                <w:bCs/>
                <w:color w:val="auto"/>
                <w:highlight w:val="none"/>
                <w:lang w:val="en-US" w:eastAsia="zh-CN"/>
              </w:rPr>
              <w:t>则年生产能力为1152t/年＞</w:t>
            </w:r>
            <w:r>
              <w:rPr>
                <w:rFonts w:hint="eastAsia"/>
                <w:color w:val="auto"/>
                <w:highlight w:val="none"/>
                <w:lang w:val="en-US" w:eastAsia="zh-CN"/>
              </w:rPr>
              <w:t>1000t/年</w:t>
            </w:r>
            <w:r>
              <w:rPr>
                <w:rFonts w:hint="eastAsia"/>
                <w:color w:val="auto"/>
                <w:highlight w:val="none"/>
              </w:rPr>
              <w:t>，可以满足生产要求，产能匹配</w:t>
            </w:r>
            <w:r>
              <w:rPr>
                <w:rFonts w:hint="eastAsia"/>
                <w:color w:val="auto"/>
                <w:highlight w:val="none"/>
                <w:lang w:val="en-US" w:eastAsia="zh-CN"/>
              </w:rPr>
              <w:t>。</w:t>
            </w:r>
          </w:p>
          <w:p w14:paraId="3EE66F3E">
            <w:pPr>
              <w:pStyle w:val="46"/>
              <w:bidi w:val="0"/>
              <w:rPr>
                <w:b/>
                <w:bCs/>
                <w:color w:val="auto"/>
                <w:highlight w:val="none"/>
              </w:rPr>
            </w:pPr>
            <w:r>
              <w:rPr>
                <w:rFonts w:hint="eastAsia"/>
                <w:b/>
                <w:bCs/>
                <w:color w:val="auto"/>
                <w:highlight w:val="none"/>
                <w:lang w:val="en-US" w:eastAsia="zh-CN"/>
              </w:rPr>
              <w:t>5</w:t>
            </w:r>
            <w:r>
              <w:rPr>
                <w:rFonts w:hint="eastAsia"/>
                <w:b/>
                <w:bCs/>
                <w:color w:val="auto"/>
                <w:highlight w:val="none"/>
              </w:rPr>
              <w:t>、原辅材料及能源消耗</w:t>
            </w:r>
          </w:p>
          <w:p w14:paraId="2F82F21F">
            <w:pPr>
              <w:ind w:firstLine="480"/>
              <w:rPr>
                <w:color w:val="auto"/>
                <w:highlight w:val="none"/>
              </w:rPr>
            </w:pPr>
            <w:r>
              <w:rPr>
                <w:rFonts w:hint="eastAsia"/>
                <w:color w:val="auto"/>
                <w:highlight w:val="none"/>
              </w:rPr>
              <w:t>本项目主要原辅材料种类见下表：</w:t>
            </w:r>
          </w:p>
          <w:p w14:paraId="19BF4099">
            <w:pPr>
              <w:pStyle w:val="49"/>
              <w:rPr>
                <w:rFonts w:hint="eastAsia"/>
                <w:color w:val="auto"/>
                <w:highlight w:val="none"/>
              </w:rPr>
            </w:pPr>
            <w:r>
              <w:rPr>
                <w:rFonts w:hint="eastAsia"/>
                <w:color w:val="auto"/>
                <w:highlight w:val="none"/>
              </w:rPr>
              <w:t>表2-</w:t>
            </w:r>
            <w:r>
              <w:rPr>
                <w:rFonts w:hint="eastAsia"/>
                <w:color w:val="auto"/>
                <w:highlight w:val="none"/>
                <w:lang w:val="en-US" w:eastAsia="zh-CN"/>
              </w:rPr>
              <w:t>6</w:t>
            </w:r>
            <w:r>
              <w:rPr>
                <w:rFonts w:hint="eastAsia"/>
                <w:color w:val="auto"/>
                <w:highlight w:val="none"/>
              </w:rPr>
              <w:t xml:space="preserve"> 主要原辅材料及能源消耗一览表</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460"/>
              <w:gridCol w:w="1269"/>
              <w:gridCol w:w="1020"/>
              <w:gridCol w:w="855"/>
              <w:gridCol w:w="1560"/>
              <w:gridCol w:w="1443"/>
            </w:tblGrid>
            <w:tr w14:paraId="2BD47D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noWrap w:val="0"/>
                  <w:vAlign w:val="center"/>
                </w:tcPr>
                <w:p w14:paraId="5BAB879A">
                  <w:pPr>
                    <w:pStyle w:val="47"/>
                    <w:bidi w:val="0"/>
                  </w:pPr>
                  <w:bookmarkStart w:id="3" w:name="OLE_LINK66" w:colFirst="0" w:colLast="2"/>
                  <w:bookmarkStart w:id="4" w:name="OLE_LINK67" w:colFirst="0" w:colLast="3"/>
                  <w:r>
                    <w:rPr>
                      <w:rFonts w:hint="eastAsia"/>
                    </w:rPr>
                    <w:t>项目</w:t>
                  </w:r>
                </w:p>
              </w:tc>
              <w:tc>
                <w:tcPr>
                  <w:tcW w:w="1460" w:type="dxa"/>
                  <w:noWrap w:val="0"/>
                  <w:vAlign w:val="center"/>
                </w:tcPr>
                <w:p w14:paraId="3AE4EA1F">
                  <w:pPr>
                    <w:pStyle w:val="47"/>
                    <w:bidi w:val="0"/>
                    <w:rPr>
                      <w:rFonts w:hint="eastAsia"/>
                    </w:rPr>
                  </w:pPr>
                  <w:r>
                    <w:t>名称</w:t>
                  </w:r>
                </w:p>
              </w:tc>
              <w:tc>
                <w:tcPr>
                  <w:tcW w:w="1269" w:type="dxa"/>
                  <w:noWrap w:val="0"/>
                  <w:vAlign w:val="center"/>
                </w:tcPr>
                <w:p w14:paraId="61B231D2">
                  <w:pPr>
                    <w:pStyle w:val="47"/>
                    <w:bidi w:val="0"/>
                    <w:rPr>
                      <w:rFonts w:hint="eastAsia"/>
                      <w:highlight w:val="none"/>
                    </w:rPr>
                  </w:pPr>
                  <w:r>
                    <w:rPr>
                      <w:rFonts w:hint="eastAsia"/>
                      <w:highlight w:val="none"/>
                    </w:rPr>
                    <w:t>年</w:t>
                  </w:r>
                  <w:r>
                    <w:rPr>
                      <w:highlight w:val="none"/>
                    </w:rPr>
                    <w:t>用量</w:t>
                  </w:r>
                  <w:r>
                    <w:rPr>
                      <w:rFonts w:hint="eastAsia"/>
                      <w:highlight w:val="none"/>
                      <w:lang w:val="en-US" w:eastAsia="zh-CN"/>
                    </w:rPr>
                    <w:t>t/a</w:t>
                  </w:r>
                </w:p>
              </w:tc>
              <w:tc>
                <w:tcPr>
                  <w:tcW w:w="1020" w:type="dxa"/>
                  <w:noWrap w:val="0"/>
                  <w:vAlign w:val="center"/>
                </w:tcPr>
                <w:p w14:paraId="3210FBE9">
                  <w:pPr>
                    <w:pStyle w:val="47"/>
                    <w:bidi w:val="0"/>
                  </w:pPr>
                  <w:r>
                    <w:rPr>
                      <w:rFonts w:hint="eastAsia"/>
                    </w:rPr>
                    <w:t>规格</w:t>
                  </w:r>
                </w:p>
              </w:tc>
              <w:tc>
                <w:tcPr>
                  <w:tcW w:w="855" w:type="dxa"/>
                  <w:noWrap w:val="0"/>
                  <w:vAlign w:val="center"/>
                </w:tcPr>
                <w:p w14:paraId="34296E92">
                  <w:pPr>
                    <w:pStyle w:val="47"/>
                    <w:bidi w:val="0"/>
                    <w:rPr>
                      <w:rFonts w:hint="eastAsia" w:eastAsia="宋体"/>
                      <w:lang w:val="en-US" w:eastAsia="zh-CN"/>
                    </w:rPr>
                  </w:pPr>
                  <w:r>
                    <w:rPr>
                      <w:rFonts w:hint="eastAsia"/>
                    </w:rPr>
                    <w:t>最大存料</w:t>
                  </w:r>
                  <w:r>
                    <w:rPr>
                      <w:rFonts w:hint="eastAsia"/>
                      <w:lang w:val="en-US" w:eastAsia="zh-CN"/>
                    </w:rPr>
                    <w:t>t</w:t>
                  </w:r>
                </w:p>
              </w:tc>
              <w:tc>
                <w:tcPr>
                  <w:tcW w:w="1560" w:type="dxa"/>
                  <w:noWrap w:val="0"/>
                  <w:vAlign w:val="center"/>
                </w:tcPr>
                <w:p w14:paraId="00DCF845">
                  <w:pPr>
                    <w:pStyle w:val="47"/>
                    <w:bidi w:val="0"/>
                    <w:rPr>
                      <w:rFonts w:hint="eastAsia"/>
                    </w:rPr>
                  </w:pPr>
                  <w:r>
                    <w:rPr>
                      <w:rFonts w:hint="eastAsia"/>
                    </w:rPr>
                    <w:t>储存位置</w:t>
                  </w:r>
                </w:p>
              </w:tc>
              <w:tc>
                <w:tcPr>
                  <w:tcW w:w="1443" w:type="dxa"/>
                  <w:noWrap w:val="0"/>
                  <w:vAlign w:val="center"/>
                </w:tcPr>
                <w:p w14:paraId="22317B98">
                  <w:pPr>
                    <w:pStyle w:val="47"/>
                    <w:bidi w:val="0"/>
                    <w:rPr>
                      <w:rFonts w:hint="default" w:eastAsia="宋体"/>
                      <w:lang w:val="en-US" w:eastAsia="zh-CN"/>
                    </w:rPr>
                  </w:pPr>
                  <w:r>
                    <w:rPr>
                      <w:rFonts w:hint="eastAsia"/>
                      <w:lang w:val="en-US" w:eastAsia="zh-CN"/>
                    </w:rPr>
                    <w:t>主要成分及其他参数</w:t>
                  </w:r>
                </w:p>
              </w:tc>
            </w:tr>
            <w:tr w14:paraId="2F8D13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restart"/>
                  <w:noWrap w:val="0"/>
                  <w:textDirection w:val="tbRlV"/>
                  <w:vAlign w:val="center"/>
                </w:tcPr>
                <w:p w14:paraId="0D790B21">
                  <w:pPr>
                    <w:pStyle w:val="47"/>
                    <w:bidi w:val="0"/>
                    <w:rPr>
                      <w:rFonts w:hint="default"/>
                      <w:lang w:val="en-US" w:eastAsia="zh-CN"/>
                    </w:rPr>
                  </w:pPr>
                  <w:r>
                    <w:rPr>
                      <w:rFonts w:hint="eastAsia"/>
                      <w:lang w:val="en-US" w:eastAsia="zh-CN"/>
                    </w:rPr>
                    <w:t>原辅料</w:t>
                  </w:r>
                </w:p>
              </w:tc>
              <w:tc>
                <w:tcPr>
                  <w:tcW w:w="1460" w:type="dxa"/>
                  <w:noWrap w:val="0"/>
                  <w:vAlign w:val="center"/>
                </w:tcPr>
                <w:p w14:paraId="315DE4EF">
                  <w:pPr>
                    <w:pStyle w:val="47"/>
                    <w:bidi w:val="0"/>
                  </w:pPr>
                  <w:r>
                    <w:rPr>
                      <w:rFonts w:hint="eastAsia"/>
                    </w:rPr>
                    <w:t>可发性聚苯乙烯（EPS）</w:t>
                  </w:r>
                </w:p>
              </w:tc>
              <w:tc>
                <w:tcPr>
                  <w:tcW w:w="1269" w:type="dxa"/>
                  <w:noWrap w:val="0"/>
                  <w:vAlign w:val="center"/>
                </w:tcPr>
                <w:p w14:paraId="2D240340">
                  <w:pPr>
                    <w:pStyle w:val="47"/>
                    <w:bidi w:val="0"/>
                    <w:rPr>
                      <w:rFonts w:hint="default"/>
                      <w:highlight w:val="none"/>
                      <w:lang w:val="en-US"/>
                    </w:rPr>
                  </w:pPr>
                  <w:r>
                    <w:rPr>
                      <w:rFonts w:hint="eastAsia"/>
                      <w:highlight w:val="none"/>
                      <w:lang w:val="en-US" w:eastAsia="zh-CN"/>
                    </w:rPr>
                    <w:t>6064.8</w:t>
                  </w:r>
                </w:p>
              </w:tc>
              <w:tc>
                <w:tcPr>
                  <w:tcW w:w="1020" w:type="dxa"/>
                  <w:noWrap w:val="0"/>
                  <w:vAlign w:val="center"/>
                </w:tcPr>
                <w:p w14:paraId="7B8626D1">
                  <w:pPr>
                    <w:pStyle w:val="47"/>
                    <w:bidi w:val="0"/>
                    <w:rPr>
                      <w:rFonts w:hint="eastAsia"/>
                    </w:rPr>
                  </w:pPr>
                  <w:r>
                    <w:rPr>
                      <w:rFonts w:hint="eastAsia"/>
                    </w:rPr>
                    <w:t>25kg/袋</w:t>
                  </w:r>
                </w:p>
                <w:p w14:paraId="56892D6E">
                  <w:pPr>
                    <w:pStyle w:val="47"/>
                    <w:bidi w:val="0"/>
                  </w:pPr>
                  <w:r>
                    <w:rPr>
                      <w:rFonts w:hint="eastAsia"/>
                    </w:rPr>
                    <w:t>75cm</w:t>
                  </w:r>
                  <w:r>
                    <w:t>×</w:t>
                  </w:r>
                  <w:r>
                    <w:rPr>
                      <w:rFonts w:hint="eastAsia"/>
                    </w:rPr>
                    <w:t>44cm</w:t>
                  </w:r>
                </w:p>
              </w:tc>
              <w:tc>
                <w:tcPr>
                  <w:tcW w:w="855" w:type="dxa"/>
                  <w:noWrap w:val="0"/>
                  <w:vAlign w:val="center"/>
                </w:tcPr>
                <w:p w14:paraId="06DC293D">
                  <w:pPr>
                    <w:pStyle w:val="47"/>
                    <w:bidi w:val="0"/>
                    <w:rPr>
                      <w:rFonts w:hint="default" w:eastAsia="宋体"/>
                      <w:lang w:val="en-US" w:eastAsia="zh-CN"/>
                    </w:rPr>
                  </w:pPr>
                  <w:r>
                    <w:rPr>
                      <w:rFonts w:hint="eastAsia"/>
                      <w:lang w:val="en-US" w:eastAsia="zh-CN"/>
                    </w:rPr>
                    <w:t>100</w:t>
                  </w:r>
                </w:p>
              </w:tc>
              <w:tc>
                <w:tcPr>
                  <w:tcW w:w="1560" w:type="dxa"/>
                  <w:noWrap w:val="0"/>
                  <w:vAlign w:val="center"/>
                </w:tcPr>
                <w:p w14:paraId="79C77D55">
                  <w:pPr>
                    <w:pStyle w:val="47"/>
                    <w:bidi w:val="0"/>
                    <w:rPr>
                      <w:rFonts w:hint="eastAsia"/>
                    </w:rPr>
                  </w:pPr>
                  <w:r>
                    <w:rPr>
                      <w:rFonts w:hint="eastAsia"/>
                      <w:lang w:val="en-US" w:eastAsia="zh-CN"/>
                    </w:rPr>
                    <w:t>EPS</w:t>
                  </w:r>
                  <w:r>
                    <w:rPr>
                      <w:rFonts w:hint="eastAsia"/>
                    </w:rPr>
                    <w:t>原料区</w:t>
                  </w:r>
                </w:p>
              </w:tc>
              <w:tc>
                <w:tcPr>
                  <w:tcW w:w="1443" w:type="dxa"/>
                  <w:noWrap w:val="0"/>
                  <w:vAlign w:val="center"/>
                </w:tcPr>
                <w:p w14:paraId="56EC7542">
                  <w:pPr>
                    <w:pStyle w:val="47"/>
                    <w:bidi w:val="0"/>
                    <w:rPr>
                      <w:rFonts w:hint="default" w:eastAsia="宋体"/>
                      <w:lang w:val="en-US" w:eastAsia="zh-CN"/>
                    </w:rPr>
                  </w:pPr>
                  <w:r>
                    <w:rPr>
                      <w:rFonts w:hint="eastAsia"/>
                      <w:color w:val="auto"/>
                      <w:lang w:val="en-US" w:eastAsia="zh-CN"/>
                    </w:rPr>
                    <w:t>聚苯乙烯93-96%，戊烷4-7%</w:t>
                  </w:r>
                </w:p>
              </w:tc>
            </w:tr>
            <w:tr w14:paraId="5DFB71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noWrap w:val="0"/>
                  <w:textDirection w:val="tbRlV"/>
                  <w:vAlign w:val="center"/>
                </w:tcPr>
                <w:p w14:paraId="06EEBF49">
                  <w:pPr>
                    <w:pStyle w:val="47"/>
                    <w:bidi w:val="0"/>
                    <w:rPr>
                      <w:rFonts w:hint="eastAsia"/>
                      <w:lang w:val="en-US" w:eastAsia="zh-CN"/>
                    </w:rPr>
                  </w:pPr>
                </w:p>
              </w:tc>
              <w:tc>
                <w:tcPr>
                  <w:tcW w:w="1460" w:type="dxa"/>
                  <w:noWrap w:val="0"/>
                  <w:vAlign w:val="center"/>
                </w:tcPr>
                <w:p w14:paraId="3F221599">
                  <w:pPr>
                    <w:pStyle w:val="47"/>
                    <w:bidi w:val="0"/>
                    <w:rPr>
                      <w:rFonts w:hint="default" w:eastAsia="宋体"/>
                      <w:lang w:val="en-US" w:eastAsia="zh-CN"/>
                    </w:rPr>
                  </w:pPr>
                  <w:r>
                    <w:rPr>
                      <w:rFonts w:hint="eastAsia"/>
                      <w:lang w:val="en-US" w:eastAsia="zh-CN"/>
                    </w:rPr>
                    <w:t>发泡聚丙烯（EPP）</w:t>
                  </w:r>
                </w:p>
              </w:tc>
              <w:tc>
                <w:tcPr>
                  <w:tcW w:w="1269" w:type="dxa"/>
                  <w:noWrap w:val="0"/>
                  <w:vAlign w:val="center"/>
                </w:tcPr>
                <w:p w14:paraId="77429759">
                  <w:pPr>
                    <w:pStyle w:val="47"/>
                    <w:bidi w:val="0"/>
                    <w:rPr>
                      <w:rFonts w:hint="default"/>
                      <w:highlight w:val="none"/>
                      <w:lang w:val="en-US" w:eastAsia="zh-CN"/>
                    </w:rPr>
                  </w:pPr>
                  <w:r>
                    <w:rPr>
                      <w:rFonts w:hint="eastAsia"/>
                      <w:highlight w:val="none"/>
                      <w:lang w:val="en-US" w:eastAsia="zh-CN"/>
                    </w:rPr>
                    <w:t>1012.7</w:t>
                  </w:r>
                </w:p>
              </w:tc>
              <w:tc>
                <w:tcPr>
                  <w:tcW w:w="1020" w:type="dxa"/>
                  <w:noWrap w:val="0"/>
                  <w:vAlign w:val="center"/>
                </w:tcPr>
                <w:p w14:paraId="7F79F8F7">
                  <w:pPr>
                    <w:pStyle w:val="47"/>
                    <w:bidi w:val="0"/>
                    <w:rPr>
                      <w:rFonts w:hint="eastAsia"/>
                    </w:rPr>
                  </w:pPr>
                  <w:r>
                    <w:rPr>
                      <w:rFonts w:hint="eastAsia"/>
                    </w:rPr>
                    <w:t>25kg/袋</w:t>
                  </w:r>
                </w:p>
                <w:p w14:paraId="51832D46">
                  <w:pPr>
                    <w:pStyle w:val="47"/>
                    <w:bidi w:val="0"/>
                    <w:rPr>
                      <w:rFonts w:hint="eastAsia" w:eastAsia="宋体"/>
                      <w:lang w:eastAsia="zh-CN"/>
                    </w:rPr>
                  </w:pPr>
                  <w:r>
                    <w:rPr>
                      <w:rFonts w:hint="eastAsia"/>
                      <w:lang w:val="en-US" w:eastAsia="zh-CN"/>
                    </w:rPr>
                    <w:t>粒装</w:t>
                  </w:r>
                </w:p>
              </w:tc>
              <w:tc>
                <w:tcPr>
                  <w:tcW w:w="855" w:type="dxa"/>
                  <w:noWrap w:val="0"/>
                  <w:vAlign w:val="center"/>
                </w:tcPr>
                <w:p w14:paraId="62105A8B">
                  <w:pPr>
                    <w:pStyle w:val="47"/>
                    <w:bidi w:val="0"/>
                    <w:rPr>
                      <w:rFonts w:hint="default" w:eastAsia="宋体"/>
                      <w:lang w:val="en-US" w:eastAsia="zh-CN"/>
                    </w:rPr>
                  </w:pPr>
                  <w:r>
                    <w:rPr>
                      <w:rFonts w:hint="eastAsia"/>
                      <w:lang w:val="en-US" w:eastAsia="zh-CN"/>
                    </w:rPr>
                    <w:t>50</w:t>
                  </w:r>
                </w:p>
              </w:tc>
              <w:tc>
                <w:tcPr>
                  <w:tcW w:w="1560" w:type="dxa"/>
                  <w:noWrap w:val="0"/>
                  <w:vAlign w:val="center"/>
                </w:tcPr>
                <w:p w14:paraId="24615B4A">
                  <w:pPr>
                    <w:pStyle w:val="47"/>
                    <w:bidi w:val="0"/>
                    <w:rPr>
                      <w:rFonts w:hint="default"/>
                      <w:lang w:val="en-US" w:eastAsia="zh-CN"/>
                    </w:rPr>
                  </w:pPr>
                  <w:r>
                    <w:rPr>
                      <w:rFonts w:hint="eastAsia"/>
                      <w:lang w:val="en-US" w:eastAsia="zh-CN"/>
                    </w:rPr>
                    <w:t>EPP原料区</w:t>
                  </w:r>
                </w:p>
              </w:tc>
              <w:tc>
                <w:tcPr>
                  <w:tcW w:w="1443" w:type="dxa"/>
                  <w:noWrap w:val="0"/>
                  <w:vAlign w:val="center"/>
                </w:tcPr>
                <w:p w14:paraId="6BA0F7A7">
                  <w:pPr>
                    <w:pStyle w:val="47"/>
                    <w:bidi w:val="0"/>
                    <w:rPr>
                      <w:rFonts w:hint="default" w:eastAsia="宋体"/>
                      <w:lang w:val="en-US" w:eastAsia="zh-CN"/>
                    </w:rPr>
                  </w:pPr>
                  <w:r>
                    <w:rPr>
                      <w:rFonts w:hint="eastAsia"/>
                      <w:lang w:val="en-US" w:eastAsia="zh-CN"/>
                    </w:rPr>
                    <w:t>聚丙烯90%、碳黑10%</w:t>
                  </w:r>
                </w:p>
              </w:tc>
            </w:tr>
            <w:tr w14:paraId="04DC2C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noWrap w:val="0"/>
                  <w:textDirection w:val="tbRlV"/>
                  <w:vAlign w:val="center"/>
                </w:tcPr>
                <w:p w14:paraId="2299BDF7">
                  <w:pPr>
                    <w:pStyle w:val="47"/>
                    <w:bidi w:val="0"/>
                    <w:rPr>
                      <w:rFonts w:hint="eastAsia"/>
                      <w:lang w:val="en-US" w:eastAsia="zh-CN"/>
                    </w:rPr>
                  </w:pPr>
                </w:p>
              </w:tc>
              <w:tc>
                <w:tcPr>
                  <w:tcW w:w="1460" w:type="dxa"/>
                  <w:noWrap w:val="0"/>
                  <w:vAlign w:val="center"/>
                </w:tcPr>
                <w:p w14:paraId="014D68E1">
                  <w:pPr>
                    <w:pStyle w:val="47"/>
                    <w:bidi w:val="0"/>
                    <w:rPr>
                      <w:rFonts w:hint="default"/>
                      <w:lang w:val="en-US" w:eastAsia="zh-CN"/>
                    </w:rPr>
                  </w:pPr>
                  <w:r>
                    <w:rPr>
                      <w:rFonts w:hint="eastAsia"/>
                      <w:lang w:val="en-US" w:eastAsia="zh-CN"/>
                    </w:rPr>
                    <w:t>包装材料</w:t>
                  </w:r>
                </w:p>
              </w:tc>
              <w:tc>
                <w:tcPr>
                  <w:tcW w:w="1269" w:type="dxa"/>
                  <w:noWrap w:val="0"/>
                  <w:vAlign w:val="center"/>
                </w:tcPr>
                <w:p w14:paraId="20057531">
                  <w:pPr>
                    <w:pStyle w:val="47"/>
                    <w:bidi w:val="0"/>
                    <w:rPr>
                      <w:rFonts w:hint="default"/>
                      <w:highlight w:val="none"/>
                      <w:lang w:val="en-US" w:eastAsia="zh-CN"/>
                    </w:rPr>
                  </w:pPr>
                  <w:r>
                    <w:rPr>
                      <w:rFonts w:hint="eastAsia"/>
                      <w:highlight w:val="none"/>
                      <w:lang w:val="en-US" w:eastAsia="zh-CN"/>
                    </w:rPr>
                    <w:t>20</w:t>
                  </w:r>
                </w:p>
              </w:tc>
              <w:tc>
                <w:tcPr>
                  <w:tcW w:w="1020" w:type="dxa"/>
                  <w:noWrap w:val="0"/>
                  <w:vAlign w:val="center"/>
                </w:tcPr>
                <w:p w14:paraId="79272C9B">
                  <w:pPr>
                    <w:pStyle w:val="47"/>
                    <w:bidi w:val="0"/>
                    <w:rPr>
                      <w:rFonts w:hint="default"/>
                      <w:lang w:val="en-US" w:eastAsia="zh-CN"/>
                    </w:rPr>
                  </w:pPr>
                  <w:r>
                    <w:rPr>
                      <w:rFonts w:hint="eastAsia"/>
                      <w:lang w:val="en-US" w:eastAsia="zh-CN"/>
                    </w:rPr>
                    <w:t>固态</w:t>
                  </w:r>
                </w:p>
              </w:tc>
              <w:tc>
                <w:tcPr>
                  <w:tcW w:w="855" w:type="dxa"/>
                  <w:noWrap w:val="0"/>
                  <w:vAlign w:val="center"/>
                </w:tcPr>
                <w:p w14:paraId="2772D31A">
                  <w:pPr>
                    <w:pStyle w:val="47"/>
                    <w:bidi w:val="0"/>
                    <w:rPr>
                      <w:rFonts w:hint="default"/>
                      <w:lang w:val="en-US" w:eastAsia="zh-CN"/>
                    </w:rPr>
                  </w:pPr>
                  <w:r>
                    <w:rPr>
                      <w:rFonts w:hint="eastAsia"/>
                      <w:lang w:val="en-US" w:eastAsia="zh-CN"/>
                    </w:rPr>
                    <w:t>1</w:t>
                  </w:r>
                </w:p>
              </w:tc>
              <w:tc>
                <w:tcPr>
                  <w:tcW w:w="1560" w:type="dxa"/>
                  <w:noWrap w:val="0"/>
                  <w:vAlign w:val="center"/>
                </w:tcPr>
                <w:p w14:paraId="3AA5326B">
                  <w:pPr>
                    <w:pStyle w:val="47"/>
                    <w:bidi w:val="0"/>
                    <w:rPr>
                      <w:rFonts w:hint="default"/>
                      <w:lang w:val="en-US" w:eastAsia="zh-CN"/>
                    </w:rPr>
                  </w:pPr>
                  <w:r>
                    <w:rPr>
                      <w:rFonts w:hint="eastAsia"/>
                      <w:lang w:val="en-US" w:eastAsia="zh-CN"/>
                    </w:rPr>
                    <w:t>原料区</w:t>
                  </w:r>
                </w:p>
              </w:tc>
              <w:tc>
                <w:tcPr>
                  <w:tcW w:w="1443" w:type="dxa"/>
                  <w:noWrap w:val="0"/>
                  <w:vAlign w:val="center"/>
                </w:tcPr>
                <w:p w14:paraId="1D27174C">
                  <w:pPr>
                    <w:pStyle w:val="47"/>
                    <w:bidi w:val="0"/>
                    <w:rPr>
                      <w:rFonts w:hint="default"/>
                      <w:lang w:val="en-US" w:eastAsia="zh-CN"/>
                    </w:rPr>
                  </w:pPr>
                  <w:r>
                    <w:rPr>
                      <w:rFonts w:hint="eastAsia"/>
                      <w:lang w:val="en-US" w:eastAsia="zh-CN"/>
                    </w:rPr>
                    <w:t>塑料袋、纸箱</w:t>
                  </w:r>
                </w:p>
              </w:tc>
            </w:tr>
            <w:tr w14:paraId="557204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noWrap w:val="0"/>
                  <w:vAlign w:val="center"/>
                </w:tcPr>
                <w:p w14:paraId="31FD6681">
                  <w:pPr>
                    <w:pStyle w:val="47"/>
                    <w:bidi w:val="0"/>
                    <w:rPr>
                      <w:rFonts w:hint="eastAsia"/>
                    </w:rPr>
                  </w:pPr>
                </w:p>
              </w:tc>
              <w:tc>
                <w:tcPr>
                  <w:tcW w:w="1460" w:type="dxa"/>
                  <w:noWrap w:val="0"/>
                  <w:vAlign w:val="center"/>
                </w:tcPr>
                <w:p w14:paraId="3EBE1C9C">
                  <w:pPr>
                    <w:pStyle w:val="47"/>
                    <w:bidi w:val="0"/>
                  </w:pPr>
                  <w:r>
                    <w:rPr>
                      <w:rFonts w:hint="eastAsia"/>
                    </w:rPr>
                    <w:t>机油</w:t>
                  </w:r>
                </w:p>
              </w:tc>
              <w:tc>
                <w:tcPr>
                  <w:tcW w:w="1269" w:type="dxa"/>
                  <w:noWrap w:val="0"/>
                  <w:vAlign w:val="center"/>
                </w:tcPr>
                <w:p w14:paraId="42BA56D2">
                  <w:pPr>
                    <w:pStyle w:val="47"/>
                    <w:bidi w:val="0"/>
                  </w:pPr>
                  <w:r>
                    <w:rPr>
                      <w:rFonts w:hint="eastAsia"/>
                    </w:rPr>
                    <w:t>0.</w:t>
                  </w:r>
                  <w:r>
                    <w:rPr>
                      <w:rFonts w:hint="eastAsia"/>
                      <w:lang w:val="en-US" w:eastAsia="zh-CN"/>
                    </w:rPr>
                    <w:t>2</w:t>
                  </w:r>
                  <w:r>
                    <w:rPr>
                      <w:rFonts w:hint="eastAsia"/>
                    </w:rPr>
                    <w:t>吨</w:t>
                  </w:r>
                </w:p>
              </w:tc>
              <w:tc>
                <w:tcPr>
                  <w:tcW w:w="1020" w:type="dxa"/>
                  <w:noWrap w:val="0"/>
                  <w:vAlign w:val="center"/>
                </w:tcPr>
                <w:p w14:paraId="0768E755">
                  <w:pPr>
                    <w:pStyle w:val="47"/>
                    <w:bidi w:val="0"/>
                  </w:pPr>
                  <w:r>
                    <w:rPr>
                      <w:rFonts w:hint="eastAsia"/>
                    </w:rPr>
                    <w:t>4kg/桶</w:t>
                  </w:r>
                </w:p>
              </w:tc>
              <w:tc>
                <w:tcPr>
                  <w:tcW w:w="855" w:type="dxa"/>
                  <w:noWrap w:val="0"/>
                  <w:vAlign w:val="center"/>
                </w:tcPr>
                <w:p w14:paraId="2885D4FD">
                  <w:pPr>
                    <w:pStyle w:val="47"/>
                    <w:bidi w:val="0"/>
                  </w:pPr>
                  <w:r>
                    <w:rPr>
                      <w:rFonts w:hint="eastAsia"/>
                    </w:rPr>
                    <w:t>/</w:t>
                  </w:r>
                </w:p>
              </w:tc>
              <w:tc>
                <w:tcPr>
                  <w:tcW w:w="1560" w:type="dxa"/>
                  <w:noWrap w:val="0"/>
                  <w:vAlign w:val="center"/>
                </w:tcPr>
                <w:p w14:paraId="2971E9C4">
                  <w:pPr>
                    <w:pStyle w:val="47"/>
                    <w:bidi w:val="0"/>
                  </w:pPr>
                  <w:r>
                    <w:t>机油用量较少不进行储存</w:t>
                  </w:r>
                </w:p>
              </w:tc>
              <w:tc>
                <w:tcPr>
                  <w:tcW w:w="1443" w:type="dxa"/>
                  <w:noWrap w:val="0"/>
                  <w:vAlign w:val="center"/>
                </w:tcPr>
                <w:p w14:paraId="7700B83C">
                  <w:pPr>
                    <w:pStyle w:val="47"/>
                    <w:bidi w:val="0"/>
                  </w:pPr>
                  <w:r>
                    <w:rPr>
                      <w:rFonts w:hint="eastAsia"/>
                    </w:rPr>
                    <w:t>设备维护</w:t>
                  </w:r>
                </w:p>
              </w:tc>
            </w:tr>
            <w:tr w14:paraId="7D1998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restart"/>
                  <w:noWrap w:val="0"/>
                  <w:vAlign w:val="center"/>
                </w:tcPr>
                <w:p w14:paraId="743B74A1">
                  <w:pPr>
                    <w:pStyle w:val="47"/>
                    <w:bidi w:val="0"/>
                  </w:pPr>
                  <w:r>
                    <w:rPr>
                      <w:rFonts w:hint="eastAsia"/>
                    </w:rPr>
                    <w:t>能源消耗</w:t>
                  </w:r>
                </w:p>
              </w:tc>
              <w:tc>
                <w:tcPr>
                  <w:tcW w:w="1460" w:type="dxa"/>
                  <w:noWrap w:val="0"/>
                  <w:vAlign w:val="center"/>
                </w:tcPr>
                <w:p w14:paraId="4EB22092">
                  <w:pPr>
                    <w:pStyle w:val="47"/>
                    <w:bidi w:val="0"/>
                    <w:rPr>
                      <w:rFonts w:hint="eastAsia"/>
                    </w:rPr>
                  </w:pPr>
                  <w:r>
                    <w:rPr>
                      <w:rFonts w:hint="eastAsia"/>
                    </w:rPr>
                    <w:t>电</w:t>
                  </w:r>
                </w:p>
              </w:tc>
              <w:tc>
                <w:tcPr>
                  <w:tcW w:w="1269" w:type="dxa"/>
                  <w:noWrap w:val="0"/>
                  <w:vAlign w:val="center"/>
                </w:tcPr>
                <w:p w14:paraId="3C11AC02">
                  <w:pPr>
                    <w:pStyle w:val="47"/>
                    <w:bidi w:val="0"/>
                    <w:rPr>
                      <w:highlight w:val="none"/>
                    </w:rPr>
                  </w:pPr>
                  <w:r>
                    <w:rPr>
                      <w:rFonts w:hint="eastAsia"/>
                      <w:highlight w:val="none"/>
                      <w:lang w:val="en-US" w:eastAsia="zh-CN"/>
                    </w:rPr>
                    <w:t>200</w:t>
                  </w:r>
                  <w:r>
                    <w:rPr>
                      <w:rFonts w:hint="eastAsia"/>
                      <w:highlight w:val="none"/>
                    </w:rPr>
                    <w:t>万</w:t>
                  </w:r>
                  <w:r>
                    <w:rPr>
                      <w:rFonts w:hint="eastAsia"/>
                      <w:color w:val="auto"/>
                      <w:highlight w:val="none"/>
                    </w:rPr>
                    <w:t>kW·</w:t>
                  </w:r>
                  <w:r>
                    <w:rPr>
                      <w:rFonts w:hint="eastAsia"/>
                      <w:color w:val="auto"/>
                    </w:rPr>
                    <w:t>h</w:t>
                  </w:r>
                  <w:r>
                    <w:rPr>
                      <w:rFonts w:hint="eastAsia"/>
                      <w:highlight w:val="none"/>
                    </w:rPr>
                    <w:t>/a</w:t>
                  </w:r>
                </w:p>
              </w:tc>
              <w:tc>
                <w:tcPr>
                  <w:tcW w:w="1020" w:type="dxa"/>
                  <w:noWrap w:val="0"/>
                  <w:vAlign w:val="center"/>
                </w:tcPr>
                <w:p w14:paraId="2A3F2D9B">
                  <w:pPr>
                    <w:pStyle w:val="47"/>
                    <w:bidi w:val="0"/>
                    <w:rPr>
                      <w:highlight w:val="none"/>
                    </w:rPr>
                  </w:pPr>
                  <w:r>
                    <w:rPr>
                      <w:rFonts w:hint="eastAsia"/>
                      <w:highlight w:val="none"/>
                    </w:rPr>
                    <w:t>/</w:t>
                  </w:r>
                </w:p>
              </w:tc>
              <w:tc>
                <w:tcPr>
                  <w:tcW w:w="855" w:type="dxa"/>
                  <w:noWrap w:val="0"/>
                  <w:vAlign w:val="center"/>
                </w:tcPr>
                <w:p w14:paraId="23A4DFE0">
                  <w:pPr>
                    <w:pStyle w:val="47"/>
                    <w:bidi w:val="0"/>
                  </w:pPr>
                  <w:r>
                    <w:rPr>
                      <w:rFonts w:hint="eastAsia"/>
                    </w:rPr>
                    <w:t>/</w:t>
                  </w:r>
                </w:p>
              </w:tc>
              <w:tc>
                <w:tcPr>
                  <w:tcW w:w="1560" w:type="dxa"/>
                  <w:noWrap w:val="0"/>
                  <w:vAlign w:val="center"/>
                </w:tcPr>
                <w:p w14:paraId="261883FC">
                  <w:pPr>
                    <w:pStyle w:val="47"/>
                    <w:bidi w:val="0"/>
                  </w:pPr>
                  <w:r>
                    <w:rPr>
                      <w:rFonts w:hint="eastAsia"/>
                    </w:rPr>
                    <w:t>/</w:t>
                  </w:r>
                </w:p>
              </w:tc>
              <w:tc>
                <w:tcPr>
                  <w:tcW w:w="1443" w:type="dxa"/>
                  <w:noWrap w:val="0"/>
                  <w:vAlign w:val="center"/>
                </w:tcPr>
                <w:p w14:paraId="144028FA">
                  <w:pPr>
                    <w:pStyle w:val="47"/>
                    <w:bidi w:val="0"/>
                  </w:pPr>
                  <w:r>
                    <w:rPr>
                      <w:rFonts w:hint="eastAsia"/>
                    </w:rPr>
                    <w:t>市政电网</w:t>
                  </w:r>
                </w:p>
              </w:tc>
            </w:tr>
            <w:tr w14:paraId="62C101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noWrap w:val="0"/>
                  <w:vAlign w:val="center"/>
                </w:tcPr>
                <w:p w14:paraId="2D5B1835">
                  <w:pPr>
                    <w:pStyle w:val="47"/>
                    <w:bidi w:val="0"/>
                    <w:rPr>
                      <w:rFonts w:hint="eastAsia"/>
                    </w:rPr>
                  </w:pPr>
                </w:p>
              </w:tc>
              <w:tc>
                <w:tcPr>
                  <w:tcW w:w="1460" w:type="dxa"/>
                  <w:noWrap w:val="0"/>
                  <w:vAlign w:val="center"/>
                </w:tcPr>
                <w:p w14:paraId="7636999E">
                  <w:pPr>
                    <w:pStyle w:val="47"/>
                    <w:bidi w:val="0"/>
                    <w:rPr>
                      <w:rFonts w:hint="eastAsia"/>
                    </w:rPr>
                  </w:pPr>
                  <w:r>
                    <w:rPr>
                      <w:rFonts w:hint="eastAsia"/>
                    </w:rPr>
                    <w:t>水</w:t>
                  </w:r>
                </w:p>
              </w:tc>
              <w:tc>
                <w:tcPr>
                  <w:tcW w:w="1269" w:type="dxa"/>
                  <w:noWrap w:val="0"/>
                  <w:vAlign w:val="center"/>
                </w:tcPr>
                <w:p w14:paraId="354FD16A">
                  <w:pPr>
                    <w:pStyle w:val="47"/>
                    <w:bidi w:val="0"/>
                    <w:rPr>
                      <w:highlight w:val="none"/>
                    </w:rPr>
                  </w:pPr>
                  <w:r>
                    <w:rPr>
                      <w:rFonts w:hint="eastAsia"/>
                      <w:highlight w:val="none"/>
                      <w:lang w:val="en-US" w:eastAsia="zh-CN"/>
                    </w:rPr>
                    <w:t>25560</w:t>
                  </w:r>
                  <w:r>
                    <w:rPr>
                      <w:rFonts w:hint="eastAsia"/>
                      <w:highlight w:val="none"/>
                    </w:rPr>
                    <w:t>吨</w:t>
                  </w:r>
                </w:p>
              </w:tc>
              <w:tc>
                <w:tcPr>
                  <w:tcW w:w="1020" w:type="dxa"/>
                  <w:noWrap w:val="0"/>
                  <w:vAlign w:val="center"/>
                </w:tcPr>
                <w:p w14:paraId="18232FB1">
                  <w:pPr>
                    <w:pStyle w:val="47"/>
                    <w:bidi w:val="0"/>
                    <w:rPr>
                      <w:highlight w:val="none"/>
                    </w:rPr>
                  </w:pPr>
                  <w:r>
                    <w:rPr>
                      <w:rFonts w:hint="eastAsia"/>
                      <w:highlight w:val="none"/>
                    </w:rPr>
                    <w:t>/</w:t>
                  </w:r>
                </w:p>
              </w:tc>
              <w:tc>
                <w:tcPr>
                  <w:tcW w:w="855" w:type="dxa"/>
                  <w:noWrap w:val="0"/>
                  <w:vAlign w:val="center"/>
                </w:tcPr>
                <w:p w14:paraId="18F95FCF">
                  <w:pPr>
                    <w:pStyle w:val="47"/>
                    <w:bidi w:val="0"/>
                  </w:pPr>
                  <w:r>
                    <w:rPr>
                      <w:rFonts w:hint="eastAsia"/>
                    </w:rPr>
                    <w:t>/</w:t>
                  </w:r>
                </w:p>
              </w:tc>
              <w:tc>
                <w:tcPr>
                  <w:tcW w:w="1560" w:type="dxa"/>
                  <w:noWrap w:val="0"/>
                  <w:vAlign w:val="center"/>
                </w:tcPr>
                <w:p w14:paraId="20B8CB5B">
                  <w:pPr>
                    <w:pStyle w:val="47"/>
                    <w:bidi w:val="0"/>
                  </w:pPr>
                  <w:r>
                    <w:rPr>
                      <w:rFonts w:hint="eastAsia"/>
                    </w:rPr>
                    <w:t>/</w:t>
                  </w:r>
                </w:p>
              </w:tc>
              <w:tc>
                <w:tcPr>
                  <w:tcW w:w="1443" w:type="dxa"/>
                  <w:noWrap w:val="0"/>
                  <w:vAlign w:val="center"/>
                </w:tcPr>
                <w:p w14:paraId="66BDA54F">
                  <w:pPr>
                    <w:pStyle w:val="47"/>
                    <w:bidi w:val="0"/>
                  </w:pPr>
                  <w:r>
                    <w:rPr>
                      <w:rFonts w:hint="eastAsia"/>
                    </w:rPr>
                    <w:t>市政管网供水</w:t>
                  </w:r>
                </w:p>
              </w:tc>
            </w:tr>
            <w:tr w14:paraId="0959E8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noWrap w:val="0"/>
                  <w:vAlign w:val="center"/>
                </w:tcPr>
                <w:p w14:paraId="44DFC9C2">
                  <w:pPr>
                    <w:pStyle w:val="47"/>
                    <w:bidi w:val="0"/>
                  </w:pPr>
                </w:p>
              </w:tc>
              <w:tc>
                <w:tcPr>
                  <w:tcW w:w="1460" w:type="dxa"/>
                  <w:noWrap w:val="0"/>
                  <w:vAlign w:val="center"/>
                </w:tcPr>
                <w:p w14:paraId="5151A4BA">
                  <w:pPr>
                    <w:pStyle w:val="47"/>
                    <w:bidi w:val="0"/>
                    <w:rPr>
                      <w:rFonts w:hint="eastAsia"/>
                    </w:rPr>
                  </w:pPr>
                  <w:r>
                    <w:rPr>
                      <w:rFonts w:hint="eastAsia"/>
                    </w:rPr>
                    <w:t>蒸汽</w:t>
                  </w:r>
                </w:p>
              </w:tc>
              <w:tc>
                <w:tcPr>
                  <w:tcW w:w="1269" w:type="dxa"/>
                  <w:noWrap w:val="0"/>
                  <w:vAlign w:val="center"/>
                </w:tcPr>
                <w:p w14:paraId="6E95D525">
                  <w:pPr>
                    <w:pStyle w:val="47"/>
                    <w:bidi w:val="0"/>
                    <w:rPr>
                      <w:highlight w:val="none"/>
                    </w:rPr>
                  </w:pPr>
                  <w:r>
                    <w:rPr>
                      <w:rFonts w:hint="eastAsia"/>
                      <w:highlight w:val="none"/>
                      <w:lang w:val="en-US" w:eastAsia="zh-CN"/>
                    </w:rPr>
                    <w:t>6</w:t>
                  </w:r>
                  <w:r>
                    <w:rPr>
                      <w:rFonts w:hint="eastAsia"/>
                      <w:highlight w:val="none"/>
                    </w:rPr>
                    <w:t>万吨</w:t>
                  </w:r>
                </w:p>
              </w:tc>
              <w:tc>
                <w:tcPr>
                  <w:tcW w:w="1020" w:type="dxa"/>
                  <w:noWrap w:val="0"/>
                  <w:vAlign w:val="center"/>
                </w:tcPr>
                <w:p w14:paraId="692A1C59">
                  <w:pPr>
                    <w:pStyle w:val="47"/>
                    <w:bidi w:val="0"/>
                    <w:rPr>
                      <w:rFonts w:hint="eastAsia" w:eastAsia="宋体"/>
                      <w:highlight w:val="none"/>
                      <w:lang w:eastAsia="zh-CN"/>
                    </w:rPr>
                  </w:pPr>
                  <w:r>
                    <w:rPr>
                      <w:rFonts w:hint="eastAsia"/>
                      <w:highlight w:val="none"/>
                      <w:lang w:val="en-US" w:eastAsia="zh-CN"/>
                    </w:rPr>
                    <w:t>气体</w:t>
                  </w:r>
                </w:p>
              </w:tc>
              <w:tc>
                <w:tcPr>
                  <w:tcW w:w="855" w:type="dxa"/>
                  <w:noWrap w:val="0"/>
                  <w:vAlign w:val="center"/>
                </w:tcPr>
                <w:p w14:paraId="76788176">
                  <w:pPr>
                    <w:pStyle w:val="47"/>
                    <w:bidi w:val="0"/>
                    <w:rPr>
                      <w:rFonts w:hint="default" w:eastAsia="宋体"/>
                      <w:lang w:val="en-US" w:eastAsia="zh-CN"/>
                    </w:rPr>
                  </w:pPr>
                  <w:r>
                    <w:rPr>
                      <w:rFonts w:hint="eastAsia"/>
                      <w:lang w:val="en-US" w:eastAsia="zh-CN"/>
                    </w:rPr>
                    <w:t>20m³</w:t>
                  </w:r>
                </w:p>
              </w:tc>
              <w:tc>
                <w:tcPr>
                  <w:tcW w:w="1560" w:type="dxa"/>
                  <w:noWrap w:val="0"/>
                  <w:vAlign w:val="center"/>
                </w:tcPr>
                <w:p w14:paraId="3815B96A">
                  <w:pPr>
                    <w:pStyle w:val="47"/>
                    <w:bidi w:val="0"/>
                    <w:rPr>
                      <w:rFonts w:hint="default" w:eastAsia="宋体"/>
                      <w:lang w:val="en-US" w:eastAsia="zh-CN"/>
                    </w:rPr>
                  </w:pPr>
                  <w:r>
                    <w:rPr>
                      <w:rFonts w:hint="eastAsia"/>
                      <w:lang w:val="en-US" w:eastAsia="zh-CN"/>
                    </w:rPr>
                    <w:t>管道供应</w:t>
                  </w:r>
                </w:p>
              </w:tc>
              <w:tc>
                <w:tcPr>
                  <w:tcW w:w="1443" w:type="dxa"/>
                  <w:noWrap w:val="0"/>
                  <w:vAlign w:val="center"/>
                </w:tcPr>
                <w:p w14:paraId="7D9EEF40">
                  <w:pPr>
                    <w:pStyle w:val="47"/>
                    <w:bidi w:val="0"/>
                    <w:rPr>
                      <w:rFonts w:hint="eastAsia" w:eastAsia="宋体"/>
                      <w:lang w:eastAsia="zh-CN"/>
                    </w:rPr>
                  </w:pPr>
                  <w:r>
                    <w:rPr>
                      <w:rFonts w:hint="eastAsia"/>
                      <w:lang w:val="en-US" w:eastAsia="zh-CN"/>
                    </w:rPr>
                    <w:t>水蒸气</w:t>
                  </w:r>
                </w:p>
              </w:tc>
            </w:tr>
            <w:tr w14:paraId="3C4FAA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0" w:type="dxa"/>
                  <w:gridSpan w:val="7"/>
                  <w:noWrap w:val="0"/>
                  <w:vAlign w:val="center"/>
                </w:tcPr>
                <w:p w14:paraId="18677B17">
                  <w:pPr>
                    <w:pStyle w:val="47"/>
                    <w:bidi w:val="0"/>
                    <w:jc w:val="left"/>
                    <w:rPr>
                      <w:rFonts w:hint="eastAsia"/>
                      <w:sz w:val="18"/>
                      <w:szCs w:val="18"/>
                      <w:lang w:val="en-US" w:eastAsia="zh-CN"/>
                    </w:rPr>
                  </w:pPr>
                  <w:r>
                    <w:rPr>
                      <w:rFonts w:hint="eastAsia"/>
                      <w:sz w:val="18"/>
                      <w:szCs w:val="18"/>
                      <w:lang w:val="en-US" w:eastAsia="zh-CN"/>
                    </w:rPr>
                    <w:t>备注：本项目机油日常不添加，每半年定期更换，厂区内不存放机油；</w:t>
                  </w:r>
                </w:p>
                <w:p w14:paraId="1DDAED00">
                  <w:pPr>
                    <w:pStyle w:val="47"/>
                    <w:bidi w:val="0"/>
                    <w:jc w:val="left"/>
                    <w:rPr>
                      <w:rFonts w:hint="eastAsia"/>
                      <w:lang w:val="en-US" w:eastAsia="zh-CN"/>
                    </w:rPr>
                  </w:pPr>
                  <w:r>
                    <w:rPr>
                      <w:rFonts w:hint="eastAsia"/>
                    </w:rPr>
                    <w:t>可发性聚苯乙烯（EPS）</w:t>
                  </w:r>
                  <w:r>
                    <w:rPr>
                      <w:rFonts w:hint="eastAsia"/>
                      <w:lang w:val="en-US" w:eastAsia="zh-CN"/>
                    </w:rPr>
                    <w:t>见附件13；</w:t>
                  </w:r>
                </w:p>
                <w:p w14:paraId="079F1680">
                  <w:pPr>
                    <w:pStyle w:val="47"/>
                    <w:bidi w:val="0"/>
                    <w:jc w:val="left"/>
                    <w:rPr>
                      <w:rFonts w:hint="default"/>
                      <w:lang w:val="en-US" w:eastAsia="zh-CN"/>
                    </w:rPr>
                  </w:pPr>
                  <w:r>
                    <w:rPr>
                      <w:rFonts w:hint="eastAsia"/>
                      <w:lang w:val="en-US" w:eastAsia="zh-CN"/>
                    </w:rPr>
                    <w:t>发泡聚丙烯（EPP）见附件14。</w:t>
                  </w:r>
                </w:p>
              </w:tc>
            </w:tr>
            <w:bookmarkEnd w:id="3"/>
            <w:bookmarkEnd w:id="4"/>
          </w:tbl>
          <w:p w14:paraId="7F3D0B11">
            <w:pPr>
              <w:rPr>
                <w:rFonts w:hint="eastAsia"/>
                <w:color w:val="auto"/>
              </w:rPr>
            </w:pPr>
            <w:r>
              <w:rPr>
                <w:rFonts w:hint="eastAsia"/>
                <w:color w:val="auto"/>
              </w:rPr>
              <w:t>主要原辅料理化性质：</w:t>
            </w:r>
          </w:p>
          <w:p w14:paraId="1FDB0298">
            <w:pPr>
              <w:rPr>
                <w:rFonts w:hint="default" w:eastAsia="宋体"/>
                <w:b/>
                <w:bCs/>
                <w:lang w:val="en-US" w:eastAsia="zh-CN"/>
              </w:rPr>
            </w:pPr>
            <w:r>
              <w:rPr>
                <w:rFonts w:hint="eastAsia"/>
                <w:b/>
                <w:bCs/>
                <w:color w:val="auto"/>
                <w:lang w:val="en-US" w:eastAsia="zh-CN"/>
              </w:rPr>
              <w:t>1）</w:t>
            </w:r>
            <w:r>
              <w:rPr>
                <w:rFonts w:hint="eastAsia"/>
                <w:b/>
                <w:bCs/>
                <w:color w:val="auto"/>
              </w:rPr>
              <w:t xml:space="preserve"> </w:t>
            </w:r>
            <w:r>
              <w:rPr>
                <w:rFonts w:hint="eastAsia"/>
                <w:b/>
                <w:bCs/>
              </w:rPr>
              <w:t>可发性聚苯乙烯（EPS）</w:t>
            </w:r>
          </w:p>
          <w:p w14:paraId="2CEA3064">
            <w:pPr>
              <w:bidi w:val="0"/>
              <w:rPr>
                <w:rFonts w:hint="eastAsia"/>
              </w:rPr>
            </w:pPr>
            <w:r>
              <w:rPr>
                <w:rFonts w:hint="eastAsia"/>
              </w:rPr>
              <w:t>主要成分为聚苯乙烯(CAS</w:t>
            </w:r>
            <w:r>
              <w:rPr>
                <w:rFonts w:hint="eastAsia"/>
                <w:lang w:val="en-US" w:eastAsia="zh-CN"/>
              </w:rPr>
              <w:t xml:space="preserve"> </w:t>
            </w:r>
            <w:r>
              <w:rPr>
                <w:rFonts w:hint="eastAsia"/>
              </w:rPr>
              <w:t>NO</w:t>
            </w:r>
            <w:r>
              <w:rPr>
                <w:rFonts w:hint="eastAsia"/>
                <w:lang w:eastAsia="zh-CN"/>
              </w:rPr>
              <w:t>：</w:t>
            </w:r>
            <w:r>
              <w:rPr>
                <w:rFonts w:hint="eastAsia"/>
              </w:rPr>
              <w:t>9003-53-6)93~96%、</w:t>
            </w:r>
            <w:r>
              <w:rPr>
                <w:rFonts w:hint="eastAsia"/>
                <w:lang w:val="en-US" w:eastAsia="zh-CN"/>
              </w:rPr>
              <w:t>戊烷</w:t>
            </w:r>
            <w:r>
              <w:rPr>
                <w:rFonts w:hint="eastAsia"/>
              </w:rPr>
              <w:t>(</w:t>
            </w:r>
            <w:r>
              <w:rPr>
                <w:rFonts w:hint="eastAsia"/>
                <w:lang w:val="en-US" w:eastAsia="zh-CN"/>
              </w:rPr>
              <w:t>正戊烷</w:t>
            </w:r>
            <w:r>
              <w:rPr>
                <w:rFonts w:hint="eastAsia"/>
              </w:rPr>
              <w:t>CAS</w:t>
            </w:r>
            <w:r>
              <w:rPr>
                <w:rFonts w:hint="eastAsia"/>
                <w:lang w:val="en-US" w:eastAsia="zh-CN"/>
              </w:rPr>
              <w:t xml:space="preserve"> </w:t>
            </w:r>
            <w:r>
              <w:rPr>
                <w:rFonts w:hint="eastAsia"/>
              </w:rPr>
              <w:t>NO</w:t>
            </w:r>
            <w:r>
              <w:rPr>
                <w:rFonts w:hint="eastAsia"/>
                <w:lang w:eastAsia="zh-CN"/>
              </w:rPr>
              <w:t>：</w:t>
            </w:r>
            <w:r>
              <w:rPr>
                <w:rFonts w:hint="eastAsia"/>
              </w:rPr>
              <w:t>109-66-0</w:t>
            </w:r>
            <w:r>
              <w:rPr>
                <w:rFonts w:hint="eastAsia"/>
                <w:lang w:eastAsia="zh-CN"/>
              </w:rPr>
              <w:t>；</w:t>
            </w:r>
            <w:r>
              <w:rPr>
                <w:rFonts w:hint="eastAsia"/>
              </w:rPr>
              <w:t>异戊烷CAS</w:t>
            </w:r>
            <w:r>
              <w:rPr>
                <w:rFonts w:hint="eastAsia"/>
                <w:lang w:val="en-US" w:eastAsia="zh-CN"/>
              </w:rPr>
              <w:t xml:space="preserve"> </w:t>
            </w:r>
            <w:r>
              <w:rPr>
                <w:rFonts w:hint="eastAsia"/>
              </w:rPr>
              <w:t>NO</w:t>
            </w:r>
            <w:r>
              <w:rPr>
                <w:rFonts w:hint="eastAsia"/>
                <w:lang w:eastAsia="zh-CN"/>
              </w:rPr>
              <w:t>：</w:t>
            </w:r>
            <w:r>
              <w:rPr>
                <w:rFonts w:hint="eastAsia"/>
              </w:rPr>
              <w:t>78-78-4)4~7%。外观与性状</w:t>
            </w:r>
            <w:r>
              <w:rPr>
                <w:rFonts w:hint="eastAsia"/>
                <w:lang w:eastAsia="zh-CN"/>
              </w:rPr>
              <w:t>；</w:t>
            </w:r>
            <w:r>
              <w:rPr>
                <w:rFonts w:hint="eastAsia"/>
              </w:rPr>
              <w:t>白色球形固体颗粒</w:t>
            </w:r>
            <w:r>
              <w:rPr>
                <w:rFonts w:hint="eastAsia"/>
                <w:lang w:eastAsia="zh-CN"/>
              </w:rPr>
              <w:t>；</w:t>
            </w:r>
            <w:r>
              <w:rPr>
                <w:rFonts w:hint="eastAsia"/>
              </w:rPr>
              <w:t>黑色球形固体颗粒;气味</w:t>
            </w:r>
            <w:r>
              <w:rPr>
                <w:rFonts w:hint="eastAsia"/>
                <w:lang w:eastAsia="zh-CN"/>
              </w:rPr>
              <w:t>；</w:t>
            </w:r>
            <w:r>
              <w:rPr>
                <w:rFonts w:hint="eastAsia"/>
              </w:rPr>
              <w:t>轻微碳化合物气味;堆积密度</w:t>
            </w:r>
            <w:r>
              <w:rPr>
                <w:rFonts w:hint="eastAsia"/>
                <w:lang w:eastAsia="zh-CN"/>
              </w:rPr>
              <w:t>；</w:t>
            </w:r>
            <w:r>
              <w:rPr>
                <w:rFonts w:hint="eastAsia"/>
              </w:rPr>
              <w:t>约610kg/</w:t>
            </w:r>
            <w:r>
              <w:rPr>
                <w:rFonts w:hint="eastAsia"/>
                <w:lang w:val="en-US" w:eastAsia="zh-CN"/>
              </w:rPr>
              <w:t>m³</w:t>
            </w:r>
            <w:r>
              <w:rPr>
                <w:rFonts w:hint="eastAsia"/>
              </w:rPr>
              <w:t>;相对密度(水=1)</w:t>
            </w:r>
            <w:r>
              <w:rPr>
                <w:rFonts w:hint="eastAsia"/>
                <w:lang w:eastAsia="zh-CN"/>
              </w:rPr>
              <w:t>；</w:t>
            </w:r>
            <w:r>
              <w:rPr>
                <w:rFonts w:hint="eastAsia"/>
              </w:rPr>
              <w:t>1.03</w:t>
            </w:r>
            <w:r>
              <w:rPr>
                <w:rFonts w:hint="eastAsia"/>
                <w:lang w:eastAsia="zh-CN"/>
              </w:rPr>
              <w:t>；</w:t>
            </w:r>
            <w:r>
              <w:rPr>
                <w:rFonts w:hint="eastAsia"/>
              </w:rPr>
              <w:t>在水中的溶解度</w:t>
            </w:r>
            <w:r>
              <w:rPr>
                <w:rFonts w:hint="eastAsia"/>
                <w:lang w:eastAsia="zh-CN"/>
              </w:rPr>
              <w:t>；</w:t>
            </w:r>
            <w:r>
              <w:rPr>
                <w:rFonts w:hint="eastAsia"/>
              </w:rPr>
              <w:t>不溶于水;在有机溶剂中的溶解度</w:t>
            </w:r>
            <w:r>
              <w:rPr>
                <w:rFonts w:hint="eastAsia"/>
                <w:lang w:eastAsia="zh-CN"/>
              </w:rPr>
              <w:t>；</w:t>
            </w:r>
            <w:r>
              <w:rPr>
                <w:rFonts w:hint="eastAsia"/>
              </w:rPr>
              <w:t>难溶于乙醇，可溶于苯、甲苯、二甲苯、苯乙烯、三氯甲烷等有机溶剂;自燃温度(C)</w:t>
            </w:r>
            <w:r>
              <w:rPr>
                <w:rFonts w:hint="eastAsia"/>
                <w:lang w:eastAsia="zh-CN"/>
              </w:rPr>
              <w:t>；</w:t>
            </w:r>
            <w:r>
              <w:rPr>
                <w:rFonts w:hint="eastAsia"/>
              </w:rPr>
              <w:t>戊烷的燃点 285℃(德国工业标准 DN51794)，聚苯乙希的燃点</w:t>
            </w:r>
            <w:r>
              <w:rPr>
                <w:rFonts w:hint="eastAsia"/>
                <w:lang w:eastAsia="zh-CN"/>
              </w:rPr>
              <w:t>；</w:t>
            </w:r>
            <w:r>
              <w:rPr>
                <w:rFonts w:hint="eastAsia"/>
              </w:rPr>
              <w:t>427℃(ASTM D2883</w:t>
            </w:r>
            <w:r>
              <w:rPr>
                <w:rFonts w:hint="eastAsia"/>
                <w:lang w:val="en-US" w:eastAsia="zh-CN"/>
              </w:rPr>
              <w:t>-</w:t>
            </w:r>
            <w:r>
              <w:rPr>
                <w:rFonts w:hint="eastAsia"/>
              </w:rPr>
              <w:t>95);分解温度(C)</w:t>
            </w:r>
            <w:r>
              <w:rPr>
                <w:rFonts w:hint="eastAsia"/>
                <w:lang w:eastAsia="zh-CN"/>
              </w:rPr>
              <w:t>；</w:t>
            </w:r>
            <w:r>
              <w:rPr>
                <w:rFonts w:hint="eastAsia"/>
              </w:rPr>
              <w:t>高温分解温度</w:t>
            </w:r>
            <w:r>
              <w:rPr>
                <w:rFonts w:hint="eastAsia"/>
                <w:lang w:eastAsia="zh-CN"/>
              </w:rPr>
              <w:t>；</w:t>
            </w:r>
            <w:r>
              <w:rPr>
                <w:rFonts w:hint="eastAsia"/>
              </w:rPr>
              <w:t>662-752F(350-400℃(ASTM E1591-00)，燃烧热量约17400BTU/磅(40500KJKg)(ASTM E1623-99)。</w:t>
            </w:r>
          </w:p>
          <w:p w14:paraId="69F44073">
            <w:pPr>
              <w:bidi w:val="0"/>
              <w:rPr>
                <w:rFonts w:hint="eastAsia"/>
              </w:rPr>
            </w:pPr>
            <w:r>
              <w:rPr>
                <w:rFonts w:hint="eastAsia"/>
              </w:rPr>
              <w:t>戊烷，化学式 C</w:t>
            </w:r>
            <w:r>
              <w:rPr>
                <w:rFonts w:hint="eastAsia"/>
                <w:lang w:val="en-US" w:eastAsia="zh-CN"/>
              </w:rPr>
              <w:t>5</w:t>
            </w:r>
            <w:r>
              <w:rPr>
                <w:rFonts w:hint="eastAsia"/>
              </w:rPr>
              <w:t>H</w:t>
            </w:r>
            <w:r>
              <w:rPr>
                <w:rFonts w:hint="eastAsia"/>
                <w:lang w:val="en-US" w:eastAsia="zh-CN"/>
              </w:rPr>
              <w:t>1</w:t>
            </w:r>
            <w:r>
              <w:rPr>
                <w:rFonts w:hint="eastAsia"/>
              </w:rPr>
              <w:t>2。熔点(℃)</w:t>
            </w:r>
            <w:r>
              <w:rPr>
                <w:rFonts w:hint="eastAsia"/>
                <w:lang w:eastAsia="zh-CN"/>
              </w:rPr>
              <w:t>；</w:t>
            </w:r>
            <w:r>
              <w:rPr>
                <w:rFonts w:hint="eastAsia"/>
              </w:rPr>
              <w:t>-129.8，沸点(℃)</w:t>
            </w:r>
            <w:r>
              <w:rPr>
                <w:rFonts w:hint="eastAsia"/>
                <w:lang w:eastAsia="zh-CN"/>
              </w:rPr>
              <w:t>；</w:t>
            </w:r>
            <w:r>
              <w:rPr>
                <w:rFonts w:hint="eastAsia"/>
              </w:rPr>
              <w:t>36.1，相对密度(水=1)</w:t>
            </w:r>
            <w:r>
              <w:rPr>
                <w:rFonts w:hint="eastAsia"/>
                <w:lang w:eastAsia="zh-CN"/>
              </w:rPr>
              <w:t>；</w:t>
            </w:r>
            <w:r>
              <w:rPr>
                <w:rFonts w:hint="eastAsia"/>
              </w:rPr>
              <w:t>0.626mg</w:t>
            </w:r>
            <w:r>
              <w:rPr>
                <w:rFonts w:hint="eastAsia"/>
                <w:lang w:val="en-US" w:eastAsia="zh-CN"/>
              </w:rPr>
              <w:t>/m³</w:t>
            </w:r>
            <w:r>
              <w:rPr>
                <w:rFonts w:hint="eastAsia"/>
              </w:rPr>
              <w:t>，相对蒸气密度(空气=1)</w:t>
            </w:r>
            <w:r>
              <w:rPr>
                <w:rFonts w:hint="eastAsia"/>
                <w:lang w:eastAsia="zh-CN"/>
              </w:rPr>
              <w:t>；</w:t>
            </w:r>
            <w:r>
              <w:rPr>
                <w:rFonts w:hint="eastAsia"/>
              </w:rPr>
              <w:t>2.48，饱和蒸气压(kPa)</w:t>
            </w:r>
            <w:r>
              <w:rPr>
                <w:rFonts w:hint="eastAsia"/>
                <w:lang w:eastAsia="zh-CN"/>
              </w:rPr>
              <w:t>；</w:t>
            </w:r>
            <w:r>
              <w:rPr>
                <w:rFonts w:hint="eastAsia"/>
              </w:rPr>
              <w:t>53.32(18.5℃)，燃烧热(kJ/mol)</w:t>
            </w:r>
            <w:r>
              <w:rPr>
                <w:rFonts w:hint="eastAsia"/>
                <w:lang w:eastAsia="zh-CN"/>
              </w:rPr>
              <w:t>；</w:t>
            </w:r>
            <w:r>
              <w:rPr>
                <w:rFonts w:hint="eastAsia"/>
              </w:rPr>
              <w:t>3506.1，临界温度(℃)</w:t>
            </w:r>
            <w:r>
              <w:rPr>
                <w:rFonts w:hint="eastAsia"/>
                <w:lang w:eastAsia="zh-CN"/>
              </w:rPr>
              <w:t>；</w:t>
            </w:r>
            <w:r>
              <w:rPr>
                <w:rFonts w:hint="eastAsia"/>
              </w:rPr>
              <w:t>196.4，临界压力(MPa)</w:t>
            </w:r>
            <w:r>
              <w:rPr>
                <w:rFonts w:hint="eastAsia"/>
                <w:lang w:eastAsia="zh-CN"/>
              </w:rPr>
              <w:t>；</w:t>
            </w:r>
            <w:r>
              <w:rPr>
                <w:rFonts w:hint="eastAsia"/>
              </w:rPr>
              <w:t>3.37，闪点(℃)</w:t>
            </w:r>
            <w:r>
              <w:rPr>
                <w:rFonts w:hint="eastAsia"/>
                <w:lang w:eastAsia="zh-CN"/>
              </w:rPr>
              <w:t>；</w:t>
            </w:r>
            <w:r>
              <w:rPr>
                <w:rFonts w:hint="eastAsia"/>
              </w:rPr>
              <w:t>-40，引燃温度(℃)</w:t>
            </w:r>
            <w:r>
              <w:rPr>
                <w:rFonts w:hint="eastAsia"/>
                <w:lang w:eastAsia="zh-CN"/>
              </w:rPr>
              <w:t>；</w:t>
            </w:r>
            <w:r>
              <w:rPr>
                <w:rFonts w:hint="eastAsia"/>
              </w:rPr>
              <w:t>260，爆炸上限%(V/V)</w:t>
            </w:r>
            <w:r>
              <w:rPr>
                <w:rFonts w:hint="eastAsia"/>
                <w:lang w:eastAsia="zh-CN"/>
              </w:rPr>
              <w:t>；</w:t>
            </w:r>
            <w:r>
              <w:rPr>
                <w:rFonts w:hint="eastAsia"/>
              </w:rPr>
              <w:t>9.8，爆炸下限%(V/)</w:t>
            </w:r>
            <w:r>
              <w:rPr>
                <w:rFonts w:hint="eastAsia"/>
                <w:lang w:eastAsia="zh-CN"/>
              </w:rPr>
              <w:t>；</w:t>
            </w:r>
            <w:r>
              <w:rPr>
                <w:rFonts w:hint="eastAsia"/>
              </w:rPr>
              <w:t>1.7，溶解性</w:t>
            </w:r>
            <w:r>
              <w:rPr>
                <w:rFonts w:hint="eastAsia"/>
                <w:lang w:eastAsia="zh-CN"/>
              </w:rPr>
              <w:t>；</w:t>
            </w:r>
            <w:r>
              <w:rPr>
                <w:rFonts w:hint="eastAsia"/>
              </w:rPr>
              <w:t>微溶于水，溶于乙醇、乙醚、丙酮、苯、氯仿等多数有机溶剂。主要用途</w:t>
            </w:r>
            <w:r>
              <w:rPr>
                <w:rFonts w:hint="eastAsia"/>
                <w:lang w:eastAsia="zh-CN"/>
              </w:rPr>
              <w:t>；</w:t>
            </w:r>
            <w:r>
              <w:rPr>
                <w:rFonts w:hint="eastAsia"/>
              </w:rPr>
              <w:t>用作溶剂，制造人造冰、麻醉剂，合成戊醇、异戊烷等。健康危害</w:t>
            </w:r>
            <w:r>
              <w:rPr>
                <w:rFonts w:hint="eastAsia"/>
                <w:lang w:eastAsia="zh-CN"/>
              </w:rPr>
              <w:t>；</w:t>
            </w:r>
            <w:r>
              <w:rPr>
                <w:rFonts w:hint="eastAsia"/>
              </w:rPr>
              <w:t>高浓度可引起眼与呼吸道粘膜轻度刺激症状和麻醉状态，甚至意识丧失。慢性作用为眼和呼吸道的轻度刺激。可引起轻度皮炎。</w:t>
            </w:r>
          </w:p>
          <w:p w14:paraId="07092413">
            <w:pPr>
              <w:numPr>
                <w:ilvl w:val="0"/>
                <w:numId w:val="3"/>
              </w:numPr>
              <w:bidi w:val="0"/>
              <w:rPr>
                <w:rFonts w:hint="eastAsia"/>
                <w:b/>
                <w:bCs/>
                <w:lang w:val="en-US" w:eastAsia="zh-CN"/>
              </w:rPr>
            </w:pPr>
            <w:r>
              <w:rPr>
                <w:rFonts w:hint="eastAsia"/>
                <w:b/>
                <w:bCs/>
                <w:lang w:val="en-US" w:eastAsia="zh-CN"/>
              </w:rPr>
              <w:t>发泡聚丙烯（EPP）</w:t>
            </w:r>
          </w:p>
          <w:p w14:paraId="0CC528EA">
            <w:pPr>
              <w:bidi w:val="0"/>
              <w:rPr>
                <w:rFonts w:hint="eastAsia"/>
                <w:lang w:val="en-US" w:eastAsia="zh-CN"/>
              </w:rPr>
            </w:pPr>
            <w:r>
              <w:rPr>
                <w:rFonts w:hint="eastAsia"/>
                <w:lang w:val="en-US" w:eastAsia="zh-CN"/>
              </w:rPr>
              <w:t>主要成分：聚丙烯(CAS NO.；9010-79-1)。呈黑色的颗粒状，直径大小一般在</w:t>
            </w:r>
            <w:r>
              <w:rPr>
                <w:rFonts w:ascii="Arial" w:hAnsi="Arial" w:eastAsia="宋体" w:cs="Arial"/>
                <w:i w:val="0"/>
                <w:iCs w:val="0"/>
                <w:caps w:val="0"/>
                <w:color w:val="333333"/>
                <w:spacing w:val="0"/>
                <w:sz w:val="19"/>
                <w:szCs w:val="19"/>
                <w:shd w:val="clear" w:fill="FFFFFF"/>
              </w:rPr>
              <w:t>Φ</w:t>
            </w:r>
            <w:r>
              <w:rPr>
                <w:rFonts w:hint="eastAsia"/>
                <w:lang w:val="en-US" w:eastAsia="zh-CN"/>
              </w:rPr>
              <w:t>2~7mm 之间，EPP 颗粒的外壁是闭合的，内部充满了气体，其固相成分通常只占总重量的 2%~10%，其余部分均为气体。其比重轻，密度一般为17~100kg/m³;耐温能力强，通常可承受-40℃~110℃的温度;缓冲性能好，即使在垫层不厚的情况下也能起到很好的缓冲作用；还可以100%的回收利用，不含增塑剂或发泡剂等其它任何不利于再循环的化学物质，加热后即可消解，燃烧后为二氧化碳和水。</w:t>
            </w:r>
          </w:p>
          <w:p w14:paraId="0FF96522">
            <w:pPr>
              <w:pStyle w:val="74"/>
              <w:bidi w:val="0"/>
              <w:rPr>
                <w:rFonts w:hint="eastAsia"/>
                <w:highlight w:val="none"/>
                <w:lang w:val="en-US" w:eastAsia="zh-CN"/>
              </w:rPr>
            </w:pPr>
            <w:r>
              <w:rPr>
                <w:rFonts w:hint="eastAsia"/>
                <w:highlight w:val="none"/>
                <w:lang w:val="en-US" w:eastAsia="zh-CN"/>
              </w:rPr>
              <w:t>表2-7 物料平衡表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2343"/>
              <w:gridCol w:w="1434"/>
              <w:gridCol w:w="1385"/>
              <w:gridCol w:w="1043"/>
              <w:gridCol w:w="1479"/>
            </w:tblGrid>
            <w:tr w14:paraId="2687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restart"/>
                  <w:vAlign w:val="center"/>
                </w:tcPr>
                <w:p w14:paraId="00A17F71">
                  <w:pPr>
                    <w:pStyle w:val="47"/>
                    <w:bidi w:val="0"/>
                    <w:jc w:val="center"/>
                    <w:rPr>
                      <w:rFonts w:hint="default"/>
                      <w:highlight w:val="none"/>
                      <w:lang w:val="en-US" w:eastAsia="zh-CN"/>
                    </w:rPr>
                  </w:pPr>
                  <w:r>
                    <w:rPr>
                      <w:rFonts w:hint="eastAsia"/>
                      <w:highlight w:val="none"/>
                      <w:lang w:val="en-US" w:eastAsia="zh-CN"/>
                    </w:rPr>
                    <w:t>序号</w:t>
                  </w:r>
                </w:p>
              </w:tc>
              <w:tc>
                <w:tcPr>
                  <w:tcW w:w="3885" w:type="dxa"/>
                  <w:gridSpan w:val="2"/>
                  <w:vAlign w:val="center"/>
                </w:tcPr>
                <w:p w14:paraId="6B408553">
                  <w:pPr>
                    <w:pStyle w:val="47"/>
                    <w:bidi w:val="0"/>
                    <w:jc w:val="center"/>
                    <w:rPr>
                      <w:rFonts w:hint="default"/>
                      <w:highlight w:val="none"/>
                      <w:lang w:val="en-US" w:eastAsia="zh-CN"/>
                    </w:rPr>
                  </w:pPr>
                  <w:r>
                    <w:rPr>
                      <w:rFonts w:hint="eastAsia"/>
                      <w:highlight w:val="none"/>
                      <w:lang w:val="en-US" w:eastAsia="zh-CN"/>
                    </w:rPr>
                    <w:t>投入</w:t>
                  </w:r>
                </w:p>
              </w:tc>
              <w:tc>
                <w:tcPr>
                  <w:tcW w:w="4006" w:type="dxa"/>
                  <w:gridSpan w:val="3"/>
                  <w:vAlign w:val="center"/>
                </w:tcPr>
                <w:p w14:paraId="5DD42E49">
                  <w:pPr>
                    <w:pStyle w:val="47"/>
                    <w:bidi w:val="0"/>
                    <w:jc w:val="center"/>
                    <w:rPr>
                      <w:rFonts w:hint="default"/>
                      <w:highlight w:val="none"/>
                      <w:lang w:val="en-US" w:eastAsia="zh-CN"/>
                    </w:rPr>
                  </w:pPr>
                  <w:r>
                    <w:rPr>
                      <w:rFonts w:hint="eastAsia"/>
                      <w:highlight w:val="none"/>
                      <w:lang w:val="en-US" w:eastAsia="zh-CN"/>
                    </w:rPr>
                    <w:t>产出</w:t>
                  </w:r>
                </w:p>
              </w:tc>
            </w:tr>
            <w:tr w14:paraId="7AEE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continue"/>
                  <w:vAlign w:val="center"/>
                </w:tcPr>
                <w:p w14:paraId="5EECECF6">
                  <w:pPr>
                    <w:pStyle w:val="47"/>
                    <w:bidi w:val="0"/>
                    <w:jc w:val="center"/>
                    <w:rPr>
                      <w:rFonts w:hint="default"/>
                      <w:highlight w:val="none"/>
                      <w:lang w:val="en-US" w:eastAsia="zh-CN"/>
                    </w:rPr>
                  </w:pPr>
                </w:p>
              </w:tc>
              <w:tc>
                <w:tcPr>
                  <w:tcW w:w="2415" w:type="dxa"/>
                  <w:vAlign w:val="center"/>
                </w:tcPr>
                <w:p w14:paraId="0BEABC50">
                  <w:pPr>
                    <w:pStyle w:val="47"/>
                    <w:bidi w:val="0"/>
                    <w:jc w:val="center"/>
                    <w:rPr>
                      <w:rFonts w:hint="default"/>
                      <w:highlight w:val="none"/>
                      <w:lang w:val="en-US" w:eastAsia="zh-CN"/>
                    </w:rPr>
                  </w:pPr>
                  <w:r>
                    <w:rPr>
                      <w:rFonts w:hint="eastAsia"/>
                      <w:highlight w:val="none"/>
                      <w:lang w:val="en-US" w:eastAsia="zh-CN"/>
                    </w:rPr>
                    <w:t>物料名称</w:t>
                  </w:r>
                </w:p>
              </w:tc>
              <w:tc>
                <w:tcPr>
                  <w:tcW w:w="1470" w:type="dxa"/>
                  <w:vAlign w:val="center"/>
                </w:tcPr>
                <w:p w14:paraId="0D81C168">
                  <w:pPr>
                    <w:pStyle w:val="47"/>
                    <w:bidi w:val="0"/>
                    <w:jc w:val="center"/>
                    <w:rPr>
                      <w:rFonts w:hint="default"/>
                      <w:highlight w:val="none"/>
                      <w:lang w:val="en-US" w:eastAsia="zh-CN"/>
                    </w:rPr>
                  </w:pPr>
                  <w:r>
                    <w:rPr>
                      <w:rFonts w:hint="eastAsia"/>
                      <w:highlight w:val="none"/>
                      <w:lang w:val="en-US" w:eastAsia="zh-CN"/>
                    </w:rPr>
                    <w:t>投入量（t/a）</w:t>
                  </w:r>
                </w:p>
              </w:tc>
              <w:tc>
                <w:tcPr>
                  <w:tcW w:w="2490" w:type="dxa"/>
                  <w:gridSpan w:val="2"/>
                  <w:vAlign w:val="center"/>
                </w:tcPr>
                <w:p w14:paraId="4CC40407">
                  <w:pPr>
                    <w:pStyle w:val="47"/>
                    <w:bidi w:val="0"/>
                    <w:jc w:val="center"/>
                    <w:rPr>
                      <w:rFonts w:hint="default"/>
                      <w:highlight w:val="none"/>
                      <w:lang w:val="en-US" w:eastAsia="zh-CN"/>
                    </w:rPr>
                  </w:pPr>
                  <w:r>
                    <w:rPr>
                      <w:rFonts w:hint="eastAsia"/>
                      <w:highlight w:val="none"/>
                      <w:lang w:val="en-US" w:eastAsia="zh-CN"/>
                    </w:rPr>
                    <w:t>去向</w:t>
                  </w:r>
                </w:p>
              </w:tc>
              <w:tc>
                <w:tcPr>
                  <w:tcW w:w="1516" w:type="dxa"/>
                  <w:vAlign w:val="center"/>
                </w:tcPr>
                <w:p w14:paraId="6F0094DE">
                  <w:pPr>
                    <w:pStyle w:val="47"/>
                    <w:bidi w:val="0"/>
                    <w:jc w:val="center"/>
                    <w:rPr>
                      <w:rFonts w:hint="default"/>
                      <w:highlight w:val="none"/>
                      <w:lang w:val="en-US" w:eastAsia="zh-CN"/>
                    </w:rPr>
                  </w:pPr>
                  <w:r>
                    <w:rPr>
                      <w:rFonts w:hint="eastAsia"/>
                      <w:highlight w:val="none"/>
                      <w:lang w:val="en-US" w:eastAsia="zh-CN"/>
                    </w:rPr>
                    <w:t>产出量（t/a）</w:t>
                  </w:r>
                </w:p>
              </w:tc>
            </w:tr>
            <w:tr w14:paraId="7FCA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6" w:type="dxa"/>
                  <w:vAlign w:val="center"/>
                </w:tcPr>
                <w:p w14:paraId="024C24A0">
                  <w:pPr>
                    <w:pStyle w:val="47"/>
                    <w:bidi w:val="0"/>
                    <w:jc w:val="center"/>
                    <w:rPr>
                      <w:rFonts w:hint="default"/>
                      <w:highlight w:val="none"/>
                      <w:lang w:val="en-US" w:eastAsia="zh-CN"/>
                    </w:rPr>
                  </w:pPr>
                  <w:r>
                    <w:rPr>
                      <w:rFonts w:hint="eastAsia"/>
                      <w:highlight w:val="none"/>
                      <w:lang w:val="en-US" w:eastAsia="zh-CN"/>
                    </w:rPr>
                    <w:t>1</w:t>
                  </w:r>
                </w:p>
              </w:tc>
              <w:tc>
                <w:tcPr>
                  <w:tcW w:w="2415" w:type="dxa"/>
                  <w:vAlign w:val="center"/>
                </w:tcPr>
                <w:p w14:paraId="2822B7C5">
                  <w:pPr>
                    <w:pStyle w:val="47"/>
                    <w:bidi w:val="0"/>
                    <w:jc w:val="center"/>
                    <w:rPr>
                      <w:rFonts w:hint="default"/>
                      <w:highlight w:val="none"/>
                      <w:lang w:val="en-US" w:eastAsia="zh-CN"/>
                    </w:rPr>
                  </w:pPr>
                  <w:r>
                    <w:rPr>
                      <w:rFonts w:hint="eastAsia"/>
                      <w:highlight w:val="none"/>
                    </w:rPr>
                    <w:t>可发性聚苯乙烯（EPS）</w:t>
                  </w:r>
                </w:p>
              </w:tc>
              <w:tc>
                <w:tcPr>
                  <w:tcW w:w="1470" w:type="dxa"/>
                  <w:vAlign w:val="center"/>
                </w:tcPr>
                <w:p w14:paraId="4842E612">
                  <w:pPr>
                    <w:pStyle w:val="47"/>
                    <w:bidi w:val="0"/>
                    <w:jc w:val="center"/>
                    <w:rPr>
                      <w:rFonts w:hint="default"/>
                      <w:highlight w:val="none"/>
                      <w:lang w:val="en-US" w:eastAsia="zh-CN"/>
                    </w:rPr>
                  </w:pPr>
                  <w:r>
                    <w:rPr>
                      <w:rFonts w:hint="eastAsia"/>
                      <w:highlight w:val="none"/>
                      <w:lang w:val="en-US" w:eastAsia="zh-CN"/>
                    </w:rPr>
                    <w:t>6064.082</w:t>
                  </w:r>
                </w:p>
              </w:tc>
              <w:tc>
                <w:tcPr>
                  <w:tcW w:w="2490" w:type="dxa"/>
                  <w:gridSpan w:val="2"/>
                  <w:vAlign w:val="center"/>
                </w:tcPr>
                <w:p w14:paraId="51F527C8">
                  <w:pPr>
                    <w:pStyle w:val="47"/>
                    <w:bidi w:val="0"/>
                    <w:jc w:val="center"/>
                    <w:rPr>
                      <w:rFonts w:hint="default"/>
                      <w:highlight w:val="none"/>
                      <w:lang w:val="en-US" w:eastAsia="zh-CN"/>
                    </w:rPr>
                  </w:pPr>
                  <w:r>
                    <w:rPr>
                      <w:rFonts w:hint="eastAsia"/>
                      <w:highlight w:val="none"/>
                      <w:lang w:val="en-US" w:eastAsia="zh-CN"/>
                    </w:rPr>
                    <w:t>EPS包装材料</w:t>
                  </w:r>
                </w:p>
              </w:tc>
              <w:tc>
                <w:tcPr>
                  <w:tcW w:w="1516" w:type="dxa"/>
                  <w:vAlign w:val="center"/>
                </w:tcPr>
                <w:p w14:paraId="259E0B08">
                  <w:pPr>
                    <w:pStyle w:val="47"/>
                    <w:bidi w:val="0"/>
                    <w:jc w:val="center"/>
                    <w:rPr>
                      <w:rFonts w:hint="default"/>
                      <w:highlight w:val="none"/>
                      <w:lang w:val="en-US" w:eastAsia="zh-CN"/>
                    </w:rPr>
                  </w:pPr>
                  <w:r>
                    <w:rPr>
                      <w:rFonts w:hint="eastAsia"/>
                      <w:highlight w:val="none"/>
                      <w:lang w:val="en-US" w:eastAsia="zh-CN"/>
                    </w:rPr>
                    <w:t>6000</w:t>
                  </w:r>
                </w:p>
              </w:tc>
            </w:tr>
            <w:tr w14:paraId="06563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716" w:type="dxa"/>
                  <w:vAlign w:val="center"/>
                </w:tcPr>
                <w:p w14:paraId="61E419FB">
                  <w:pPr>
                    <w:pStyle w:val="47"/>
                    <w:bidi w:val="0"/>
                    <w:jc w:val="center"/>
                    <w:rPr>
                      <w:rFonts w:hint="default"/>
                      <w:highlight w:val="none"/>
                      <w:lang w:val="en-US" w:eastAsia="zh-CN"/>
                    </w:rPr>
                  </w:pPr>
                  <w:r>
                    <w:rPr>
                      <w:rFonts w:hint="eastAsia"/>
                      <w:highlight w:val="none"/>
                      <w:lang w:val="en-US" w:eastAsia="zh-CN"/>
                    </w:rPr>
                    <w:t>2</w:t>
                  </w:r>
                </w:p>
              </w:tc>
              <w:tc>
                <w:tcPr>
                  <w:tcW w:w="2415" w:type="dxa"/>
                  <w:vAlign w:val="center"/>
                </w:tcPr>
                <w:p w14:paraId="1CC2215F">
                  <w:pPr>
                    <w:pStyle w:val="47"/>
                    <w:bidi w:val="0"/>
                    <w:jc w:val="center"/>
                    <w:rPr>
                      <w:rFonts w:hint="default"/>
                      <w:highlight w:val="none"/>
                      <w:lang w:val="en-US" w:eastAsia="zh-CN"/>
                    </w:rPr>
                  </w:pPr>
                  <w:r>
                    <w:rPr>
                      <w:rFonts w:hint="eastAsia"/>
                      <w:highlight w:val="none"/>
                      <w:lang w:val="en-US" w:eastAsia="zh-CN"/>
                    </w:rPr>
                    <w:t>发泡聚丙烯（EPP）</w:t>
                  </w:r>
                </w:p>
              </w:tc>
              <w:tc>
                <w:tcPr>
                  <w:tcW w:w="1470" w:type="dxa"/>
                  <w:vAlign w:val="center"/>
                </w:tcPr>
                <w:p w14:paraId="12662C71">
                  <w:pPr>
                    <w:pStyle w:val="47"/>
                    <w:bidi w:val="0"/>
                    <w:jc w:val="center"/>
                    <w:rPr>
                      <w:rFonts w:hint="default"/>
                      <w:highlight w:val="none"/>
                      <w:lang w:val="en-US" w:eastAsia="zh-CN"/>
                    </w:rPr>
                  </w:pPr>
                  <w:r>
                    <w:rPr>
                      <w:rFonts w:hint="eastAsia"/>
                      <w:highlight w:val="none"/>
                      <w:lang w:val="en-US" w:eastAsia="zh-CN"/>
                    </w:rPr>
                    <w:t>1012.7</w:t>
                  </w:r>
                </w:p>
              </w:tc>
              <w:tc>
                <w:tcPr>
                  <w:tcW w:w="2490" w:type="dxa"/>
                  <w:gridSpan w:val="2"/>
                  <w:vAlign w:val="center"/>
                </w:tcPr>
                <w:p w14:paraId="0336977F">
                  <w:pPr>
                    <w:pStyle w:val="47"/>
                    <w:bidi w:val="0"/>
                    <w:jc w:val="center"/>
                    <w:rPr>
                      <w:rFonts w:hint="default"/>
                      <w:highlight w:val="none"/>
                      <w:lang w:val="en-US" w:eastAsia="zh-CN"/>
                    </w:rPr>
                  </w:pPr>
                  <w:r>
                    <w:rPr>
                      <w:rFonts w:hint="eastAsia"/>
                      <w:highlight w:val="none"/>
                      <w:lang w:val="en-US" w:eastAsia="zh-CN"/>
                    </w:rPr>
                    <w:t>EPP汽车零配件</w:t>
                  </w:r>
                </w:p>
              </w:tc>
              <w:tc>
                <w:tcPr>
                  <w:tcW w:w="1516" w:type="dxa"/>
                  <w:vAlign w:val="center"/>
                </w:tcPr>
                <w:p w14:paraId="79D82126">
                  <w:pPr>
                    <w:pStyle w:val="47"/>
                    <w:bidi w:val="0"/>
                    <w:jc w:val="center"/>
                    <w:rPr>
                      <w:rFonts w:hint="default"/>
                      <w:highlight w:val="none"/>
                      <w:lang w:val="en-US" w:eastAsia="zh-CN"/>
                    </w:rPr>
                  </w:pPr>
                  <w:r>
                    <w:rPr>
                      <w:rFonts w:hint="eastAsia"/>
                      <w:highlight w:val="none"/>
                      <w:lang w:val="en-US" w:eastAsia="zh-CN"/>
                    </w:rPr>
                    <w:t>1000</w:t>
                  </w:r>
                </w:p>
              </w:tc>
            </w:tr>
            <w:tr w14:paraId="6141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14:paraId="5D662CEA">
                  <w:pPr>
                    <w:pStyle w:val="47"/>
                    <w:bidi w:val="0"/>
                    <w:jc w:val="center"/>
                    <w:rPr>
                      <w:rFonts w:hint="eastAsia"/>
                      <w:highlight w:val="none"/>
                      <w:lang w:val="en-US" w:eastAsia="zh-CN"/>
                    </w:rPr>
                  </w:pPr>
                </w:p>
              </w:tc>
              <w:tc>
                <w:tcPr>
                  <w:tcW w:w="2415" w:type="dxa"/>
                  <w:vAlign w:val="center"/>
                </w:tcPr>
                <w:p w14:paraId="4A9E787A">
                  <w:pPr>
                    <w:pStyle w:val="47"/>
                    <w:bidi w:val="0"/>
                    <w:jc w:val="center"/>
                    <w:rPr>
                      <w:rFonts w:hint="default"/>
                      <w:highlight w:val="none"/>
                      <w:lang w:val="en-US" w:eastAsia="zh-CN"/>
                    </w:rPr>
                  </w:pPr>
                </w:p>
              </w:tc>
              <w:tc>
                <w:tcPr>
                  <w:tcW w:w="1470" w:type="dxa"/>
                  <w:vAlign w:val="center"/>
                </w:tcPr>
                <w:p w14:paraId="0FCB08D1">
                  <w:pPr>
                    <w:pStyle w:val="47"/>
                    <w:bidi w:val="0"/>
                    <w:jc w:val="center"/>
                    <w:rPr>
                      <w:rFonts w:hint="default"/>
                      <w:highlight w:val="none"/>
                      <w:lang w:val="en-US" w:eastAsia="zh-CN"/>
                    </w:rPr>
                  </w:pPr>
                </w:p>
              </w:tc>
              <w:tc>
                <w:tcPr>
                  <w:tcW w:w="1423" w:type="dxa"/>
                  <w:vMerge w:val="restart"/>
                  <w:vAlign w:val="center"/>
                </w:tcPr>
                <w:p w14:paraId="74520F81">
                  <w:pPr>
                    <w:pStyle w:val="47"/>
                    <w:bidi w:val="0"/>
                    <w:jc w:val="center"/>
                    <w:rPr>
                      <w:rFonts w:hint="default"/>
                      <w:highlight w:val="none"/>
                      <w:lang w:val="en-US" w:eastAsia="zh-CN"/>
                    </w:rPr>
                  </w:pPr>
                  <w:r>
                    <w:rPr>
                      <w:rFonts w:hint="eastAsia"/>
                      <w:highlight w:val="none"/>
                      <w:lang w:val="en-US" w:eastAsia="zh-CN"/>
                    </w:rPr>
                    <w:t>非甲烷总烃</w:t>
                  </w:r>
                </w:p>
              </w:tc>
              <w:tc>
                <w:tcPr>
                  <w:tcW w:w="1067" w:type="dxa"/>
                  <w:vAlign w:val="center"/>
                </w:tcPr>
                <w:p w14:paraId="67298C00">
                  <w:pPr>
                    <w:pStyle w:val="47"/>
                    <w:bidi w:val="0"/>
                    <w:jc w:val="center"/>
                    <w:rPr>
                      <w:rFonts w:hint="default"/>
                      <w:highlight w:val="none"/>
                      <w:lang w:val="en-US" w:eastAsia="zh-CN"/>
                    </w:rPr>
                  </w:pPr>
                  <w:r>
                    <w:rPr>
                      <w:rFonts w:hint="eastAsia"/>
                      <w:highlight w:val="none"/>
                      <w:lang w:val="en-US" w:eastAsia="zh-CN"/>
                    </w:rPr>
                    <w:t>排放量</w:t>
                  </w:r>
                </w:p>
              </w:tc>
              <w:tc>
                <w:tcPr>
                  <w:tcW w:w="1516" w:type="dxa"/>
                  <w:vAlign w:val="center"/>
                </w:tcPr>
                <w:p w14:paraId="1916D6BC">
                  <w:pPr>
                    <w:pStyle w:val="47"/>
                    <w:bidi w:val="0"/>
                    <w:jc w:val="center"/>
                    <w:rPr>
                      <w:rFonts w:hint="default"/>
                      <w:highlight w:val="none"/>
                      <w:lang w:val="en-US" w:eastAsia="zh-CN"/>
                    </w:rPr>
                  </w:pPr>
                  <w:r>
                    <w:rPr>
                      <w:rFonts w:hint="eastAsia"/>
                      <w:highlight w:val="none"/>
                      <w:lang w:val="en-US" w:eastAsia="zh-CN"/>
                    </w:rPr>
                    <w:t>1.132</w:t>
                  </w:r>
                </w:p>
              </w:tc>
            </w:tr>
            <w:tr w14:paraId="6B602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14:paraId="6FCA72AA">
                  <w:pPr>
                    <w:pStyle w:val="47"/>
                    <w:bidi w:val="0"/>
                    <w:jc w:val="center"/>
                    <w:rPr>
                      <w:rFonts w:hint="eastAsia"/>
                      <w:highlight w:val="none"/>
                      <w:lang w:val="en-US" w:eastAsia="zh-CN"/>
                    </w:rPr>
                  </w:pPr>
                </w:p>
              </w:tc>
              <w:tc>
                <w:tcPr>
                  <w:tcW w:w="2415" w:type="dxa"/>
                  <w:vAlign w:val="center"/>
                </w:tcPr>
                <w:p w14:paraId="21F0A6CD">
                  <w:pPr>
                    <w:pStyle w:val="47"/>
                    <w:bidi w:val="0"/>
                    <w:jc w:val="center"/>
                    <w:rPr>
                      <w:rFonts w:hint="default"/>
                      <w:highlight w:val="none"/>
                      <w:lang w:val="en-US" w:eastAsia="zh-CN"/>
                    </w:rPr>
                  </w:pPr>
                </w:p>
              </w:tc>
              <w:tc>
                <w:tcPr>
                  <w:tcW w:w="1470" w:type="dxa"/>
                  <w:vAlign w:val="center"/>
                </w:tcPr>
                <w:p w14:paraId="12F28101">
                  <w:pPr>
                    <w:pStyle w:val="47"/>
                    <w:bidi w:val="0"/>
                    <w:jc w:val="center"/>
                    <w:rPr>
                      <w:rFonts w:hint="default"/>
                      <w:highlight w:val="none"/>
                      <w:lang w:val="en-US" w:eastAsia="zh-CN"/>
                    </w:rPr>
                  </w:pPr>
                </w:p>
              </w:tc>
              <w:tc>
                <w:tcPr>
                  <w:tcW w:w="1423" w:type="dxa"/>
                  <w:vMerge w:val="continue"/>
                  <w:vAlign w:val="center"/>
                </w:tcPr>
                <w:p w14:paraId="6C1EC095">
                  <w:pPr>
                    <w:pStyle w:val="47"/>
                    <w:bidi w:val="0"/>
                    <w:jc w:val="center"/>
                    <w:rPr>
                      <w:rFonts w:hint="eastAsia"/>
                      <w:highlight w:val="none"/>
                      <w:lang w:val="en-US" w:eastAsia="zh-CN"/>
                    </w:rPr>
                  </w:pPr>
                </w:p>
              </w:tc>
              <w:tc>
                <w:tcPr>
                  <w:tcW w:w="1067" w:type="dxa"/>
                  <w:vAlign w:val="center"/>
                </w:tcPr>
                <w:p w14:paraId="48CE67F9">
                  <w:pPr>
                    <w:pStyle w:val="47"/>
                    <w:bidi w:val="0"/>
                    <w:jc w:val="center"/>
                    <w:rPr>
                      <w:rFonts w:hint="default"/>
                      <w:highlight w:val="none"/>
                      <w:lang w:val="en-US" w:eastAsia="zh-CN"/>
                    </w:rPr>
                  </w:pPr>
                  <w:r>
                    <w:rPr>
                      <w:rFonts w:hint="eastAsia"/>
                      <w:highlight w:val="none"/>
                      <w:lang w:val="en-US" w:eastAsia="zh-CN"/>
                    </w:rPr>
                    <w:t>处理量</w:t>
                  </w:r>
                </w:p>
              </w:tc>
              <w:tc>
                <w:tcPr>
                  <w:tcW w:w="1516" w:type="dxa"/>
                  <w:vAlign w:val="center"/>
                </w:tcPr>
                <w:p w14:paraId="1825DB57">
                  <w:pPr>
                    <w:pStyle w:val="47"/>
                    <w:bidi w:val="0"/>
                    <w:jc w:val="center"/>
                    <w:rPr>
                      <w:rFonts w:hint="default"/>
                      <w:highlight w:val="none"/>
                      <w:lang w:val="en-US" w:eastAsia="zh-CN"/>
                    </w:rPr>
                  </w:pPr>
                  <w:r>
                    <w:rPr>
                      <w:rFonts w:hint="eastAsia"/>
                      <w:highlight w:val="none"/>
                      <w:lang w:val="en-US" w:eastAsia="zh-CN"/>
                    </w:rPr>
                    <w:t>5.65</w:t>
                  </w:r>
                </w:p>
              </w:tc>
            </w:tr>
            <w:tr w14:paraId="7D88A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14:paraId="3449315C">
                  <w:pPr>
                    <w:pStyle w:val="47"/>
                    <w:bidi w:val="0"/>
                    <w:jc w:val="center"/>
                    <w:rPr>
                      <w:rFonts w:hint="eastAsia"/>
                      <w:highlight w:val="none"/>
                      <w:lang w:val="en-US" w:eastAsia="zh-CN"/>
                    </w:rPr>
                  </w:pPr>
                </w:p>
              </w:tc>
              <w:tc>
                <w:tcPr>
                  <w:tcW w:w="2415" w:type="dxa"/>
                  <w:vAlign w:val="center"/>
                </w:tcPr>
                <w:p w14:paraId="165F6331">
                  <w:pPr>
                    <w:pStyle w:val="47"/>
                    <w:bidi w:val="0"/>
                    <w:jc w:val="center"/>
                    <w:rPr>
                      <w:rFonts w:hint="default"/>
                      <w:highlight w:val="none"/>
                      <w:lang w:val="en-US" w:eastAsia="zh-CN"/>
                    </w:rPr>
                  </w:pPr>
                </w:p>
              </w:tc>
              <w:tc>
                <w:tcPr>
                  <w:tcW w:w="1470" w:type="dxa"/>
                  <w:vAlign w:val="center"/>
                </w:tcPr>
                <w:p w14:paraId="62167716">
                  <w:pPr>
                    <w:pStyle w:val="47"/>
                    <w:bidi w:val="0"/>
                    <w:jc w:val="center"/>
                    <w:rPr>
                      <w:rFonts w:hint="default"/>
                      <w:highlight w:val="none"/>
                      <w:lang w:val="en-US" w:eastAsia="zh-CN"/>
                    </w:rPr>
                  </w:pPr>
                </w:p>
              </w:tc>
              <w:tc>
                <w:tcPr>
                  <w:tcW w:w="2490" w:type="dxa"/>
                  <w:gridSpan w:val="2"/>
                  <w:vAlign w:val="center"/>
                </w:tcPr>
                <w:p w14:paraId="143040A3">
                  <w:pPr>
                    <w:pStyle w:val="47"/>
                    <w:bidi w:val="0"/>
                    <w:jc w:val="center"/>
                    <w:rPr>
                      <w:rFonts w:hint="default"/>
                      <w:highlight w:val="none"/>
                      <w:lang w:val="en-US" w:eastAsia="zh-CN"/>
                    </w:rPr>
                  </w:pPr>
                  <w:r>
                    <w:rPr>
                      <w:rFonts w:hint="eastAsia"/>
                      <w:highlight w:val="none"/>
                      <w:lang w:val="en-US" w:eastAsia="zh-CN"/>
                    </w:rPr>
                    <w:t>不合格品</w:t>
                  </w:r>
                </w:p>
              </w:tc>
              <w:tc>
                <w:tcPr>
                  <w:tcW w:w="1516" w:type="dxa"/>
                  <w:vAlign w:val="center"/>
                </w:tcPr>
                <w:p w14:paraId="06EBCD58">
                  <w:pPr>
                    <w:pStyle w:val="47"/>
                    <w:bidi w:val="0"/>
                    <w:jc w:val="center"/>
                    <w:rPr>
                      <w:rFonts w:hint="default"/>
                      <w:highlight w:val="none"/>
                      <w:lang w:val="en-US" w:eastAsia="zh-CN"/>
                    </w:rPr>
                  </w:pPr>
                  <w:r>
                    <w:rPr>
                      <w:rFonts w:hint="eastAsia"/>
                      <w:highlight w:val="none"/>
                      <w:lang w:val="en-US" w:eastAsia="zh-CN"/>
                    </w:rPr>
                    <w:t>70</w:t>
                  </w:r>
                </w:p>
              </w:tc>
            </w:tr>
            <w:tr w14:paraId="65339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1" w:type="dxa"/>
                  <w:gridSpan w:val="2"/>
                  <w:vAlign w:val="center"/>
                </w:tcPr>
                <w:p w14:paraId="5B8654F3">
                  <w:pPr>
                    <w:pStyle w:val="47"/>
                    <w:bidi w:val="0"/>
                    <w:jc w:val="center"/>
                    <w:rPr>
                      <w:rFonts w:hint="default"/>
                      <w:highlight w:val="none"/>
                      <w:lang w:val="en-US" w:eastAsia="zh-CN"/>
                    </w:rPr>
                  </w:pPr>
                  <w:r>
                    <w:rPr>
                      <w:rFonts w:hint="eastAsia"/>
                      <w:highlight w:val="none"/>
                      <w:lang w:val="en-US" w:eastAsia="zh-CN"/>
                    </w:rPr>
                    <w:t>合计</w:t>
                  </w:r>
                </w:p>
              </w:tc>
              <w:tc>
                <w:tcPr>
                  <w:tcW w:w="1470" w:type="dxa"/>
                  <w:vAlign w:val="center"/>
                </w:tcPr>
                <w:p w14:paraId="3F2A8C70">
                  <w:pPr>
                    <w:pStyle w:val="47"/>
                    <w:bidi w:val="0"/>
                    <w:jc w:val="center"/>
                    <w:rPr>
                      <w:rFonts w:hint="default"/>
                      <w:highlight w:val="none"/>
                      <w:lang w:val="en-US" w:eastAsia="zh-CN"/>
                    </w:rPr>
                  </w:pPr>
                  <w:r>
                    <w:rPr>
                      <w:rFonts w:hint="eastAsia"/>
                      <w:highlight w:val="none"/>
                      <w:lang w:val="en-US" w:eastAsia="zh-CN"/>
                    </w:rPr>
                    <w:t>7076.782</w:t>
                  </w:r>
                </w:p>
              </w:tc>
              <w:tc>
                <w:tcPr>
                  <w:tcW w:w="2490" w:type="dxa"/>
                  <w:gridSpan w:val="2"/>
                  <w:vAlign w:val="center"/>
                </w:tcPr>
                <w:p w14:paraId="42678921">
                  <w:pPr>
                    <w:pStyle w:val="47"/>
                    <w:bidi w:val="0"/>
                    <w:jc w:val="center"/>
                    <w:rPr>
                      <w:rFonts w:hint="default"/>
                      <w:highlight w:val="none"/>
                      <w:lang w:val="en-US" w:eastAsia="zh-CN"/>
                    </w:rPr>
                  </w:pPr>
                  <w:r>
                    <w:rPr>
                      <w:rFonts w:hint="eastAsia"/>
                      <w:highlight w:val="none"/>
                      <w:lang w:val="en-US" w:eastAsia="zh-CN"/>
                    </w:rPr>
                    <w:t>合计</w:t>
                  </w:r>
                </w:p>
              </w:tc>
              <w:tc>
                <w:tcPr>
                  <w:tcW w:w="1516" w:type="dxa"/>
                  <w:vAlign w:val="center"/>
                </w:tcPr>
                <w:p w14:paraId="3EA1A924">
                  <w:pPr>
                    <w:pStyle w:val="47"/>
                    <w:bidi w:val="0"/>
                    <w:jc w:val="center"/>
                    <w:rPr>
                      <w:rFonts w:hint="default"/>
                      <w:highlight w:val="none"/>
                      <w:lang w:val="en-US" w:eastAsia="zh-CN"/>
                    </w:rPr>
                  </w:pPr>
                  <w:r>
                    <w:rPr>
                      <w:rFonts w:hint="eastAsia"/>
                      <w:highlight w:val="none"/>
                      <w:lang w:val="en-US" w:eastAsia="zh-CN"/>
                    </w:rPr>
                    <w:t>7076.782</w:t>
                  </w:r>
                </w:p>
              </w:tc>
            </w:tr>
          </w:tbl>
          <w:p w14:paraId="0D5D7E0F">
            <w:pPr>
              <w:pStyle w:val="2"/>
              <w:rPr>
                <w:rFonts w:hint="eastAsia"/>
                <w:lang w:val="en-US" w:eastAsia="zh-CN"/>
              </w:rPr>
            </w:pPr>
          </w:p>
          <w:p w14:paraId="416EB748">
            <w:pPr>
              <w:rPr>
                <w:rFonts w:hint="eastAsia"/>
                <w:lang w:val="en-US" w:eastAsia="zh-CN"/>
              </w:rPr>
            </w:pPr>
          </w:p>
          <w:p w14:paraId="41B6745A">
            <w:pPr>
              <w:pStyle w:val="2"/>
              <w:rPr>
                <w:rFonts w:hint="eastAsia"/>
                <w:lang w:val="en-US" w:eastAsia="zh-CN"/>
              </w:rPr>
            </w:pPr>
          </w:p>
          <w:p w14:paraId="279341C5">
            <w:pPr>
              <w:rPr>
                <w:rFonts w:hint="eastAsia"/>
                <w:lang w:val="en-US" w:eastAsia="zh-CN"/>
              </w:rPr>
            </w:pPr>
          </w:p>
          <w:p w14:paraId="03A52202">
            <w:pPr>
              <w:pStyle w:val="74"/>
              <w:bidi w:val="0"/>
              <w:rPr>
                <w:rFonts w:hint="eastAsia"/>
                <w:highlight w:val="none"/>
                <w:lang w:val="en-US" w:eastAsia="zh-CN"/>
              </w:rPr>
            </w:pPr>
            <w:r>
              <w:rPr>
                <w:rFonts w:hint="eastAsia"/>
                <w:highlight w:val="none"/>
                <w:lang w:val="en-US" w:eastAsia="zh-CN"/>
              </w:rPr>
              <w:drawing>
                <wp:inline distT="0" distB="0" distL="114300" distR="114300">
                  <wp:extent cx="5274310" cy="2927985"/>
                  <wp:effectExtent l="0" t="0" r="2540" b="5715"/>
                  <wp:docPr id="11" name="图片 11" descr="172759506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27595069367"/>
                          <pic:cNvPicPr>
                            <a:picLocks noChangeAspect="1"/>
                          </pic:cNvPicPr>
                        </pic:nvPicPr>
                        <pic:blipFill>
                          <a:blip r:embed="rId22"/>
                          <a:stretch>
                            <a:fillRect/>
                          </a:stretch>
                        </pic:blipFill>
                        <pic:spPr>
                          <a:xfrm>
                            <a:off x="0" y="0"/>
                            <a:ext cx="5274310" cy="2927985"/>
                          </a:xfrm>
                          <a:prstGeom prst="rect">
                            <a:avLst/>
                          </a:prstGeom>
                        </pic:spPr>
                      </pic:pic>
                    </a:graphicData>
                  </a:graphic>
                </wp:inline>
              </w:drawing>
            </w:r>
          </w:p>
          <w:p w14:paraId="288CD080">
            <w:pPr>
              <w:pStyle w:val="74"/>
              <w:bidi w:val="0"/>
              <w:rPr>
                <w:rFonts w:hint="eastAsia"/>
                <w:b/>
                <w:bCs/>
                <w:highlight w:val="none"/>
                <w:lang w:val="en-US" w:eastAsia="zh-CN"/>
              </w:rPr>
            </w:pPr>
            <w:r>
              <w:rPr>
                <w:rFonts w:hint="eastAsia"/>
                <w:highlight w:val="none"/>
                <w:lang w:val="en-US" w:eastAsia="zh-CN"/>
              </w:rPr>
              <w:t>图2-1 物料平衡图</w:t>
            </w:r>
          </w:p>
          <w:p w14:paraId="4C0F392E">
            <w:pPr>
              <w:bidi w:val="0"/>
              <w:rPr>
                <w:b/>
                <w:bCs/>
              </w:rPr>
            </w:pPr>
            <w:r>
              <w:rPr>
                <w:rFonts w:hint="eastAsia"/>
                <w:b/>
                <w:bCs/>
                <w:lang w:val="en-US" w:eastAsia="zh-CN"/>
              </w:rPr>
              <w:t>6</w:t>
            </w:r>
            <w:r>
              <w:rPr>
                <w:rFonts w:hint="eastAsia"/>
                <w:b/>
                <w:bCs/>
              </w:rPr>
              <w:t>、工作制度及劳动定员</w:t>
            </w:r>
          </w:p>
          <w:p w14:paraId="16B3A1A9">
            <w:pPr>
              <w:ind w:firstLine="480"/>
              <w:rPr>
                <w:color w:val="auto"/>
                <w:highlight w:val="none"/>
              </w:rPr>
            </w:pPr>
            <w:r>
              <w:rPr>
                <w:rFonts w:hint="eastAsia"/>
                <w:color w:val="auto"/>
                <w:highlight w:val="none"/>
              </w:rPr>
              <w:t>工作制度：</w:t>
            </w:r>
            <w:r>
              <w:rPr>
                <w:rFonts w:hint="eastAsia"/>
                <w:color w:val="auto"/>
                <w:highlight w:val="none"/>
                <w:lang w:val="en-US" w:eastAsia="zh-CN"/>
              </w:rPr>
              <w:t>两</w:t>
            </w:r>
            <w:r>
              <w:rPr>
                <w:rFonts w:hint="eastAsia"/>
                <w:color w:val="auto"/>
                <w:highlight w:val="none"/>
              </w:rPr>
              <w:t>班制，年工作时间3</w:t>
            </w:r>
            <w:r>
              <w:rPr>
                <w:rFonts w:hint="eastAsia"/>
                <w:color w:val="auto"/>
                <w:highlight w:val="none"/>
                <w:lang w:val="en-US" w:eastAsia="zh-CN"/>
              </w:rPr>
              <w:t>0</w:t>
            </w:r>
            <w:r>
              <w:rPr>
                <w:rFonts w:hint="eastAsia"/>
                <w:color w:val="auto"/>
                <w:highlight w:val="none"/>
              </w:rPr>
              <w:t>0天</w:t>
            </w:r>
            <w:r>
              <w:rPr>
                <w:rFonts w:hint="eastAsia"/>
                <w:color w:val="auto"/>
                <w:highlight w:val="none"/>
                <w:lang w:eastAsia="zh-CN"/>
              </w:rPr>
              <w:t>，</w:t>
            </w:r>
            <w:r>
              <w:rPr>
                <w:rFonts w:hint="eastAsia"/>
                <w:color w:val="auto"/>
                <w:highlight w:val="none"/>
                <w:lang w:val="en-US" w:eastAsia="zh-CN"/>
              </w:rPr>
              <w:t>每班工作12h，</w:t>
            </w:r>
            <w:r>
              <w:rPr>
                <w:rFonts w:eastAsiaTheme="minorEastAsia"/>
                <w:sz w:val="24"/>
              </w:rPr>
              <w:t>年工作时间</w:t>
            </w:r>
            <w:r>
              <w:rPr>
                <w:rFonts w:hint="eastAsia" w:eastAsiaTheme="minorEastAsia"/>
                <w:sz w:val="24"/>
                <w:lang w:val="en-US" w:eastAsia="zh-CN"/>
              </w:rPr>
              <w:t>72</w:t>
            </w:r>
            <w:r>
              <w:rPr>
                <w:rFonts w:eastAsiaTheme="minorEastAsia"/>
                <w:sz w:val="24"/>
              </w:rPr>
              <w:t>00h</w:t>
            </w:r>
            <w:r>
              <w:rPr>
                <w:rFonts w:hint="eastAsia"/>
                <w:color w:val="auto"/>
                <w:highlight w:val="none"/>
              </w:rPr>
              <w:t>。</w:t>
            </w:r>
          </w:p>
          <w:p w14:paraId="61552A2C">
            <w:pPr>
              <w:ind w:firstLine="480"/>
              <w:rPr>
                <w:color w:val="auto"/>
                <w:highlight w:val="none"/>
              </w:rPr>
            </w:pPr>
            <w:r>
              <w:rPr>
                <w:rFonts w:hint="eastAsia"/>
                <w:color w:val="auto"/>
                <w:highlight w:val="none"/>
              </w:rPr>
              <w:t>劳动定员：新增员工</w:t>
            </w:r>
            <w:r>
              <w:rPr>
                <w:rFonts w:hint="eastAsia"/>
                <w:color w:val="auto"/>
                <w:highlight w:val="none"/>
                <w:lang w:val="en-US" w:eastAsia="zh-CN"/>
              </w:rPr>
              <w:t>50人</w:t>
            </w:r>
            <w:r>
              <w:rPr>
                <w:rFonts w:hint="eastAsia"/>
                <w:color w:val="auto"/>
                <w:highlight w:val="none"/>
              </w:rPr>
              <w:t>，</w:t>
            </w:r>
            <w:r>
              <w:rPr>
                <w:rFonts w:hint="eastAsia"/>
                <w:color w:val="auto"/>
                <w:highlight w:val="none"/>
                <w:lang w:val="en-US" w:eastAsia="zh-CN"/>
              </w:rPr>
              <w:t>不</w:t>
            </w:r>
            <w:r>
              <w:rPr>
                <w:rFonts w:hint="eastAsia"/>
                <w:color w:val="auto"/>
                <w:highlight w:val="none"/>
              </w:rPr>
              <w:t>提供食堂住宿。</w:t>
            </w:r>
          </w:p>
          <w:p w14:paraId="5BF69775">
            <w:pPr>
              <w:ind w:firstLine="480"/>
              <w:rPr>
                <w:b/>
                <w:bCs/>
                <w:color w:val="auto"/>
                <w:highlight w:val="none"/>
              </w:rPr>
            </w:pPr>
            <w:r>
              <w:rPr>
                <w:rFonts w:hint="eastAsia"/>
                <w:b/>
                <w:bCs/>
                <w:color w:val="auto"/>
                <w:highlight w:val="none"/>
                <w:lang w:val="en-US" w:eastAsia="zh-CN"/>
              </w:rPr>
              <w:t>7</w:t>
            </w:r>
            <w:r>
              <w:rPr>
                <w:rFonts w:hint="eastAsia"/>
                <w:b/>
                <w:bCs/>
                <w:color w:val="auto"/>
                <w:highlight w:val="none"/>
              </w:rPr>
              <w:t>、公用工程</w:t>
            </w:r>
          </w:p>
          <w:p w14:paraId="39A6D35E">
            <w:pPr>
              <w:ind w:firstLine="480"/>
              <w:rPr>
                <w:b/>
                <w:bCs/>
                <w:color w:val="auto"/>
                <w:highlight w:val="none"/>
              </w:rPr>
            </w:pPr>
            <w:r>
              <w:rPr>
                <w:rFonts w:hint="eastAsia"/>
                <w:b/>
                <w:bCs/>
                <w:color w:val="auto"/>
                <w:highlight w:val="none"/>
              </w:rPr>
              <w:t>（1）给</w:t>
            </w:r>
            <w:r>
              <w:rPr>
                <w:rFonts w:hint="eastAsia"/>
                <w:b/>
                <w:bCs/>
                <w:color w:val="auto"/>
                <w:highlight w:val="none"/>
                <w:lang w:eastAsia="zh-CN"/>
              </w:rPr>
              <w:t>、</w:t>
            </w:r>
            <w:r>
              <w:rPr>
                <w:rFonts w:hint="eastAsia"/>
                <w:b/>
                <w:bCs/>
                <w:color w:val="auto"/>
                <w:highlight w:val="none"/>
                <w:lang w:val="en-US" w:eastAsia="zh-CN"/>
              </w:rPr>
              <w:t>排</w:t>
            </w:r>
            <w:r>
              <w:rPr>
                <w:rFonts w:hint="eastAsia"/>
                <w:b/>
                <w:bCs/>
                <w:color w:val="auto"/>
                <w:highlight w:val="none"/>
              </w:rPr>
              <w:t>水</w:t>
            </w:r>
          </w:p>
          <w:p w14:paraId="62F79CF9">
            <w:pPr>
              <w:bidi w:val="0"/>
              <w:rPr>
                <w:rFonts w:hint="eastAsia"/>
                <w:color w:val="auto"/>
                <w:highlight w:val="none"/>
              </w:rPr>
            </w:pPr>
            <w:r>
              <w:rPr>
                <w:rFonts w:hint="eastAsia"/>
                <w:color w:val="auto"/>
                <w:highlight w:val="none"/>
              </w:rPr>
              <w:t>项目区供水来自于市政给水系统。供水条件良好，可保证充足供应，水质符合饮用水标准，且项目区供水管网完善，其用水可充分保障。</w:t>
            </w:r>
          </w:p>
          <w:p w14:paraId="1AEF0F82">
            <w:pPr>
              <w:bidi w:val="0"/>
              <w:rPr>
                <w:rFonts w:hint="eastAsia"/>
                <w:color w:val="auto"/>
                <w:highlight w:val="none"/>
                <w:lang w:val="en-US" w:eastAsia="zh-CN"/>
              </w:rPr>
            </w:pPr>
            <w:r>
              <w:rPr>
                <w:rFonts w:hint="eastAsia"/>
                <w:color w:val="auto"/>
                <w:highlight w:val="none"/>
                <w:u w:val="none"/>
                <w:lang w:val="en-US" w:eastAsia="zh-CN"/>
              </w:rPr>
              <w:t>本项目</w:t>
            </w:r>
            <w:r>
              <w:rPr>
                <w:rFonts w:hint="eastAsia" w:ascii="Times New Roman" w:hAnsi="Times New Roman" w:cs="Times New Roman"/>
                <w:color w:val="auto"/>
                <w:sz w:val="24"/>
                <w:szCs w:val="24"/>
                <w:highlight w:val="none"/>
                <w:u w:val="none"/>
                <w:lang w:val="en-US" w:eastAsia="zh-CN"/>
              </w:rPr>
              <w:t>生产设备、生产车间无需进行冲洗，车间地面</w:t>
            </w:r>
            <w:r>
              <w:rPr>
                <w:rFonts w:hint="eastAsia" w:cs="Times New Roman"/>
                <w:color w:val="auto"/>
                <w:sz w:val="24"/>
                <w:szCs w:val="24"/>
                <w:highlight w:val="none"/>
                <w:u w:val="none"/>
                <w:lang w:val="en-US" w:eastAsia="zh-CN"/>
              </w:rPr>
              <w:t>使用干式清洁</w:t>
            </w:r>
            <w:r>
              <w:rPr>
                <w:rFonts w:hint="eastAsia" w:ascii="Times New Roman" w:hAnsi="Times New Roman" w:cs="Times New Roman"/>
                <w:color w:val="auto"/>
                <w:sz w:val="24"/>
                <w:szCs w:val="24"/>
                <w:highlight w:val="none"/>
                <w:u w:val="none"/>
                <w:lang w:val="en-US" w:eastAsia="zh-CN"/>
              </w:rPr>
              <w:t>，</w:t>
            </w:r>
            <w:r>
              <w:rPr>
                <w:rFonts w:hint="eastAsia"/>
                <w:color w:val="auto"/>
                <w:highlight w:val="none"/>
                <w:lang w:val="en-US" w:eastAsia="zh-CN"/>
              </w:rPr>
              <w:t>用水主要为员工生活用水、冷却补充用水、蒸汽冷凝水。</w:t>
            </w:r>
          </w:p>
          <w:p w14:paraId="1CC1A3BA">
            <w:pPr>
              <w:bidi w:val="0"/>
              <w:rPr>
                <w:rFonts w:hint="default"/>
                <w:b/>
                <w:bCs/>
                <w:lang w:val="en-US" w:eastAsia="zh-CN"/>
              </w:rPr>
            </w:pPr>
            <w:r>
              <w:rPr>
                <w:rFonts w:hint="eastAsia"/>
                <w:b/>
                <w:bCs/>
                <w:lang w:val="en-US" w:eastAsia="zh-CN"/>
              </w:rPr>
              <w:t>①生活污水</w:t>
            </w:r>
          </w:p>
          <w:p w14:paraId="0DE35863">
            <w:pPr>
              <w:ind w:firstLine="480"/>
              <w:rPr>
                <w:rFonts w:hint="eastAsia"/>
                <w:color w:val="auto"/>
                <w:lang w:eastAsia="zh-CN"/>
              </w:rPr>
            </w:pPr>
            <w:r>
              <w:rPr>
                <w:color w:val="auto"/>
              </w:rPr>
              <w:t>本项目</w:t>
            </w:r>
            <w:r>
              <w:rPr>
                <w:rFonts w:hint="eastAsia"/>
                <w:color w:val="auto"/>
                <w:lang w:val="en-US" w:eastAsia="zh-CN"/>
              </w:rPr>
              <w:t>新增人员</w:t>
            </w:r>
            <w:r>
              <w:rPr>
                <w:color w:val="auto"/>
              </w:rPr>
              <w:t>为</w:t>
            </w:r>
            <w:r>
              <w:rPr>
                <w:rFonts w:hint="eastAsia"/>
                <w:color w:val="auto"/>
                <w:lang w:val="en-US" w:eastAsia="zh-CN"/>
              </w:rPr>
              <w:t>5</w:t>
            </w:r>
            <w:r>
              <w:rPr>
                <w:rFonts w:hint="eastAsia"/>
                <w:color w:val="auto"/>
              </w:rPr>
              <w:t>0名，根据《安徽省行业用水定额》（DB34/T679-2019）中的相关内容，办公用水定额取60L/人·d。则生活用水量大约为</w:t>
            </w:r>
            <w:r>
              <w:rPr>
                <w:rFonts w:hint="eastAsia"/>
                <w:color w:val="auto"/>
                <w:lang w:val="en-US" w:eastAsia="zh-CN"/>
              </w:rPr>
              <w:t>3.0m³</w:t>
            </w:r>
            <w:r>
              <w:rPr>
                <w:rFonts w:hint="eastAsia"/>
                <w:color w:val="auto"/>
              </w:rPr>
              <w:t>/d，</w:t>
            </w:r>
            <w:r>
              <w:rPr>
                <w:rFonts w:hint="eastAsia"/>
                <w:color w:val="auto"/>
                <w:lang w:val="en-US" w:eastAsia="zh-CN"/>
              </w:rPr>
              <w:t>900m³</w:t>
            </w:r>
            <w:r>
              <w:rPr>
                <w:rFonts w:hint="eastAsia"/>
                <w:color w:val="auto"/>
              </w:rPr>
              <w:t>/a；污水产生系数按照80%计，则生活污水产生量为</w:t>
            </w:r>
            <w:r>
              <w:rPr>
                <w:rFonts w:hint="eastAsia"/>
                <w:color w:val="auto"/>
                <w:lang w:val="en-US" w:eastAsia="zh-CN"/>
              </w:rPr>
              <w:t>2.4m³</w:t>
            </w:r>
            <w:r>
              <w:rPr>
                <w:rFonts w:hint="eastAsia"/>
                <w:color w:val="auto"/>
              </w:rPr>
              <w:t>/d，</w:t>
            </w:r>
            <w:r>
              <w:rPr>
                <w:rFonts w:hint="eastAsia"/>
                <w:color w:val="auto"/>
                <w:lang w:val="en-US" w:eastAsia="zh-CN"/>
              </w:rPr>
              <w:t>720m³</w:t>
            </w:r>
            <w:r>
              <w:rPr>
                <w:rFonts w:hint="eastAsia"/>
                <w:color w:val="auto"/>
              </w:rPr>
              <w:t>/a。</w:t>
            </w:r>
            <w:r>
              <w:rPr>
                <w:rFonts w:hint="eastAsia"/>
              </w:rPr>
              <w:t>生活污水经</w:t>
            </w:r>
            <w:r>
              <w:rPr>
                <w:rFonts w:hint="eastAsia"/>
                <w:lang w:val="en-US" w:eastAsia="zh-CN"/>
              </w:rPr>
              <w:t>化粪池处理后</w:t>
            </w:r>
            <w:r>
              <w:rPr>
                <w:rFonts w:hint="default"/>
                <w:color w:val="auto"/>
              </w:rPr>
              <w:t>排入</w:t>
            </w:r>
            <w:r>
              <w:rPr>
                <w:rFonts w:hint="eastAsia"/>
                <w:color w:val="auto"/>
                <w:lang w:val="en-US" w:eastAsia="zh-CN"/>
              </w:rPr>
              <w:t>市政</w:t>
            </w:r>
            <w:r>
              <w:rPr>
                <w:rFonts w:hint="default"/>
                <w:color w:val="auto"/>
              </w:rPr>
              <w:t>污水管网后进入淮南经济开发区污水处理厂（三万吨污水处理厂）</w:t>
            </w:r>
            <w:r>
              <w:rPr>
                <w:rFonts w:hint="eastAsia"/>
                <w:color w:val="auto"/>
                <w:lang w:eastAsia="zh-CN"/>
              </w:rPr>
              <w:t>。</w:t>
            </w:r>
          </w:p>
          <w:p w14:paraId="16D8634A">
            <w:pPr>
              <w:bidi w:val="0"/>
              <w:rPr>
                <w:rFonts w:hint="eastAsia"/>
                <w:b/>
                <w:bCs/>
                <w:lang w:val="en-US" w:eastAsia="zh-CN"/>
              </w:rPr>
            </w:pPr>
            <w:r>
              <w:rPr>
                <w:rFonts w:hint="eastAsia"/>
                <w:b/>
                <w:bCs/>
                <w:lang w:val="en-US" w:eastAsia="zh-CN"/>
              </w:rPr>
              <w:t>②蒸汽冷凝水</w:t>
            </w:r>
          </w:p>
          <w:p w14:paraId="7728C2F2">
            <w:pPr>
              <w:bidi w:val="0"/>
              <w:rPr>
                <w:rFonts w:hint="default" w:eastAsia="宋体"/>
                <w:lang w:val="en-US" w:eastAsia="zh-CN"/>
              </w:rPr>
            </w:pPr>
            <w:r>
              <w:rPr>
                <w:rFonts w:hint="eastAsia"/>
                <w:lang w:val="en-US" w:eastAsia="zh-CN"/>
              </w:rPr>
              <w:t>本项目蒸汽由园区管网集中供应。根据企业提供资料可知，本项目蒸汽供给量为10t/吨原料，项目年使用原料约7000t，则项目蒸汽供应量为70000t/a（233.3t/d）。本项目蒸汽用于预发泡、</w:t>
            </w:r>
            <w:r>
              <w:rPr>
                <w:spacing w:val="6"/>
              </w:rPr>
              <w:t>成型、烘干工序使用，最终约</w:t>
            </w:r>
            <w:r>
              <w:rPr>
                <w:rFonts w:ascii="Times New Roman" w:hAnsi="Times New Roman" w:eastAsia="Times New Roman" w:cs="Times New Roman"/>
                <w:spacing w:val="6"/>
              </w:rPr>
              <w:t>20%</w:t>
            </w:r>
            <w:r>
              <w:rPr>
                <w:spacing w:val="6"/>
              </w:rPr>
              <w:t>（</w:t>
            </w:r>
            <w:r>
              <w:rPr>
                <w:rFonts w:hint="eastAsia" w:ascii="Times New Roman" w:hAnsi="Times New Roman" w:eastAsia="宋体" w:cs="Times New Roman"/>
                <w:spacing w:val="6"/>
                <w:lang w:val="en-US" w:eastAsia="zh-CN"/>
              </w:rPr>
              <w:t>1</w:t>
            </w:r>
            <w:r>
              <w:rPr>
                <w:rFonts w:hint="eastAsia" w:cs="Times New Roman"/>
                <w:spacing w:val="6"/>
                <w:lang w:val="en-US" w:eastAsia="zh-CN"/>
              </w:rPr>
              <w:t>4</w:t>
            </w:r>
            <w:r>
              <w:rPr>
                <w:rFonts w:hint="eastAsia" w:ascii="Times New Roman" w:hAnsi="Times New Roman" w:eastAsia="宋体" w:cs="Times New Roman"/>
                <w:spacing w:val="6"/>
                <w:lang w:val="en-US" w:eastAsia="zh-CN"/>
              </w:rPr>
              <w:t>0</w:t>
            </w:r>
            <w:r>
              <w:rPr>
                <w:rFonts w:ascii="Times New Roman" w:hAnsi="Times New Roman" w:eastAsia="Times New Roman" w:cs="Times New Roman"/>
                <w:spacing w:val="6"/>
              </w:rPr>
              <w:t>00t/a</w:t>
            </w:r>
            <w:r>
              <w:rPr>
                <w:rFonts w:hint="eastAsia" w:eastAsia="宋体" w:cs="Times New Roman"/>
                <w:spacing w:val="6"/>
                <w:lang w:eastAsia="zh-CN"/>
              </w:rPr>
              <w:t>，</w:t>
            </w:r>
            <w:r>
              <w:rPr>
                <w:rFonts w:hint="eastAsia" w:eastAsia="宋体" w:cs="Times New Roman"/>
                <w:spacing w:val="6"/>
                <w:lang w:val="en-US" w:eastAsia="zh-CN"/>
              </w:rPr>
              <w:t>4</w:t>
            </w:r>
            <w:r>
              <w:rPr>
                <w:rFonts w:hint="eastAsia" w:cs="Times New Roman"/>
                <w:spacing w:val="6"/>
                <w:lang w:val="en-US" w:eastAsia="zh-CN"/>
              </w:rPr>
              <w:t>6.7</w:t>
            </w:r>
            <w:r>
              <w:rPr>
                <w:rFonts w:hint="eastAsia" w:eastAsia="宋体" w:cs="Times New Roman"/>
                <w:spacing w:val="6"/>
                <w:lang w:val="en-US" w:eastAsia="zh-CN"/>
              </w:rPr>
              <w:t>t/d</w:t>
            </w:r>
            <w:r>
              <w:rPr>
                <w:spacing w:val="6"/>
              </w:rPr>
              <w:t>）以蒸汽形式消耗，约</w:t>
            </w:r>
            <w:r>
              <w:rPr>
                <w:rFonts w:hint="eastAsia"/>
                <w:spacing w:val="6"/>
                <w:lang w:val="en-US" w:eastAsia="zh-CN"/>
              </w:rPr>
              <w:t>80</w:t>
            </w:r>
            <w:r>
              <w:rPr>
                <w:rFonts w:ascii="Times New Roman" w:hAnsi="Times New Roman" w:eastAsia="Times New Roman" w:cs="Times New Roman"/>
                <w:spacing w:val="6"/>
              </w:rPr>
              <w:t>%</w:t>
            </w:r>
            <w:r>
              <w:rPr>
                <w:spacing w:val="6"/>
              </w:rPr>
              <w:t>（</w:t>
            </w:r>
            <w:r>
              <w:rPr>
                <w:rFonts w:hint="eastAsia"/>
                <w:spacing w:val="6"/>
                <w:lang w:val="en-US" w:eastAsia="zh-CN"/>
              </w:rPr>
              <w:t>56</w:t>
            </w:r>
            <w:r>
              <w:rPr>
                <w:rFonts w:hint="eastAsia" w:ascii="Times New Roman" w:hAnsi="Times New Roman" w:eastAsia="宋体" w:cs="Times New Roman"/>
                <w:spacing w:val="6"/>
                <w:lang w:val="en-US" w:eastAsia="zh-CN"/>
              </w:rPr>
              <w:t>0</w:t>
            </w:r>
            <w:r>
              <w:rPr>
                <w:rFonts w:ascii="Times New Roman" w:hAnsi="Times New Roman" w:eastAsia="Times New Roman" w:cs="Times New Roman"/>
                <w:spacing w:val="6"/>
              </w:rPr>
              <w:t>00t/a</w:t>
            </w:r>
            <w:r>
              <w:rPr>
                <w:rFonts w:hint="eastAsia" w:ascii="Times New Roman" w:hAnsi="Times New Roman" w:eastAsia="宋体" w:cs="Times New Roman"/>
                <w:spacing w:val="6"/>
                <w:lang w:eastAsia="zh-CN"/>
              </w:rPr>
              <w:t>，</w:t>
            </w:r>
            <w:r>
              <w:rPr>
                <w:rFonts w:hint="eastAsia" w:cs="Times New Roman"/>
                <w:spacing w:val="6"/>
                <w:lang w:val="en-US" w:eastAsia="zh-CN"/>
              </w:rPr>
              <w:t>186.6t/d</w:t>
            </w:r>
            <w:r>
              <w:rPr>
                <w:spacing w:val="6"/>
              </w:rPr>
              <w:t>）</w:t>
            </w:r>
            <w:r>
              <w:rPr>
                <w:spacing w:val="-58"/>
              </w:rPr>
              <w:t xml:space="preserve"> </w:t>
            </w:r>
            <w:r>
              <w:rPr>
                <w:spacing w:val="6"/>
              </w:rPr>
              <w:t>以凝结水形式回收作为循环冷却水池的补充用水</w:t>
            </w:r>
            <w:r>
              <w:rPr>
                <w:rFonts w:hint="eastAsia"/>
                <w:spacing w:val="6"/>
                <w:lang w:eastAsia="zh-CN"/>
              </w:rPr>
              <w:t>，</w:t>
            </w:r>
            <w:r>
              <w:rPr>
                <w:rFonts w:hint="eastAsia"/>
                <w:spacing w:val="6"/>
                <w:lang w:val="en-US" w:eastAsia="zh-CN"/>
              </w:rPr>
              <w:t>其中75%为直接冷凝水，5%随废气一同进入冷凝器后冷凝循环。</w:t>
            </w:r>
          </w:p>
          <w:p w14:paraId="1C3916DA">
            <w:pPr>
              <w:bidi w:val="0"/>
              <w:rPr>
                <w:rFonts w:hint="eastAsia"/>
                <w:b/>
                <w:bCs/>
                <w:lang w:val="en-US" w:eastAsia="zh-CN"/>
              </w:rPr>
            </w:pPr>
            <w:r>
              <w:rPr>
                <w:rFonts w:hint="eastAsia"/>
                <w:b/>
                <w:bCs/>
                <w:lang w:val="en-US" w:eastAsia="zh-CN"/>
              </w:rPr>
              <w:t>③冷却用水</w:t>
            </w:r>
          </w:p>
          <w:p w14:paraId="6E4F4B44">
            <w:pPr>
              <w:bidi w:val="0"/>
              <w:rPr>
                <w:rFonts w:hint="eastAsia"/>
                <w:lang w:val="en-US" w:eastAsia="zh-CN"/>
              </w:rPr>
            </w:pPr>
            <w:r>
              <w:rPr>
                <w:rFonts w:hint="eastAsia"/>
                <w:lang w:val="en-US" w:eastAsia="zh-CN"/>
              </w:rPr>
              <w:t>本项目冷却用水包含模具冷却水及设备冷却水。</w:t>
            </w:r>
          </w:p>
          <w:p w14:paraId="68936BB0">
            <w:pPr>
              <w:bidi w:val="0"/>
              <w:rPr>
                <w:rFonts w:hint="default"/>
                <w:lang w:val="en-US" w:eastAsia="zh-CN"/>
              </w:rPr>
            </w:pPr>
            <w:r>
              <w:rPr>
                <w:rFonts w:hint="default"/>
                <w:lang w:val="en-US" w:eastAsia="zh-CN"/>
              </w:rPr>
              <w:t>冷却循环用水损耗量参考《化工企业冷却塔设计规定》(HG20522-1992)中冷却塔蒸发耗水率计算公式计算，具体公式如下</w:t>
            </w:r>
            <w:r>
              <w:rPr>
                <w:rFonts w:hint="eastAsia"/>
                <w:lang w:val="en-US" w:eastAsia="zh-CN"/>
              </w:rPr>
              <w:t>：</w:t>
            </w:r>
          </w:p>
          <w:p w14:paraId="66A837F1">
            <w:pPr>
              <w:bidi w:val="0"/>
              <w:jc w:val="center"/>
              <w:rPr>
                <w:rFonts w:hint="default"/>
                <w:lang w:val="en-US" w:eastAsia="zh-CN"/>
              </w:rPr>
            </w:pPr>
            <w:r>
              <w:rPr>
                <w:rFonts w:hint="default"/>
                <w:lang w:val="en-US" w:eastAsia="zh-CN"/>
              </w:rPr>
              <w:t>P=K</w:t>
            </w:r>
            <w:r>
              <w:rPr>
                <w:rFonts w:hint="eastAsia"/>
                <w:lang w:val="en-US" w:eastAsia="zh-CN"/>
              </w:rPr>
              <w:t>*</w:t>
            </w:r>
            <w:r>
              <w:rPr>
                <w:rFonts w:hint="default"/>
                <w:lang w:val="en-US" w:eastAsia="zh-CN"/>
              </w:rPr>
              <w:t>Δt</w:t>
            </w:r>
          </w:p>
          <w:p w14:paraId="1A4DD4AC">
            <w:pPr>
              <w:bidi w:val="0"/>
              <w:rPr>
                <w:rFonts w:hint="default"/>
                <w:lang w:val="en-US" w:eastAsia="zh-CN"/>
              </w:rPr>
            </w:pPr>
            <w:r>
              <w:rPr>
                <w:rFonts w:hint="default"/>
                <w:lang w:val="en-US" w:eastAsia="zh-CN"/>
              </w:rPr>
              <w:t>式中</w:t>
            </w:r>
            <w:r>
              <w:rPr>
                <w:rFonts w:hint="eastAsia"/>
                <w:lang w:val="en-US" w:eastAsia="zh-CN"/>
              </w:rPr>
              <w:t>；</w:t>
            </w:r>
            <w:r>
              <w:rPr>
                <w:rFonts w:hint="default"/>
                <w:lang w:val="en-US" w:eastAsia="zh-CN"/>
              </w:rPr>
              <w:t>P--蒸发损失率，%</w:t>
            </w:r>
            <w:r>
              <w:rPr>
                <w:rFonts w:hint="eastAsia"/>
                <w:lang w:val="en-US" w:eastAsia="zh-CN"/>
              </w:rPr>
              <w:t>；</w:t>
            </w:r>
          </w:p>
          <w:p w14:paraId="249DE2B0">
            <w:pPr>
              <w:bidi w:val="0"/>
              <w:rPr>
                <w:rFonts w:hint="default"/>
                <w:lang w:val="en-US" w:eastAsia="zh-CN"/>
              </w:rPr>
            </w:pPr>
            <w:r>
              <w:rPr>
                <w:rFonts w:hint="default"/>
                <w:lang w:val="en-US" w:eastAsia="zh-CN"/>
              </w:rPr>
              <w:t>Δt--冷却进水与出水温差，℃，本项目取10</w:t>
            </w:r>
            <w:r>
              <w:rPr>
                <w:rFonts w:hint="eastAsia"/>
                <w:lang w:val="en-US" w:eastAsia="zh-CN"/>
              </w:rPr>
              <w:t>℃；</w:t>
            </w:r>
          </w:p>
          <w:p w14:paraId="08F9EF10">
            <w:pPr>
              <w:bidi w:val="0"/>
              <w:rPr>
                <w:rFonts w:hint="default"/>
                <w:lang w:val="en-US" w:eastAsia="zh-CN"/>
              </w:rPr>
            </w:pPr>
            <w:r>
              <w:rPr>
                <w:rFonts w:hint="default"/>
                <w:lang w:val="en-US" w:eastAsia="zh-CN"/>
              </w:rPr>
              <w:t>K--系数，1/℃，根据《化工企业冷却塔设计规定》(HG20522-1992)表4.3.1，环境温度为20℃时，K取0.14/</w:t>
            </w:r>
            <w:r>
              <w:rPr>
                <w:rFonts w:hint="eastAsia"/>
                <w:lang w:val="en-US" w:eastAsia="zh-CN"/>
              </w:rPr>
              <w:t>℃</w:t>
            </w:r>
            <w:r>
              <w:rPr>
                <w:rFonts w:hint="default"/>
                <w:lang w:val="en-US" w:eastAsia="zh-CN"/>
              </w:rPr>
              <w:t>。</w:t>
            </w:r>
          </w:p>
          <w:p w14:paraId="15ABB1C3">
            <w:pPr>
              <w:bidi w:val="0"/>
              <w:rPr>
                <w:rFonts w:hint="eastAsia"/>
                <w:lang w:val="en-US" w:eastAsia="zh-CN"/>
              </w:rPr>
            </w:pPr>
            <w:r>
              <w:rPr>
                <w:rFonts w:hint="default"/>
                <w:lang w:val="en-US" w:eastAsia="zh-CN"/>
              </w:rPr>
              <w:t>根据上式计算得蒸发耗水率为1.4%。</w:t>
            </w:r>
          </w:p>
          <w:p w14:paraId="4D52948C">
            <w:pPr>
              <w:bidi w:val="0"/>
              <w:rPr>
                <w:rFonts w:hint="eastAsia"/>
                <w:b/>
                <w:bCs/>
                <w:lang w:val="en-US" w:eastAsia="zh-CN"/>
              </w:rPr>
            </w:pPr>
            <w:r>
              <w:rPr>
                <w:rFonts w:hint="eastAsia"/>
                <w:b/>
                <w:bCs/>
                <w:lang w:val="en-US" w:eastAsia="zh-CN"/>
              </w:rPr>
              <w:t>a模具冷却水</w:t>
            </w:r>
          </w:p>
          <w:p w14:paraId="3D27C77F">
            <w:pPr>
              <w:bidi w:val="0"/>
              <w:rPr>
                <w:rFonts w:hint="default"/>
                <w:lang w:val="en-US" w:eastAsia="zh-CN"/>
              </w:rPr>
            </w:pPr>
            <w:r>
              <w:rPr>
                <w:rFonts w:hint="eastAsia"/>
                <w:lang w:val="en-US" w:eastAsia="zh-CN"/>
              </w:rPr>
              <w:t>本项目模具冷却脱模过程采用喷洒冷却循环水方式进行降温，冷却脱模后的热水经模具冷却水池收集后泵入循环水箱通过冷却塔冷却后循环使用。</w:t>
            </w:r>
          </w:p>
          <w:p w14:paraId="10538A5E">
            <w:pPr>
              <w:bidi w:val="0"/>
              <w:rPr>
                <w:rFonts w:hint="eastAsia" w:ascii="宋体" w:hAnsi="宋体" w:cs="宋体"/>
                <w:color w:val="000000"/>
                <w:kern w:val="0"/>
                <w:sz w:val="24"/>
                <w:szCs w:val="24"/>
                <w:lang w:val="en-US" w:eastAsia="zh-CN" w:bidi="ar"/>
              </w:rPr>
            </w:pPr>
            <w:r>
              <w:rPr>
                <w:rFonts w:hint="eastAsia"/>
                <w:lang w:val="en-US" w:eastAsia="zh-CN"/>
              </w:rPr>
              <w:t>本项目</w:t>
            </w:r>
            <w:r>
              <w:rPr>
                <w:rFonts w:hint="eastAsia" w:ascii="宋体" w:hAnsi="宋体" w:eastAsia="宋体" w:cs="宋体"/>
                <w:color w:val="000000"/>
                <w:kern w:val="0"/>
                <w:sz w:val="24"/>
                <w:szCs w:val="24"/>
                <w:lang w:val="en-US" w:eastAsia="zh-CN" w:bidi="ar"/>
              </w:rPr>
              <w:t>EPP汽车零配件及EPS包装材料生产线</w:t>
            </w:r>
            <w:r>
              <w:rPr>
                <w:rFonts w:hint="eastAsia" w:ascii="宋体" w:hAnsi="宋体" w:cs="宋体"/>
                <w:color w:val="000000"/>
                <w:kern w:val="0"/>
                <w:sz w:val="24"/>
                <w:szCs w:val="24"/>
                <w:lang w:val="en-US" w:eastAsia="zh-CN" w:bidi="ar"/>
              </w:rPr>
              <w:t>各配备一套模具冷却水循环系统，循环水量为200m³/h.个，年工作7200h，则项目冷却脱模过程蒸发损耗水量为40320m³/a。</w:t>
            </w:r>
          </w:p>
          <w:p w14:paraId="0046694E">
            <w:pPr>
              <w:bidi w:val="0"/>
              <w:rPr>
                <w:rFonts w:hint="eastAsia"/>
                <w:b/>
                <w:bCs/>
                <w:lang w:val="en-US" w:eastAsia="zh-CN"/>
              </w:rPr>
            </w:pPr>
            <w:r>
              <w:rPr>
                <w:rFonts w:hint="eastAsia"/>
                <w:b/>
                <w:bCs/>
                <w:lang w:val="en-US" w:eastAsia="zh-CN"/>
              </w:rPr>
              <w:t>b设备冷却水</w:t>
            </w:r>
          </w:p>
          <w:p w14:paraId="40AEA7ED">
            <w:pPr>
              <w:bidi w:val="0"/>
              <w:rPr>
                <w:rFonts w:hint="eastAsia" w:ascii="宋体" w:hAnsi="宋体" w:cs="宋体"/>
                <w:color w:val="000000"/>
                <w:kern w:val="0"/>
                <w:sz w:val="24"/>
                <w:szCs w:val="24"/>
                <w:lang w:val="en-US" w:eastAsia="zh-CN" w:bidi="ar"/>
              </w:rPr>
            </w:pPr>
            <w:r>
              <w:rPr>
                <w:rFonts w:hint="eastAsia"/>
                <w:lang w:val="en-US" w:eastAsia="zh-CN"/>
              </w:rPr>
              <w:t>本项目成型机、发泡机、预压机在生产过程中，由于机器运行及生产需要，需进行设备降温。项目</w:t>
            </w:r>
            <w:r>
              <w:rPr>
                <w:rFonts w:hint="eastAsia" w:ascii="宋体" w:hAnsi="宋体" w:eastAsia="宋体" w:cs="宋体"/>
                <w:color w:val="000000"/>
                <w:kern w:val="0"/>
                <w:sz w:val="24"/>
                <w:szCs w:val="24"/>
                <w:lang w:val="en-US" w:eastAsia="zh-CN" w:bidi="ar"/>
              </w:rPr>
              <w:t>EPP汽车零配件及EPS包装材料生产线</w:t>
            </w:r>
            <w:r>
              <w:rPr>
                <w:rFonts w:hint="eastAsia" w:ascii="宋体" w:hAnsi="宋体" w:cs="宋体"/>
                <w:color w:val="000000"/>
                <w:kern w:val="0"/>
                <w:sz w:val="24"/>
                <w:szCs w:val="24"/>
                <w:lang w:val="en-US" w:eastAsia="zh-CN" w:bidi="ar"/>
              </w:rPr>
              <w:t>各配备一套设备冷却水系统，循环水量为200m³/h.个，年工作7200h，则项目设备冷却过程蒸发损耗水量为40320m³/a。</w:t>
            </w:r>
          </w:p>
          <w:p w14:paraId="0F56C3CC">
            <w:pPr>
              <w:bidi w:val="0"/>
              <w:rPr>
                <w:rFonts w:hint="default"/>
                <w:lang w:val="en-US" w:eastAsia="zh-CN"/>
              </w:rPr>
            </w:pPr>
            <w:r>
              <w:rPr>
                <w:rFonts w:hint="eastAsia"/>
                <w:lang w:val="en-US" w:eastAsia="zh-CN"/>
              </w:rPr>
              <w:t>综上项目冷却水总用水量为80640t/a（268.8t/d）</w:t>
            </w:r>
            <w:r>
              <w:rPr>
                <w:rFonts w:hint="eastAsia"/>
                <w:highlight w:val="none"/>
                <w:lang w:val="en-US" w:eastAsia="zh-CN"/>
              </w:rPr>
              <w:t>，其中新鲜用水量为：25560t/a（82.8t/d）、冷凝废水补充量为</w:t>
            </w:r>
            <w:r>
              <w:rPr>
                <w:rFonts w:hint="eastAsia"/>
                <w:spacing w:val="6"/>
                <w:lang w:val="en-US" w:eastAsia="zh-CN"/>
              </w:rPr>
              <w:t>56</w:t>
            </w:r>
            <w:r>
              <w:rPr>
                <w:rFonts w:hint="eastAsia" w:ascii="Times New Roman" w:hAnsi="Times New Roman" w:eastAsia="宋体" w:cs="Times New Roman"/>
                <w:spacing w:val="6"/>
                <w:lang w:val="en-US" w:eastAsia="zh-CN"/>
              </w:rPr>
              <w:t>0</w:t>
            </w:r>
            <w:r>
              <w:rPr>
                <w:rFonts w:ascii="Times New Roman" w:hAnsi="Times New Roman" w:eastAsia="Times New Roman" w:cs="Times New Roman"/>
                <w:spacing w:val="6"/>
              </w:rPr>
              <w:t>00t/a</w:t>
            </w:r>
            <w:r>
              <w:rPr>
                <w:spacing w:val="6"/>
              </w:rPr>
              <w:t>（</w:t>
            </w:r>
            <w:r>
              <w:rPr>
                <w:rFonts w:hint="eastAsia" w:cs="Times New Roman"/>
                <w:spacing w:val="6"/>
                <w:lang w:val="en-US" w:eastAsia="zh-CN"/>
              </w:rPr>
              <w:t>186.6t/d</w:t>
            </w:r>
            <w:r>
              <w:rPr>
                <w:spacing w:val="6"/>
              </w:rPr>
              <w:t>）</w:t>
            </w:r>
            <w:r>
              <w:rPr>
                <w:rFonts w:hint="eastAsia"/>
                <w:highlight w:val="none"/>
                <w:lang w:val="en-US" w:eastAsia="zh-CN"/>
              </w:rPr>
              <w:t>。</w:t>
            </w:r>
          </w:p>
          <w:p w14:paraId="21B6EB88">
            <w:pPr>
              <w:ind w:firstLine="480"/>
              <w:rPr>
                <w:rFonts w:hint="eastAsia" w:eastAsia="宋体"/>
                <w:b/>
                <w:bCs/>
                <w:color w:val="auto"/>
                <w:highlight w:val="none"/>
                <w:lang w:val="en-US" w:eastAsia="zh-CN"/>
              </w:rPr>
            </w:pPr>
            <w:r>
              <w:rPr>
                <w:rFonts w:hint="eastAsia"/>
                <w:b/>
                <w:bCs/>
                <w:color w:val="auto"/>
                <w:highlight w:val="none"/>
              </w:rPr>
              <w:t>（</w:t>
            </w:r>
            <w:r>
              <w:rPr>
                <w:rFonts w:hint="eastAsia"/>
                <w:b/>
                <w:bCs/>
                <w:color w:val="auto"/>
                <w:highlight w:val="none"/>
                <w:lang w:val="en-US" w:eastAsia="zh-CN"/>
              </w:rPr>
              <w:t>2</w:t>
            </w:r>
            <w:r>
              <w:rPr>
                <w:rFonts w:hint="eastAsia"/>
                <w:b/>
                <w:bCs/>
                <w:color w:val="auto"/>
                <w:highlight w:val="none"/>
              </w:rPr>
              <w:t>）供电</w:t>
            </w:r>
          </w:p>
          <w:p w14:paraId="5CB0EE18">
            <w:pPr>
              <w:pStyle w:val="46"/>
              <w:bidi w:val="0"/>
              <w:rPr>
                <w:rFonts w:hint="default"/>
                <w:color w:val="000000" w:themeColor="text1"/>
                <w:lang w:val="en-US" w:eastAsia="zh-CN"/>
                <w14:textFill>
                  <w14:solidFill>
                    <w14:schemeClr w14:val="tx1"/>
                  </w14:solidFill>
                </w14:textFill>
              </w:rPr>
            </w:pPr>
            <w:r>
              <w:rPr>
                <w:rFonts w:hint="eastAsia"/>
                <w:color w:val="auto"/>
              </w:rPr>
              <w:t>年预计新增耗电</w:t>
            </w:r>
            <w:r>
              <w:rPr>
                <w:rFonts w:hint="eastAsia"/>
                <w:color w:val="auto"/>
                <w:highlight w:val="none"/>
              </w:rPr>
              <w:t>量为</w:t>
            </w:r>
            <w:r>
              <w:rPr>
                <w:rFonts w:hint="eastAsia"/>
                <w:color w:val="auto"/>
                <w:highlight w:val="none"/>
                <w:lang w:val="en-US" w:eastAsia="zh-CN"/>
              </w:rPr>
              <w:t>200</w:t>
            </w:r>
            <w:r>
              <w:rPr>
                <w:rFonts w:hint="eastAsia"/>
                <w:color w:val="auto"/>
                <w:highlight w:val="none"/>
              </w:rPr>
              <w:t>万kW·</w:t>
            </w:r>
            <w:r>
              <w:rPr>
                <w:rFonts w:hint="eastAsia"/>
                <w:color w:val="auto"/>
              </w:rPr>
              <w:t>h</w:t>
            </w:r>
            <w:r>
              <w:rPr>
                <w:rFonts w:hint="eastAsia"/>
                <w:color w:val="000000" w:themeColor="text1"/>
                <w14:textFill>
                  <w14:solidFill>
                    <w14:schemeClr w14:val="tx1"/>
                  </w14:solidFill>
                </w14:textFill>
              </w:rPr>
              <w:t>/a，</w:t>
            </w:r>
            <w:r>
              <w:rPr>
                <w:rFonts w:hint="eastAsia"/>
                <w:color w:val="000000" w:themeColor="text1"/>
                <w:lang w:val="en-US" w:eastAsia="zh-CN"/>
                <w14:textFill>
                  <w14:solidFill>
                    <w14:schemeClr w14:val="tx1"/>
                  </w14:solidFill>
                </w14:textFill>
              </w:rPr>
              <w:t>为市政电网提供，依托厂房现有供电设施</w:t>
            </w:r>
            <w:r>
              <w:rPr>
                <w:rFonts w:hint="eastAsia"/>
                <w:color w:val="000000" w:themeColor="text1"/>
                <w14:textFill>
                  <w14:solidFill>
                    <w14:schemeClr w14:val="tx1"/>
                  </w14:solidFill>
                </w14:textFill>
              </w:rPr>
              <w:t>。</w:t>
            </w:r>
          </w:p>
          <w:p w14:paraId="0C8EFCC9">
            <w:pPr>
              <w:shd w:val="clear"/>
              <w:bidi w:val="0"/>
              <w:rPr>
                <w:color w:val="auto"/>
                <w:highlight w:val="none"/>
              </w:rPr>
            </w:pPr>
            <w:r>
              <w:rPr>
                <w:rFonts w:hint="eastAsia"/>
                <w:b/>
                <w:bCs/>
                <w:color w:val="auto"/>
                <w:highlight w:val="none"/>
                <w:lang w:val="en-US" w:eastAsia="zh-CN"/>
              </w:rPr>
              <w:t>8、水平衡</w:t>
            </w:r>
          </w:p>
          <w:p w14:paraId="4637706D">
            <w:pPr>
              <w:bidi w:val="0"/>
              <w:rPr>
                <w:rFonts w:hint="eastAsia"/>
                <w:highlight w:val="none"/>
                <w:lang w:eastAsia="zh-CN"/>
              </w:rPr>
            </w:pPr>
            <w:r>
              <w:rPr>
                <w:rFonts w:hint="eastAsia"/>
                <w:highlight w:val="none"/>
                <w:lang w:val="en-US" w:eastAsia="zh-CN"/>
              </w:rPr>
              <w:t>本项目建成后水平衡如下：</w:t>
            </w:r>
            <w:r>
              <w:rPr>
                <w:rFonts w:hint="eastAsia"/>
                <w:highlight w:val="none"/>
                <w:lang w:eastAsia="zh-CN"/>
              </w:rPr>
              <w:drawing>
                <wp:inline distT="0" distB="0" distL="114300" distR="114300">
                  <wp:extent cx="5326380" cy="1575435"/>
                  <wp:effectExtent l="0" t="0" r="7620" b="5715"/>
                  <wp:docPr id="12" name="图片 12" descr="1727598659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27598659307"/>
                          <pic:cNvPicPr>
                            <a:picLocks noChangeAspect="1"/>
                          </pic:cNvPicPr>
                        </pic:nvPicPr>
                        <pic:blipFill>
                          <a:blip r:embed="rId23"/>
                          <a:stretch>
                            <a:fillRect/>
                          </a:stretch>
                        </pic:blipFill>
                        <pic:spPr>
                          <a:xfrm>
                            <a:off x="0" y="0"/>
                            <a:ext cx="5326380" cy="1575435"/>
                          </a:xfrm>
                          <a:prstGeom prst="rect">
                            <a:avLst/>
                          </a:prstGeom>
                        </pic:spPr>
                      </pic:pic>
                    </a:graphicData>
                  </a:graphic>
                </wp:inline>
              </w:drawing>
            </w:r>
          </w:p>
          <w:p w14:paraId="059FDFED">
            <w:pPr>
              <w:pStyle w:val="44"/>
              <w:bidi w:val="0"/>
              <w:rPr>
                <w:rFonts w:hint="eastAsia"/>
                <w:color w:val="auto"/>
                <w:highlight w:val="none"/>
              </w:rPr>
            </w:pPr>
            <w:r>
              <w:rPr>
                <w:rFonts w:hint="eastAsia"/>
                <w:color w:val="auto"/>
                <w:highlight w:val="none"/>
              </w:rPr>
              <w:t>图2-</w:t>
            </w:r>
            <w:r>
              <w:rPr>
                <w:rFonts w:hint="eastAsia"/>
                <w:color w:val="auto"/>
                <w:highlight w:val="none"/>
                <w:lang w:val="en-US" w:eastAsia="zh-CN"/>
              </w:rPr>
              <w:t>2</w:t>
            </w:r>
            <w:r>
              <w:rPr>
                <w:rFonts w:hint="eastAsia"/>
                <w:color w:val="auto"/>
                <w:highlight w:val="none"/>
              </w:rPr>
              <w:t xml:space="preserve"> 水平衡图 </w:t>
            </w:r>
            <w:r>
              <w:rPr>
                <w:rFonts w:hint="eastAsia"/>
                <w:color w:val="auto"/>
                <w:highlight w:val="none"/>
                <w:lang w:val="en-US" w:eastAsia="zh-CN"/>
              </w:rPr>
              <w:t>t</w:t>
            </w:r>
            <w:r>
              <w:rPr>
                <w:rFonts w:hint="eastAsia"/>
                <w:color w:val="auto"/>
                <w:highlight w:val="none"/>
              </w:rPr>
              <w:t>/d</w:t>
            </w:r>
          </w:p>
          <w:p w14:paraId="0CE4D1D8">
            <w:pPr>
              <w:rPr>
                <w:b/>
                <w:bCs/>
                <w:color w:val="auto"/>
                <w:highlight w:val="none"/>
              </w:rPr>
            </w:pPr>
            <w:r>
              <w:rPr>
                <w:rFonts w:hint="eastAsia"/>
                <w:b/>
                <w:bCs/>
                <w:color w:val="auto"/>
                <w:highlight w:val="none"/>
              </w:rPr>
              <w:t>9、总平面布置及周边关系</w:t>
            </w:r>
          </w:p>
          <w:p w14:paraId="710F058A">
            <w:pPr>
              <w:bidi w:val="0"/>
              <w:rPr>
                <w:rFonts w:hint="eastAsia"/>
                <w:color w:val="auto"/>
                <w:lang w:eastAsia="zh-CN"/>
              </w:rPr>
            </w:pPr>
            <w:r>
              <w:rPr>
                <w:color w:val="auto"/>
              </w:rPr>
              <w:t>根据本项目生产性质及建设规模，并结合场地自然条件及现状进行总平面布置。在满足工业生产用地的前提下，统筹考虑了物料运输、管线敷设、环境保护、安全卫生及消防等方面的用地需要。力求总图布局合理，运输线路短捷、顺畅。建构筑物外形协调整齐，通道宽度适中，为自然通风、采光、排水、卫生、绿化等布置创造条件。</w:t>
            </w:r>
          </w:p>
          <w:p w14:paraId="6B4CA668">
            <w:pPr>
              <w:bidi w:val="0"/>
            </w:pPr>
            <w:r>
              <w:rPr>
                <w:color w:val="auto"/>
              </w:rPr>
              <w:t>项目生产区总</w:t>
            </w:r>
            <w:r>
              <w:rPr>
                <w:rFonts w:hint="eastAsia"/>
                <w:color w:val="auto"/>
                <w:lang w:val="en-US" w:eastAsia="zh-CN"/>
              </w:rPr>
              <w:t>占地</w:t>
            </w:r>
            <w:r>
              <w:rPr>
                <w:color w:val="auto"/>
              </w:rPr>
              <w:t>面积约</w:t>
            </w:r>
            <w:r>
              <w:rPr>
                <w:rFonts w:hint="eastAsia"/>
                <w:color w:val="auto"/>
                <w:lang w:val="en-US" w:eastAsia="zh-CN"/>
              </w:rPr>
              <w:t>5000</w:t>
            </w:r>
            <w:r>
              <w:rPr>
                <w:color w:val="auto"/>
              </w:rPr>
              <w:t>m</w:t>
            </w:r>
            <w:r>
              <w:rPr>
                <w:color w:val="auto"/>
                <w:vertAlign w:val="superscript"/>
              </w:rPr>
              <w:t>2</w:t>
            </w:r>
            <w:r>
              <w:rPr>
                <w:color w:val="auto"/>
              </w:rPr>
              <w:t>，按照生产连续性，主要分为原料仓储区、生产区和成品库</w:t>
            </w:r>
            <w:r>
              <w:rPr>
                <w:rFonts w:hint="eastAsia"/>
                <w:color w:val="auto"/>
                <w:lang w:eastAsia="zh-CN"/>
              </w:rPr>
              <w:t>，</w:t>
            </w:r>
            <w:r>
              <w:rPr>
                <w:rFonts w:hint="eastAsia"/>
                <w:color w:val="auto"/>
                <w:lang w:val="en-US" w:eastAsia="zh-CN"/>
              </w:rPr>
              <w:t>其中1#厂房烘房置于预发、熟化区下层；2#厂房烘房置于预压区下层。烘房区</w:t>
            </w:r>
            <w:r>
              <w:rPr>
                <w:color w:val="auto"/>
              </w:rPr>
              <w:t>和仓库分布紧</w:t>
            </w:r>
            <w:r>
              <w:rPr>
                <w:rFonts w:hint="eastAsia"/>
                <w:color w:val="auto"/>
                <w:lang w:val="en-US" w:eastAsia="zh-CN"/>
              </w:rPr>
              <w:t>临</w:t>
            </w:r>
            <w:r>
              <w:rPr>
                <w:color w:val="auto"/>
              </w:rPr>
              <w:t>，便于原料和产品的运输。生产区的总体平面布置有效地满足了生产的顺畅性，保证了原材料和产品的便捷输送，生产区基本满足总平面布置原则。项目平面布置详见附图</w:t>
            </w:r>
            <w:r>
              <w:rPr>
                <w:rFonts w:hint="eastAsia"/>
                <w:color w:val="auto"/>
                <w:lang w:val="en-US" w:eastAsia="zh-CN"/>
              </w:rPr>
              <w:t>10</w:t>
            </w:r>
            <w:r>
              <w:rPr>
                <w:color w:val="auto"/>
              </w:rPr>
              <w:t>（</w:t>
            </w:r>
            <w:r>
              <w:rPr>
                <w:rFonts w:hint="eastAsia"/>
                <w:color w:val="auto"/>
              </w:rPr>
              <w:t>车间平面布置示意图</w:t>
            </w:r>
            <w:r>
              <w:rPr>
                <w:color w:val="auto"/>
              </w:rPr>
              <w:t>）。综上所述，项目平面布局比较合理。</w:t>
            </w:r>
          </w:p>
        </w:tc>
      </w:tr>
      <w:tr w14:paraId="59F0A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9" w:hRule="atLeast"/>
          <w:jc w:val="center"/>
        </w:trPr>
        <w:tc>
          <w:tcPr>
            <w:tcW w:w="672" w:type="dxa"/>
            <w:tcBorders>
              <w:tl2br w:val="nil"/>
              <w:tr2bl w:val="nil"/>
            </w:tcBorders>
            <w:vAlign w:val="center"/>
          </w:tcPr>
          <w:p w14:paraId="5F01B69B">
            <w:pPr>
              <w:ind w:firstLine="0" w:firstLineChars="0"/>
              <w:jc w:val="center"/>
              <w:rPr>
                <w:color w:val="auto"/>
                <w:highlight w:val="none"/>
              </w:rPr>
            </w:pPr>
            <w:r>
              <w:rPr>
                <w:color w:val="auto"/>
                <w:highlight w:val="none"/>
              </w:rPr>
              <w:t>工艺</w:t>
            </w:r>
            <w:r>
              <w:rPr>
                <w:color w:val="auto"/>
                <w:spacing w:val="-9"/>
                <w:highlight w:val="none"/>
              </w:rPr>
              <w:t>流程和产排污环节</w:t>
            </w:r>
          </w:p>
        </w:tc>
        <w:tc>
          <w:tcPr>
            <w:tcW w:w="8616" w:type="dxa"/>
            <w:tcBorders>
              <w:tl2br w:val="nil"/>
              <w:tr2bl w:val="nil"/>
            </w:tcBorders>
          </w:tcPr>
          <w:p w14:paraId="7AC5862B">
            <w:pPr>
              <w:ind w:firstLine="480"/>
              <w:rPr>
                <w:color w:val="auto"/>
                <w:highlight w:val="none"/>
              </w:rPr>
            </w:pPr>
            <w:r>
              <w:rPr>
                <w:rFonts w:hint="eastAsia"/>
                <w:color w:val="auto"/>
                <w:highlight w:val="none"/>
              </w:rPr>
              <w:t>工艺流程简述(图示)：</w:t>
            </w:r>
          </w:p>
          <w:p w14:paraId="63F2FD24">
            <w:pPr>
              <w:ind w:firstLine="480"/>
              <w:rPr>
                <w:color w:val="auto"/>
                <w:highlight w:val="none"/>
              </w:rPr>
            </w:pPr>
            <w:r>
              <w:rPr>
                <w:rFonts w:hint="eastAsia"/>
                <w:color w:val="auto"/>
                <w:highlight w:val="none"/>
              </w:rPr>
              <w:t>项目污染因素和对环境影响的时段包括项目施工期和营运期。</w:t>
            </w:r>
          </w:p>
          <w:p w14:paraId="7C4B7BAA">
            <w:pPr>
              <w:numPr>
                <w:ilvl w:val="0"/>
                <w:numId w:val="4"/>
              </w:numPr>
              <w:ind w:firstLine="480" w:firstLineChars="0"/>
              <w:rPr>
                <w:b/>
                <w:bCs/>
                <w:color w:val="auto"/>
                <w:highlight w:val="none"/>
              </w:rPr>
            </w:pPr>
            <w:r>
              <w:rPr>
                <w:rFonts w:hint="eastAsia"/>
                <w:b/>
                <w:bCs/>
                <w:color w:val="auto"/>
                <w:highlight w:val="none"/>
              </w:rPr>
              <w:t>施工期</w:t>
            </w:r>
          </w:p>
          <w:p w14:paraId="31FE9F68">
            <w:pPr>
              <w:widowControl/>
              <w:ind w:firstLine="480"/>
              <w:rPr>
                <w:b w:val="0"/>
                <w:bCs w:val="0"/>
                <w:color w:val="auto"/>
                <w:highlight w:val="none"/>
              </w:rPr>
            </w:pPr>
            <w:r>
              <w:rPr>
                <w:rFonts w:hint="eastAsia"/>
                <w:b w:val="0"/>
                <w:bCs w:val="0"/>
                <w:color w:val="auto"/>
                <w:highlight w:val="none"/>
              </w:rPr>
              <w:t>本项目</w:t>
            </w:r>
            <w:r>
              <w:rPr>
                <w:rFonts w:hint="eastAsia"/>
                <w:b w:val="0"/>
                <w:bCs w:val="0"/>
                <w:color w:val="auto"/>
                <w:highlight w:val="none"/>
                <w:lang w:val="en-US" w:eastAsia="zh-CN"/>
              </w:rPr>
              <w:t>租赁淮南益生啤酒有限公司</w:t>
            </w:r>
            <w:r>
              <w:rPr>
                <w:rFonts w:hint="default"/>
                <w:b w:val="0"/>
                <w:bCs w:val="0"/>
                <w:color w:val="auto"/>
                <w:highlight w:val="none"/>
                <w:lang w:val="en-US" w:eastAsia="zh-CN"/>
              </w:rPr>
              <w:t>的厂房</w:t>
            </w:r>
            <w:r>
              <w:rPr>
                <w:rFonts w:hint="eastAsia"/>
                <w:b w:val="0"/>
                <w:bCs w:val="0"/>
                <w:color w:val="auto"/>
                <w:highlight w:val="none"/>
                <w:lang w:val="en-US" w:eastAsia="zh-CN"/>
              </w:rPr>
              <w:t>建设</w:t>
            </w:r>
            <w:r>
              <w:rPr>
                <w:rFonts w:hint="eastAsia"/>
                <w:b w:val="0"/>
                <w:bCs w:val="0"/>
                <w:highlight w:val="none"/>
                <w:lang w:val="en-US" w:eastAsia="zh-CN"/>
              </w:rPr>
              <w:t>EPS包装材料生产线及EPP汽车零配件生产线各一条</w:t>
            </w:r>
            <w:r>
              <w:rPr>
                <w:rFonts w:hint="eastAsia"/>
                <w:b w:val="0"/>
                <w:bCs w:val="0"/>
                <w:color w:val="auto"/>
                <w:highlight w:val="none"/>
                <w:lang w:val="en-US" w:eastAsia="zh-CN"/>
              </w:rPr>
              <w:t>，其中1#厂房为已建厂房，2#厂房待建。本项目1#厂房</w:t>
            </w:r>
            <w:r>
              <w:rPr>
                <w:rFonts w:hint="eastAsia"/>
                <w:b w:val="0"/>
                <w:bCs w:val="0"/>
                <w:color w:val="auto"/>
                <w:highlight w:val="none"/>
              </w:rPr>
              <w:t>仅新增生产设备，无土建施工。</w:t>
            </w:r>
            <w:r>
              <w:rPr>
                <w:rFonts w:hint="eastAsia"/>
                <w:b w:val="0"/>
                <w:bCs w:val="0"/>
                <w:color w:val="auto"/>
                <w:highlight w:val="none"/>
                <w:lang w:val="en-US" w:eastAsia="zh-CN"/>
              </w:rPr>
              <w:t>2#厂房待工程建设完成后开展本项目建设，</w:t>
            </w:r>
            <w:r>
              <w:rPr>
                <w:rFonts w:hint="eastAsia"/>
                <w:b w:val="0"/>
                <w:bCs w:val="0"/>
                <w:color w:val="auto"/>
                <w:highlight w:val="none"/>
              </w:rPr>
              <w:t>项目施工期对环境影响不大。</w:t>
            </w:r>
          </w:p>
          <w:p w14:paraId="1724ACE9">
            <w:pPr>
              <w:numPr>
                <w:ilvl w:val="0"/>
                <w:numId w:val="4"/>
              </w:numPr>
              <w:ind w:firstLine="482" w:firstLineChars="0"/>
              <w:rPr>
                <w:rFonts w:hint="eastAsia"/>
                <w:lang w:val="en-US" w:eastAsia="zh-CN"/>
              </w:rPr>
            </w:pPr>
            <w:r>
              <w:rPr>
                <w:rFonts w:hint="eastAsia"/>
                <w:b/>
                <w:bCs/>
                <w:color w:val="auto"/>
                <w:highlight w:val="none"/>
              </w:rPr>
              <w:t>营运期工艺流程</w:t>
            </w:r>
          </w:p>
          <w:p w14:paraId="0D77AEB6">
            <w:pPr>
              <w:pStyle w:val="36"/>
              <w:rPr>
                <w:rFonts w:hint="default"/>
                <w:b/>
                <w:bCs/>
                <w:lang w:val="en-US"/>
              </w:rPr>
            </w:pPr>
            <w:r>
              <w:rPr>
                <w:rFonts w:hint="eastAsia"/>
                <w:b/>
                <w:bCs/>
                <w:lang w:val="en-US" w:eastAsia="zh-CN"/>
              </w:rPr>
              <w:t>（1）EPS包装材料生产线工艺流程</w:t>
            </w:r>
          </w:p>
          <w:p w14:paraId="50A4E9F0">
            <w:pPr>
              <w:bidi w:val="0"/>
              <w:rPr>
                <w:rFonts w:hint="eastAsia"/>
                <w:lang w:val="en-US" w:eastAsia="zh-CN"/>
              </w:rPr>
            </w:pPr>
            <w:r>
              <w:rPr>
                <w:rFonts w:hint="eastAsia"/>
                <w:lang w:val="en-US" w:eastAsia="zh-CN"/>
              </w:rPr>
              <w:t>本项目使用EPS珠粒新料，粒径约0.4-0.7mm，采用物理发泡工艺。</w:t>
            </w:r>
          </w:p>
          <w:p w14:paraId="2A0D47F1">
            <w:pPr>
              <w:rPr>
                <w:rFonts w:hint="eastAsia"/>
                <w:color w:val="auto"/>
              </w:rPr>
            </w:pPr>
            <w:r>
              <w:rPr>
                <w:rFonts w:hint="eastAsia"/>
                <w:color w:val="auto"/>
              </w:rPr>
              <w:t>物理发泡原理：EPS 珠粒在温度大于80度才可发泡。发泡机通入蒸汽，促使颗粒内包裹的液态发泡剂受热气化，蒸汽透入泡孔的速率超过发泡剂从泡孔中渗出的速率，使发泡气体留在泡孔内，从而使泡孔中总压力增加，发泡剂在泡孔中来不及溢出，使聚合物牵伸呈橡胶状态，其强度足以平衡内部的压力，从而使珠粒发泡，使聚合物得到延伸，珠粒得到预膨胀，而使珠粒体积不断增大，发泡剂的加入加快了发泡的速度，使发泡过程更快、更高效地完成。</w:t>
            </w:r>
          </w:p>
          <w:p w14:paraId="1145599E">
            <w:pPr>
              <w:rPr>
                <w:rFonts w:hint="eastAsia"/>
                <w:lang w:eastAsia="zh-CN"/>
              </w:rPr>
            </w:pPr>
            <w:r>
              <w:rPr>
                <w:rFonts w:hint="eastAsia"/>
                <w:b w:val="0"/>
                <w:bCs w:val="0"/>
                <w:color w:val="auto"/>
                <w:highlight w:val="none"/>
                <w:lang w:val="en-US" w:eastAsia="zh-CN"/>
              </w:rPr>
              <w:t>本项目</w:t>
            </w:r>
            <w:r>
              <w:rPr>
                <w:rFonts w:hint="eastAsia"/>
                <w:b w:val="0"/>
                <w:bCs w:val="0"/>
                <w:highlight w:val="none"/>
                <w:lang w:val="en-US" w:eastAsia="zh-CN"/>
              </w:rPr>
              <w:t>EPS包装材料生产线工艺</w:t>
            </w:r>
            <w:r>
              <w:rPr>
                <w:rFonts w:hint="eastAsia"/>
                <w:color w:val="auto"/>
                <w:highlight w:val="none"/>
              </w:rPr>
              <w:t>（见图2-</w:t>
            </w:r>
            <w:r>
              <w:rPr>
                <w:rFonts w:hint="eastAsia"/>
                <w:color w:val="auto"/>
                <w:highlight w:val="none"/>
                <w:lang w:val="en-US" w:eastAsia="zh-CN"/>
              </w:rPr>
              <w:t>3</w:t>
            </w:r>
            <w:r>
              <w:rPr>
                <w:rFonts w:hint="eastAsia"/>
                <w:color w:val="auto"/>
                <w:highlight w:val="none"/>
                <w:lang w:eastAsia="zh-CN"/>
              </w:rPr>
              <w:t>）。</w:t>
            </w:r>
          </w:p>
          <w:p w14:paraId="55377DB0">
            <w:pPr>
              <w:pStyle w:val="91"/>
              <w:spacing w:after="120"/>
              <w:rPr>
                <w:rFonts w:hint="eastAsia"/>
                <w:color w:val="auto"/>
                <w:highlight w:val="yellow"/>
              </w:rPr>
            </w:pPr>
            <w:r>
              <w:rPr>
                <w:rFonts w:hint="default"/>
                <w:lang w:val="en-US" w:eastAsia="zh-CN"/>
              </w:rPr>
              <w:drawing>
                <wp:inline distT="0" distB="0" distL="114300" distR="114300">
                  <wp:extent cx="3391535" cy="5163820"/>
                  <wp:effectExtent l="0" t="0" r="18415" b="17780"/>
                  <wp:docPr id="20" name="图片 20" descr="益生包装工艺图1.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益生包装工艺图1.drawio"/>
                          <pic:cNvPicPr>
                            <a:picLocks noChangeAspect="1"/>
                          </pic:cNvPicPr>
                        </pic:nvPicPr>
                        <pic:blipFill>
                          <a:blip r:embed="rId24"/>
                          <a:stretch>
                            <a:fillRect/>
                          </a:stretch>
                        </pic:blipFill>
                        <pic:spPr>
                          <a:xfrm>
                            <a:off x="0" y="0"/>
                            <a:ext cx="3391535" cy="5163820"/>
                          </a:xfrm>
                          <a:prstGeom prst="rect">
                            <a:avLst/>
                          </a:prstGeom>
                        </pic:spPr>
                      </pic:pic>
                    </a:graphicData>
                  </a:graphic>
                </wp:inline>
              </w:drawing>
            </w:r>
          </w:p>
          <w:p w14:paraId="5562D28B">
            <w:pPr>
              <w:pStyle w:val="91"/>
              <w:spacing w:after="120"/>
              <w:rPr>
                <w:rFonts w:hint="eastAsia"/>
                <w:color w:val="auto"/>
                <w:highlight w:val="none"/>
                <w:lang w:val="en-US" w:eastAsia="zh-CN"/>
              </w:rPr>
            </w:pPr>
            <w:r>
              <w:rPr>
                <w:rFonts w:hint="eastAsia"/>
                <w:color w:val="auto"/>
                <w:sz w:val="24"/>
                <w:szCs w:val="24"/>
                <w:highlight w:val="none"/>
              </w:rPr>
              <w:t>图2-</w:t>
            </w:r>
            <w:r>
              <w:rPr>
                <w:rFonts w:hint="eastAsia"/>
                <w:color w:val="auto"/>
                <w:sz w:val="24"/>
                <w:szCs w:val="24"/>
                <w:highlight w:val="none"/>
                <w:lang w:val="en-US" w:eastAsia="zh-CN"/>
              </w:rPr>
              <w:t>3</w:t>
            </w:r>
            <w:r>
              <w:rPr>
                <w:rFonts w:hint="eastAsia"/>
                <w:color w:val="auto"/>
                <w:sz w:val="24"/>
                <w:szCs w:val="24"/>
                <w:highlight w:val="none"/>
              </w:rPr>
              <w:t xml:space="preserve"> EPS工艺流程及产污节点图</w:t>
            </w:r>
          </w:p>
          <w:p w14:paraId="74115DFB">
            <w:pPr>
              <w:bidi w:val="0"/>
              <w:rPr>
                <w:b/>
                <w:bCs/>
              </w:rPr>
            </w:pPr>
            <w:r>
              <w:rPr>
                <w:b/>
                <w:bCs/>
              </w:rPr>
              <w:t>生产工艺流程简述：</w:t>
            </w:r>
          </w:p>
          <w:p w14:paraId="65F90181">
            <w:pPr>
              <w:bidi w:val="0"/>
              <w:rPr>
                <w:rFonts w:hint="eastAsia"/>
                <w:color w:val="auto"/>
                <w:lang w:val="en-US" w:eastAsia="zh-CN"/>
              </w:rPr>
            </w:pPr>
            <w:r>
              <w:rPr>
                <w:rFonts w:hint="eastAsia"/>
                <w:b/>
                <w:bCs/>
                <w:lang w:val="en-US" w:eastAsia="zh-CN"/>
              </w:rPr>
              <w:t>投料：</w:t>
            </w:r>
            <w:r>
              <w:rPr>
                <w:rFonts w:hint="eastAsia"/>
                <w:b w:val="0"/>
                <w:bCs w:val="0"/>
                <w:lang w:val="en-US" w:eastAsia="zh-CN"/>
              </w:rPr>
              <w:t>EPS珠粒通过人工投入矩形料斗，</w:t>
            </w:r>
            <w:r>
              <w:rPr>
                <w:color w:val="auto"/>
              </w:rPr>
              <w:t>(EPS 珠粒粒径约0.4-0.7mm</w:t>
            </w:r>
            <w:r>
              <w:rPr>
                <w:rFonts w:hint="eastAsia"/>
                <w:color w:val="auto"/>
              </w:rPr>
              <w:t>，</w:t>
            </w:r>
            <w:r>
              <w:rPr>
                <w:color w:val="auto"/>
              </w:rPr>
              <w:t>在投料过程中不产生投料粉尘)</w:t>
            </w:r>
            <w:r>
              <w:rPr>
                <w:rFonts w:hint="eastAsia"/>
                <w:color w:val="auto"/>
                <w:lang w:eastAsia="zh-CN"/>
              </w:rPr>
              <w:t>，</w:t>
            </w:r>
            <w:r>
              <w:rPr>
                <w:rFonts w:hint="eastAsia"/>
                <w:color w:val="auto"/>
                <w:lang w:val="en-US" w:eastAsia="zh-CN"/>
              </w:rPr>
              <w:t>此工序产生噪声。</w:t>
            </w:r>
          </w:p>
          <w:p w14:paraId="1D969039">
            <w:pPr>
              <w:ind w:firstLine="482"/>
              <w:rPr>
                <w:spacing w:val="-4"/>
              </w:rPr>
            </w:pPr>
            <w:r>
              <w:rPr>
                <w:rFonts w:hint="eastAsia"/>
                <w:b/>
                <w:bCs/>
                <w:color w:val="auto"/>
                <w:lang w:val="en-US" w:eastAsia="zh-CN"/>
              </w:rPr>
              <w:t>加热预发（发泡）：</w:t>
            </w:r>
            <w:r>
              <w:rPr>
                <w:rFonts w:hint="eastAsia"/>
                <w:b w:val="0"/>
                <w:bCs w:val="0"/>
                <w:color w:val="auto"/>
                <w:lang w:val="en-US" w:eastAsia="zh-CN"/>
              </w:rPr>
              <w:t>进入矩形料斗的EPS珠粒通过</w:t>
            </w:r>
            <w:r>
              <w:rPr>
                <w:color w:val="auto"/>
              </w:rPr>
              <w:t>螺旋进料器</w:t>
            </w:r>
            <w:r>
              <w:rPr>
                <w:rFonts w:hint="eastAsia"/>
                <w:color w:val="auto"/>
                <w:lang w:val="en-US" w:eastAsia="zh-CN"/>
              </w:rPr>
              <w:t>进入全自动间歇式发泡机</w:t>
            </w:r>
            <w:r>
              <w:rPr>
                <w:color w:val="auto"/>
              </w:rPr>
              <w:t>自动计量定量</w:t>
            </w:r>
            <w:r>
              <w:rPr>
                <w:rFonts w:hint="eastAsia"/>
                <w:color w:val="auto"/>
                <w:lang w:val="en-US" w:eastAsia="zh-CN"/>
              </w:rPr>
              <w:t>称量装置进行称重，称重后的原料通过真空负压输送至发泡机</w:t>
            </w:r>
            <w:r>
              <w:rPr>
                <w:color w:val="auto"/>
              </w:rPr>
              <w:t>的全封闭式不锈钢筒内</w:t>
            </w:r>
            <w:r>
              <w:rPr>
                <w:rFonts w:hint="eastAsia"/>
                <w:color w:val="auto"/>
                <w:lang w:eastAsia="zh-CN"/>
              </w:rPr>
              <w:t>，</w:t>
            </w:r>
            <w:r>
              <w:rPr>
                <w:color w:val="auto"/>
              </w:rPr>
              <w:t>密封阀门</w:t>
            </w:r>
            <w:r>
              <w:rPr>
                <w:rFonts w:hint="eastAsia"/>
                <w:color w:val="auto"/>
                <w:lang w:eastAsia="zh-CN"/>
              </w:rPr>
              <w:t>，</w:t>
            </w:r>
            <w:r>
              <w:rPr>
                <w:rFonts w:hint="eastAsia"/>
                <w:color w:val="auto"/>
                <w:lang w:val="en-US" w:eastAsia="zh-CN"/>
              </w:rPr>
              <w:t>主轴搅拌。加热蒸汽（外购，园区提供）通过发泡筒</w:t>
            </w:r>
            <w:r>
              <w:rPr>
                <w:rFonts w:hint="eastAsia"/>
                <w:color w:val="auto"/>
                <w:highlight w:val="none"/>
                <w:lang w:val="en-US" w:eastAsia="zh-CN"/>
              </w:rPr>
              <w:t>底部</w:t>
            </w:r>
            <w:r>
              <w:rPr>
                <w:rFonts w:hint="eastAsia"/>
                <w:color w:val="auto"/>
                <w:lang w:val="en-US" w:eastAsia="zh-CN"/>
              </w:rPr>
              <w:t>蒸汽气室板均匀地进入筒体内，压力逐渐增高至0.3~0.35公斤，</w:t>
            </w:r>
            <w:r>
              <w:rPr>
                <w:color w:val="auto"/>
              </w:rPr>
              <w:t>预发泡温度一般控制在</w:t>
            </w:r>
            <w:r>
              <w:rPr>
                <w:rFonts w:hint="eastAsia"/>
                <w:color w:val="auto"/>
                <w:lang w:val="en-US" w:eastAsia="zh-CN"/>
              </w:rPr>
              <w:t>75</w:t>
            </w:r>
            <w:r>
              <w:rPr>
                <w:color w:val="auto"/>
              </w:rPr>
              <w:t>℃</w:t>
            </w:r>
            <w:r>
              <w:rPr>
                <w:rFonts w:hint="eastAsia"/>
                <w:color w:val="auto"/>
                <w:lang w:val="en-US" w:eastAsia="zh-CN"/>
              </w:rPr>
              <w:t>~105</w:t>
            </w:r>
            <w:r>
              <w:rPr>
                <w:color w:val="auto"/>
              </w:rPr>
              <w:t>℃左右，单次预发时间约50~60S。</w:t>
            </w:r>
            <w:r>
              <w:rPr>
                <w:spacing w:val="1"/>
              </w:rPr>
              <w:t>此时</w:t>
            </w:r>
            <w:r>
              <w:rPr>
                <w:color w:val="auto"/>
              </w:rPr>
              <w:t>含有发泡剂戊烷的EPS颗粒开始软化，珠粒内的发泡剂受热气化产生压力使珠粒膨胀，形成互不联通的泡孔（闭孔）</w:t>
            </w:r>
            <w:r>
              <w:rPr>
                <w:spacing w:val="-1"/>
              </w:rPr>
              <w:t>，体积增加，密度减少。</w:t>
            </w:r>
            <w:r>
              <w:rPr>
                <w:rFonts w:hint="eastAsia"/>
                <w:color w:val="auto"/>
                <w:lang w:val="en-US" w:eastAsia="zh-CN"/>
              </w:rPr>
              <w:t>全自动间歇式发泡机筒体</w:t>
            </w:r>
            <w:r>
              <w:rPr>
                <w:spacing w:val="-4"/>
              </w:rPr>
              <w:t>外部配置可设定的料位传感器，当发泡料在搅拌和蒸汽加温加压作用下料位逐渐提升，感应器感应到发泡料位时，停止加热。此时发泡颗粒密度达到设定的要求。</w:t>
            </w:r>
            <w:r>
              <w:rPr>
                <w:rFonts w:hint="eastAsia"/>
                <w:color w:val="auto"/>
                <w:lang w:val="en-US" w:eastAsia="zh-CN"/>
              </w:rPr>
              <w:t>筒体</w:t>
            </w:r>
            <w:r>
              <w:rPr>
                <w:spacing w:val="-4"/>
              </w:rPr>
              <w:t>内部进行减压。当桶内压力为零时，打开筒体出料门进行放料。</w:t>
            </w:r>
          </w:p>
          <w:p w14:paraId="6787B444">
            <w:pPr>
              <w:bidi w:val="0"/>
            </w:pPr>
            <w:r>
              <w:t>加热过程中的高温冷凝水通过回水管回到</w:t>
            </w:r>
            <w:r>
              <w:rPr>
                <w:rFonts w:hint="eastAsia"/>
                <w:lang w:val="en-US" w:eastAsia="zh-CN"/>
              </w:rPr>
              <w:t>循环水箱后经冷却塔冷却后回用</w:t>
            </w:r>
            <w:r>
              <w:t>，排放的残余蒸汽通过散热器给</w:t>
            </w:r>
            <w:r>
              <w:rPr>
                <w:rFonts w:hint="eastAsia"/>
                <w:lang w:val="en-US" w:eastAsia="zh-CN"/>
              </w:rPr>
              <w:t>发泡机下层</w:t>
            </w:r>
            <w:r>
              <w:t>烘房进行加热，冷凝水通过回水管道</w:t>
            </w:r>
            <w:r>
              <w:rPr>
                <w:rFonts w:hint="eastAsia"/>
                <w:lang w:val="en-US" w:eastAsia="zh-CN"/>
              </w:rPr>
              <w:t>回到循环水箱后经冷却塔冷却后回用</w:t>
            </w:r>
            <w:r>
              <w:t>。此过程产生有机废气非甲烷总烃、苯乙烯和噪声。</w:t>
            </w:r>
          </w:p>
          <w:p w14:paraId="796CD8AF">
            <w:pPr>
              <w:bidi w:val="0"/>
              <w:rPr>
                <w:rFonts w:hint="eastAsia"/>
                <w:highlight w:val="none"/>
                <w:lang w:eastAsia="zh-CN"/>
              </w:rPr>
            </w:pPr>
            <w:r>
              <w:rPr>
                <w:highlight w:val="none"/>
              </w:rPr>
              <w:t>项目拟在发泡机区域上</w:t>
            </w:r>
            <w:r>
              <w:rPr>
                <w:color w:val="auto"/>
                <w:highlight w:val="none"/>
              </w:rPr>
              <w:t>方设置集气罩收集废气</w:t>
            </w:r>
            <w:r>
              <w:rPr>
                <w:rFonts w:hint="eastAsia"/>
                <w:color w:val="auto"/>
                <w:highlight w:val="none"/>
                <w:lang w:val="en-US" w:eastAsia="zh-CN"/>
              </w:rPr>
              <w:t>及蒸汽不凝气</w:t>
            </w:r>
            <w:r>
              <w:rPr>
                <w:color w:val="auto"/>
                <w:highlight w:val="none"/>
              </w:rPr>
              <w:t>，收</w:t>
            </w:r>
            <w:r>
              <w:rPr>
                <w:highlight w:val="none"/>
              </w:rPr>
              <w:t>集后送至</w:t>
            </w:r>
            <w:r>
              <w:rPr>
                <w:rFonts w:hint="eastAsia"/>
                <w:highlight w:val="none"/>
                <w:lang w:eastAsia="zh-CN"/>
              </w:rPr>
              <w:t>“</w:t>
            </w:r>
            <w:r>
              <w:rPr>
                <w:rFonts w:hint="eastAsia"/>
                <w:highlight w:val="none"/>
                <w:lang w:val="en-US" w:eastAsia="zh-CN"/>
              </w:rPr>
              <w:t>冷凝+二级活性炭</w:t>
            </w:r>
            <w:r>
              <w:rPr>
                <w:rFonts w:hint="eastAsia"/>
                <w:highlight w:val="none"/>
                <w:lang w:eastAsia="zh-CN"/>
              </w:rPr>
              <w:t>”</w:t>
            </w:r>
            <w:r>
              <w:rPr>
                <w:highlight w:val="none"/>
              </w:rPr>
              <w:t>装置进行处理，尾气达标后经过 2</w:t>
            </w:r>
            <w:r>
              <w:rPr>
                <w:rFonts w:hint="eastAsia"/>
                <w:highlight w:val="none"/>
                <w:lang w:val="en-US" w:eastAsia="zh-CN"/>
              </w:rPr>
              <w:t>1</w:t>
            </w:r>
            <w:r>
              <w:rPr>
                <w:highlight w:val="none"/>
              </w:rPr>
              <w:t>m排气筒排放。</w:t>
            </w:r>
          </w:p>
          <w:p w14:paraId="448EEE98">
            <w:pPr>
              <w:ind w:firstLine="482"/>
              <w:rPr>
                <w:rFonts w:hint="eastAsia" w:eastAsia="宋体"/>
                <w:color w:val="auto"/>
                <w:lang w:eastAsia="zh-CN"/>
              </w:rPr>
            </w:pPr>
            <w:r>
              <w:rPr>
                <w:rFonts w:hint="eastAsia"/>
                <w:b/>
                <w:bCs/>
                <w:color w:val="auto"/>
              </w:rPr>
              <w:t>干燥：</w:t>
            </w:r>
            <w:r>
              <w:rPr>
                <w:rFonts w:hint="eastAsia"/>
                <w:color w:val="auto"/>
              </w:rPr>
              <w:t>经预发泡后的EPS珠粒由出料口直接落入流化干燥机，干燥机吹入自然风，维持100s</w:t>
            </w:r>
            <w:r>
              <w:rPr>
                <w:rFonts w:hint="eastAsia"/>
                <w:color w:val="auto"/>
                <w:lang w:eastAsia="zh-CN"/>
              </w:rPr>
              <w:t>，</w:t>
            </w:r>
            <w:r>
              <w:rPr>
                <w:spacing w:val="-4"/>
              </w:rPr>
              <w:t>将原料表面残留的水分蒸发。</w:t>
            </w:r>
          </w:p>
          <w:p w14:paraId="5B7D8FAA">
            <w:pPr>
              <w:pStyle w:val="95"/>
              <w:spacing w:before="36" w:line="346" w:lineRule="auto"/>
              <w:ind w:left="118" w:right="107" w:firstLine="480"/>
              <w:rPr>
                <w:rFonts w:hint="eastAsia"/>
                <w:color w:val="auto"/>
              </w:rPr>
            </w:pPr>
            <w:r>
              <w:rPr>
                <w:rFonts w:hint="eastAsia"/>
                <w:color w:val="auto"/>
              </w:rPr>
              <w:t>此工序温度为常温不产生废气，有噪声产生。</w:t>
            </w:r>
          </w:p>
          <w:p w14:paraId="34BD6AFC">
            <w:pPr>
              <w:bidi w:val="0"/>
            </w:pPr>
            <w:r>
              <w:rPr>
                <w:rFonts w:hint="eastAsia"/>
                <w:b/>
                <w:bCs/>
                <w:lang w:val="en-US" w:eastAsia="zh-CN"/>
              </w:rPr>
              <w:t>常温</w:t>
            </w:r>
            <w:r>
              <w:rPr>
                <w:b/>
                <w:bCs/>
              </w:rPr>
              <w:t>熟化：</w:t>
            </w:r>
            <w:r>
              <w:t>发泡后物料在</w:t>
            </w:r>
            <w:r>
              <w:rPr>
                <w:rFonts w:hint="eastAsia"/>
                <w:color w:val="auto"/>
              </w:rPr>
              <w:t>流化干燥机</w:t>
            </w:r>
            <w:r>
              <w:t>内</w:t>
            </w:r>
            <w:r>
              <w:rPr>
                <w:rFonts w:hint="eastAsia"/>
                <w:lang w:val="en-US" w:eastAsia="zh-CN"/>
              </w:rPr>
              <w:t>干燥</w:t>
            </w:r>
            <w:r>
              <w:t>后经过管道封闭吸泵输送至熟化料仓内进行熟化处理，时间一般为8-12小</w:t>
            </w:r>
            <w:r>
              <w:rPr>
                <w:color w:val="auto"/>
              </w:rPr>
              <w:t>时</w:t>
            </w:r>
            <w:r>
              <w:rPr>
                <w:rFonts w:hint="eastAsia"/>
                <w:color w:val="auto"/>
                <w:lang w:eastAsia="zh-CN"/>
              </w:rPr>
              <w:t>，</w:t>
            </w:r>
            <w:r>
              <w:rPr>
                <w:rFonts w:hint="eastAsia"/>
                <w:color w:val="auto"/>
                <w:lang w:val="en-US" w:eastAsia="zh-CN"/>
              </w:rPr>
              <w:t>熟化温度为常温熟化</w:t>
            </w:r>
            <w:r>
              <w:rPr>
                <w:color w:val="auto"/>
              </w:rPr>
              <w:t>。</w:t>
            </w:r>
            <w:r>
              <w:t>泡沫粒子通过膨胀改变密度后体积增大，珠粒内锁住的发泡剂和水蒸气被冷凝成液体，使泡孔内形成了负压。在</w:t>
            </w:r>
            <w:r>
              <w:rPr>
                <w:rFonts w:hint="eastAsia"/>
                <w:lang w:val="en-US" w:eastAsia="zh-CN"/>
              </w:rPr>
              <w:t>常温</w:t>
            </w:r>
            <w:r>
              <w:t>空气中暴露一段时间，使空气逐步渗入珠粒内部，令珠粒内外压力保持平衡，使冷凝的发泡剂再渗入到粒子中去，以防止成型后收缩。发泡好的珠粒仍为颗粒状，但体积膨胀增大约20～60倍，流动性较好。</w:t>
            </w:r>
          </w:p>
          <w:p w14:paraId="72A5CD98">
            <w:pPr>
              <w:bidi w:val="0"/>
              <w:rPr>
                <w:rFonts w:hint="default" w:eastAsia="宋体"/>
                <w:lang w:val="en-US" w:eastAsia="zh-CN"/>
              </w:rPr>
            </w:pPr>
            <w:r>
              <w:rPr>
                <w:rFonts w:hint="eastAsia"/>
                <w:lang w:val="en-US" w:eastAsia="zh-CN"/>
              </w:rPr>
              <w:t>本项目熟化料仓为尼龙网袋，在发泡机东西两侧成片大区域布置，熟化过程不封闭</w:t>
            </w:r>
            <w:r>
              <w:t>使得空气尽可能自由出入接触珠粒完成熟化过程</w:t>
            </w:r>
            <w:r>
              <w:rPr>
                <w:rFonts w:hint="eastAsia"/>
                <w:lang w:eastAsia="zh-CN"/>
              </w:rPr>
              <w:t>。</w:t>
            </w:r>
          </w:p>
          <w:p w14:paraId="70A3CD7B">
            <w:pPr>
              <w:bidi w:val="0"/>
              <w:rPr>
                <w:rFonts w:hint="eastAsia"/>
                <w:lang w:val="en-US" w:eastAsia="zh-CN"/>
              </w:rPr>
            </w:pPr>
            <w:r>
              <w:rPr>
                <w:rFonts w:hint="eastAsia"/>
                <w:lang w:val="en-US" w:eastAsia="zh-CN"/>
              </w:rPr>
              <w:t>EPS发泡剂逸散挥发有机废气及残留苯乙烯单体</w:t>
            </w:r>
            <w:r>
              <w:t>有机废气基本已</w:t>
            </w:r>
            <w:r>
              <w:rPr>
                <w:rFonts w:hint="eastAsia"/>
                <w:lang w:val="en-US" w:eastAsia="zh-CN"/>
              </w:rPr>
              <w:t>在加热预发发泡过程中</w:t>
            </w:r>
            <w:r>
              <w:t>挥发</w:t>
            </w:r>
            <w:r>
              <w:rPr>
                <w:rFonts w:hint="eastAsia"/>
                <w:lang w:eastAsia="zh-CN"/>
              </w:rPr>
              <w:t>，</w:t>
            </w:r>
            <w:r>
              <w:t>泵送进入熟化料仓内的珠粒熟化过程</w:t>
            </w:r>
            <w:r>
              <w:rPr>
                <w:color w:val="auto"/>
              </w:rPr>
              <w:t>在自然环境</w:t>
            </w:r>
            <w:r>
              <w:rPr>
                <w:rFonts w:hint="eastAsia"/>
                <w:color w:val="auto"/>
                <w:lang w:val="en-US" w:eastAsia="zh-CN"/>
              </w:rPr>
              <w:t>温度</w:t>
            </w:r>
            <w:r>
              <w:rPr>
                <w:color w:val="auto"/>
              </w:rPr>
              <w:t>中进行</w:t>
            </w:r>
            <w:r>
              <w:t>，无需加热，</w:t>
            </w:r>
            <w:r>
              <w:rPr>
                <w:rFonts w:hint="eastAsia"/>
                <w:lang w:val="en-US" w:eastAsia="zh-CN"/>
              </w:rPr>
              <w:t>熟化</w:t>
            </w:r>
            <w:r>
              <w:t>过程挥发的有机废气极少。</w:t>
            </w:r>
            <w:r>
              <w:rPr>
                <w:rFonts w:hint="eastAsia"/>
                <w:lang w:val="en-US" w:eastAsia="zh-CN"/>
              </w:rPr>
              <w:t>此工序产生噪声。</w:t>
            </w:r>
          </w:p>
          <w:p w14:paraId="43BCABC6">
            <w:pPr>
              <w:bidi w:val="0"/>
              <w:rPr>
                <w:rFonts w:hint="eastAsia" w:ascii="Times New Roman" w:hAnsi="Times New Roman" w:eastAsia="宋体" w:cs="Times New Roman"/>
                <w:lang w:val="en-US" w:eastAsia="zh-CN"/>
              </w:rPr>
            </w:pPr>
            <w:r>
              <w:rPr>
                <w:rFonts w:hint="eastAsia"/>
                <w:b/>
                <w:bCs/>
                <w:lang w:val="en-US" w:eastAsia="zh-CN"/>
              </w:rPr>
              <w:t>成型：</w:t>
            </w:r>
            <w:r>
              <w:rPr>
                <w:rFonts w:hint="eastAsia" w:ascii="Times New Roman" w:hAnsi="Times New Roman" w:eastAsia="宋体" w:cs="Times New Roman"/>
                <w:lang w:val="en-US" w:eastAsia="zh-CN"/>
              </w:rPr>
              <w:t>自动成型机内EPS泡塑模具凸模移动合模，模具内抽真空后，熟化好的珠粒通过熟化料仓下部封闭管道吸泵进入泡沫成型机模具进行成型，闭模与压紧模具以防止发泡过程顶开，加热蒸汽（温度控制在160-180℃左右）通过模具内壁面上小孔或狭槽直接进入型腔对模具进行加热</w:t>
            </w:r>
            <w:r>
              <w:rPr>
                <w:rFonts w:hint="eastAsia" w:ascii="Times New Roman" w:hAnsi="Times New Roman" w:eastAsia="宋体" w:cs="Times New Roman"/>
                <w:highlight w:val="none"/>
                <w:lang w:val="en-US" w:eastAsia="zh-CN"/>
              </w:rPr>
              <w:t>，模具热气间接对珠粒进行加热，模具内温度在70~105℃。珠粒受热软化，珠粒泡中</w:t>
            </w:r>
            <w:r>
              <w:rPr>
                <w:rFonts w:hint="eastAsia" w:ascii="Times New Roman" w:hAnsi="Times New Roman" w:eastAsia="宋体" w:cs="Times New Roman"/>
                <w:lang w:val="en-US" w:eastAsia="zh-CN"/>
              </w:rPr>
              <w:t>的发泡剂和冷凝水蒸发成气体进入珠粒泡孔，珠粒进一步膨胀而增大体积，由于型腔空间的限制，膨胀的颗粒填满型腔空间而结成整块，形成与模具相同的泡沫塑料。</w:t>
            </w:r>
          </w:p>
          <w:p w14:paraId="5C1AE2D3">
            <w:pPr>
              <w:bidi w:val="0"/>
              <w:rPr>
                <w:spacing w:val="-1"/>
              </w:rPr>
            </w:pPr>
            <w:r>
              <w:rPr>
                <w:rFonts w:hint="eastAsia"/>
                <w:spacing w:val="-4"/>
                <w:lang w:val="en-US" w:eastAsia="zh-CN"/>
              </w:rPr>
              <w:t>此</w:t>
            </w:r>
            <w:r>
              <w:rPr>
                <w:spacing w:val="-4"/>
              </w:rPr>
              <w:t>过程产</w:t>
            </w:r>
            <w:r>
              <w:rPr>
                <w:spacing w:val="-1"/>
              </w:rPr>
              <w:t>生</w:t>
            </w:r>
            <w:r>
              <w:rPr>
                <w:spacing w:val="-4"/>
              </w:rPr>
              <w:t>少量非甲烷总烃</w:t>
            </w:r>
            <w:r>
              <w:rPr>
                <w:spacing w:val="-1"/>
              </w:rPr>
              <w:t>、噪声。</w:t>
            </w:r>
          </w:p>
          <w:p w14:paraId="0A9F888D">
            <w:pPr>
              <w:pStyle w:val="95"/>
              <w:spacing w:before="36" w:line="356" w:lineRule="auto"/>
              <w:ind w:left="112" w:right="44" w:firstLine="483"/>
              <w:jc w:val="both"/>
              <w:rPr>
                <w:rFonts w:hint="eastAsia"/>
                <w:b/>
                <w:bCs/>
                <w:spacing w:val="-1"/>
                <w:lang w:val="en-US" w:eastAsia="zh-CN"/>
              </w:rPr>
            </w:pPr>
            <w:r>
              <w:rPr>
                <w:b/>
                <w:bCs/>
                <w:spacing w:val="-1"/>
              </w:rPr>
              <w:t>冷却脱模：</w:t>
            </w:r>
            <w:r>
              <w:rPr>
                <w:rFonts w:hint="eastAsia"/>
                <w:b w:val="0"/>
                <w:bCs w:val="0"/>
                <w:spacing w:val="-1"/>
                <w:lang w:val="en-US" w:eastAsia="zh-CN"/>
              </w:rPr>
              <w:t>本项目使用水冷及真空冷却两种方式对模具进行冷却。</w:t>
            </w:r>
          </w:p>
          <w:p w14:paraId="4BF5231E">
            <w:pPr>
              <w:bidi w:val="0"/>
              <w:rPr>
                <w:rFonts w:hint="default"/>
                <w:lang w:val="en-US" w:eastAsia="zh-CN"/>
              </w:rPr>
            </w:pPr>
            <w:r>
              <w:rPr>
                <w:rFonts w:hint="eastAsia"/>
                <w:lang w:val="en-US" w:eastAsia="zh-CN"/>
              </w:rPr>
              <w:t>水冷</w:t>
            </w:r>
            <w:r>
              <w:t>过程</w:t>
            </w:r>
            <w:r>
              <w:rPr>
                <w:rFonts w:hint="eastAsia"/>
                <w:lang w:eastAsia="zh-CN"/>
              </w:rPr>
              <w:t>：</w:t>
            </w:r>
            <w:r>
              <w:rPr>
                <w:rFonts w:hint="eastAsia"/>
                <w:lang w:val="en-US" w:eastAsia="zh-CN"/>
              </w:rPr>
              <w:t>本项目模具冷却水系统包含模具冷却水水池（18m³）、循环水箱（90m³）、冷却塔（200m³）及循环水管道组成。预压成型后，循环冷却水通过管道进入模腔中</w:t>
            </w:r>
            <w:r>
              <w:t>对模具进</w:t>
            </w:r>
            <w:r>
              <w:rPr>
                <w:color w:val="auto"/>
              </w:rPr>
              <w:t>行</w:t>
            </w:r>
            <w:r>
              <w:rPr>
                <w:rFonts w:hint="eastAsia"/>
                <w:color w:val="auto"/>
                <w:highlight w:val="none"/>
                <w:lang w:val="en-US" w:eastAsia="zh-CN"/>
              </w:rPr>
              <w:t>直接</w:t>
            </w:r>
            <w:r>
              <w:rPr>
                <w:color w:val="auto"/>
                <w:highlight w:val="none"/>
              </w:rPr>
              <w:t>冷</w:t>
            </w:r>
            <w:r>
              <w:rPr>
                <w:color w:val="auto"/>
              </w:rPr>
              <w:t>却，冷却</w:t>
            </w:r>
            <w:r>
              <w:t>以时间设定为标准</w:t>
            </w:r>
            <w:r>
              <w:rPr>
                <w:rFonts w:hint="eastAsia"/>
                <w:lang w:eastAsia="zh-CN"/>
              </w:rPr>
              <w:t>。</w:t>
            </w:r>
            <w:r>
              <w:rPr>
                <w:rFonts w:hint="eastAsia"/>
                <w:lang w:val="en-US" w:eastAsia="zh-CN"/>
              </w:rPr>
              <w:t>模具冷却水</w:t>
            </w:r>
            <w:r>
              <w:t>通过回水管道</w:t>
            </w:r>
            <w:r>
              <w:rPr>
                <w:rFonts w:hint="eastAsia"/>
                <w:lang w:val="en-US" w:eastAsia="zh-CN"/>
              </w:rPr>
              <w:t>回到循环水箱后经冷却塔冷却后回用，不外排。</w:t>
            </w:r>
          </w:p>
          <w:p w14:paraId="5E4421BB">
            <w:pPr>
              <w:bidi w:val="0"/>
              <w:rPr>
                <w:rFonts w:hint="default" w:eastAsia="宋体"/>
                <w:lang w:val="en-US" w:eastAsia="zh-CN"/>
              </w:rPr>
            </w:pPr>
            <w:r>
              <w:rPr>
                <w:rFonts w:hint="eastAsia"/>
                <w:lang w:val="en-US" w:eastAsia="zh-CN"/>
              </w:rPr>
              <w:t>真空冷却过程：水冷结束</w:t>
            </w:r>
            <w:r>
              <w:t>后进入真空冷却过程。真空冷却采用中央真空系统，打开真空阀后，模腔和真空发生器逐渐产生负压。</w:t>
            </w:r>
            <w:r>
              <w:rPr>
                <w:rFonts w:hint="eastAsia"/>
                <w:lang w:val="en-US" w:eastAsia="zh-CN"/>
              </w:rPr>
              <w:t>真空状态下，高温使水汽化，水汽化带走热量使产品及模具进一步降温</w:t>
            </w:r>
            <w:r>
              <w:t>。真空过程</w:t>
            </w:r>
            <w:r>
              <w:rPr>
                <w:rFonts w:hint="eastAsia"/>
                <w:lang w:val="en-US" w:eastAsia="zh-CN"/>
              </w:rPr>
              <w:t>中</w:t>
            </w:r>
            <w:r>
              <w:t>，发生器内补充压力、低温水进行热交换。真空采用时间控制。</w:t>
            </w:r>
            <w:r>
              <w:rPr>
                <w:rFonts w:hint="eastAsia"/>
                <w:lang w:val="en-US" w:eastAsia="zh-CN"/>
              </w:rPr>
              <w:t>设备冷却水经设备冷却水系统处理后回用。</w:t>
            </w:r>
          </w:p>
          <w:p w14:paraId="7137FBD3">
            <w:pPr>
              <w:bidi w:val="0"/>
            </w:pPr>
            <w:r>
              <w:t>真空结束后，制品通过推顶杆，脱离模具，通过自由落体跌落到设备底部</w:t>
            </w:r>
            <w:r>
              <w:rPr>
                <w:rFonts w:hint="eastAsia"/>
                <w:lang w:val="en-US" w:eastAsia="zh-CN"/>
              </w:rPr>
              <w:t>模具接收袋</w:t>
            </w:r>
            <w:r>
              <w:t>。</w:t>
            </w:r>
          </w:p>
          <w:p w14:paraId="40379A13">
            <w:pPr>
              <w:bidi w:val="0"/>
            </w:pPr>
            <w:r>
              <w:t>此</w:t>
            </w:r>
            <w:r>
              <w:rPr>
                <w:rFonts w:hint="eastAsia"/>
                <w:lang w:val="en-US" w:eastAsia="zh-CN"/>
              </w:rPr>
              <w:t>工序</w:t>
            </w:r>
            <w:r>
              <w:t>产生噪声。</w:t>
            </w:r>
          </w:p>
          <w:p w14:paraId="0397068F">
            <w:pPr>
              <w:bidi w:val="0"/>
            </w:pPr>
            <w:r>
              <w:rPr>
                <w:highlight w:val="none"/>
              </w:rPr>
              <w:t>项目拟在</w:t>
            </w:r>
            <w:r>
              <w:rPr>
                <w:rFonts w:hint="eastAsia" w:ascii="Times New Roman" w:hAnsi="Times New Roman" w:eastAsia="宋体" w:cs="Times New Roman"/>
                <w:highlight w:val="none"/>
                <w:lang w:val="en-US" w:eastAsia="zh-CN"/>
              </w:rPr>
              <w:t>自动成型机</w:t>
            </w:r>
            <w:r>
              <w:rPr>
                <w:highlight w:val="none"/>
              </w:rPr>
              <w:t>区域</w:t>
            </w:r>
            <w:r>
              <w:rPr>
                <w:rFonts w:hint="eastAsia"/>
                <w:highlight w:val="none"/>
                <w:lang w:val="en-US" w:eastAsia="zh-CN"/>
              </w:rPr>
              <w:t>北侧设置软帘，成型有机废气及蒸汽不凝气经集气管道收集</w:t>
            </w:r>
            <w:r>
              <w:rPr>
                <w:highlight w:val="none"/>
              </w:rPr>
              <w:t>送至</w:t>
            </w:r>
            <w:r>
              <w:rPr>
                <w:rFonts w:hint="eastAsia"/>
                <w:highlight w:val="none"/>
                <w:lang w:eastAsia="zh-CN"/>
              </w:rPr>
              <w:t>“</w:t>
            </w:r>
            <w:r>
              <w:rPr>
                <w:rFonts w:hint="eastAsia"/>
                <w:highlight w:val="none"/>
                <w:lang w:val="en-US" w:eastAsia="zh-CN"/>
              </w:rPr>
              <w:t>冷凝+二级活性炭</w:t>
            </w:r>
            <w:r>
              <w:rPr>
                <w:highlight w:val="none"/>
              </w:rPr>
              <w:t xml:space="preserve"> </w:t>
            </w:r>
            <w:r>
              <w:rPr>
                <w:rFonts w:hint="eastAsia"/>
                <w:highlight w:val="none"/>
                <w:lang w:eastAsia="zh-CN"/>
              </w:rPr>
              <w:t>”</w:t>
            </w:r>
            <w:r>
              <w:rPr>
                <w:highlight w:val="none"/>
              </w:rPr>
              <w:t>装置进行处理，尾气达标后经过 2</w:t>
            </w:r>
            <w:r>
              <w:rPr>
                <w:rFonts w:hint="eastAsia"/>
                <w:highlight w:val="none"/>
                <w:lang w:val="en-US" w:eastAsia="zh-CN"/>
              </w:rPr>
              <w:t>1</w:t>
            </w:r>
            <w:r>
              <w:rPr>
                <w:highlight w:val="none"/>
              </w:rPr>
              <w:t>m排气筒排放。</w:t>
            </w:r>
          </w:p>
          <w:p w14:paraId="2E99E49F">
            <w:pPr>
              <w:bidi w:val="0"/>
            </w:pPr>
            <w:r>
              <w:rPr>
                <w:b/>
                <w:bCs/>
              </w:rPr>
              <w:t>烘干：</w:t>
            </w:r>
            <w:r>
              <w:t>人工将脱模后的成品搬运至烘干房，去除产品中的水分，</w:t>
            </w:r>
            <w:r>
              <w:rPr>
                <w:rFonts w:hint="eastAsia"/>
                <w:lang w:val="en-US" w:eastAsia="zh-CN"/>
              </w:rPr>
              <w:t>项目设置余热回收系统，使用发泡机及成型机蒸汽余热</w:t>
            </w:r>
            <w:r>
              <w:t>对</w:t>
            </w:r>
            <w:r>
              <w:rPr>
                <w:rFonts w:hint="eastAsia"/>
                <w:lang w:val="en-US" w:eastAsia="zh-CN"/>
              </w:rPr>
              <w:t>烘房进行</w:t>
            </w:r>
            <w:r>
              <w:t>间接加热烘干，换热器将热蒸汽热量</w:t>
            </w:r>
            <w:r>
              <w:rPr>
                <w:rFonts w:hint="eastAsia"/>
                <w:lang w:val="en-US" w:eastAsia="zh-CN"/>
              </w:rPr>
              <w:t>转化</w:t>
            </w:r>
            <w:r>
              <w:t>成为热气进入到烘干房内箱体内部提供热量进行烘干，蒸汽不直接接触泡沫箱，烘干时间为</w:t>
            </w:r>
            <w:r>
              <w:rPr>
                <w:rFonts w:hint="eastAsia"/>
                <w:lang w:val="en-US" w:eastAsia="zh-CN"/>
              </w:rPr>
              <w:t>2</w:t>
            </w:r>
            <w:r>
              <w:t>h，温度保持在</w:t>
            </w:r>
            <w:r>
              <w:rPr>
                <w:rFonts w:hint="eastAsia"/>
                <w:color w:val="auto"/>
              </w:rPr>
              <w:t>50</w:t>
            </w:r>
            <w:r>
              <w:rPr>
                <w:rFonts w:hint="eastAsia"/>
                <w:color w:val="auto"/>
                <w:lang w:val="en-US" w:eastAsia="zh-CN"/>
              </w:rPr>
              <w:t>~</w:t>
            </w:r>
            <w:r>
              <w:rPr>
                <w:color w:val="auto"/>
              </w:rPr>
              <w:t>60℃</w:t>
            </w:r>
            <w:r>
              <w:rPr>
                <w:rFonts w:hint="eastAsia"/>
                <w:color w:val="auto"/>
                <w:lang w:eastAsia="zh-CN"/>
              </w:rPr>
              <w:t>，</w:t>
            </w:r>
            <w:r>
              <w:t>烘干后制品表面干燥，产品饱满，韧性和强度提高。</w:t>
            </w:r>
          </w:p>
          <w:p w14:paraId="181C5C70">
            <w:pPr>
              <w:bidi w:val="0"/>
              <w:rPr>
                <w:highlight w:val="none"/>
              </w:rPr>
            </w:pPr>
            <w:r>
              <w:rPr>
                <w:rFonts w:hint="eastAsia"/>
                <w:lang w:val="en-US" w:eastAsia="zh-CN"/>
              </w:rPr>
              <w:t>此</w:t>
            </w:r>
            <w:r>
              <w:t>过程会有少量非甲烷总烃产生。项目烘干房设置为四面封闭的房间，仅留泡沫箱出入口未封闭，烘干房设置</w:t>
            </w:r>
            <w:r>
              <w:rPr>
                <w:highlight w:val="none"/>
              </w:rPr>
              <w:t>集气管收集烘干过程产生的废气，由风机经过管道抽送至</w:t>
            </w:r>
            <w:r>
              <w:rPr>
                <w:rFonts w:hint="eastAsia"/>
                <w:highlight w:val="none"/>
                <w:lang w:eastAsia="zh-CN"/>
              </w:rPr>
              <w:t>“</w:t>
            </w:r>
            <w:r>
              <w:rPr>
                <w:rFonts w:hint="eastAsia"/>
                <w:highlight w:val="none"/>
                <w:lang w:val="en-US" w:eastAsia="zh-CN"/>
              </w:rPr>
              <w:t>冷凝+二级活性炭</w:t>
            </w:r>
            <w:r>
              <w:rPr>
                <w:highlight w:val="none"/>
              </w:rPr>
              <w:t xml:space="preserve"> </w:t>
            </w:r>
            <w:r>
              <w:rPr>
                <w:rFonts w:hint="eastAsia"/>
                <w:highlight w:val="none"/>
                <w:lang w:eastAsia="zh-CN"/>
              </w:rPr>
              <w:t>”</w:t>
            </w:r>
            <w:r>
              <w:rPr>
                <w:highlight w:val="none"/>
              </w:rPr>
              <w:t>装置进行处理，尾气达标后经过 2</w:t>
            </w:r>
            <w:r>
              <w:rPr>
                <w:rFonts w:hint="eastAsia"/>
                <w:highlight w:val="none"/>
                <w:lang w:val="en-US" w:eastAsia="zh-CN"/>
              </w:rPr>
              <w:t>1</w:t>
            </w:r>
            <w:r>
              <w:rPr>
                <w:highlight w:val="none"/>
              </w:rPr>
              <w:t>m排气筒</w:t>
            </w:r>
            <w:r>
              <w:rPr>
                <w:rFonts w:hint="eastAsia"/>
                <w:highlight w:val="none"/>
                <w:lang w:eastAsia="zh-CN"/>
              </w:rPr>
              <w:t>（</w:t>
            </w:r>
            <w:r>
              <w:rPr>
                <w:rFonts w:hint="eastAsia"/>
                <w:highlight w:val="none"/>
                <w:lang w:val="en-US" w:eastAsia="zh-CN"/>
              </w:rPr>
              <w:t>DA001</w:t>
            </w:r>
            <w:r>
              <w:rPr>
                <w:rFonts w:hint="eastAsia"/>
                <w:highlight w:val="none"/>
                <w:lang w:eastAsia="zh-CN"/>
              </w:rPr>
              <w:t>）</w:t>
            </w:r>
            <w:r>
              <w:rPr>
                <w:highlight w:val="none"/>
              </w:rPr>
              <w:t>排放。</w:t>
            </w:r>
          </w:p>
          <w:p w14:paraId="0F70D6FB">
            <w:pPr>
              <w:rPr>
                <w:rFonts w:hint="eastAsia"/>
                <w:color w:val="auto"/>
              </w:rPr>
            </w:pPr>
            <w:r>
              <w:rPr>
                <w:rFonts w:hint="eastAsia"/>
                <w:color w:val="auto"/>
              </w:rPr>
              <w:t>此工序会产生非甲烷总烃废气、噪声。</w:t>
            </w:r>
          </w:p>
          <w:p w14:paraId="2A8FDDFA">
            <w:pPr>
              <w:wordWrap/>
              <w:adjustRightInd w:val="0"/>
              <w:snapToGrid w:val="0"/>
              <w:ind w:firstLine="482"/>
              <w:rPr>
                <w:rFonts w:hint="eastAsia"/>
                <w:color w:val="auto"/>
              </w:rPr>
            </w:pPr>
            <w:r>
              <w:rPr>
                <w:rFonts w:hint="eastAsia"/>
                <w:b/>
                <w:bCs/>
                <w:color w:val="auto"/>
              </w:rPr>
              <w:t>检验入库</w:t>
            </w:r>
            <w:r>
              <w:rPr>
                <w:rFonts w:hint="eastAsia"/>
                <w:color w:val="auto"/>
              </w:rPr>
              <w:t>：烘干后的成品经员工检验合格后，打包入库。</w:t>
            </w:r>
          </w:p>
          <w:p w14:paraId="7C406389">
            <w:pPr>
              <w:wordWrap/>
              <w:adjustRightInd w:val="0"/>
              <w:snapToGrid w:val="0"/>
              <w:rPr>
                <w:rFonts w:hint="eastAsia"/>
                <w:color w:val="auto"/>
              </w:rPr>
            </w:pPr>
            <w:r>
              <w:rPr>
                <w:rFonts w:hint="eastAsia"/>
                <w:color w:val="auto"/>
              </w:rPr>
              <w:t>此工序会产生噪声、</w:t>
            </w:r>
            <w:r>
              <w:rPr>
                <w:rFonts w:hint="eastAsia"/>
                <w:color w:val="auto"/>
                <w:lang w:val="en-US" w:eastAsia="zh-CN"/>
              </w:rPr>
              <w:t>不合格品</w:t>
            </w:r>
            <w:r>
              <w:rPr>
                <w:rFonts w:hint="eastAsia"/>
                <w:color w:val="auto"/>
              </w:rPr>
              <w:t>。</w:t>
            </w:r>
          </w:p>
          <w:p w14:paraId="6FF4FD63">
            <w:pPr>
              <w:pStyle w:val="36"/>
              <w:rPr>
                <w:rFonts w:hint="default"/>
                <w:b/>
                <w:bCs/>
                <w:lang w:val="en-US"/>
              </w:rPr>
            </w:pPr>
            <w:r>
              <w:rPr>
                <w:rFonts w:hint="eastAsia"/>
                <w:b/>
                <w:bCs/>
                <w:lang w:val="en-US" w:eastAsia="zh-CN"/>
              </w:rPr>
              <w:t>（2）EPP汽车零配件生产线工艺流程</w:t>
            </w:r>
          </w:p>
          <w:p w14:paraId="30013041">
            <w:pPr>
              <w:bidi w:val="0"/>
              <w:rPr>
                <w:rFonts w:hint="eastAsia"/>
                <w:color w:val="auto"/>
                <w:lang w:val="en-US" w:eastAsia="zh-CN"/>
              </w:rPr>
            </w:pPr>
            <w:r>
              <w:rPr>
                <w:rFonts w:hint="eastAsia"/>
                <w:color w:val="auto"/>
                <w:lang w:val="en-US" w:eastAsia="zh-CN"/>
              </w:rPr>
              <w:t>本项目使用粒装发泡聚丙烯（EPP），新料，采用机械发泡工艺。</w:t>
            </w:r>
          </w:p>
          <w:p w14:paraId="6D1C3FE6">
            <w:pPr>
              <w:bidi w:val="0"/>
              <w:rPr>
                <w:rFonts w:hint="eastAsia"/>
                <w:color w:val="auto"/>
                <w:lang w:val="en-US" w:eastAsia="zh-CN"/>
              </w:rPr>
            </w:pPr>
            <w:r>
              <w:rPr>
                <w:rFonts w:hint="eastAsia"/>
                <w:color w:val="auto"/>
                <w:lang w:val="en-US" w:eastAsia="zh-CN"/>
              </w:rPr>
              <w:t>根据塑料发泡成型中发泡动力的来源，一般可分为三类：机械发泡、物理发泡、化学发泡。机械发泡是借助于机械的强力搅拌，使气体均匀进入树脂中，形成气泡：物理发泡是借助于发泡剂在树脂中物理状态的改变，形成气泡：化学发泡是使发泡剂发生化学变化，分解产生气体发泡。</w:t>
            </w:r>
          </w:p>
          <w:p w14:paraId="56F2E660">
            <w:pPr>
              <w:bidi w:val="0"/>
              <w:rPr>
                <w:rFonts w:hint="eastAsia"/>
                <w:color w:val="auto"/>
                <w:lang w:val="en-US" w:eastAsia="zh-CN"/>
              </w:rPr>
            </w:pPr>
            <w:r>
              <w:rPr>
                <w:rFonts w:hint="eastAsia"/>
                <w:color w:val="auto"/>
                <w:lang w:val="en-US" w:eastAsia="zh-CN"/>
              </w:rPr>
              <w:t>EPP塑料是一种经发泡后的聚丙烯，由固体和气体两个相组成，EPP 颗粒的外壁是闭合的；内部充满了气体。本项目所用的 EPP 发泡塑料内部不填充任何发泡性气体。本项目使用空气(具有低渗透度)作为惰性气体填充 EPP 塑料从而使 EPP 颗粒膨胀，进行机械发泡，为物理过程。通过预压使得空气与EPP 塑料粒子混合均匀，发泡率高；且能耗低，无丁烷等有机废气产生，对环境污染小。本项目汽车零配件成品不喷涂。</w:t>
            </w:r>
          </w:p>
          <w:p w14:paraId="0893FB24">
            <w:pPr>
              <w:bidi w:val="0"/>
              <w:rPr>
                <w:rFonts w:hint="eastAsia"/>
                <w:lang w:val="en-US" w:eastAsia="zh-CN"/>
              </w:rPr>
            </w:pPr>
            <w:r>
              <w:rPr>
                <w:rFonts w:hint="eastAsia"/>
                <w:b w:val="0"/>
                <w:bCs w:val="0"/>
                <w:lang w:val="en-US" w:eastAsia="zh-CN"/>
              </w:rPr>
              <w:t>本项目EPP汽车零配件生产线工艺流程见图2-4。</w:t>
            </w:r>
          </w:p>
          <w:p w14:paraId="26483816">
            <w:pPr>
              <w:pStyle w:val="91"/>
              <w:spacing w:after="120"/>
              <w:rPr>
                <w:rFonts w:hint="eastAsia"/>
                <w:color w:val="auto"/>
                <w:sz w:val="24"/>
                <w:szCs w:val="24"/>
                <w:highlight w:val="yellow"/>
              </w:rPr>
            </w:pPr>
            <w:r>
              <w:rPr>
                <w:rFonts w:hint="eastAsia"/>
                <w:lang w:val="en-US" w:eastAsia="zh-CN"/>
              </w:rPr>
              <w:drawing>
                <wp:inline distT="0" distB="0" distL="114300" distR="114300">
                  <wp:extent cx="4352925" cy="5610225"/>
                  <wp:effectExtent l="0" t="0" r="9525" b="9525"/>
                  <wp:docPr id="23" name="图片 23" descr="益生工艺2.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益生工艺2.drawio"/>
                          <pic:cNvPicPr>
                            <a:picLocks noChangeAspect="1"/>
                          </pic:cNvPicPr>
                        </pic:nvPicPr>
                        <pic:blipFill>
                          <a:blip r:embed="rId25"/>
                          <a:stretch>
                            <a:fillRect/>
                          </a:stretch>
                        </pic:blipFill>
                        <pic:spPr>
                          <a:xfrm>
                            <a:off x="0" y="0"/>
                            <a:ext cx="4352925" cy="5610225"/>
                          </a:xfrm>
                          <a:prstGeom prst="rect">
                            <a:avLst/>
                          </a:prstGeom>
                        </pic:spPr>
                      </pic:pic>
                    </a:graphicData>
                  </a:graphic>
                </wp:inline>
              </w:drawing>
            </w:r>
          </w:p>
          <w:p w14:paraId="617DBD85">
            <w:pPr>
              <w:pStyle w:val="91"/>
              <w:spacing w:after="120"/>
              <w:rPr>
                <w:rFonts w:hint="default"/>
                <w:highlight w:val="none"/>
                <w:lang w:val="en-US" w:eastAsia="zh-CN"/>
              </w:rPr>
            </w:pPr>
            <w:r>
              <w:rPr>
                <w:rFonts w:hint="eastAsia"/>
                <w:color w:val="auto"/>
                <w:sz w:val="24"/>
                <w:szCs w:val="24"/>
                <w:highlight w:val="none"/>
              </w:rPr>
              <w:t>图2-</w:t>
            </w:r>
            <w:r>
              <w:rPr>
                <w:rFonts w:hint="eastAsia"/>
                <w:color w:val="auto"/>
                <w:sz w:val="24"/>
                <w:szCs w:val="24"/>
                <w:highlight w:val="none"/>
                <w:lang w:val="en-US" w:eastAsia="zh-CN"/>
              </w:rPr>
              <w:t>4</w:t>
            </w:r>
            <w:r>
              <w:rPr>
                <w:rFonts w:hint="eastAsia"/>
                <w:color w:val="auto"/>
                <w:sz w:val="24"/>
                <w:szCs w:val="24"/>
                <w:highlight w:val="none"/>
              </w:rPr>
              <w:t xml:space="preserve"> </w:t>
            </w:r>
            <w:r>
              <w:rPr>
                <w:rStyle w:val="98"/>
                <w:rFonts w:hint="eastAsia"/>
                <w:b/>
                <w:highlight w:val="none"/>
                <w:lang w:val="en-US" w:eastAsia="zh-CN"/>
              </w:rPr>
              <w:t>EPP汽车零配件生产线</w:t>
            </w:r>
            <w:r>
              <w:rPr>
                <w:rStyle w:val="98"/>
                <w:rFonts w:hint="eastAsia"/>
                <w:b/>
                <w:highlight w:val="none"/>
              </w:rPr>
              <w:t>工艺流程及产污节点图</w:t>
            </w:r>
          </w:p>
          <w:p w14:paraId="6BBDCA60">
            <w:pPr>
              <w:bidi w:val="0"/>
              <w:rPr>
                <w:b/>
                <w:bCs/>
              </w:rPr>
            </w:pPr>
            <w:r>
              <w:rPr>
                <w:b/>
                <w:bCs/>
              </w:rPr>
              <w:t>生产工艺流程简述：</w:t>
            </w:r>
          </w:p>
          <w:p w14:paraId="56BCDA17">
            <w:pPr>
              <w:bidi w:val="0"/>
              <w:rPr>
                <w:rFonts w:hint="eastAsia"/>
                <w:b/>
                <w:bCs/>
                <w:lang w:val="en-US" w:eastAsia="zh-CN"/>
              </w:rPr>
            </w:pPr>
            <w:r>
              <w:rPr>
                <w:rFonts w:hint="eastAsia"/>
                <w:b/>
                <w:bCs/>
                <w:lang w:val="en-US" w:eastAsia="zh-CN"/>
              </w:rPr>
              <w:t>投料：</w:t>
            </w:r>
            <w:r>
              <w:rPr>
                <w:rFonts w:hint="eastAsia"/>
                <w:b w:val="0"/>
                <w:bCs w:val="0"/>
                <w:lang w:val="en-US" w:eastAsia="zh-CN"/>
              </w:rPr>
              <w:t>EPP通过人工投入压力罐内</w:t>
            </w:r>
            <w:r>
              <w:rPr>
                <w:rFonts w:hint="eastAsia"/>
                <w:color w:val="auto"/>
                <w:lang w:eastAsia="zh-CN"/>
              </w:rPr>
              <w:t>，</w:t>
            </w:r>
            <w:r>
              <w:rPr>
                <w:rFonts w:hint="eastAsia"/>
                <w:color w:val="auto"/>
                <w:lang w:val="en-US" w:eastAsia="zh-CN"/>
              </w:rPr>
              <w:t>此工序产生噪声。</w:t>
            </w:r>
          </w:p>
          <w:p w14:paraId="1817CDB6">
            <w:pPr>
              <w:bidi w:val="0"/>
            </w:pPr>
            <w:r>
              <w:rPr>
                <w:rFonts w:hint="eastAsia"/>
                <w:b/>
                <w:bCs/>
                <w:lang w:val="en-US" w:eastAsia="zh-CN"/>
              </w:rPr>
              <w:t>高压预处理：</w:t>
            </w:r>
            <w:r>
              <w:rPr>
                <w:rFonts w:hint="eastAsia"/>
                <w:lang w:val="en-US" w:eastAsia="zh-CN"/>
              </w:rPr>
              <w:t>向已加入EPP的压力罐内充入压缩空气，通过</w:t>
            </w:r>
            <w:r>
              <w:t>预压，升压，稳压，保压四个阶段</w:t>
            </w:r>
            <w:r>
              <w:rPr>
                <w:rFonts w:hint="eastAsia"/>
                <w:lang w:eastAsia="zh-CN"/>
              </w:rPr>
              <w:t>，</w:t>
            </w:r>
            <w:r>
              <w:rPr>
                <w:rFonts w:hint="eastAsia"/>
                <w:lang w:val="en-US" w:eastAsia="zh-CN"/>
              </w:rPr>
              <w:t>使EPP发泡颗粒内充入一定压力的空气。</w:t>
            </w:r>
            <w:r>
              <w:t>经处理后的珠粒内部充满高压空气，保证成型后的产品不发生收缩。</w:t>
            </w:r>
          </w:p>
          <w:p w14:paraId="64EE501A">
            <w:pPr>
              <w:bidi w:val="0"/>
              <w:rPr>
                <w:rFonts w:hint="default" w:eastAsia="宋体"/>
                <w:lang w:val="en-US" w:eastAsia="zh-CN"/>
              </w:rPr>
            </w:pPr>
            <w:r>
              <w:rPr>
                <w:rFonts w:hint="eastAsia"/>
                <w:lang w:val="en-US" w:eastAsia="zh-CN"/>
              </w:rPr>
              <w:t>此工序产生噪声。</w:t>
            </w:r>
          </w:p>
          <w:p w14:paraId="75C297A2">
            <w:pPr>
              <w:bidi w:val="0"/>
              <w:rPr>
                <w:rFonts w:hint="eastAsia"/>
                <w:lang w:val="en-US" w:eastAsia="zh-CN"/>
              </w:rPr>
            </w:pPr>
            <w:r>
              <w:rPr>
                <w:rFonts w:hint="eastAsia"/>
                <w:b/>
                <w:bCs/>
                <w:lang w:val="en-US" w:eastAsia="zh-CN"/>
              </w:rPr>
              <w:t>输送：</w:t>
            </w:r>
            <w:r>
              <w:t>经预处理后的EPP通过</w:t>
            </w:r>
            <w:r>
              <w:rPr>
                <w:rFonts w:hint="eastAsia"/>
                <w:lang w:val="en-US" w:eastAsia="zh-CN"/>
              </w:rPr>
              <w:t>管道吸泵进入成型机模具内。</w:t>
            </w:r>
          </w:p>
          <w:p w14:paraId="7C811540">
            <w:pPr>
              <w:bidi w:val="0"/>
              <w:rPr>
                <w:rFonts w:hint="eastAsia"/>
                <w:lang w:val="en-US" w:eastAsia="zh-CN"/>
              </w:rPr>
            </w:pPr>
            <w:r>
              <w:rPr>
                <w:rFonts w:hint="eastAsia"/>
                <w:lang w:val="en-US" w:eastAsia="zh-CN"/>
              </w:rPr>
              <w:t>此工序产生噪声。</w:t>
            </w:r>
          </w:p>
          <w:p w14:paraId="0FD2959D">
            <w:pPr>
              <w:bidi w:val="0"/>
              <w:rPr>
                <w:rFonts w:hint="eastAsia"/>
                <w:b/>
                <w:bCs/>
                <w:lang w:val="en-US" w:eastAsia="zh-CN"/>
              </w:rPr>
            </w:pPr>
            <w:r>
              <w:rPr>
                <w:rFonts w:hint="eastAsia"/>
                <w:b/>
                <w:bCs/>
                <w:lang w:val="en-US" w:eastAsia="zh-CN"/>
              </w:rPr>
              <w:t>成型</w:t>
            </w:r>
          </w:p>
          <w:p w14:paraId="39F0BA17">
            <w:pPr>
              <w:bidi w:val="0"/>
              <w:rPr>
                <w:rFonts w:hint="eastAsia"/>
                <w:spacing w:val="13"/>
                <w:lang w:val="en-US" w:eastAsia="zh-CN"/>
              </w:rPr>
            </w:pPr>
            <w:r>
              <w:rPr>
                <w:rFonts w:hint="eastAsia"/>
                <w:b/>
                <w:bCs/>
                <w:spacing w:val="12"/>
                <w:lang w:val="en-US" w:eastAsia="zh-CN"/>
              </w:rPr>
              <w:t>①排气：</w:t>
            </w:r>
            <w:r>
              <w:rPr>
                <w:spacing w:val="8"/>
              </w:rPr>
              <w:t>通入蒸汽前，模具内部及材料内部含有较多空气，因空气为热的</w:t>
            </w:r>
            <w:r>
              <w:rPr>
                <w:spacing w:val="7"/>
              </w:rPr>
              <w:t>不良导体，空气的存在导致水</w:t>
            </w:r>
            <w:r>
              <w:rPr>
                <w:spacing w:val="13"/>
              </w:rPr>
              <w:t>蒸气与模具表面及材料表面的热交换及传质影响较大</w:t>
            </w:r>
            <w:r>
              <w:rPr>
                <w:rFonts w:hint="eastAsia"/>
                <w:spacing w:val="13"/>
                <w:lang w:eastAsia="zh-CN"/>
              </w:rPr>
              <w:t>，</w:t>
            </w:r>
            <w:r>
              <w:rPr>
                <w:rFonts w:hint="eastAsia"/>
                <w:spacing w:val="13"/>
                <w:lang w:val="en-US" w:eastAsia="zh-CN"/>
              </w:rPr>
              <w:t>因此需进行排气。</w:t>
            </w:r>
          </w:p>
          <w:p w14:paraId="28FD5CA9">
            <w:pPr>
              <w:bidi w:val="0"/>
              <w:rPr>
                <w:rFonts w:hint="eastAsia" w:eastAsia="宋体"/>
                <w:lang w:val="en-US" w:eastAsia="zh-CN"/>
              </w:rPr>
            </w:pPr>
            <w:r>
              <w:rPr>
                <w:rFonts w:hint="eastAsia"/>
                <w:spacing w:val="12"/>
                <w:lang w:val="en-US" w:eastAsia="zh-CN"/>
              </w:rPr>
              <w:t>打开成型机上方的</w:t>
            </w:r>
            <w:r>
              <w:t>蒸汽进汽阀和下方的冷凝水排放阀</w:t>
            </w:r>
            <w:r>
              <w:rPr>
                <w:rFonts w:hint="eastAsia"/>
                <w:lang w:eastAsia="zh-CN"/>
              </w:rPr>
              <w:t>，</w:t>
            </w:r>
            <w:r>
              <w:rPr>
                <w:rFonts w:hint="eastAsia"/>
                <w:lang w:val="en-US" w:eastAsia="zh-CN"/>
              </w:rPr>
              <w:t>使蒸汽由上到下吹扫模具内的空气，蒸汽冷凝水经</w:t>
            </w:r>
            <w:r>
              <w:t>回水管回到</w:t>
            </w:r>
            <w:r>
              <w:rPr>
                <w:rFonts w:hint="eastAsia"/>
                <w:lang w:val="en-US" w:eastAsia="zh-CN"/>
              </w:rPr>
              <w:t>循环水箱后经冷却塔冷却后回用。项目设置蒸汽回收系统，回收未被利用的蒸汽</w:t>
            </w:r>
            <w:r>
              <w:rPr>
                <w:spacing w:val="9"/>
              </w:rPr>
              <w:t>回用于烘房加热</w:t>
            </w:r>
            <w:r>
              <w:rPr>
                <w:rFonts w:hint="eastAsia"/>
                <w:spacing w:val="9"/>
                <w:lang w:eastAsia="zh-CN"/>
              </w:rPr>
              <w:t>。</w:t>
            </w:r>
          </w:p>
          <w:p w14:paraId="45EC43F9">
            <w:pPr>
              <w:bidi w:val="0"/>
            </w:pPr>
            <w:r>
              <w:rPr>
                <w:rFonts w:hint="eastAsia"/>
                <w:b/>
                <w:bCs/>
                <w:lang w:val="en-US" w:eastAsia="zh-CN"/>
              </w:rPr>
              <w:t>②成型：</w:t>
            </w:r>
            <w:r>
              <w:rPr>
                <w:rFonts w:hint="eastAsia"/>
                <w:lang w:val="en-US" w:eastAsia="zh-CN"/>
              </w:rPr>
              <w:t>向模腔中充入蒸汽，使蒸汽直接接触EPP。</w:t>
            </w:r>
            <w:r>
              <w:rPr>
                <w:rFonts w:hint="eastAsia"/>
                <w:b w:val="0"/>
                <w:bCs w:val="0"/>
                <w:lang w:val="en-US" w:eastAsia="zh-CN"/>
              </w:rPr>
              <w:t>关闭</w:t>
            </w:r>
            <w:r>
              <w:t>冷凝水排放阀</w:t>
            </w:r>
            <w:r>
              <w:rPr>
                <w:rFonts w:hint="eastAsia"/>
                <w:lang w:eastAsia="zh-CN"/>
              </w:rPr>
              <w:t>，</w:t>
            </w:r>
            <w:r>
              <w:rPr>
                <w:spacing w:val="7"/>
              </w:rPr>
              <w:t>排气阀</w:t>
            </w:r>
            <w:r>
              <w:rPr>
                <w:rFonts w:hint="eastAsia"/>
                <w:spacing w:val="7"/>
                <w:lang w:eastAsia="zh-CN"/>
              </w:rPr>
              <w:t>，</w:t>
            </w:r>
            <w:r>
              <w:rPr>
                <w:rFonts w:hint="eastAsia"/>
                <w:spacing w:val="7"/>
                <w:lang w:val="en-US" w:eastAsia="zh-CN"/>
              </w:rPr>
              <w:t>使蒸汽密闭在模腔内，此时模具温度在140℃，时间20s。</w:t>
            </w:r>
            <w:r>
              <w:rPr>
                <w:spacing w:val="-3"/>
              </w:rPr>
              <w:t>本项目的加热温度低于</w:t>
            </w:r>
            <w:r>
              <w:rPr>
                <w:spacing w:val="-55"/>
              </w:rPr>
              <w:t xml:space="preserve"> </w:t>
            </w:r>
            <w:r>
              <w:rPr>
                <w:rFonts w:ascii="Times New Roman" w:hAnsi="Times New Roman" w:eastAsia="Times New Roman" w:cs="Times New Roman"/>
                <w:spacing w:val="-3"/>
              </w:rPr>
              <w:t>EPP</w:t>
            </w:r>
            <w:r>
              <w:rPr>
                <w:spacing w:val="-3"/>
              </w:rPr>
              <w:t>发泡颗粒的分解温度（</w:t>
            </w:r>
            <w:r>
              <w:rPr>
                <w:rFonts w:ascii="Times New Roman" w:hAnsi="Times New Roman" w:eastAsia="Times New Roman" w:cs="Times New Roman"/>
                <w:spacing w:val="-4"/>
              </w:rPr>
              <w:t>350</w:t>
            </w:r>
            <w:r>
              <w:rPr>
                <w:spacing w:val="-4"/>
              </w:rPr>
              <w:t>℃)</w:t>
            </w:r>
            <w:r>
              <w:rPr>
                <w:rFonts w:hint="eastAsia"/>
                <w:spacing w:val="42"/>
                <w:lang w:eastAsia="zh-CN"/>
              </w:rPr>
              <w:t>，</w:t>
            </w:r>
            <w:r>
              <w:rPr>
                <w:spacing w:val="-4"/>
              </w:rPr>
              <w:t>成型过</w:t>
            </w:r>
            <w:r>
              <w:rPr>
                <w:spacing w:val="-1"/>
              </w:rPr>
              <w:t>程中不会发生分解，但加热过程中内部未聚合的单体将会逸出，形成有机</w:t>
            </w:r>
            <w:r>
              <w:rPr>
                <w:spacing w:val="-3"/>
              </w:rPr>
              <w:t>废气。</w:t>
            </w:r>
          </w:p>
          <w:p w14:paraId="379365FD">
            <w:pPr>
              <w:bidi w:val="0"/>
              <w:rPr>
                <w:rFonts w:hint="default" w:eastAsia="宋体"/>
                <w:spacing w:val="7"/>
                <w:lang w:val="en-US" w:eastAsia="zh-CN"/>
              </w:rPr>
            </w:pPr>
            <w:r>
              <w:rPr>
                <w:rFonts w:hint="eastAsia"/>
                <w:lang w:val="en-US" w:eastAsia="zh-CN"/>
              </w:rPr>
              <w:t>此工序产生有机废气、噪声。</w:t>
            </w:r>
          </w:p>
          <w:p w14:paraId="5CAC98F9">
            <w:pPr>
              <w:bidi w:val="0"/>
              <w:rPr>
                <w:rFonts w:hint="eastAsia" w:ascii="Times New Roman" w:hAnsi="Times New Roman" w:eastAsia="宋体" w:cs="Times New Roman"/>
                <w:lang w:val="en-US" w:eastAsia="zh-CN"/>
              </w:rPr>
            </w:pPr>
            <w:r>
              <w:rPr>
                <w:rFonts w:hint="eastAsia"/>
                <w:b/>
                <w:bCs/>
                <w:spacing w:val="7"/>
                <w:lang w:val="en-US" w:eastAsia="zh-CN"/>
              </w:rPr>
              <w:t>③排汽：</w:t>
            </w:r>
            <w:r>
              <w:rPr>
                <w:rFonts w:hint="eastAsia"/>
                <w:b w:val="0"/>
                <w:bCs w:val="0"/>
                <w:spacing w:val="7"/>
                <w:lang w:val="en-US" w:eastAsia="zh-CN"/>
              </w:rPr>
              <w:t>产品成型后，迅速泄压，排出模腔内部剩余蒸汽。</w:t>
            </w:r>
            <w:r>
              <w:rPr>
                <w:spacing w:val="9"/>
              </w:rPr>
              <w:t>蒸汽经冷凝后形成冷凝水，</w:t>
            </w:r>
            <w:r>
              <w:rPr>
                <w:rFonts w:hint="eastAsia"/>
                <w:lang w:val="en-US" w:eastAsia="zh-CN"/>
              </w:rPr>
              <w:t>冷凝水经</w:t>
            </w:r>
            <w:r>
              <w:t>回水管回到</w:t>
            </w:r>
            <w:r>
              <w:rPr>
                <w:rFonts w:hint="eastAsia"/>
                <w:lang w:val="en-US" w:eastAsia="zh-CN"/>
              </w:rPr>
              <w:t>循环水箱后经冷却塔冷却后回用。</w:t>
            </w:r>
          </w:p>
          <w:p w14:paraId="541A1117">
            <w:pPr>
              <w:bidi w:val="0"/>
              <w:rPr>
                <w:rFonts w:hint="eastAsia"/>
                <w:b/>
                <w:bCs/>
                <w:lang w:val="en-US" w:eastAsia="zh-CN"/>
              </w:rPr>
            </w:pPr>
            <w:r>
              <w:rPr>
                <w:rFonts w:hint="eastAsia"/>
                <w:b/>
                <w:bCs/>
                <w:lang w:val="en-US" w:eastAsia="zh-CN"/>
              </w:rPr>
              <w:t>冷却脱模</w:t>
            </w:r>
          </w:p>
          <w:p w14:paraId="10CE9846">
            <w:pPr>
              <w:bidi w:val="0"/>
              <w:rPr>
                <w:rFonts w:hint="eastAsia"/>
                <w:lang w:val="en-US" w:eastAsia="zh-CN"/>
              </w:rPr>
            </w:pPr>
            <w:r>
              <w:rPr>
                <w:rFonts w:hint="eastAsia"/>
                <w:lang w:val="en-US" w:eastAsia="zh-CN"/>
              </w:rPr>
              <w:t>本项目使用水冷及真空冷却两种方式对模具进行冷却。</w:t>
            </w:r>
          </w:p>
          <w:p w14:paraId="775C1401">
            <w:pPr>
              <w:bidi w:val="0"/>
              <w:rPr>
                <w:rFonts w:hint="default"/>
                <w:lang w:val="en-US" w:eastAsia="zh-CN"/>
              </w:rPr>
            </w:pPr>
            <w:r>
              <w:rPr>
                <w:rFonts w:hint="eastAsia"/>
                <w:lang w:val="en-US" w:eastAsia="zh-CN"/>
              </w:rPr>
              <w:t>水冷</w:t>
            </w:r>
            <w:r>
              <w:t>过程</w:t>
            </w:r>
            <w:r>
              <w:rPr>
                <w:rFonts w:hint="eastAsia"/>
                <w:lang w:eastAsia="zh-CN"/>
              </w:rPr>
              <w:t>：</w:t>
            </w:r>
            <w:r>
              <w:rPr>
                <w:rFonts w:hint="eastAsia"/>
                <w:lang w:val="en-US" w:eastAsia="zh-CN"/>
              </w:rPr>
              <w:t>本项目模具冷却水系统包含模具冷却水水池（18m³）、循环水箱（90m³）、冷却塔（200m³）及循环水管道组成。预压成型后，循环冷却水通过管道进入模腔中</w:t>
            </w:r>
            <w:r>
              <w:t>对模具</w:t>
            </w:r>
            <w:r>
              <w:rPr>
                <w:color w:val="auto"/>
              </w:rPr>
              <w:t>进行</w:t>
            </w:r>
            <w:r>
              <w:rPr>
                <w:rFonts w:hint="eastAsia"/>
                <w:color w:val="auto"/>
                <w:lang w:val="en-US" w:eastAsia="zh-CN"/>
              </w:rPr>
              <w:t>直接</w:t>
            </w:r>
            <w:r>
              <w:rPr>
                <w:color w:val="auto"/>
              </w:rPr>
              <w:t>冷却，</w:t>
            </w:r>
            <w:r>
              <w:t>冷却以时间设定为标准</w:t>
            </w:r>
            <w:r>
              <w:rPr>
                <w:rFonts w:hint="eastAsia"/>
                <w:lang w:eastAsia="zh-CN"/>
              </w:rPr>
              <w:t>。</w:t>
            </w:r>
            <w:r>
              <w:rPr>
                <w:rFonts w:hint="eastAsia"/>
                <w:lang w:val="en-US" w:eastAsia="zh-CN"/>
              </w:rPr>
              <w:t>模具冷却水</w:t>
            </w:r>
            <w:r>
              <w:t>通过回水管道</w:t>
            </w:r>
            <w:r>
              <w:rPr>
                <w:rFonts w:hint="eastAsia"/>
                <w:lang w:val="en-US" w:eastAsia="zh-CN"/>
              </w:rPr>
              <w:t>回到循环水箱后经冷却塔冷却后回用，不外排。</w:t>
            </w:r>
          </w:p>
          <w:p w14:paraId="132B085B">
            <w:pPr>
              <w:bidi w:val="0"/>
              <w:rPr>
                <w:rFonts w:hint="default" w:eastAsia="宋体"/>
                <w:lang w:val="en-US" w:eastAsia="zh-CN"/>
              </w:rPr>
            </w:pPr>
            <w:r>
              <w:rPr>
                <w:rFonts w:hint="eastAsia"/>
                <w:lang w:val="en-US" w:eastAsia="zh-CN"/>
              </w:rPr>
              <w:t>真空冷却过程：水冷结束</w:t>
            </w:r>
            <w:r>
              <w:t>后进入真空冷却过程。真空冷却采用中央真空系统，打开真空阀后，模腔和真空发生器逐渐产生负压。</w:t>
            </w:r>
            <w:r>
              <w:rPr>
                <w:rFonts w:hint="eastAsia"/>
                <w:lang w:val="en-US" w:eastAsia="zh-CN"/>
              </w:rPr>
              <w:t>真空状态下，高温使水汽化，水汽化带走热量使产品及模具进一步降温</w:t>
            </w:r>
            <w:r>
              <w:t>。真空过程</w:t>
            </w:r>
            <w:r>
              <w:rPr>
                <w:rFonts w:hint="eastAsia"/>
                <w:lang w:val="en-US" w:eastAsia="zh-CN"/>
              </w:rPr>
              <w:t>中</w:t>
            </w:r>
            <w:r>
              <w:t>，发生器内补充压力、低温水进行热交换。真空采用时间控制。</w:t>
            </w:r>
            <w:r>
              <w:rPr>
                <w:rFonts w:hint="eastAsia"/>
                <w:lang w:val="en-US" w:eastAsia="zh-CN"/>
              </w:rPr>
              <w:t>设备冷却水经设备冷却水系统处理后回用。</w:t>
            </w:r>
          </w:p>
          <w:p w14:paraId="1C1F09D6">
            <w:pPr>
              <w:bidi w:val="0"/>
            </w:pPr>
            <w:r>
              <w:t>真空结束后，制品通过推顶杆，脱离模具，通过自由落体跌落到设备底部</w:t>
            </w:r>
            <w:r>
              <w:rPr>
                <w:rFonts w:hint="eastAsia"/>
                <w:lang w:val="en-US" w:eastAsia="zh-CN"/>
              </w:rPr>
              <w:t>模具接收袋</w:t>
            </w:r>
            <w:r>
              <w:t>。</w:t>
            </w:r>
          </w:p>
          <w:p w14:paraId="1CBCC39C">
            <w:pPr>
              <w:bidi w:val="0"/>
            </w:pPr>
            <w:r>
              <w:t>此</w:t>
            </w:r>
            <w:r>
              <w:rPr>
                <w:rFonts w:hint="eastAsia"/>
                <w:lang w:val="en-US" w:eastAsia="zh-CN"/>
              </w:rPr>
              <w:t>工序</w:t>
            </w:r>
            <w:r>
              <w:t>产生噪声。</w:t>
            </w:r>
          </w:p>
          <w:p w14:paraId="2896B7EA">
            <w:pPr>
              <w:bidi w:val="0"/>
            </w:pPr>
            <w:r>
              <w:rPr>
                <w:highlight w:val="none"/>
              </w:rPr>
              <w:t>项目拟在</w:t>
            </w:r>
            <w:r>
              <w:rPr>
                <w:rFonts w:hint="eastAsia" w:ascii="Times New Roman" w:hAnsi="Times New Roman" w:eastAsia="宋体" w:cs="Times New Roman"/>
                <w:highlight w:val="none"/>
                <w:lang w:val="en-US" w:eastAsia="zh-CN"/>
              </w:rPr>
              <w:t>自动成型机</w:t>
            </w:r>
            <w:r>
              <w:rPr>
                <w:highlight w:val="none"/>
              </w:rPr>
              <w:t>区域</w:t>
            </w:r>
            <w:r>
              <w:rPr>
                <w:rFonts w:hint="eastAsia"/>
                <w:highlight w:val="none"/>
                <w:lang w:val="en-US" w:eastAsia="zh-CN"/>
              </w:rPr>
              <w:t>北侧设置软帘，成型有机废气及蒸汽不凝气经集气管道收集</w:t>
            </w:r>
            <w:r>
              <w:rPr>
                <w:highlight w:val="none"/>
              </w:rPr>
              <w:t>送至</w:t>
            </w:r>
            <w:r>
              <w:rPr>
                <w:rFonts w:hint="eastAsia"/>
                <w:highlight w:val="none"/>
                <w:lang w:eastAsia="zh-CN"/>
              </w:rPr>
              <w:t>“</w:t>
            </w:r>
            <w:r>
              <w:rPr>
                <w:rFonts w:hint="eastAsia"/>
                <w:highlight w:val="none"/>
                <w:lang w:val="en-US" w:eastAsia="zh-CN"/>
              </w:rPr>
              <w:t>冷凝+二级活性炭</w:t>
            </w:r>
            <w:r>
              <w:rPr>
                <w:highlight w:val="none"/>
              </w:rPr>
              <w:t xml:space="preserve"> </w:t>
            </w:r>
            <w:r>
              <w:rPr>
                <w:rFonts w:hint="eastAsia"/>
                <w:highlight w:val="none"/>
                <w:lang w:eastAsia="zh-CN"/>
              </w:rPr>
              <w:t>”</w:t>
            </w:r>
            <w:r>
              <w:rPr>
                <w:highlight w:val="none"/>
              </w:rPr>
              <w:t>装置进行处理，尾气达标后经过 2</w:t>
            </w:r>
            <w:r>
              <w:rPr>
                <w:rFonts w:hint="eastAsia"/>
                <w:highlight w:val="none"/>
                <w:lang w:val="en-US" w:eastAsia="zh-CN"/>
              </w:rPr>
              <w:t>1</w:t>
            </w:r>
            <w:r>
              <w:rPr>
                <w:highlight w:val="none"/>
              </w:rPr>
              <w:t>m</w:t>
            </w:r>
            <w:r>
              <w:rPr>
                <w:rFonts w:hint="eastAsia"/>
                <w:highlight w:val="none"/>
                <w:lang w:eastAsia="zh-CN"/>
              </w:rPr>
              <w:t>（</w:t>
            </w:r>
            <w:r>
              <w:rPr>
                <w:rFonts w:hint="eastAsia"/>
                <w:highlight w:val="none"/>
                <w:lang w:val="en-US" w:eastAsia="zh-CN"/>
              </w:rPr>
              <w:t>DA002</w:t>
            </w:r>
            <w:r>
              <w:rPr>
                <w:rFonts w:hint="eastAsia"/>
                <w:highlight w:val="none"/>
                <w:lang w:eastAsia="zh-CN"/>
              </w:rPr>
              <w:t>）</w:t>
            </w:r>
            <w:r>
              <w:rPr>
                <w:highlight w:val="none"/>
              </w:rPr>
              <w:t>排气筒排放。</w:t>
            </w:r>
          </w:p>
          <w:p w14:paraId="4E5843C0">
            <w:pPr>
              <w:bidi w:val="0"/>
              <w:rPr>
                <w:rFonts w:hint="default"/>
                <w:lang w:val="en-US"/>
              </w:rPr>
            </w:pPr>
            <w:r>
              <w:rPr>
                <w:b/>
                <w:bCs/>
              </w:rPr>
              <w:t>烘干：</w:t>
            </w:r>
            <w:r>
              <w:t>人工将脱模后的成品搬运至烘干房，去除产品中的水分，</w:t>
            </w:r>
            <w:r>
              <w:rPr>
                <w:rFonts w:hint="eastAsia"/>
                <w:lang w:val="en-US" w:eastAsia="zh-CN"/>
              </w:rPr>
              <w:t>项目设置余热回收系统，使用成型机蒸汽余热</w:t>
            </w:r>
            <w:r>
              <w:t>对</w:t>
            </w:r>
            <w:r>
              <w:rPr>
                <w:rFonts w:hint="eastAsia"/>
                <w:lang w:val="en-US" w:eastAsia="zh-CN"/>
              </w:rPr>
              <w:t>烘房进行</w:t>
            </w:r>
            <w:r>
              <w:t>间接加热烘干，换热器将热蒸汽热量</w:t>
            </w:r>
            <w:r>
              <w:rPr>
                <w:rFonts w:hint="eastAsia"/>
                <w:lang w:val="en-US" w:eastAsia="zh-CN"/>
              </w:rPr>
              <w:t>转化</w:t>
            </w:r>
            <w:r>
              <w:t>成为热气进入到烘干房内箱体内部提供热量进行烘干，蒸汽不直接接触泡沫箱，烘干时间为</w:t>
            </w:r>
            <w:r>
              <w:rPr>
                <w:rFonts w:hint="eastAsia"/>
                <w:lang w:val="en-US" w:eastAsia="zh-CN"/>
              </w:rPr>
              <w:t>2</w:t>
            </w:r>
            <w:r>
              <w:t>h，温度保持在</w:t>
            </w:r>
            <w:r>
              <w:rPr>
                <w:rFonts w:hint="eastAsia"/>
                <w:color w:val="auto"/>
              </w:rPr>
              <w:t>50</w:t>
            </w:r>
            <w:r>
              <w:rPr>
                <w:rFonts w:hint="eastAsia"/>
                <w:color w:val="auto"/>
                <w:lang w:val="en-US" w:eastAsia="zh-CN"/>
              </w:rPr>
              <w:t>~</w:t>
            </w:r>
            <w:r>
              <w:rPr>
                <w:color w:val="auto"/>
              </w:rPr>
              <w:t>60℃</w:t>
            </w:r>
            <w:r>
              <w:rPr>
                <w:rFonts w:hint="eastAsia"/>
                <w:color w:val="auto"/>
                <w:lang w:eastAsia="zh-CN"/>
              </w:rPr>
              <w:t>，</w:t>
            </w:r>
            <w:r>
              <w:t>烘干后制品表面干燥，产品饱满，韧性和强度提高</w:t>
            </w:r>
            <w:r>
              <w:rPr>
                <w:rFonts w:hint="eastAsia"/>
                <w:lang w:val="en-US" w:eastAsia="zh-CN"/>
              </w:rPr>
              <w:t>。</w:t>
            </w:r>
          </w:p>
          <w:p w14:paraId="09A92557">
            <w:pPr>
              <w:bidi w:val="0"/>
              <w:rPr>
                <w:highlight w:val="none"/>
              </w:rPr>
            </w:pPr>
            <w:r>
              <w:rPr>
                <w:rFonts w:hint="eastAsia"/>
                <w:color w:val="auto"/>
                <w:lang w:val="en-US" w:eastAsia="zh-CN"/>
              </w:rPr>
              <w:t>此工序温度较低，</w:t>
            </w:r>
            <w:r>
              <w:rPr>
                <w:color w:val="auto"/>
              </w:rPr>
              <w:t>有少量</w:t>
            </w:r>
            <w:r>
              <w:rPr>
                <w:rFonts w:hint="eastAsia"/>
                <w:color w:val="auto"/>
                <w:lang w:val="en-US" w:eastAsia="zh-CN"/>
              </w:rPr>
              <w:t>有机废气</w:t>
            </w:r>
            <w:r>
              <w:rPr>
                <w:color w:val="auto"/>
              </w:rPr>
              <w:t>产生。项</w:t>
            </w:r>
            <w:r>
              <w:t>目烘干房设置为四面封闭的房间，仅留</w:t>
            </w:r>
            <w:r>
              <w:rPr>
                <w:rFonts w:hint="eastAsia"/>
                <w:lang w:val="en-US" w:eastAsia="zh-CN"/>
              </w:rPr>
              <w:t>汽车零配件产品</w:t>
            </w:r>
            <w:r>
              <w:t>出入口未封闭，烘干房设置</w:t>
            </w:r>
            <w:r>
              <w:rPr>
                <w:highlight w:val="none"/>
              </w:rPr>
              <w:t>集气管收集烘干过程产生的废气，由风机经过管道抽送至</w:t>
            </w:r>
            <w:r>
              <w:rPr>
                <w:rFonts w:hint="eastAsia"/>
                <w:highlight w:val="none"/>
                <w:lang w:eastAsia="zh-CN"/>
              </w:rPr>
              <w:t>“</w:t>
            </w:r>
            <w:r>
              <w:rPr>
                <w:rFonts w:hint="eastAsia"/>
                <w:highlight w:val="none"/>
                <w:lang w:val="en-US" w:eastAsia="zh-CN"/>
              </w:rPr>
              <w:t>冷凝+二级活性炭</w:t>
            </w:r>
            <w:r>
              <w:rPr>
                <w:highlight w:val="none"/>
              </w:rPr>
              <w:t xml:space="preserve"> </w:t>
            </w:r>
            <w:r>
              <w:rPr>
                <w:rFonts w:hint="eastAsia"/>
                <w:highlight w:val="none"/>
                <w:lang w:eastAsia="zh-CN"/>
              </w:rPr>
              <w:t>”</w:t>
            </w:r>
            <w:r>
              <w:rPr>
                <w:highlight w:val="none"/>
              </w:rPr>
              <w:t>装置进行处理，尾气达标后经过 2</w:t>
            </w:r>
            <w:r>
              <w:rPr>
                <w:rFonts w:hint="eastAsia"/>
                <w:highlight w:val="none"/>
                <w:lang w:val="en-US" w:eastAsia="zh-CN"/>
              </w:rPr>
              <w:t>1</w:t>
            </w:r>
            <w:r>
              <w:rPr>
                <w:highlight w:val="none"/>
              </w:rPr>
              <w:t>m排气筒</w:t>
            </w:r>
            <w:r>
              <w:rPr>
                <w:rFonts w:hint="eastAsia"/>
                <w:highlight w:val="none"/>
                <w:lang w:eastAsia="zh-CN"/>
              </w:rPr>
              <w:t>（</w:t>
            </w:r>
            <w:r>
              <w:rPr>
                <w:rFonts w:hint="eastAsia"/>
                <w:highlight w:val="none"/>
                <w:lang w:val="en-US" w:eastAsia="zh-CN"/>
              </w:rPr>
              <w:t>DA002</w:t>
            </w:r>
            <w:r>
              <w:rPr>
                <w:rFonts w:hint="eastAsia"/>
                <w:highlight w:val="none"/>
                <w:lang w:eastAsia="zh-CN"/>
              </w:rPr>
              <w:t>）</w:t>
            </w:r>
            <w:r>
              <w:rPr>
                <w:highlight w:val="none"/>
              </w:rPr>
              <w:t>排放。</w:t>
            </w:r>
          </w:p>
          <w:p w14:paraId="3BC486AE">
            <w:pPr>
              <w:rPr>
                <w:rFonts w:hint="eastAsia"/>
                <w:color w:val="auto"/>
              </w:rPr>
            </w:pPr>
            <w:r>
              <w:rPr>
                <w:rFonts w:hint="eastAsia"/>
                <w:color w:val="auto"/>
              </w:rPr>
              <w:t>此工序会产生非甲烷总烃废气、噪声。</w:t>
            </w:r>
          </w:p>
          <w:p w14:paraId="0AFFF23C">
            <w:pPr>
              <w:wordWrap/>
              <w:adjustRightInd w:val="0"/>
              <w:snapToGrid w:val="0"/>
              <w:ind w:firstLine="482"/>
              <w:rPr>
                <w:rFonts w:hint="eastAsia"/>
                <w:color w:val="auto"/>
              </w:rPr>
            </w:pPr>
            <w:r>
              <w:rPr>
                <w:rFonts w:hint="eastAsia"/>
                <w:b/>
                <w:bCs/>
                <w:color w:val="auto"/>
              </w:rPr>
              <w:t>检验入库</w:t>
            </w:r>
            <w:r>
              <w:rPr>
                <w:rFonts w:hint="eastAsia"/>
                <w:color w:val="auto"/>
              </w:rPr>
              <w:t>：烘干后的成品经员工检验合格后，打包入库。</w:t>
            </w:r>
          </w:p>
          <w:p w14:paraId="5D7D61E9">
            <w:pPr>
              <w:wordWrap/>
              <w:adjustRightInd w:val="0"/>
              <w:snapToGrid w:val="0"/>
              <w:rPr>
                <w:rFonts w:hint="eastAsia"/>
                <w:color w:val="auto"/>
              </w:rPr>
            </w:pPr>
            <w:r>
              <w:rPr>
                <w:rFonts w:hint="eastAsia"/>
                <w:color w:val="auto"/>
              </w:rPr>
              <w:t>此工序会产生噪声、</w:t>
            </w:r>
            <w:r>
              <w:rPr>
                <w:rFonts w:hint="eastAsia"/>
                <w:color w:val="auto"/>
                <w:lang w:val="en-US" w:eastAsia="zh-CN"/>
              </w:rPr>
              <w:t>不合格品</w:t>
            </w:r>
            <w:r>
              <w:rPr>
                <w:rFonts w:hint="eastAsia"/>
                <w:color w:val="auto"/>
              </w:rPr>
              <w:t>。</w:t>
            </w:r>
          </w:p>
          <w:p w14:paraId="6B999349">
            <w:pPr>
              <w:numPr>
                <w:ilvl w:val="0"/>
                <w:numId w:val="5"/>
              </w:numPr>
              <w:wordWrap/>
              <w:adjustRightInd w:val="0"/>
              <w:snapToGrid w:val="0"/>
              <w:ind w:left="0" w:leftChars="0" w:firstLine="482" w:firstLineChars="200"/>
              <w:rPr>
                <w:rFonts w:hint="eastAsia"/>
                <w:b/>
                <w:bCs/>
                <w:color w:val="auto"/>
                <w:lang w:val="en-US" w:eastAsia="zh-CN"/>
              </w:rPr>
            </w:pPr>
            <w:r>
              <w:rPr>
                <w:rFonts w:hint="eastAsia"/>
                <w:b/>
                <w:bCs/>
                <w:color w:val="auto"/>
                <w:lang w:val="en-US" w:eastAsia="zh-CN"/>
              </w:rPr>
              <w:t>其他污染工序</w:t>
            </w:r>
          </w:p>
          <w:p w14:paraId="368D79C2">
            <w:pPr>
              <w:bidi w:val="0"/>
            </w:pPr>
            <w:r>
              <w:rPr>
                <w:rFonts w:hint="eastAsia"/>
              </w:rPr>
              <w:t>职工生活主要产生的废物有生活污水、生活垃圾。</w:t>
            </w:r>
          </w:p>
          <w:p w14:paraId="20B48EBD">
            <w:pPr>
              <w:bidi w:val="0"/>
            </w:pPr>
            <w:r>
              <w:t>设备维护产生的废</w:t>
            </w:r>
            <w:r>
              <w:rPr>
                <w:rFonts w:hint="eastAsia"/>
                <w:lang w:val="en-US" w:eastAsia="zh-CN"/>
              </w:rPr>
              <w:t>润滑油、废润滑油包装桶、含油抹布、手套</w:t>
            </w:r>
            <w:r>
              <w:rPr>
                <w:rFonts w:hint="eastAsia"/>
              </w:rPr>
              <w:t>。</w:t>
            </w:r>
          </w:p>
          <w:p w14:paraId="6CA79EAF">
            <w:pPr>
              <w:bidi w:val="0"/>
              <w:rPr>
                <w:rFonts w:hint="default"/>
                <w:lang w:val="en-US" w:eastAsia="zh-CN"/>
              </w:rPr>
            </w:pPr>
            <w:r>
              <w:rPr>
                <w:rFonts w:hint="eastAsia"/>
                <w:lang w:val="en-US" w:eastAsia="zh-CN"/>
              </w:rPr>
              <w:t>废气治理过程中产生废活性炭。</w:t>
            </w:r>
          </w:p>
          <w:p w14:paraId="3E9AF034">
            <w:pPr>
              <w:pStyle w:val="46"/>
              <w:rPr>
                <w:b/>
                <w:bCs/>
                <w:color w:val="auto"/>
                <w:highlight w:val="none"/>
              </w:rPr>
            </w:pPr>
            <w:r>
              <w:rPr>
                <w:rFonts w:hint="eastAsia"/>
                <w:b/>
                <w:bCs/>
                <w:color w:val="auto"/>
                <w:highlight w:val="none"/>
              </w:rPr>
              <w:t>3、生产工艺污染物说明表</w:t>
            </w:r>
          </w:p>
          <w:p w14:paraId="59A1DAFD">
            <w:pPr>
              <w:pStyle w:val="40"/>
              <w:ind w:firstLine="480"/>
              <w:rPr>
                <w:color w:val="auto"/>
              </w:rPr>
            </w:pPr>
            <w:r>
              <w:rPr>
                <w:rFonts w:hint="eastAsia"/>
                <w:color w:val="auto"/>
              </w:rPr>
              <w:t>本项目污染物产生环节及拟采取的治理措施见表2-</w:t>
            </w:r>
            <w:r>
              <w:rPr>
                <w:rFonts w:hint="eastAsia"/>
                <w:color w:val="auto"/>
                <w:lang w:val="en-US" w:eastAsia="zh-CN"/>
              </w:rPr>
              <w:t>8</w:t>
            </w:r>
            <w:r>
              <w:rPr>
                <w:rFonts w:hint="eastAsia"/>
                <w:color w:val="auto"/>
              </w:rPr>
              <w:t>。</w:t>
            </w:r>
          </w:p>
          <w:p w14:paraId="2022BF2D">
            <w:pPr>
              <w:pStyle w:val="99"/>
              <w:ind w:firstLine="482"/>
              <w:rPr>
                <w:color w:val="auto"/>
              </w:rPr>
            </w:pPr>
            <w:r>
              <w:rPr>
                <w:rFonts w:hint="eastAsia"/>
                <w:color w:val="auto"/>
              </w:rPr>
              <w:t>表</w:t>
            </w:r>
            <w:r>
              <w:rPr>
                <w:color w:val="auto"/>
              </w:rPr>
              <w:t>2-</w:t>
            </w:r>
            <w:r>
              <w:rPr>
                <w:rFonts w:hint="eastAsia"/>
                <w:color w:val="auto"/>
                <w:lang w:val="en-US" w:eastAsia="zh-CN"/>
              </w:rPr>
              <w:t>8</w:t>
            </w:r>
            <w:r>
              <w:rPr>
                <w:color w:val="auto"/>
              </w:rPr>
              <w:t xml:space="preserve"> 产污环节一览表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841"/>
              <w:gridCol w:w="2"/>
              <w:gridCol w:w="1507"/>
              <w:gridCol w:w="1888"/>
              <w:gridCol w:w="2333"/>
              <w:gridCol w:w="1097"/>
            </w:tblGrid>
            <w:tr w14:paraId="3F70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noWrap w:val="0"/>
                  <w:vAlign w:val="center"/>
                </w:tcPr>
                <w:p w14:paraId="62B25B4D">
                  <w:pPr>
                    <w:pStyle w:val="68"/>
                    <w:rPr>
                      <w:color w:val="auto"/>
                    </w:rPr>
                  </w:pPr>
                  <w:r>
                    <w:rPr>
                      <w:color w:val="auto"/>
                    </w:rPr>
                    <w:t>污染</w:t>
                  </w:r>
                </w:p>
                <w:p w14:paraId="7AA68D97">
                  <w:pPr>
                    <w:pStyle w:val="68"/>
                    <w:rPr>
                      <w:color w:val="auto"/>
                    </w:rPr>
                  </w:pPr>
                  <w:r>
                    <w:rPr>
                      <w:color w:val="auto"/>
                    </w:rPr>
                    <w:t>类别</w:t>
                  </w:r>
                </w:p>
              </w:tc>
              <w:tc>
                <w:tcPr>
                  <w:tcW w:w="1400" w:type="pct"/>
                  <w:gridSpan w:val="3"/>
                  <w:noWrap w:val="0"/>
                  <w:vAlign w:val="center"/>
                </w:tcPr>
                <w:p w14:paraId="322BB012">
                  <w:pPr>
                    <w:pStyle w:val="68"/>
                    <w:rPr>
                      <w:color w:val="auto"/>
                    </w:rPr>
                  </w:pPr>
                  <w:r>
                    <w:rPr>
                      <w:color w:val="auto"/>
                    </w:rPr>
                    <w:t>产污环节</w:t>
                  </w:r>
                </w:p>
              </w:tc>
              <w:tc>
                <w:tcPr>
                  <w:tcW w:w="1125" w:type="pct"/>
                  <w:noWrap w:val="0"/>
                  <w:vAlign w:val="center"/>
                </w:tcPr>
                <w:p w14:paraId="780D343B">
                  <w:pPr>
                    <w:pStyle w:val="68"/>
                    <w:rPr>
                      <w:color w:val="auto"/>
                    </w:rPr>
                  </w:pPr>
                  <w:r>
                    <w:rPr>
                      <w:color w:val="auto"/>
                    </w:rPr>
                    <w:t>污染物</w:t>
                  </w:r>
                </w:p>
              </w:tc>
              <w:tc>
                <w:tcPr>
                  <w:tcW w:w="1390" w:type="pct"/>
                  <w:noWrap w:val="0"/>
                  <w:vAlign w:val="center"/>
                </w:tcPr>
                <w:p w14:paraId="69EBE2EB">
                  <w:pPr>
                    <w:pStyle w:val="68"/>
                    <w:rPr>
                      <w:color w:val="auto"/>
                    </w:rPr>
                  </w:pPr>
                  <w:r>
                    <w:rPr>
                      <w:color w:val="auto"/>
                    </w:rPr>
                    <w:t>治理措施</w:t>
                  </w:r>
                </w:p>
              </w:tc>
              <w:tc>
                <w:tcPr>
                  <w:tcW w:w="653" w:type="pct"/>
                  <w:noWrap w:val="0"/>
                  <w:vAlign w:val="center"/>
                </w:tcPr>
                <w:p w14:paraId="08AF44D6">
                  <w:pPr>
                    <w:pStyle w:val="68"/>
                    <w:rPr>
                      <w:rFonts w:hint="eastAsia" w:eastAsia="宋体"/>
                      <w:color w:val="auto"/>
                      <w:lang w:eastAsia="zh-CN"/>
                    </w:rPr>
                  </w:pPr>
                  <w:r>
                    <w:rPr>
                      <w:color w:val="auto"/>
                    </w:rPr>
                    <w:t>排放</w:t>
                  </w:r>
                  <w:r>
                    <w:rPr>
                      <w:rFonts w:hint="eastAsia"/>
                      <w:color w:val="auto"/>
                      <w:lang w:val="en-US" w:eastAsia="zh-CN"/>
                    </w:rPr>
                    <w:t>方式</w:t>
                  </w:r>
                </w:p>
              </w:tc>
            </w:tr>
            <w:tr w14:paraId="26C8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restart"/>
                  <w:noWrap w:val="0"/>
                  <w:vAlign w:val="center"/>
                </w:tcPr>
                <w:p w14:paraId="2289CB75">
                  <w:pPr>
                    <w:pStyle w:val="68"/>
                    <w:rPr>
                      <w:color w:val="auto"/>
                    </w:rPr>
                  </w:pPr>
                  <w:r>
                    <w:rPr>
                      <w:color w:val="auto"/>
                    </w:rPr>
                    <w:t>废气</w:t>
                  </w:r>
                </w:p>
              </w:tc>
              <w:tc>
                <w:tcPr>
                  <w:tcW w:w="501" w:type="pct"/>
                  <w:vMerge w:val="restart"/>
                  <w:noWrap w:val="0"/>
                  <w:vAlign w:val="center"/>
                </w:tcPr>
                <w:p w14:paraId="21898772">
                  <w:pPr>
                    <w:pStyle w:val="68"/>
                    <w:rPr>
                      <w:rFonts w:hint="default" w:eastAsia="宋体"/>
                      <w:color w:val="auto"/>
                      <w:lang w:val="en-US" w:eastAsia="zh-CN"/>
                    </w:rPr>
                  </w:pPr>
                  <w:r>
                    <w:rPr>
                      <w:rFonts w:hint="eastAsia"/>
                      <w:color w:val="auto"/>
                      <w:lang w:val="en-US" w:eastAsia="zh-CN"/>
                    </w:rPr>
                    <w:t>EPS包装材料生产线</w:t>
                  </w:r>
                </w:p>
              </w:tc>
              <w:tc>
                <w:tcPr>
                  <w:tcW w:w="899" w:type="pct"/>
                  <w:gridSpan w:val="2"/>
                  <w:shd w:val="clear" w:color="auto" w:fill="auto"/>
                  <w:noWrap w:val="0"/>
                  <w:vAlign w:val="center"/>
                </w:tcPr>
                <w:p w14:paraId="3D3EAC1A">
                  <w:pPr>
                    <w:pStyle w:val="68"/>
                    <w:ind w:firstLine="0" w:firstLineChars="0"/>
                    <w:rPr>
                      <w:rFonts w:hint="default" w:ascii="Times New Roman" w:hAnsi="Times New Roman" w:eastAsia="宋体" w:cs="Times New Roman"/>
                      <w:color w:val="auto"/>
                      <w:kern w:val="2"/>
                      <w:sz w:val="21"/>
                      <w:szCs w:val="20"/>
                      <w:lang w:val="en-US" w:eastAsia="zh-CN" w:bidi="ar-SA"/>
                    </w:rPr>
                  </w:pPr>
                  <w:r>
                    <w:rPr>
                      <w:color w:val="auto"/>
                    </w:rPr>
                    <w:t>发泡废气</w:t>
                  </w:r>
                  <w:r>
                    <w:rPr>
                      <w:rFonts w:hint="eastAsia"/>
                      <w:color w:val="auto"/>
                      <w:lang w:eastAsia="zh-CN"/>
                    </w:rPr>
                    <w:t>、</w:t>
                  </w:r>
                  <w:r>
                    <w:rPr>
                      <w:rFonts w:hint="eastAsia"/>
                      <w:color w:val="auto"/>
                      <w:lang w:val="en-US" w:eastAsia="zh-CN"/>
                    </w:rPr>
                    <w:t>蒸汽不凝气</w:t>
                  </w:r>
                </w:p>
              </w:tc>
              <w:tc>
                <w:tcPr>
                  <w:tcW w:w="1125" w:type="pct"/>
                  <w:noWrap w:val="0"/>
                  <w:vAlign w:val="center"/>
                </w:tcPr>
                <w:p w14:paraId="7DDD75DC">
                  <w:pPr>
                    <w:pStyle w:val="68"/>
                    <w:rPr>
                      <w:rFonts w:hint="default" w:eastAsia="宋体"/>
                      <w:color w:val="auto"/>
                      <w:lang w:val="en-US" w:eastAsia="zh-CN"/>
                    </w:rPr>
                  </w:pPr>
                  <w:r>
                    <w:rPr>
                      <w:color w:val="auto"/>
                    </w:rPr>
                    <w:t>VOCs</w:t>
                  </w:r>
                  <w:r>
                    <w:rPr>
                      <w:rFonts w:hint="eastAsia"/>
                      <w:color w:val="auto"/>
                      <w:lang w:eastAsia="zh-CN"/>
                    </w:rPr>
                    <w:t>（</w:t>
                  </w:r>
                  <w:r>
                    <w:rPr>
                      <w:rFonts w:hint="eastAsia"/>
                      <w:color w:val="auto"/>
                      <w:lang w:val="en-US" w:eastAsia="zh-CN"/>
                    </w:rPr>
                    <w:t>非甲烷总烃、苯乙烯）</w:t>
                  </w:r>
                </w:p>
              </w:tc>
              <w:tc>
                <w:tcPr>
                  <w:tcW w:w="1390" w:type="pct"/>
                  <w:noWrap w:val="0"/>
                  <w:vAlign w:val="center"/>
                </w:tcPr>
                <w:p w14:paraId="655709E5">
                  <w:pPr>
                    <w:pStyle w:val="68"/>
                    <w:rPr>
                      <w:color w:val="auto"/>
                      <w:highlight w:val="none"/>
                    </w:rPr>
                  </w:pPr>
                  <w:r>
                    <w:rPr>
                      <w:color w:val="auto"/>
                      <w:highlight w:val="none"/>
                    </w:rPr>
                    <w:t>集气罩收集+</w:t>
                  </w:r>
                  <w:r>
                    <w:rPr>
                      <w:rFonts w:hint="eastAsia"/>
                      <w:color w:val="auto"/>
                      <w:highlight w:val="none"/>
                      <w:lang w:val="en-US" w:eastAsia="zh-CN"/>
                    </w:rPr>
                    <w:t>冷凝</w:t>
                  </w:r>
                  <w:r>
                    <w:rPr>
                      <w:rFonts w:hint="eastAsia"/>
                      <w:color w:val="auto"/>
                      <w:highlight w:val="none"/>
                      <w:lang w:eastAsia="zh-CN"/>
                    </w:rPr>
                    <w:t>+二级活性炭吸附</w:t>
                  </w:r>
                  <w:r>
                    <w:rPr>
                      <w:color w:val="auto"/>
                      <w:highlight w:val="none"/>
                    </w:rPr>
                    <w:t>+</w:t>
                  </w:r>
                  <w:r>
                    <w:rPr>
                      <w:rFonts w:hint="eastAsia"/>
                      <w:color w:val="auto"/>
                      <w:highlight w:val="none"/>
                      <w:lang w:val="en-US" w:eastAsia="zh-CN"/>
                    </w:rPr>
                    <w:t>21</w:t>
                  </w:r>
                  <w:r>
                    <w:rPr>
                      <w:color w:val="auto"/>
                      <w:highlight w:val="none"/>
                    </w:rPr>
                    <w:t>m高排气筒</w:t>
                  </w:r>
                  <w:r>
                    <w:rPr>
                      <w:rFonts w:hint="eastAsia"/>
                      <w:highlight w:val="none"/>
                      <w:lang w:eastAsia="zh-CN"/>
                    </w:rPr>
                    <w:t>（</w:t>
                  </w:r>
                  <w:r>
                    <w:rPr>
                      <w:rFonts w:hint="eastAsia"/>
                      <w:highlight w:val="none"/>
                      <w:lang w:val="en-US" w:eastAsia="zh-CN"/>
                    </w:rPr>
                    <w:t>DA001</w:t>
                  </w:r>
                  <w:r>
                    <w:rPr>
                      <w:rFonts w:hint="eastAsia"/>
                      <w:highlight w:val="none"/>
                      <w:lang w:eastAsia="zh-CN"/>
                    </w:rPr>
                    <w:t>）</w:t>
                  </w:r>
                </w:p>
              </w:tc>
              <w:tc>
                <w:tcPr>
                  <w:tcW w:w="653" w:type="pct"/>
                  <w:noWrap w:val="0"/>
                  <w:vAlign w:val="center"/>
                </w:tcPr>
                <w:p w14:paraId="019DE97D">
                  <w:pPr>
                    <w:pStyle w:val="68"/>
                    <w:rPr>
                      <w:color w:val="auto"/>
                    </w:rPr>
                  </w:pPr>
                  <w:r>
                    <w:rPr>
                      <w:rFonts w:hint="eastAsia"/>
                      <w:color w:val="auto"/>
                      <w:lang w:val="en-US" w:eastAsia="zh-CN"/>
                    </w:rPr>
                    <w:t>有组织</w:t>
                  </w:r>
                </w:p>
              </w:tc>
            </w:tr>
            <w:tr w14:paraId="7D29D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noWrap w:val="0"/>
                  <w:vAlign w:val="center"/>
                </w:tcPr>
                <w:p w14:paraId="1911F3C0">
                  <w:pPr>
                    <w:pStyle w:val="68"/>
                    <w:rPr>
                      <w:color w:val="auto"/>
                    </w:rPr>
                  </w:pPr>
                </w:p>
              </w:tc>
              <w:tc>
                <w:tcPr>
                  <w:tcW w:w="501" w:type="pct"/>
                  <w:vMerge w:val="continue"/>
                  <w:noWrap w:val="0"/>
                  <w:vAlign w:val="center"/>
                </w:tcPr>
                <w:p w14:paraId="1430B6D7">
                  <w:pPr>
                    <w:pStyle w:val="68"/>
                    <w:rPr>
                      <w:color w:val="auto"/>
                    </w:rPr>
                  </w:pPr>
                </w:p>
              </w:tc>
              <w:tc>
                <w:tcPr>
                  <w:tcW w:w="899" w:type="pct"/>
                  <w:gridSpan w:val="2"/>
                  <w:shd w:val="clear" w:color="auto" w:fill="auto"/>
                  <w:noWrap w:val="0"/>
                  <w:vAlign w:val="center"/>
                </w:tcPr>
                <w:p w14:paraId="61DA7E86">
                  <w:pPr>
                    <w:pStyle w:val="68"/>
                    <w:ind w:firstLine="0" w:firstLineChars="0"/>
                    <w:rPr>
                      <w:rFonts w:hint="eastAsia" w:ascii="Times New Roman" w:hAnsi="Times New Roman" w:eastAsia="宋体" w:cs="Times New Roman"/>
                      <w:color w:val="auto"/>
                      <w:kern w:val="2"/>
                      <w:sz w:val="21"/>
                      <w:szCs w:val="20"/>
                      <w:lang w:val="en-US" w:eastAsia="zh-CN" w:bidi="ar-SA"/>
                    </w:rPr>
                  </w:pPr>
                  <w:r>
                    <w:rPr>
                      <w:color w:val="auto"/>
                    </w:rPr>
                    <w:t>成型废气</w:t>
                  </w:r>
                  <w:r>
                    <w:rPr>
                      <w:rFonts w:hint="eastAsia"/>
                      <w:color w:val="auto"/>
                      <w:lang w:eastAsia="zh-CN"/>
                    </w:rPr>
                    <w:t>、</w:t>
                  </w:r>
                  <w:r>
                    <w:rPr>
                      <w:rFonts w:hint="eastAsia"/>
                      <w:color w:val="auto"/>
                      <w:lang w:val="en-US" w:eastAsia="zh-CN"/>
                    </w:rPr>
                    <w:t>蒸汽不凝气</w:t>
                  </w:r>
                </w:p>
              </w:tc>
              <w:tc>
                <w:tcPr>
                  <w:tcW w:w="1125" w:type="pct"/>
                  <w:noWrap w:val="0"/>
                  <w:vAlign w:val="center"/>
                </w:tcPr>
                <w:p w14:paraId="443B60DA">
                  <w:pPr>
                    <w:pStyle w:val="68"/>
                    <w:rPr>
                      <w:color w:val="auto"/>
                    </w:rPr>
                  </w:pPr>
                  <w:r>
                    <w:rPr>
                      <w:color w:val="auto"/>
                    </w:rPr>
                    <w:t>VOCs</w:t>
                  </w:r>
                  <w:r>
                    <w:rPr>
                      <w:rFonts w:hint="eastAsia"/>
                      <w:color w:val="auto"/>
                      <w:lang w:eastAsia="zh-CN"/>
                    </w:rPr>
                    <w:t>（</w:t>
                  </w:r>
                  <w:r>
                    <w:rPr>
                      <w:rFonts w:hint="eastAsia"/>
                      <w:color w:val="auto"/>
                      <w:lang w:val="en-US" w:eastAsia="zh-CN"/>
                    </w:rPr>
                    <w:t>非甲烷总烃、苯乙烯）</w:t>
                  </w:r>
                </w:p>
              </w:tc>
              <w:tc>
                <w:tcPr>
                  <w:tcW w:w="1390" w:type="pct"/>
                  <w:vMerge w:val="restart"/>
                  <w:noWrap w:val="0"/>
                  <w:vAlign w:val="center"/>
                </w:tcPr>
                <w:p w14:paraId="33684D04">
                  <w:pPr>
                    <w:pStyle w:val="68"/>
                    <w:rPr>
                      <w:color w:val="auto"/>
                      <w:highlight w:val="none"/>
                    </w:rPr>
                  </w:pPr>
                  <w:r>
                    <w:rPr>
                      <w:color w:val="auto"/>
                      <w:highlight w:val="none"/>
                    </w:rPr>
                    <w:t>集气管道+</w:t>
                  </w:r>
                  <w:r>
                    <w:rPr>
                      <w:rFonts w:hint="eastAsia"/>
                      <w:color w:val="auto"/>
                      <w:highlight w:val="none"/>
                      <w:lang w:eastAsia="zh-CN"/>
                    </w:rPr>
                    <w:t>冷凝+二级活性炭</w:t>
                  </w:r>
                  <w:r>
                    <w:rPr>
                      <w:color w:val="auto"/>
                      <w:highlight w:val="none"/>
                    </w:rPr>
                    <w:t>+</w:t>
                  </w:r>
                  <w:r>
                    <w:rPr>
                      <w:rFonts w:hint="eastAsia"/>
                      <w:color w:val="auto"/>
                      <w:highlight w:val="none"/>
                      <w:lang w:val="en-US" w:eastAsia="zh-CN"/>
                    </w:rPr>
                    <w:t>21</w:t>
                  </w:r>
                  <w:r>
                    <w:rPr>
                      <w:color w:val="auto"/>
                      <w:highlight w:val="none"/>
                    </w:rPr>
                    <w:t>m高排气筒</w:t>
                  </w:r>
                  <w:r>
                    <w:rPr>
                      <w:rFonts w:hint="eastAsia"/>
                      <w:highlight w:val="none"/>
                      <w:lang w:eastAsia="zh-CN"/>
                    </w:rPr>
                    <w:t>（</w:t>
                  </w:r>
                  <w:r>
                    <w:rPr>
                      <w:rFonts w:hint="eastAsia"/>
                      <w:highlight w:val="none"/>
                      <w:lang w:val="en-US" w:eastAsia="zh-CN"/>
                    </w:rPr>
                    <w:t>DA001</w:t>
                  </w:r>
                  <w:r>
                    <w:rPr>
                      <w:rFonts w:hint="eastAsia"/>
                      <w:highlight w:val="none"/>
                      <w:lang w:eastAsia="zh-CN"/>
                    </w:rPr>
                    <w:t>）</w:t>
                  </w:r>
                </w:p>
              </w:tc>
              <w:tc>
                <w:tcPr>
                  <w:tcW w:w="653" w:type="pct"/>
                  <w:noWrap w:val="0"/>
                  <w:vAlign w:val="center"/>
                </w:tcPr>
                <w:p w14:paraId="705A36A6">
                  <w:pPr>
                    <w:pStyle w:val="68"/>
                    <w:rPr>
                      <w:color w:val="auto"/>
                    </w:rPr>
                  </w:pPr>
                  <w:r>
                    <w:rPr>
                      <w:rFonts w:hint="eastAsia"/>
                      <w:color w:val="auto"/>
                      <w:lang w:val="en-US" w:eastAsia="zh-CN"/>
                    </w:rPr>
                    <w:t>有组织</w:t>
                  </w:r>
                </w:p>
              </w:tc>
            </w:tr>
            <w:tr w14:paraId="585A8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noWrap w:val="0"/>
                  <w:vAlign w:val="center"/>
                </w:tcPr>
                <w:p w14:paraId="77695313">
                  <w:pPr>
                    <w:pStyle w:val="68"/>
                    <w:rPr>
                      <w:color w:val="auto"/>
                    </w:rPr>
                  </w:pPr>
                </w:p>
              </w:tc>
              <w:tc>
                <w:tcPr>
                  <w:tcW w:w="501" w:type="pct"/>
                  <w:vMerge w:val="continue"/>
                  <w:noWrap w:val="0"/>
                  <w:vAlign w:val="center"/>
                </w:tcPr>
                <w:p w14:paraId="4E3A40EB">
                  <w:pPr>
                    <w:pStyle w:val="68"/>
                    <w:rPr>
                      <w:color w:val="auto"/>
                    </w:rPr>
                  </w:pPr>
                </w:p>
              </w:tc>
              <w:tc>
                <w:tcPr>
                  <w:tcW w:w="899" w:type="pct"/>
                  <w:gridSpan w:val="2"/>
                  <w:shd w:val="clear" w:color="auto" w:fill="auto"/>
                  <w:noWrap w:val="0"/>
                  <w:vAlign w:val="center"/>
                </w:tcPr>
                <w:p w14:paraId="4853FD2A">
                  <w:pPr>
                    <w:pStyle w:val="68"/>
                    <w:ind w:firstLine="0" w:firstLineChars="0"/>
                    <w:rPr>
                      <w:rFonts w:hint="eastAsia" w:ascii="Times New Roman" w:hAnsi="Times New Roman" w:eastAsia="宋体" w:cs="Times New Roman"/>
                      <w:color w:val="auto"/>
                      <w:kern w:val="2"/>
                      <w:sz w:val="21"/>
                      <w:szCs w:val="20"/>
                      <w:lang w:val="en-US" w:eastAsia="zh-CN" w:bidi="ar-SA"/>
                    </w:rPr>
                  </w:pPr>
                  <w:r>
                    <w:rPr>
                      <w:color w:val="auto"/>
                    </w:rPr>
                    <w:t>烘干废气</w:t>
                  </w:r>
                </w:p>
              </w:tc>
              <w:tc>
                <w:tcPr>
                  <w:tcW w:w="1125" w:type="pct"/>
                  <w:noWrap w:val="0"/>
                  <w:vAlign w:val="center"/>
                </w:tcPr>
                <w:p w14:paraId="54F92B0A">
                  <w:pPr>
                    <w:pStyle w:val="68"/>
                    <w:rPr>
                      <w:color w:val="auto"/>
                    </w:rPr>
                  </w:pPr>
                  <w:r>
                    <w:rPr>
                      <w:color w:val="auto"/>
                    </w:rPr>
                    <w:t>VOCs</w:t>
                  </w:r>
                  <w:r>
                    <w:rPr>
                      <w:rFonts w:hint="eastAsia"/>
                      <w:color w:val="auto"/>
                      <w:lang w:eastAsia="zh-CN"/>
                    </w:rPr>
                    <w:t>（</w:t>
                  </w:r>
                  <w:r>
                    <w:rPr>
                      <w:rFonts w:hint="eastAsia"/>
                      <w:color w:val="auto"/>
                      <w:lang w:val="en-US" w:eastAsia="zh-CN"/>
                    </w:rPr>
                    <w:t>非甲烷总烃、苯乙烯）</w:t>
                  </w:r>
                </w:p>
              </w:tc>
              <w:tc>
                <w:tcPr>
                  <w:tcW w:w="1390" w:type="pct"/>
                  <w:vMerge w:val="continue"/>
                  <w:noWrap w:val="0"/>
                  <w:vAlign w:val="center"/>
                </w:tcPr>
                <w:p w14:paraId="469C5965">
                  <w:pPr>
                    <w:pStyle w:val="68"/>
                    <w:rPr>
                      <w:color w:val="auto"/>
                    </w:rPr>
                  </w:pPr>
                </w:p>
              </w:tc>
              <w:tc>
                <w:tcPr>
                  <w:tcW w:w="653" w:type="pct"/>
                  <w:noWrap w:val="0"/>
                  <w:vAlign w:val="center"/>
                </w:tcPr>
                <w:p w14:paraId="0B096346">
                  <w:pPr>
                    <w:pStyle w:val="68"/>
                    <w:rPr>
                      <w:color w:val="auto"/>
                    </w:rPr>
                  </w:pPr>
                  <w:r>
                    <w:rPr>
                      <w:rFonts w:hint="eastAsia"/>
                      <w:color w:val="auto"/>
                      <w:lang w:val="en-US" w:eastAsia="zh-CN"/>
                    </w:rPr>
                    <w:t>有组织</w:t>
                  </w:r>
                </w:p>
              </w:tc>
            </w:tr>
            <w:tr w14:paraId="1EA0E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noWrap w:val="0"/>
                  <w:vAlign w:val="center"/>
                </w:tcPr>
                <w:p w14:paraId="2C8E873E">
                  <w:pPr>
                    <w:pStyle w:val="68"/>
                    <w:rPr>
                      <w:color w:val="auto"/>
                    </w:rPr>
                  </w:pPr>
                </w:p>
              </w:tc>
              <w:tc>
                <w:tcPr>
                  <w:tcW w:w="502" w:type="pct"/>
                  <w:gridSpan w:val="2"/>
                  <w:vMerge w:val="restart"/>
                  <w:noWrap w:val="0"/>
                  <w:vAlign w:val="center"/>
                </w:tcPr>
                <w:p w14:paraId="1AF9ECB6">
                  <w:pPr>
                    <w:pStyle w:val="68"/>
                    <w:rPr>
                      <w:rFonts w:hint="default" w:eastAsia="宋体"/>
                      <w:color w:val="auto"/>
                      <w:lang w:val="en-US" w:eastAsia="zh-CN"/>
                    </w:rPr>
                  </w:pPr>
                  <w:r>
                    <w:rPr>
                      <w:rFonts w:hint="eastAsia"/>
                      <w:color w:val="auto"/>
                      <w:lang w:val="en-US" w:eastAsia="zh-CN"/>
                    </w:rPr>
                    <w:t>EPP汽车零部件生产线</w:t>
                  </w:r>
                </w:p>
              </w:tc>
              <w:tc>
                <w:tcPr>
                  <w:tcW w:w="898" w:type="pct"/>
                  <w:shd w:val="clear" w:color="auto" w:fill="auto"/>
                  <w:noWrap w:val="0"/>
                  <w:vAlign w:val="center"/>
                </w:tcPr>
                <w:p w14:paraId="7EA06E60">
                  <w:pPr>
                    <w:pStyle w:val="68"/>
                    <w:ind w:firstLine="0" w:firstLineChars="0"/>
                    <w:rPr>
                      <w:rFonts w:hint="eastAsia" w:ascii="Times New Roman" w:hAnsi="Times New Roman" w:eastAsia="宋体" w:cs="Times New Roman"/>
                      <w:color w:val="auto"/>
                      <w:kern w:val="2"/>
                      <w:sz w:val="21"/>
                      <w:szCs w:val="20"/>
                      <w:lang w:val="en-US" w:eastAsia="zh-CN" w:bidi="ar-SA"/>
                    </w:rPr>
                  </w:pPr>
                  <w:r>
                    <w:rPr>
                      <w:color w:val="auto"/>
                    </w:rPr>
                    <w:t>成型废气</w:t>
                  </w:r>
                  <w:r>
                    <w:rPr>
                      <w:rFonts w:hint="eastAsia"/>
                      <w:color w:val="auto"/>
                      <w:lang w:eastAsia="zh-CN"/>
                    </w:rPr>
                    <w:t>、</w:t>
                  </w:r>
                  <w:r>
                    <w:rPr>
                      <w:rFonts w:hint="eastAsia"/>
                      <w:color w:val="auto"/>
                      <w:lang w:val="en-US" w:eastAsia="zh-CN"/>
                    </w:rPr>
                    <w:t>蒸汽不凝气</w:t>
                  </w:r>
                </w:p>
              </w:tc>
              <w:tc>
                <w:tcPr>
                  <w:tcW w:w="1125" w:type="pct"/>
                  <w:shd w:val="clear" w:color="auto" w:fill="auto"/>
                  <w:noWrap w:val="0"/>
                  <w:vAlign w:val="center"/>
                </w:tcPr>
                <w:p w14:paraId="6BA6A74F">
                  <w:pPr>
                    <w:pStyle w:val="68"/>
                    <w:ind w:firstLine="0" w:firstLineChars="0"/>
                    <w:rPr>
                      <w:rFonts w:hint="eastAsia" w:ascii="Times New Roman" w:hAnsi="Times New Roman" w:eastAsia="宋体" w:cs="Times New Roman"/>
                      <w:color w:val="auto"/>
                      <w:kern w:val="2"/>
                      <w:sz w:val="21"/>
                      <w:szCs w:val="20"/>
                      <w:lang w:val="en-US" w:eastAsia="zh-CN" w:bidi="ar-SA"/>
                    </w:rPr>
                  </w:pPr>
                  <w:r>
                    <w:rPr>
                      <w:color w:val="auto"/>
                    </w:rPr>
                    <w:t>VOCs</w:t>
                  </w:r>
                  <w:r>
                    <w:rPr>
                      <w:rFonts w:hint="eastAsia"/>
                      <w:color w:val="auto"/>
                      <w:lang w:eastAsia="zh-CN"/>
                    </w:rPr>
                    <w:t>（</w:t>
                  </w:r>
                  <w:r>
                    <w:rPr>
                      <w:rFonts w:hint="eastAsia"/>
                      <w:color w:val="auto"/>
                      <w:lang w:val="en-US" w:eastAsia="zh-CN"/>
                    </w:rPr>
                    <w:t>非甲烷总烃）</w:t>
                  </w:r>
                </w:p>
              </w:tc>
              <w:tc>
                <w:tcPr>
                  <w:tcW w:w="1390" w:type="pct"/>
                  <w:vMerge w:val="restart"/>
                  <w:shd w:val="clear" w:color="auto" w:fill="auto"/>
                  <w:noWrap w:val="0"/>
                  <w:vAlign w:val="center"/>
                </w:tcPr>
                <w:p w14:paraId="53F7FFFB">
                  <w:pPr>
                    <w:pStyle w:val="68"/>
                    <w:ind w:firstLine="0" w:firstLineChars="0"/>
                    <w:rPr>
                      <w:rFonts w:hint="eastAsia" w:ascii="Times New Roman" w:hAnsi="Times New Roman" w:eastAsia="宋体" w:cs="Times New Roman"/>
                      <w:color w:val="auto"/>
                      <w:kern w:val="2"/>
                      <w:sz w:val="21"/>
                      <w:szCs w:val="20"/>
                      <w:highlight w:val="none"/>
                      <w:lang w:val="en-US" w:eastAsia="zh-CN" w:bidi="ar-SA"/>
                    </w:rPr>
                  </w:pPr>
                  <w:r>
                    <w:rPr>
                      <w:color w:val="auto"/>
                      <w:highlight w:val="none"/>
                    </w:rPr>
                    <w:t>集气管道+</w:t>
                  </w:r>
                  <w:r>
                    <w:rPr>
                      <w:rFonts w:hint="eastAsia"/>
                      <w:color w:val="auto"/>
                      <w:highlight w:val="none"/>
                      <w:lang w:eastAsia="zh-CN"/>
                    </w:rPr>
                    <w:t>冷凝+二级活性炭</w:t>
                  </w:r>
                  <w:r>
                    <w:rPr>
                      <w:color w:val="auto"/>
                      <w:highlight w:val="none"/>
                    </w:rPr>
                    <w:t>+</w:t>
                  </w:r>
                  <w:r>
                    <w:rPr>
                      <w:rFonts w:hint="eastAsia"/>
                      <w:color w:val="auto"/>
                      <w:highlight w:val="none"/>
                      <w:lang w:val="en-US" w:eastAsia="zh-CN"/>
                    </w:rPr>
                    <w:t>21</w:t>
                  </w:r>
                  <w:r>
                    <w:rPr>
                      <w:color w:val="auto"/>
                      <w:highlight w:val="none"/>
                    </w:rPr>
                    <w:t>m高排气筒</w:t>
                  </w:r>
                  <w:r>
                    <w:rPr>
                      <w:rFonts w:hint="eastAsia"/>
                      <w:highlight w:val="none"/>
                      <w:lang w:eastAsia="zh-CN"/>
                    </w:rPr>
                    <w:t>（</w:t>
                  </w:r>
                  <w:r>
                    <w:rPr>
                      <w:rFonts w:hint="eastAsia"/>
                      <w:highlight w:val="none"/>
                      <w:lang w:val="en-US" w:eastAsia="zh-CN"/>
                    </w:rPr>
                    <w:t>DA002</w:t>
                  </w:r>
                  <w:r>
                    <w:rPr>
                      <w:rFonts w:hint="eastAsia"/>
                      <w:highlight w:val="none"/>
                      <w:lang w:eastAsia="zh-CN"/>
                    </w:rPr>
                    <w:t>）</w:t>
                  </w:r>
                </w:p>
              </w:tc>
              <w:tc>
                <w:tcPr>
                  <w:tcW w:w="653" w:type="pct"/>
                  <w:noWrap w:val="0"/>
                  <w:vAlign w:val="center"/>
                </w:tcPr>
                <w:p w14:paraId="344E53CC">
                  <w:pPr>
                    <w:pStyle w:val="68"/>
                    <w:rPr>
                      <w:rFonts w:hint="eastAsia" w:eastAsia="宋体"/>
                      <w:color w:val="auto"/>
                      <w:lang w:val="en-US" w:eastAsia="zh-CN"/>
                    </w:rPr>
                  </w:pPr>
                  <w:r>
                    <w:rPr>
                      <w:rFonts w:hint="eastAsia"/>
                      <w:color w:val="auto"/>
                      <w:lang w:val="en-US" w:eastAsia="zh-CN"/>
                    </w:rPr>
                    <w:t>有组织</w:t>
                  </w:r>
                </w:p>
              </w:tc>
            </w:tr>
            <w:tr w14:paraId="67944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noWrap w:val="0"/>
                  <w:vAlign w:val="center"/>
                </w:tcPr>
                <w:p w14:paraId="4466D171">
                  <w:pPr>
                    <w:pStyle w:val="68"/>
                    <w:rPr>
                      <w:color w:val="auto"/>
                    </w:rPr>
                  </w:pPr>
                </w:p>
              </w:tc>
              <w:tc>
                <w:tcPr>
                  <w:tcW w:w="502" w:type="pct"/>
                  <w:gridSpan w:val="2"/>
                  <w:vMerge w:val="continue"/>
                  <w:noWrap w:val="0"/>
                  <w:vAlign w:val="center"/>
                </w:tcPr>
                <w:p w14:paraId="02D01435">
                  <w:pPr>
                    <w:pStyle w:val="68"/>
                    <w:rPr>
                      <w:color w:val="auto"/>
                    </w:rPr>
                  </w:pPr>
                </w:p>
              </w:tc>
              <w:tc>
                <w:tcPr>
                  <w:tcW w:w="898" w:type="pct"/>
                  <w:shd w:val="clear" w:color="auto" w:fill="auto"/>
                  <w:noWrap w:val="0"/>
                  <w:vAlign w:val="center"/>
                </w:tcPr>
                <w:p w14:paraId="5F965B89">
                  <w:pPr>
                    <w:pStyle w:val="68"/>
                    <w:ind w:firstLine="0" w:firstLineChars="0"/>
                    <w:rPr>
                      <w:rFonts w:hint="eastAsia" w:ascii="Times New Roman" w:hAnsi="Times New Roman" w:eastAsia="宋体" w:cs="Times New Roman"/>
                      <w:color w:val="auto"/>
                      <w:kern w:val="2"/>
                      <w:sz w:val="21"/>
                      <w:szCs w:val="20"/>
                      <w:lang w:val="en-US" w:eastAsia="zh-CN" w:bidi="ar-SA"/>
                    </w:rPr>
                  </w:pPr>
                  <w:r>
                    <w:rPr>
                      <w:color w:val="auto"/>
                    </w:rPr>
                    <w:t>烘干废气</w:t>
                  </w:r>
                </w:p>
              </w:tc>
              <w:tc>
                <w:tcPr>
                  <w:tcW w:w="1125" w:type="pct"/>
                  <w:shd w:val="clear" w:color="auto" w:fill="auto"/>
                  <w:noWrap w:val="0"/>
                  <w:vAlign w:val="center"/>
                </w:tcPr>
                <w:p w14:paraId="7C73276C">
                  <w:pPr>
                    <w:pStyle w:val="68"/>
                    <w:ind w:firstLine="0" w:firstLineChars="0"/>
                    <w:rPr>
                      <w:rFonts w:hint="eastAsia" w:ascii="Times New Roman" w:hAnsi="Times New Roman" w:eastAsia="宋体" w:cs="Times New Roman"/>
                      <w:color w:val="auto"/>
                      <w:kern w:val="2"/>
                      <w:sz w:val="21"/>
                      <w:szCs w:val="20"/>
                      <w:lang w:val="en-US" w:eastAsia="zh-CN" w:bidi="ar-SA"/>
                    </w:rPr>
                  </w:pPr>
                  <w:r>
                    <w:rPr>
                      <w:color w:val="auto"/>
                    </w:rPr>
                    <w:t>VOCs</w:t>
                  </w:r>
                  <w:r>
                    <w:rPr>
                      <w:rFonts w:hint="eastAsia"/>
                      <w:color w:val="auto"/>
                      <w:lang w:eastAsia="zh-CN"/>
                    </w:rPr>
                    <w:t>（</w:t>
                  </w:r>
                  <w:r>
                    <w:rPr>
                      <w:rFonts w:hint="eastAsia"/>
                      <w:color w:val="auto"/>
                      <w:lang w:val="en-US" w:eastAsia="zh-CN"/>
                    </w:rPr>
                    <w:t>非甲烷总烃）</w:t>
                  </w:r>
                </w:p>
              </w:tc>
              <w:tc>
                <w:tcPr>
                  <w:tcW w:w="1390" w:type="pct"/>
                  <w:vMerge w:val="continue"/>
                  <w:noWrap w:val="0"/>
                  <w:vAlign w:val="center"/>
                </w:tcPr>
                <w:p w14:paraId="1D028B62">
                  <w:pPr>
                    <w:pStyle w:val="68"/>
                    <w:rPr>
                      <w:color w:val="auto"/>
                    </w:rPr>
                  </w:pPr>
                </w:p>
              </w:tc>
              <w:tc>
                <w:tcPr>
                  <w:tcW w:w="653" w:type="pct"/>
                  <w:noWrap w:val="0"/>
                  <w:vAlign w:val="center"/>
                </w:tcPr>
                <w:p w14:paraId="6B44BF39">
                  <w:pPr>
                    <w:pStyle w:val="68"/>
                    <w:rPr>
                      <w:color w:val="auto"/>
                    </w:rPr>
                  </w:pPr>
                  <w:r>
                    <w:rPr>
                      <w:rFonts w:hint="eastAsia"/>
                      <w:color w:val="auto"/>
                      <w:lang w:val="en-US" w:eastAsia="zh-CN"/>
                    </w:rPr>
                    <w:t>有组织</w:t>
                  </w:r>
                </w:p>
              </w:tc>
            </w:tr>
            <w:tr w14:paraId="0AA5E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restart"/>
                  <w:noWrap w:val="0"/>
                  <w:vAlign w:val="center"/>
                </w:tcPr>
                <w:p w14:paraId="3B24537D">
                  <w:pPr>
                    <w:pStyle w:val="68"/>
                    <w:rPr>
                      <w:color w:val="auto"/>
                    </w:rPr>
                  </w:pPr>
                  <w:r>
                    <w:rPr>
                      <w:color w:val="auto"/>
                    </w:rPr>
                    <w:t>废水</w:t>
                  </w:r>
                </w:p>
              </w:tc>
              <w:tc>
                <w:tcPr>
                  <w:tcW w:w="1400" w:type="pct"/>
                  <w:gridSpan w:val="3"/>
                  <w:vMerge w:val="restart"/>
                  <w:noWrap w:val="0"/>
                  <w:vAlign w:val="center"/>
                </w:tcPr>
                <w:p w14:paraId="6D829A20">
                  <w:pPr>
                    <w:pStyle w:val="68"/>
                    <w:rPr>
                      <w:rFonts w:hint="default"/>
                      <w:color w:val="auto"/>
                    </w:rPr>
                  </w:pPr>
                  <w:r>
                    <w:rPr>
                      <w:color w:val="auto"/>
                    </w:rPr>
                    <w:t>生活废水</w:t>
                  </w:r>
                </w:p>
              </w:tc>
              <w:tc>
                <w:tcPr>
                  <w:tcW w:w="1125" w:type="pct"/>
                  <w:noWrap w:val="0"/>
                  <w:vAlign w:val="center"/>
                </w:tcPr>
                <w:p w14:paraId="4CD21401">
                  <w:pPr>
                    <w:pStyle w:val="68"/>
                    <w:rPr>
                      <w:color w:val="auto"/>
                    </w:rPr>
                  </w:pPr>
                  <w:r>
                    <w:rPr>
                      <w:color w:val="auto"/>
                    </w:rPr>
                    <w:t>pH</w:t>
                  </w:r>
                </w:p>
              </w:tc>
              <w:tc>
                <w:tcPr>
                  <w:tcW w:w="1390" w:type="pct"/>
                  <w:vMerge w:val="restart"/>
                  <w:noWrap w:val="0"/>
                  <w:vAlign w:val="center"/>
                </w:tcPr>
                <w:p w14:paraId="1D339A95">
                  <w:pPr>
                    <w:pStyle w:val="68"/>
                    <w:rPr>
                      <w:color w:val="auto"/>
                    </w:rPr>
                  </w:pPr>
                  <w:r>
                    <w:rPr>
                      <w:color w:val="auto"/>
                    </w:rPr>
                    <w:t>化粪池预处理后进入市政污水管网</w:t>
                  </w:r>
                </w:p>
              </w:tc>
              <w:tc>
                <w:tcPr>
                  <w:tcW w:w="653" w:type="pct"/>
                  <w:vMerge w:val="restart"/>
                  <w:noWrap w:val="0"/>
                  <w:vAlign w:val="center"/>
                </w:tcPr>
                <w:p w14:paraId="32589647">
                  <w:pPr>
                    <w:pStyle w:val="68"/>
                    <w:rPr>
                      <w:rFonts w:hint="default" w:eastAsia="宋体"/>
                      <w:color w:val="auto"/>
                      <w:lang w:val="en-US" w:eastAsia="zh-CN"/>
                    </w:rPr>
                  </w:pPr>
                  <w:r>
                    <w:rPr>
                      <w:rFonts w:hint="eastAsia"/>
                      <w:color w:val="auto"/>
                      <w:lang w:val="en-US" w:eastAsia="zh-CN"/>
                    </w:rPr>
                    <w:t>间接排放</w:t>
                  </w:r>
                </w:p>
              </w:tc>
            </w:tr>
            <w:tr w14:paraId="04DCF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noWrap w:val="0"/>
                  <w:vAlign w:val="center"/>
                </w:tcPr>
                <w:p w14:paraId="0477A60C">
                  <w:pPr>
                    <w:pStyle w:val="68"/>
                    <w:rPr>
                      <w:color w:val="auto"/>
                    </w:rPr>
                  </w:pPr>
                </w:p>
              </w:tc>
              <w:tc>
                <w:tcPr>
                  <w:tcW w:w="1400" w:type="pct"/>
                  <w:gridSpan w:val="3"/>
                  <w:vMerge w:val="continue"/>
                  <w:noWrap w:val="0"/>
                  <w:vAlign w:val="center"/>
                </w:tcPr>
                <w:p w14:paraId="4E93073E">
                  <w:pPr>
                    <w:pStyle w:val="68"/>
                    <w:rPr>
                      <w:color w:val="auto"/>
                    </w:rPr>
                  </w:pPr>
                </w:p>
              </w:tc>
              <w:tc>
                <w:tcPr>
                  <w:tcW w:w="1125" w:type="pct"/>
                  <w:noWrap w:val="0"/>
                  <w:vAlign w:val="center"/>
                </w:tcPr>
                <w:p w14:paraId="6B857861">
                  <w:pPr>
                    <w:pStyle w:val="68"/>
                    <w:rPr>
                      <w:color w:val="auto"/>
                    </w:rPr>
                  </w:pPr>
                  <w:r>
                    <w:rPr>
                      <w:color w:val="auto"/>
                    </w:rPr>
                    <w:t>COD</w:t>
                  </w:r>
                </w:p>
              </w:tc>
              <w:tc>
                <w:tcPr>
                  <w:tcW w:w="1390" w:type="pct"/>
                  <w:vMerge w:val="continue"/>
                  <w:noWrap w:val="0"/>
                  <w:vAlign w:val="center"/>
                </w:tcPr>
                <w:p w14:paraId="18E52FC4">
                  <w:pPr>
                    <w:pStyle w:val="68"/>
                    <w:rPr>
                      <w:color w:val="auto"/>
                    </w:rPr>
                  </w:pPr>
                </w:p>
              </w:tc>
              <w:tc>
                <w:tcPr>
                  <w:tcW w:w="653" w:type="pct"/>
                  <w:vMerge w:val="continue"/>
                  <w:noWrap w:val="0"/>
                  <w:vAlign w:val="center"/>
                </w:tcPr>
                <w:p w14:paraId="53E86565">
                  <w:pPr>
                    <w:pStyle w:val="68"/>
                    <w:rPr>
                      <w:color w:val="auto"/>
                    </w:rPr>
                  </w:pPr>
                </w:p>
              </w:tc>
            </w:tr>
            <w:tr w14:paraId="526C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noWrap w:val="0"/>
                  <w:vAlign w:val="center"/>
                </w:tcPr>
                <w:p w14:paraId="42192F52">
                  <w:pPr>
                    <w:pStyle w:val="68"/>
                    <w:rPr>
                      <w:color w:val="auto"/>
                    </w:rPr>
                  </w:pPr>
                </w:p>
              </w:tc>
              <w:tc>
                <w:tcPr>
                  <w:tcW w:w="1400" w:type="pct"/>
                  <w:gridSpan w:val="3"/>
                  <w:vMerge w:val="continue"/>
                  <w:noWrap w:val="0"/>
                  <w:vAlign w:val="center"/>
                </w:tcPr>
                <w:p w14:paraId="4A623013">
                  <w:pPr>
                    <w:pStyle w:val="68"/>
                    <w:rPr>
                      <w:color w:val="auto"/>
                    </w:rPr>
                  </w:pPr>
                </w:p>
              </w:tc>
              <w:tc>
                <w:tcPr>
                  <w:tcW w:w="1125" w:type="pct"/>
                  <w:noWrap w:val="0"/>
                  <w:vAlign w:val="center"/>
                </w:tcPr>
                <w:p w14:paraId="27CB30B9">
                  <w:pPr>
                    <w:pStyle w:val="68"/>
                    <w:rPr>
                      <w:color w:val="auto"/>
                    </w:rPr>
                  </w:pPr>
                  <w:r>
                    <w:rPr>
                      <w:color w:val="auto"/>
                    </w:rPr>
                    <w:t>BOD</w:t>
                  </w:r>
                </w:p>
              </w:tc>
              <w:tc>
                <w:tcPr>
                  <w:tcW w:w="1390" w:type="pct"/>
                  <w:vMerge w:val="continue"/>
                  <w:noWrap w:val="0"/>
                  <w:vAlign w:val="center"/>
                </w:tcPr>
                <w:p w14:paraId="57C45449">
                  <w:pPr>
                    <w:pStyle w:val="68"/>
                    <w:rPr>
                      <w:color w:val="auto"/>
                    </w:rPr>
                  </w:pPr>
                </w:p>
              </w:tc>
              <w:tc>
                <w:tcPr>
                  <w:tcW w:w="653" w:type="pct"/>
                  <w:vMerge w:val="continue"/>
                  <w:noWrap w:val="0"/>
                  <w:vAlign w:val="center"/>
                </w:tcPr>
                <w:p w14:paraId="20E87FF6">
                  <w:pPr>
                    <w:pStyle w:val="68"/>
                    <w:rPr>
                      <w:color w:val="auto"/>
                    </w:rPr>
                  </w:pPr>
                </w:p>
              </w:tc>
            </w:tr>
            <w:tr w14:paraId="58A13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noWrap w:val="0"/>
                  <w:vAlign w:val="center"/>
                </w:tcPr>
                <w:p w14:paraId="3A8B2D63">
                  <w:pPr>
                    <w:pStyle w:val="68"/>
                    <w:rPr>
                      <w:color w:val="auto"/>
                    </w:rPr>
                  </w:pPr>
                </w:p>
              </w:tc>
              <w:tc>
                <w:tcPr>
                  <w:tcW w:w="1400" w:type="pct"/>
                  <w:gridSpan w:val="3"/>
                  <w:vMerge w:val="continue"/>
                  <w:noWrap w:val="0"/>
                  <w:vAlign w:val="center"/>
                </w:tcPr>
                <w:p w14:paraId="20BC98B4">
                  <w:pPr>
                    <w:pStyle w:val="68"/>
                    <w:rPr>
                      <w:color w:val="auto"/>
                    </w:rPr>
                  </w:pPr>
                </w:p>
              </w:tc>
              <w:tc>
                <w:tcPr>
                  <w:tcW w:w="1125" w:type="pct"/>
                  <w:noWrap w:val="0"/>
                  <w:vAlign w:val="center"/>
                </w:tcPr>
                <w:p w14:paraId="273562CA">
                  <w:pPr>
                    <w:pStyle w:val="68"/>
                    <w:rPr>
                      <w:color w:val="auto"/>
                    </w:rPr>
                  </w:pPr>
                  <w:r>
                    <w:rPr>
                      <w:color w:val="auto"/>
                    </w:rPr>
                    <w:t>SS</w:t>
                  </w:r>
                </w:p>
              </w:tc>
              <w:tc>
                <w:tcPr>
                  <w:tcW w:w="1390" w:type="pct"/>
                  <w:vMerge w:val="continue"/>
                  <w:noWrap w:val="0"/>
                  <w:vAlign w:val="center"/>
                </w:tcPr>
                <w:p w14:paraId="79789217">
                  <w:pPr>
                    <w:pStyle w:val="68"/>
                    <w:rPr>
                      <w:color w:val="auto"/>
                    </w:rPr>
                  </w:pPr>
                </w:p>
              </w:tc>
              <w:tc>
                <w:tcPr>
                  <w:tcW w:w="653" w:type="pct"/>
                  <w:vMerge w:val="continue"/>
                  <w:noWrap w:val="0"/>
                  <w:vAlign w:val="center"/>
                </w:tcPr>
                <w:p w14:paraId="44FED339">
                  <w:pPr>
                    <w:pStyle w:val="68"/>
                    <w:rPr>
                      <w:color w:val="auto"/>
                    </w:rPr>
                  </w:pPr>
                </w:p>
              </w:tc>
            </w:tr>
            <w:tr w14:paraId="69F4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noWrap w:val="0"/>
                  <w:vAlign w:val="center"/>
                </w:tcPr>
                <w:p w14:paraId="62A37DB7">
                  <w:pPr>
                    <w:pStyle w:val="68"/>
                    <w:rPr>
                      <w:color w:val="auto"/>
                    </w:rPr>
                  </w:pPr>
                </w:p>
              </w:tc>
              <w:tc>
                <w:tcPr>
                  <w:tcW w:w="1400" w:type="pct"/>
                  <w:gridSpan w:val="3"/>
                  <w:vMerge w:val="continue"/>
                  <w:noWrap w:val="0"/>
                  <w:vAlign w:val="center"/>
                </w:tcPr>
                <w:p w14:paraId="0506FF00">
                  <w:pPr>
                    <w:pStyle w:val="68"/>
                    <w:rPr>
                      <w:color w:val="auto"/>
                    </w:rPr>
                  </w:pPr>
                </w:p>
              </w:tc>
              <w:tc>
                <w:tcPr>
                  <w:tcW w:w="1125" w:type="pct"/>
                  <w:noWrap w:val="0"/>
                  <w:vAlign w:val="center"/>
                </w:tcPr>
                <w:p w14:paraId="06BE98F6">
                  <w:pPr>
                    <w:pStyle w:val="68"/>
                    <w:rPr>
                      <w:color w:val="auto"/>
                    </w:rPr>
                  </w:pPr>
                  <w:r>
                    <w:rPr>
                      <w:color w:val="auto"/>
                    </w:rPr>
                    <w:t>氨氮</w:t>
                  </w:r>
                </w:p>
              </w:tc>
              <w:tc>
                <w:tcPr>
                  <w:tcW w:w="1390" w:type="pct"/>
                  <w:vMerge w:val="continue"/>
                  <w:noWrap w:val="0"/>
                  <w:vAlign w:val="center"/>
                </w:tcPr>
                <w:p w14:paraId="25DB8F73">
                  <w:pPr>
                    <w:pStyle w:val="68"/>
                    <w:rPr>
                      <w:color w:val="auto"/>
                    </w:rPr>
                  </w:pPr>
                </w:p>
              </w:tc>
              <w:tc>
                <w:tcPr>
                  <w:tcW w:w="653" w:type="pct"/>
                  <w:vMerge w:val="continue"/>
                  <w:noWrap w:val="0"/>
                  <w:vAlign w:val="center"/>
                </w:tcPr>
                <w:p w14:paraId="64642268">
                  <w:pPr>
                    <w:pStyle w:val="68"/>
                    <w:rPr>
                      <w:color w:val="auto"/>
                    </w:rPr>
                  </w:pPr>
                </w:p>
              </w:tc>
            </w:tr>
            <w:tr w14:paraId="3748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noWrap w:val="0"/>
                  <w:vAlign w:val="center"/>
                </w:tcPr>
                <w:p w14:paraId="1F47608C">
                  <w:pPr>
                    <w:pStyle w:val="68"/>
                    <w:rPr>
                      <w:color w:val="auto"/>
                    </w:rPr>
                  </w:pPr>
                </w:p>
              </w:tc>
              <w:tc>
                <w:tcPr>
                  <w:tcW w:w="1400" w:type="pct"/>
                  <w:gridSpan w:val="3"/>
                  <w:noWrap w:val="0"/>
                  <w:vAlign w:val="center"/>
                </w:tcPr>
                <w:p w14:paraId="5DCEDF58">
                  <w:pPr>
                    <w:pStyle w:val="68"/>
                    <w:rPr>
                      <w:color w:val="auto"/>
                    </w:rPr>
                  </w:pPr>
                  <w:r>
                    <w:rPr>
                      <w:color w:val="auto"/>
                    </w:rPr>
                    <w:t>蒸汽</w:t>
                  </w:r>
                </w:p>
                <w:p w14:paraId="28719F7F">
                  <w:pPr>
                    <w:pStyle w:val="68"/>
                    <w:rPr>
                      <w:color w:val="auto"/>
                    </w:rPr>
                  </w:pPr>
                  <w:r>
                    <w:rPr>
                      <w:color w:val="auto"/>
                    </w:rPr>
                    <w:t>冷凝水</w:t>
                  </w:r>
                </w:p>
              </w:tc>
              <w:tc>
                <w:tcPr>
                  <w:tcW w:w="1125" w:type="pct"/>
                  <w:noWrap w:val="0"/>
                  <w:vAlign w:val="center"/>
                </w:tcPr>
                <w:p w14:paraId="5D139DC3">
                  <w:pPr>
                    <w:pStyle w:val="68"/>
                    <w:rPr>
                      <w:color w:val="auto"/>
                    </w:rPr>
                  </w:pPr>
                  <w:r>
                    <w:rPr>
                      <w:color w:val="auto"/>
                    </w:rPr>
                    <w:t>/</w:t>
                  </w:r>
                </w:p>
              </w:tc>
              <w:tc>
                <w:tcPr>
                  <w:tcW w:w="1390" w:type="pct"/>
                  <w:noWrap w:val="0"/>
                  <w:vAlign w:val="center"/>
                </w:tcPr>
                <w:p w14:paraId="39EFCDDB">
                  <w:pPr>
                    <w:pStyle w:val="68"/>
                    <w:rPr>
                      <w:color w:val="auto"/>
                    </w:rPr>
                  </w:pPr>
                  <w:r>
                    <w:rPr>
                      <w:color w:val="auto"/>
                    </w:rPr>
                    <w:t>/</w:t>
                  </w:r>
                </w:p>
              </w:tc>
              <w:tc>
                <w:tcPr>
                  <w:tcW w:w="653" w:type="pct"/>
                  <w:vMerge w:val="restart"/>
                  <w:noWrap w:val="0"/>
                  <w:vAlign w:val="center"/>
                </w:tcPr>
                <w:p w14:paraId="0D106F31">
                  <w:pPr>
                    <w:pStyle w:val="68"/>
                    <w:rPr>
                      <w:rFonts w:hint="default" w:eastAsia="宋体"/>
                      <w:color w:val="auto"/>
                      <w:lang w:val="en-US" w:eastAsia="zh-CN"/>
                    </w:rPr>
                  </w:pPr>
                  <w:r>
                    <w:rPr>
                      <w:rFonts w:hint="eastAsia"/>
                      <w:color w:val="000000"/>
                      <w:lang w:val="en-US" w:eastAsia="zh-CN"/>
                    </w:rPr>
                    <w:t>经冷却水循环系统处理后回用于设备及模具冷却</w:t>
                  </w:r>
                </w:p>
              </w:tc>
            </w:tr>
            <w:tr w14:paraId="2FB5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noWrap w:val="0"/>
                  <w:vAlign w:val="center"/>
                </w:tcPr>
                <w:p w14:paraId="30AE0DA0">
                  <w:pPr>
                    <w:pStyle w:val="68"/>
                    <w:rPr>
                      <w:color w:val="auto"/>
                    </w:rPr>
                  </w:pPr>
                </w:p>
              </w:tc>
              <w:tc>
                <w:tcPr>
                  <w:tcW w:w="1400" w:type="pct"/>
                  <w:gridSpan w:val="3"/>
                  <w:noWrap w:val="0"/>
                  <w:vAlign w:val="center"/>
                </w:tcPr>
                <w:p w14:paraId="1865A84B">
                  <w:pPr>
                    <w:pStyle w:val="68"/>
                    <w:rPr>
                      <w:rFonts w:hint="eastAsia" w:eastAsia="宋体"/>
                      <w:color w:val="auto"/>
                      <w:lang w:val="en-US" w:eastAsia="zh-CN"/>
                    </w:rPr>
                  </w:pPr>
                  <w:r>
                    <w:rPr>
                      <w:rFonts w:hint="eastAsia"/>
                      <w:color w:val="auto"/>
                      <w:lang w:val="en-US" w:eastAsia="zh-CN"/>
                    </w:rPr>
                    <w:t>冷却水</w:t>
                  </w:r>
                </w:p>
              </w:tc>
              <w:tc>
                <w:tcPr>
                  <w:tcW w:w="1125" w:type="pct"/>
                  <w:noWrap w:val="0"/>
                  <w:vAlign w:val="center"/>
                </w:tcPr>
                <w:p w14:paraId="628AA2B3">
                  <w:pPr>
                    <w:pStyle w:val="68"/>
                    <w:rPr>
                      <w:rFonts w:hint="eastAsia" w:eastAsia="宋体"/>
                      <w:color w:val="auto"/>
                      <w:lang w:val="en-US" w:eastAsia="zh-CN"/>
                    </w:rPr>
                  </w:pPr>
                  <w:r>
                    <w:rPr>
                      <w:rFonts w:hint="eastAsia"/>
                      <w:color w:val="auto"/>
                      <w:lang w:val="en-US" w:eastAsia="zh-CN"/>
                    </w:rPr>
                    <w:t>/</w:t>
                  </w:r>
                </w:p>
              </w:tc>
              <w:tc>
                <w:tcPr>
                  <w:tcW w:w="1390" w:type="pct"/>
                  <w:noWrap w:val="0"/>
                  <w:vAlign w:val="center"/>
                </w:tcPr>
                <w:p w14:paraId="2BCF8CFF">
                  <w:pPr>
                    <w:pStyle w:val="68"/>
                    <w:rPr>
                      <w:rFonts w:hint="default" w:eastAsia="宋体"/>
                      <w:color w:val="auto"/>
                      <w:lang w:val="en-US" w:eastAsia="zh-CN"/>
                    </w:rPr>
                  </w:pPr>
                  <w:r>
                    <w:rPr>
                      <w:rFonts w:hint="eastAsia"/>
                      <w:color w:val="auto"/>
                      <w:lang w:val="en-US" w:eastAsia="zh-CN"/>
                    </w:rPr>
                    <w:t>设置冷却水循环系统</w:t>
                  </w:r>
                </w:p>
              </w:tc>
              <w:tc>
                <w:tcPr>
                  <w:tcW w:w="653" w:type="pct"/>
                  <w:vMerge w:val="continue"/>
                  <w:noWrap w:val="0"/>
                  <w:vAlign w:val="center"/>
                </w:tcPr>
                <w:p w14:paraId="01B4FF89">
                  <w:pPr>
                    <w:pStyle w:val="68"/>
                    <w:rPr>
                      <w:color w:val="000000"/>
                    </w:rPr>
                  </w:pPr>
                </w:p>
              </w:tc>
            </w:tr>
            <w:tr w14:paraId="217F0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noWrap w:val="0"/>
                  <w:vAlign w:val="center"/>
                </w:tcPr>
                <w:p w14:paraId="4E16FCAA">
                  <w:pPr>
                    <w:pStyle w:val="68"/>
                    <w:rPr>
                      <w:color w:val="auto"/>
                    </w:rPr>
                  </w:pPr>
                  <w:r>
                    <w:rPr>
                      <w:color w:val="auto"/>
                    </w:rPr>
                    <w:t>噪声</w:t>
                  </w:r>
                </w:p>
              </w:tc>
              <w:tc>
                <w:tcPr>
                  <w:tcW w:w="1400" w:type="pct"/>
                  <w:gridSpan w:val="3"/>
                  <w:noWrap w:val="0"/>
                  <w:vAlign w:val="center"/>
                </w:tcPr>
                <w:p w14:paraId="0B943E4F">
                  <w:pPr>
                    <w:pStyle w:val="68"/>
                    <w:rPr>
                      <w:color w:val="auto"/>
                    </w:rPr>
                  </w:pPr>
                  <w:r>
                    <w:rPr>
                      <w:color w:val="auto"/>
                    </w:rPr>
                    <w:t>设备运行</w:t>
                  </w:r>
                </w:p>
              </w:tc>
              <w:tc>
                <w:tcPr>
                  <w:tcW w:w="1125" w:type="pct"/>
                  <w:noWrap w:val="0"/>
                  <w:vAlign w:val="center"/>
                </w:tcPr>
                <w:p w14:paraId="7FCB71FC">
                  <w:pPr>
                    <w:pStyle w:val="68"/>
                    <w:rPr>
                      <w:color w:val="auto"/>
                    </w:rPr>
                  </w:pPr>
                  <w:r>
                    <w:rPr>
                      <w:color w:val="auto"/>
                    </w:rPr>
                    <w:t>机器噪声</w:t>
                  </w:r>
                </w:p>
              </w:tc>
              <w:tc>
                <w:tcPr>
                  <w:tcW w:w="1390" w:type="pct"/>
                  <w:noWrap w:val="0"/>
                  <w:vAlign w:val="center"/>
                </w:tcPr>
                <w:p w14:paraId="326949AA">
                  <w:pPr>
                    <w:pStyle w:val="68"/>
                    <w:rPr>
                      <w:color w:val="auto"/>
                    </w:rPr>
                  </w:pPr>
                  <w:r>
                    <w:rPr>
                      <w:color w:val="auto"/>
                    </w:rPr>
                    <w:t>选用低噪声设备、设置减震基础、厂房隔声</w:t>
                  </w:r>
                </w:p>
              </w:tc>
              <w:tc>
                <w:tcPr>
                  <w:tcW w:w="653" w:type="pct"/>
                  <w:noWrap w:val="0"/>
                  <w:vAlign w:val="center"/>
                </w:tcPr>
                <w:p w14:paraId="0C2FBC0E">
                  <w:pPr>
                    <w:pStyle w:val="68"/>
                    <w:rPr>
                      <w:rFonts w:hint="eastAsia" w:eastAsia="宋体"/>
                      <w:color w:val="auto"/>
                      <w:lang w:eastAsia="zh-CN"/>
                    </w:rPr>
                  </w:pPr>
                  <w:r>
                    <w:rPr>
                      <w:rFonts w:hint="eastAsia"/>
                      <w:color w:val="auto"/>
                      <w:lang w:val="en-US" w:eastAsia="zh-CN"/>
                    </w:rPr>
                    <w:t>/</w:t>
                  </w:r>
                </w:p>
              </w:tc>
            </w:tr>
            <w:tr w14:paraId="1DE46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restart"/>
                  <w:noWrap w:val="0"/>
                  <w:vAlign w:val="center"/>
                </w:tcPr>
                <w:p w14:paraId="0456044C">
                  <w:pPr>
                    <w:pStyle w:val="68"/>
                    <w:rPr>
                      <w:color w:val="auto"/>
                    </w:rPr>
                  </w:pPr>
                  <w:r>
                    <w:rPr>
                      <w:color w:val="auto"/>
                    </w:rPr>
                    <w:t>固废</w:t>
                  </w:r>
                </w:p>
              </w:tc>
              <w:tc>
                <w:tcPr>
                  <w:tcW w:w="1400" w:type="pct"/>
                  <w:gridSpan w:val="3"/>
                  <w:noWrap w:val="0"/>
                  <w:vAlign w:val="center"/>
                </w:tcPr>
                <w:p w14:paraId="762F11AD">
                  <w:pPr>
                    <w:pStyle w:val="68"/>
                    <w:rPr>
                      <w:color w:val="auto"/>
                    </w:rPr>
                  </w:pPr>
                  <w:r>
                    <w:rPr>
                      <w:color w:val="auto"/>
                    </w:rPr>
                    <w:t>员工生活</w:t>
                  </w:r>
                </w:p>
              </w:tc>
              <w:tc>
                <w:tcPr>
                  <w:tcW w:w="1125" w:type="pct"/>
                  <w:noWrap w:val="0"/>
                  <w:vAlign w:val="center"/>
                </w:tcPr>
                <w:p w14:paraId="44620ACD">
                  <w:pPr>
                    <w:pStyle w:val="68"/>
                    <w:rPr>
                      <w:color w:val="auto"/>
                    </w:rPr>
                  </w:pPr>
                  <w:r>
                    <w:rPr>
                      <w:color w:val="auto"/>
                    </w:rPr>
                    <w:t>生活垃圾</w:t>
                  </w:r>
                </w:p>
              </w:tc>
              <w:tc>
                <w:tcPr>
                  <w:tcW w:w="1390" w:type="pct"/>
                  <w:noWrap w:val="0"/>
                  <w:vAlign w:val="center"/>
                </w:tcPr>
                <w:p w14:paraId="346BFA6C">
                  <w:pPr>
                    <w:pStyle w:val="68"/>
                    <w:rPr>
                      <w:color w:val="auto"/>
                    </w:rPr>
                  </w:pPr>
                  <w:r>
                    <w:rPr>
                      <w:color w:val="auto"/>
                    </w:rPr>
                    <w:t>委托环卫部门处理</w:t>
                  </w:r>
                </w:p>
              </w:tc>
              <w:tc>
                <w:tcPr>
                  <w:tcW w:w="653" w:type="pct"/>
                  <w:vMerge w:val="restart"/>
                  <w:noWrap w:val="0"/>
                  <w:vAlign w:val="center"/>
                </w:tcPr>
                <w:p w14:paraId="70744AB6">
                  <w:pPr>
                    <w:pStyle w:val="68"/>
                    <w:rPr>
                      <w:rFonts w:hint="default" w:eastAsia="宋体"/>
                      <w:color w:val="auto"/>
                      <w:lang w:val="en-US" w:eastAsia="zh-CN"/>
                    </w:rPr>
                  </w:pPr>
                  <w:r>
                    <w:rPr>
                      <w:rFonts w:hint="eastAsia"/>
                      <w:color w:val="auto"/>
                      <w:lang w:val="en-US" w:eastAsia="zh-CN"/>
                    </w:rPr>
                    <w:t>合理处置</w:t>
                  </w:r>
                </w:p>
              </w:tc>
            </w:tr>
            <w:tr w14:paraId="2A5F2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30" w:type="pct"/>
                  <w:vMerge w:val="continue"/>
                  <w:noWrap w:val="0"/>
                  <w:vAlign w:val="center"/>
                </w:tcPr>
                <w:p w14:paraId="350E18FA">
                  <w:pPr>
                    <w:pStyle w:val="68"/>
                    <w:rPr>
                      <w:color w:val="auto"/>
                    </w:rPr>
                  </w:pPr>
                </w:p>
              </w:tc>
              <w:tc>
                <w:tcPr>
                  <w:tcW w:w="1400" w:type="pct"/>
                  <w:gridSpan w:val="3"/>
                  <w:vMerge w:val="restart"/>
                  <w:noWrap w:val="0"/>
                  <w:vAlign w:val="center"/>
                </w:tcPr>
                <w:p w14:paraId="2F874477">
                  <w:pPr>
                    <w:pStyle w:val="68"/>
                    <w:rPr>
                      <w:color w:val="auto"/>
                    </w:rPr>
                  </w:pPr>
                  <w:r>
                    <w:rPr>
                      <w:color w:val="auto"/>
                    </w:rPr>
                    <w:t>生产过程</w:t>
                  </w:r>
                </w:p>
              </w:tc>
              <w:tc>
                <w:tcPr>
                  <w:tcW w:w="1125" w:type="pct"/>
                  <w:noWrap w:val="0"/>
                  <w:vAlign w:val="center"/>
                </w:tcPr>
                <w:p w14:paraId="75CAF8E3">
                  <w:pPr>
                    <w:pStyle w:val="68"/>
                    <w:rPr>
                      <w:rFonts w:hint="default" w:eastAsia="宋体"/>
                      <w:color w:val="auto"/>
                      <w:lang w:val="en-US" w:eastAsia="zh-CN"/>
                    </w:rPr>
                  </w:pPr>
                  <w:r>
                    <w:rPr>
                      <w:rFonts w:hint="eastAsia"/>
                      <w:color w:val="auto"/>
                      <w:lang w:val="en-US" w:eastAsia="zh-CN"/>
                    </w:rPr>
                    <w:t>不合格产品</w:t>
                  </w:r>
                </w:p>
              </w:tc>
              <w:tc>
                <w:tcPr>
                  <w:tcW w:w="1390" w:type="pct"/>
                  <w:vMerge w:val="restart"/>
                  <w:noWrap w:val="0"/>
                  <w:vAlign w:val="center"/>
                </w:tcPr>
                <w:p w14:paraId="398C6074">
                  <w:pPr>
                    <w:pStyle w:val="68"/>
                    <w:rPr>
                      <w:rFonts w:hint="default" w:eastAsia="宋体"/>
                      <w:color w:val="auto"/>
                      <w:lang w:val="en-US" w:eastAsia="zh-CN"/>
                    </w:rPr>
                  </w:pPr>
                  <w:r>
                    <w:rPr>
                      <w:rFonts w:hint="eastAsia"/>
                      <w:color w:val="auto"/>
                      <w:lang w:eastAsia="zh-CN"/>
                    </w:rPr>
                    <w:t>一般固废暂存</w:t>
                  </w:r>
                  <w:r>
                    <w:rPr>
                      <w:rFonts w:hint="eastAsia"/>
                      <w:color w:val="auto"/>
                      <w:lang w:val="en-US" w:eastAsia="zh-CN"/>
                    </w:rPr>
                    <w:t>于一般固废</w:t>
                  </w:r>
                  <w:r>
                    <w:rPr>
                      <w:rFonts w:hint="eastAsia"/>
                      <w:color w:val="auto"/>
                      <w:lang w:eastAsia="zh-CN"/>
                    </w:rPr>
                    <w:t>暂存</w:t>
                  </w:r>
                  <w:r>
                    <w:rPr>
                      <w:rFonts w:hint="eastAsia"/>
                      <w:color w:val="auto"/>
                      <w:lang w:val="en-US" w:eastAsia="zh-CN"/>
                    </w:rPr>
                    <w:t>区</w:t>
                  </w:r>
                  <w:r>
                    <w:rPr>
                      <w:color w:val="auto"/>
                    </w:rPr>
                    <w:t>，</w:t>
                  </w:r>
                  <w:r>
                    <w:rPr>
                      <w:rFonts w:hint="eastAsia"/>
                      <w:color w:val="auto"/>
                      <w:lang w:val="en-US" w:eastAsia="zh-CN"/>
                    </w:rPr>
                    <w:t>定期</w:t>
                  </w:r>
                  <w:r>
                    <w:rPr>
                      <w:color w:val="auto"/>
                    </w:rPr>
                    <w:t>外售</w:t>
                  </w:r>
                  <w:r>
                    <w:rPr>
                      <w:rFonts w:hint="eastAsia"/>
                      <w:color w:val="auto"/>
                      <w:lang w:val="en-US" w:eastAsia="zh-CN"/>
                    </w:rPr>
                    <w:t>综合利用</w:t>
                  </w:r>
                </w:p>
              </w:tc>
              <w:tc>
                <w:tcPr>
                  <w:tcW w:w="653" w:type="pct"/>
                  <w:vMerge w:val="continue"/>
                  <w:noWrap w:val="0"/>
                  <w:vAlign w:val="center"/>
                </w:tcPr>
                <w:p w14:paraId="6855E45F">
                  <w:pPr>
                    <w:pStyle w:val="68"/>
                    <w:rPr>
                      <w:color w:val="auto"/>
                    </w:rPr>
                  </w:pPr>
                </w:p>
              </w:tc>
            </w:tr>
            <w:tr w14:paraId="7D885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noWrap w:val="0"/>
                  <w:vAlign w:val="center"/>
                </w:tcPr>
                <w:p w14:paraId="76759B3D">
                  <w:pPr>
                    <w:pStyle w:val="68"/>
                    <w:rPr>
                      <w:color w:val="auto"/>
                    </w:rPr>
                  </w:pPr>
                </w:p>
              </w:tc>
              <w:tc>
                <w:tcPr>
                  <w:tcW w:w="1400" w:type="pct"/>
                  <w:gridSpan w:val="3"/>
                  <w:vMerge w:val="continue"/>
                  <w:noWrap w:val="0"/>
                  <w:vAlign w:val="center"/>
                </w:tcPr>
                <w:p w14:paraId="61941830">
                  <w:pPr>
                    <w:pStyle w:val="68"/>
                    <w:rPr>
                      <w:color w:val="auto"/>
                    </w:rPr>
                  </w:pPr>
                </w:p>
              </w:tc>
              <w:tc>
                <w:tcPr>
                  <w:tcW w:w="1125" w:type="pct"/>
                  <w:noWrap w:val="0"/>
                  <w:vAlign w:val="center"/>
                </w:tcPr>
                <w:p w14:paraId="35B6BA05">
                  <w:pPr>
                    <w:pStyle w:val="68"/>
                    <w:rPr>
                      <w:color w:val="auto"/>
                    </w:rPr>
                  </w:pPr>
                  <w:r>
                    <w:rPr>
                      <w:color w:val="auto"/>
                    </w:rPr>
                    <w:t>废包装</w:t>
                  </w:r>
                </w:p>
              </w:tc>
              <w:tc>
                <w:tcPr>
                  <w:tcW w:w="1390" w:type="pct"/>
                  <w:vMerge w:val="continue"/>
                  <w:noWrap w:val="0"/>
                  <w:vAlign w:val="center"/>
                </w:tcPr>
                <w:p w14:paraId="73CC92F7">
                  <w:pPr>
                    <w:pStyle w:val="68"/>
                    <w:rPr>
                      <w:color w:val="auto"/>
                    </w:rPr>
                  </w:pPr>
                </w:p>
              </w:tc>
              <w:tc>
                <w:tcPr>
                  <w:tcW w:w="653" w:type="pct"/>
                  <w:vMerge w:val="continue"/>
                  <w:noWrap w:val="0"/>
                  <w:vAlign w:val="center"/>
                </w:tcPr>
                <w:p w14:paraId="6DF4D62B">
                  <w:pPr>
                    <w:pStyle w:val="68"/>
                    <w:rPr>
                      <w:color w:val="auto"/>
                    </w:rPr>
                  </w:pPr>
                </w:p>
              </w:tc>
            </w:tr>
            <w:tr w14:paraId="3296B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noWrap w:val="0"/>
                  <w:vAlign w:val="center"/>
                </w:tcPr>
                <w:p w14:paraId="26D9EF44">
                  <w:pPr>
                    <w:pStyle w:val="68"/>
                    <w:rPr>
                      <w:color w:val="auto"/>
                    </w:rPr>
                  </w:pPr>
                </w:p>
              </w:tc>
              <w:tc>
                <w:tcPr>
                  <w:tcW w:w="1400" w:type="pct"/>
                  <w:gridSpan w:val="3"/>
                  <w:noWrap w:val="0"/>
                  <w:vAlign w:val="center"/>
                </w:tcPr>
                <w:p w14:paraId="2EF606FB">
                  <w:pPr>
                    <w:pStyle w:val="68"/>
                    <w:rPr>
                      <w:rFonts w:hint="default" w:eastAsia="宋体"/>
                      <w:color w:val="auto"/>
                      <w:lang w:val="en-US" w:eastAsia="zh-CN"/>
                    </w:rPr>
                  </w:pPr>
                  <w:r>
                    <w:rPr>
                      <w:rFonts w:hint="eastAsia"/>
                      <w:color w:val="auto"/>
                      <w:lang w:val="en-US" w:eastAsia="zh-CN"/>
                    </w:rPr>
                    <w:t>废气治理</w:t>
                  </w:r>
                </w:p>
              </w:tc>
              <w:tc>
                <w:tcPr>
                  <w:tcW w:w="1125" w:type="pct"/>
                  <w:noWrap w:val="0"/>
                  <w:vAlign w:val="center"/>
                </w:tcPr>
                <w:p w14:paraId="515B847E">
                  <w:pPr>
                    <w:pStyle w:val="68"/>
                    <w:rPr>
                      <w:color w:val="auto"/>
                    </w:rPr>
                  </w:pPr>
                  <w:r>
                    <w:rPr>
                      <w:color w:val="auto"/>
                    </w:rPr>
                    <w:t>废活性炭</w:t>
                  </w:r>
                </w:p>
              </w:tc>
              <w:tc>
                <w:tcPr>
                  <w:tcW w:w="1390" w:type="pct"/>
                  <w:vMerge w:val="restart"/>
                  <w:noWrap w:val="0"/>
                  <w:vAlign w:val="center"/>
                </w:tcPr>
                <w:p w14:paraId="5E54C5B9">
                  <w:pPr>
                    <w:pStyle w:val="68"/>
                    <w:rPr>
                      <w:color w:val="auto"/>
                    </w:rPr>
                  </w:pPr>
                  <w:r>
                    <w:rPr>
                      <w:rFonts w:hint="eastAsia" w:ascii="宋体" w:hAnsi="宋体" w:cs="宋体"/>
                      <w:color w:val="auto"/>
                      <w:kern w:val="0"/>
                      <w:sz w:val="21"/>
                      <w:szCs w:val="21"/>
                      <w:lang w:bidi="ar"/>
                    </w:rPr>
                    <w:t>危废</w:t>
                  </w:r>
                  <w:r>
                    <w:rPr>
                      <w:rFonts w:hint="eastAsia" w:ascii="宋体" w:hAnsi="宋体" w:cs="宋体"/>
                      <w:color w:val="auto"/>
                      <w:kern w:val="0"/>
                      <w:sz w:val="21"/>
                      <w:szCs w:val="21"/>
                      <w:lang w:eastAsia="zh-CN" w:bidi="ar"/>
                    </w:rPr>
                    <w:t>暂存</w:t>
                  </w:r>
                  <w:r>
                    <w:rPr>
                      <w:rFonts w:hint="eastAsia" w:ascii="宋体" w:hAnsi="宋体" w:cs="宋体"/>
                      <w:color w:val="auto"/>
                      <w:kern w:val="0"/>
                      <w:sz w:val="21"/>
                      <w:szCs w:val="21"/>
                      <w:lang w:bidi="ar"/>
                    </w:rPr>
                    <w:t>间暂存，并委托有危废处理资质</w:t>
                  </w:r>
                  <w:r>
                    <w:rPr>
                      <w:rFonts w:hint="eastAsia" w:ascii="宋体" w:hAnsi="宋体" w:cs="宋体"/>
                      <w:color w:val="auto"/>
                      <w:kern w:val="0"/>
                      <w:sz w:val="21"/>
                      <w:szCs w:val="21"/>
                      <w:lang w:val="en-US" w:eastAsia="zh-CN" w:bidi="ar"/>
                    </w:rPr>
                    <w:t>的</w:t>
                  </w:r>
                  <w:r>
                    <w:rPr>
                      <w:rFonts w:hint="eastAsia" w:ascii="宋体" w:hAnsi="宋体" w:cs="宋体"/>
                      <w:color w:val="auto"/>
                      <w:kern w:val="0"/>
                      <w:sz w:val="21"/>
                      <w:szCs w:val="21"/>
                      <w:lang w:bidi="ar"/>
                    </w:rPr>
                    <w:t>单位处置</w:t>
                  </w:r>
                </w:p>
              </w:tc>
              <w:tc>
                <w:tcPr>
                  <w:tcW w:w="653" w:type="pct"/>
                  <w:vMerge w:val="continue"/>
                  <w:noWrap w:val="0"/>
                  <w:vAlign w:val="center"/>
                </w:tcPr>
                <w:p w14:paraId="6A6FA604">
                  <w:pPr>
                    <w:pStyle w:val="68"/>
                    <w:rPr>
                      <w:color w:val="auto"/>
                    </w:rPr>
                  </w:pPr>
                </w:p>
              </w:tc>
            </w:tr>
            <w:tr w14:paraId="5AA1C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noWrap w:val="0"/>
                  <w:vAlign w:val="center"/>
                </w:tcPr>
                <w:p w14:paraId="7C1E48D0">
                  <w:pPr>
                    <w:pStyle w:val="68"/>
                    <w:rPr>
                      <w:color w:val="auto"/>
                    </w:rPr>
                  </w:pPr>
                </w:p>
              </w:tc>
              <w:tc>
                <w:tcPr>
                  <w:tcW w:w="1400" w:type="pct"/>
                  <w:gridSpan w:val="3"/>
                  <w:vMerge w:val="restart"/>
                  <w:noWrap w:val="0"/>
                  <w:vAlign w:val="center"/>
                </w:tcPr>
                <w:p w14:paraId="71D86477">
                  <w:pPr>
                    <w:pStyle w:val="68"/>
                    <w:rPr>
                      <w:rFonts w:hint="default" w:eastAsia="宋体"/>
                      <w:color w:val="auto"/>
                      <w:lang w:val="en-US" w:eastAsia="zh-CN"/>
                    </w:rPr>
                  </w:pPr>
                  <w:r>
                    <w:rPr>
                      <w:rFonts w:hint="eastAsia"/>
                      <w:color w:val="auto"/>
                      <w:lang w:val="en-US" w:eastAsia="zh-CN"/>
                    </w:rPr>
                    <w:t>设备维修保养</w:t>
                  </w:r>
                </w:p>
              </w:tc>
              <w:tc>
                <w:tcPr>
                  <w:tcW w:w="1125" w:type="pct"/>
                  <w:noWrap w:val="0"/>
                  <w:vAlign w:val="center"/>
                </w:tcPr>
                <w:p w14:paraId="4E6F4CCA">
                  <w:pPr>
                    <w:pStyle w:val="68"/>
                    <w:rPr>
                      <w:color w:val="auto"/>
                    </w:rPr>
                  </w:pPr>
                  <w:r>
                    <w:rPr>
                      <w:color w:val="auto"/>
                    </w:rPr>
                    <w:t>废机油</w:t>
                  </w:r>
                </w:p>
              </w:tc>
              <w:tc>
                <w:tcPr>
                  <w:tcW w:w="1390" w:type="pct"/>
                  <w:vMerge w:val="continue"/>
                  <w:noWrap w:val="0"/>
                  <w:vAlign w:val="center"/>
                </w:tcPr>
                <w:p w14:paraId="2F2A5312">
                  <w:pPr>
                    <w:pStyle w:val="68"/>
                    <w:rPr>
                      <w:color w:val="auto"/>
                    </w:rPr>
                  </w:pPr>
                </w:p>
              </w:tc>
              <w:tc>
                <w:tcPr>
                  <w:tcW w:w="653" w:type="pct"/>
                  <w:vMerge w:val="continue"/>
                  <w:noWrap w:val="0"/>
                  <w:vAlign w:val="center"/>
                </w:tcPr>
                <w:p w14:paraId="449800C9">
                  <w:pPr>
                    <w:pStyle w:val="68"/>
                    <w:rPr>
                      <w:color w:val="auto"/>
                    </w:rPr>
                  </w:pPr>
                </w:p>
              </w:tc>
            </w:tr>
            <w:tr w14:paraId="2C981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noWrap w:val="0"/>
                  <w:vAlign w:val="center"/>
                </w:tcPr>
                <w:p w14:paraId="7BCB3E37">
                  <w:pPr>
                    <w:pStyle w:val="68"/>
                    <w:rPr>
                      <w:color w:val="auto"/>
                    </w:rPr>
                  </w:pPr>
                </w:p>
              </w:tc>
              <w:tc>
                <w:tcPr>
                  <w:tcW w:w="1400" w:type="pct"/>
                  <w:gridSpan w:val="3"/>
                  <w:vMerge w:val="continue"/>
                  <w:noWrap w:val="0"/>
                  <w:vAlign w:val="center"/>
                </w:tcPr>
                <w:p w14:paraId="00C89C87">
                  <w:pPr>
                    <w:pStyle w:val="68"/>
                    <w:rPr>
                      <w:color w:val="auto"/>
                    </w:rPr>
                  </w:pPr>
                </w:p>
              </w:tc>
              <w:tc>
                <w:tcPr>
                  <w:tcW w:w="1125" w:type="pct"/>
                  <w:noWrap w:val="0"/>
                  <w:vAlign w:val="center"/>
                </w:tcPr>
                <w:p w14:paraId="6BC16805">
                  <w:pPr>
                    <w:pStyle w:val="68"/>
                    <w:rPr>
                      <w:color w:val="auto"/>
                    </w:rPr>
                  </w:pPr>
                  <w:r>
                    <w:rPr>
                      <w:color w:val="auto"/>
                    </w:rPr>
                    <w:t>废机油桶</w:t>
                  </w:r>
                </w:p>
              </w:tc>
              <w:tc>
                <w:tcPr>
                  <w:tcW w:w="1390" w:type="pct"/>
                  <w:vMerge w:val="continue"/>
                  <w:noWrap w:val="0"/>
                  <w:vAlign w:val="center"/>
                </w:tcPr>
                <w:p w14:paraId="1CAEC641">
                  <w:pPr>
                    <w:pStyle w:val="68"/>
                    <w:rPr>
                      <w:color w:val="auto"/>
                    </w:rPr>
                  </w:pPr>
                </w:p>
              </w:tc>
              <w:tc>
                <w:tcPr>
                  <w:tcW w:w="653" w:type="pct"/>
                  <w:vMerge w:val="continue"/>
                  <w:noWrap w:val="0"/>
                  <w:vAlign w:val="center"/>
                </w:tcPr>
                <w:p w14:paraId="337C6172">
                  <w:pPr>
                    <w:pStyle w:val="68"/>
                    <w:rPr>
                      <w:color w:val="auto"/>
                    </w:rPr>
                  </w:pPr>
                </w:p>
              </w:tc>
            </w:tr>
            <w:tr w14:paraId="21989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noWrap w:val="0"/>
                  <w:vAlign w:val="center"/>
                </w:tcPr>
                <w:p w14:paraId="7D029584">
                  <w:pPr>
                    <w:pStyle w:val="68"/>
                    <w:rPr>
                      <w:color w:val="auto"/>
                    </w:rPr>
                  </w:pPr>
                </w:p>
              </w:tc>
              <w:tc>
                <w:tcPr>
                  <w:tcW w:w="1400" w:type="pct"/>
                  <w:gridSpan w:val="3"/>
                  <w:vMerge w:val="continue"/>
                  <w:noWrap w:val="0"/>
                  <w:vAlign w:val="center"/>
                </w:tcPr>
                <w:p w14:paraId="3672D3A1">
                  <w:pPr>
                    <w:pStyle w:val="68"/>
                    <w:rPr>
                      <w:color w:val="auto"/>
                    </w:rPr>
                  </w:pPr>
                </w:p>
              </w:tc>
              <w:tc>
                <w:tcPr>
                  <w:tcW w:w="1125" w:type="pct"/>
                  <w:noWrap w:val="0"/>
                  <w:vAlign w:val="center"/>
                </w:tcPr>
                <w:p w14:paraId="239D57BB">
                  <w:pPr>
                    <w:pStyle w:val="68"/>
                    <w:rPr>
                      <w:color w:val="auto"/>
                    </w:rPr>
                  </w:pPr>
                  <w:r>
                    <w:rPr>
                      <w:rFonts w:hint="eastAsia"/>
                      <w:lang w:val="en-US" w:eastAsia="zh-CN"/>
                    </w:rPr>
                    <w:t>含油抹布、手套</w:t>
                  </w:r>
                </w:p>
              </w:tc>
              <w:tc>
                <w:tcPr>
                  <w:tcW w:w="1390" w:type="pct"/>
                  <w:vMerge w:val="continue"/>
                  <w:noWrap w:val="0"/>
                  <w:vAlign w:val="center"/>
                </w:tcPr>
                <w:p w14:paraId="5E53641D">
                  <w:pPr>
                    <w:pStyle w:val="68"/>
                    <w:rPr>
                      <w:color w:val="auto"/>
                    </w:rPr>
                  </w:pPr>
                </w:p>
              </w:tc>
              <w:tc>
                <w:tcPr>
                  <w:tcW w:w="653" w:type="pct"/>
                  <w:vMerge w:val="continue"/>
                  <w:noWrap w:val="0"/>
                  <w:vAlign w:val="center"/>
                </w:tcPr>
                <w:p w14:paraId="45AC2FC0">
                  <w:pPr>
                    <w:pStyle w:val="68"/>
                    <w:rPr>
                      <w:color w:val="auto"/>
                    </w:rPr>
                  </w:pPr>
                </w:p>
              </w:tc>
            </w:tr>
          </w:tbl>
          <w:p w14:paraId="5169D26A">
            <w:pPr>
              <w:ind w:left="0" w:leftChars="0" w:firstLine="0" w:firstLineChars="0"/>
            </w:pPr>
          </w:p>
        </w:tc>
      </w:tr>
      <w:tr w14:paraId="587C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9" w:hRule="atLeast"/>
          <w:jc w:val="center"/>
        </w:trPr>
        <w:tc>
          <w:tcPr>
            <w:tcW w:w="672" w:type="dxa"/>
            <w:tcBorders>
              <w:tl2br w:val="nil"/>
              <w:tr2bl w:val="nil"/>
            </w:tcBorders>
            <w:vAlign w:val="center"/>
          </w:tcPr>
          <w:p w14:paraId="7CB76421">
            <w:pPr>
              <w:ind w:firstLine="0" w:firstLineChars="0"/>
              <w:jc w:val="center"/>
              <w:rPr>
                <w:color w:val="auto"/>
                <w:highlight w:val="none"/>
              </w:rPr>
            </w:pPr>
            <w:r>
              <w:rPr>
                <w:rFonts w:ascii="宋体"/>
                <w:color w:val="auto"/>
                <w:highlight w:val="none"/>
              </w:rPr>
              <w:t>与项目有关的原有环境污染问题</w:t>
            </w:r>
          </w:p>
        </w:tc>
        <w:tc>
          <w:tcPr>
            <w:tcW w:w="8616" w:type="dxa"/>
            <w:tcBorders>
              <w:tl2br w:val="nil"/>
              <w:tr2bl w:val="nil"/>
            </w:tcBorders>
          </w:tcPr>
          <w:p w14:paraId="1AD0882D">
            <w:pPr>
              <w:bidi w:val="0"/>
              <w:rPr>
                <w:color w:val="auto"/>
              </w:rPr>
            </w:pPr>
            <w:r>
              <w:rPr>
                <w:color w:val="auto"/>
              </w:rPr>
              <w:t>与本项目有关的原有污染情况及主要环境问题：</w:t>
            </w:r>
          </w:p>
          <w:p w14:paraId="097B3C96">
            <w:pPr>
              <w:bidi w:val="0"/>
              <w:rPr>
                <w:rFonts w:hint="eastAsia"/>
                <w:color w:val="auto"/>
              </w:rPr>
            </w:pPr>
            <w:r>
              <w:rPr>
                <w:rFonts w:hint="eastAsia"/>
                <w:lang w:eastAsia="zh-CN"/>
              </w:rPr>
              <w:t>淮南益生包装材料有限公司</w:t>
            </w:r>
            <w:r>
              <w:rPr>
                <w:color w:val="auto"/>
              </w:rPr>
              <w:t>租赁</w:t>
            </w:r>
            <w:r>
              <w:rPr>
                <w:rFonts w:hint="eastAsia"/>
                <w:color w:val="auto"/>
                <w:lang w:val="en-US" w:eastAsia="zh-CN"/>
              </w:rPr>
              <w:t>淮南益生啤酒有限公司</w:t>
            </w:r>
            <w:r>
              <w:rPr>
                <w:rFonts w:hint="eastAsia"/>
                <w:lang w:val="en-US" w:eastAsia="zh-CN"/>
              </w:rPr>
              <w:t>闲置厂房</w:t>
            </w:r>
            <w:r>
              <w:rPr>
                <w:rFonts w:hint="eastAsia"/>
                <w:color w:val="auto"/>
              </w:rPr>
              <w:t>进行生产，根据现场踏勘，</w:t>
            </w:r>
            <w:r>
              <w:rPr>
                <w:rFonts w:hint="eastAsia"/>
                <w:color w:val="auto"/>
                <w:lang w:val="en-US" w:eastAsia="zh-CN"/>
              </w:rPr>
              <w:t>1#</w:t>
            </w:r>
            <w:r>
              <w:rPr>
                <w:rFonts w:hint="eastAsia"/>
                <w:color w:val="auto"/>
              </w:rPr>
              <w:t>厂房</w:t>
            </w:r>
            <w:r>
              <w:rPr>
                <w:rFonts w:hint="eastAsia"/>
                <w:color w:val="auto"/>
                <w:lang w:val="en-US" w:eastAsia="zh-CN"/>
              </w:rPr>
              <w:t>为</w:t>
            </w:r>
            <w:r>
              <w:rPr>
                <w:rFonts w:hint="eastAsia"/>
                <w:color w:val="auto"/>
              </w:rPr>
              <w:t>新建厂房</w:t>
            </w:r>
            <w:r>
              <w:rPr>
                <w:rFonts w:hint="eastAsia"/>
                <w:color w:val="auto"/>
                <w:lang w:eastAsia="zh-CN"/>
              </w:rPr>
              <w:t>，</w:t>
            </w:r>
            <w:r>
              <w:rPr>
                <w:rFonts w:hint="eastAsia"/>
                <w:color w:val="auto"/>
                <w:lang w:val="en-US" w:eastAsia="zh-CN"/>
              </w:rPr>
              <w:t>2#厂房暂未建设</w:t>
            </w:r>
            <w:r>
              <w:rPr>
                <w:rFonts w:hint="eastAsia"/>
                <w:color w:val="auto"/>
              </w:rPr>
              <w:t>，厂房未投入生产使用，未发生过环境污染事件，不存在与原有项目有关的环境问题。</w:t>
            </w:r>
          </w:p>
          <w:p w14:paraId="066137F8">
            <w:pPr>
              <w:ind w:left="0" w:leftChars="0" w:firstLine="0" w:firstLineChars="0"/>
            </w:pPr>
          </w:p>
        </w:tc>
      </w:tr>
    </w:tbl>
    <w:p w14:paraId="0EFA9451">
      <w:pPr>
        <w:pStyle w:val="3"/>
        <w:ind w:firstLine="0" w:firstLineChars="0"/>
        <w:rPr>
          <w:color w:val="auto"/>
          <w:highlight w:val="none"/>
        </w:rPr>
      </w:pPr>
      <w:r>
        <w:rPr>
          <w:rFonts w:hint="eastAsia"/>
          <w:color w:val="auto"/>
          <w:highlight w:val="none"/>
        </w:rPr>
        <w:br w:type="page"/>
      </w:r>
      <w:r>
        <w:rPr>
          <w:rFonts w:hint="eastAsia"/>
          <w:color w:val="auto"/>
          <w:highlight w:val="none"/>
        </w:rPr>
        <w:t>三</w:t>
      </w:r>
      <w:r>
        <w:rPr>
          <w:color w:val="auto"/>
          <w:highlight w:val="none"/>
        </w:rPr>
        <w:t>、</w:t>
      </w:r>
      <w:r>
        <w:rPr>
          <w:rFonts w:hint="eastAsia"/>
          <w:color w:val="auto"/>
          <w:highlight w:val="none"/>
        </w:rPr>
        <w:t>区域环境质量现状、环境保护目标及评价标准</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8615"/>
      </w:tblGrid>
      <w:tr w14:paraId="1C6A5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8" w:type="dxa"/>
            <w:tcBorders>
              <w:tl2br w:val="nil"/>
              <w:tr2bl w:val="nil"/>
            </w:tcBorders>
            <w:shd w:val="clear" w:color="auto" w:fill="auto"/>
            <w:vAlign w:val="center"/>
          </w:tcPr>
          <w:p w14:paraId="33772CE7">
            <w:pPr>
              <w:ind w:firstLine="0" w:firstLineChars="0"/>
              <w:jc w:val="center"/>
              <w:rPr>
                <w:color w:val="auto"/>
                <w:highlight w:val="none"/>
              </w:rPr>
            </w:pPr>
            <w:r>
              <w:rPr>
                <w:rFonts w:hint="eastAsia" w:ascii="宋体"/>
                <w:color w:val="auto"/>
                <w:highlight w:val="none"/>
              </w:rPr>
              <w:t>区域环境质量现状</w:t>
            </w:r>
          </w:p>
        </w:tc>
        <w:tc>
          <w:tcPr>
            <w:tcW w:w="8000" w:type="dxa"/>
            <w:tcBorders>
              <w:tl2br w:val="nil"/>
              <w:tr2bl w:val="nil"/>
            </w:tcBorders>
            <w:shd w:val="clear" w:color="auto" w:fill="auto"/>
          </w:tcPr>
          <w:p w14:paraId="567A00E0">
            <w:pPr>
              <w:pStyle w:val="7"/>
              <w:ind w:firstLine="480"/>
              <w:rPr>
                <w:color w:val="auto"/>
                <w:highlight w:val="none"/>
              </w:rPr>
            </w:pPr>
            <w:r>
              <w:rPr>
                <w:rFonts w:hint="eastAsia"/>
                <w:color w:val="auto"/>
                <w:highlight w:val="none"/>
              </w:rPr>
              <w:t>建设项目环境质量现状及主要环境问题</w:t>
            </w:r>
          </w:p>
          <w:p w14:paraId="3772B73D">
            <w:pPr>
              <w:pStyle w:val="7"/>
              <w:ind w:firstLine="482"/>
              <w:rPr>
                <w:b/>
                <w:bCs/>
                <w:color w:val="auto"/>
                <w:highlight w:val="none"/>
              </w:rPr>
            </w:pPr>
            <w:r>
              <w:rPr>
                <w:rFonts w:hint="eastAsia"/>
                <w:b/>
                <w:bCs/>
                <w:color w:val="auto"/>
                <w:highlight w:val="none"/>
              </w:rPr>
              <w:t>1、环境空气质量</w:t>
            </w:r>
          </w:p>
          <w:p w14:paraId="220DF0F7">
            <w:pPr>
              <w:pStyle w:val="7"/>
              <w:ind w:firstLine="480"/>
              <w:rPr>
                <w:b/>
                <w:bCs/>
                <w:color w:val="auto"/>
                <w:highlight w:val="none"/>
              </w:rPr>
            </w:pPr>
            <w:r>
              <w:rPr>
                <w:rFonts w:hint="eastAsia"/>
                <w:b/>
                <w:bCs/>
                <w:color w:val="auto"/>
                <w:highlight w:val="none"/>
              </w:rPr>
              <w:t>（1）基本因子：</w:t>
            </w:r>
          </w:p>
          <w:p w14:paraId="11757B83">
            <w:pPr>
              <w:pStyle w:val="46"/>
              <w:bidi w:val="0"/>
              <w:rPr>
                <w:rFonts w:hint="eastAsia"/>
                <w:color w:val="auto"/>
                <w:highlight w:val="none"/>
                <w:lang w:val="en-US" w:eastAsia="zh-CN"/>
              </w:rPr>
            </w:pPr>
            <w:r>
              <w:rPr>
                <w:rFonts w:hint="eastAsia"/>
                <w:color w:val="auto"/>
                <w:highlight w:val="none"/>
                <w:lang w:val="en-US" w:eastAsia="zh-CN"/>
              </w:rPr>
              <w:t>本次评价引用《2023年淮南市环境质量状况公报》（https；//sthjj.huainan.gov.cn/xwdt/tzgg/551760265.html）中环境空气质量部分内容，具体如下：</w:t>
            </w:r>
          </w:p>
          <w:p w14:paraId="3768A1A6">
            <w:pPr>
              <w:bidi w:val="0"/>
              <w:rPr>
                <w:rFonts w:hint="eastAsia" w:ascii="微软雅黑" w:hAnsi="微软雅黑" w:eastAsia="微软雅黑" w:cs="微软雅黑"/>
                <w:i w:val="0"/>
                <w:iCs w:val="0"/>
                <w:caps w:val="0"/>
                <w:color w:val="333333"/>
                <w:spacing w:val="0"/>
                <w:szCs w:val="24"/>
              </w:rPr>
            </w:pPr>
            <w:r>
              <w:rPr>
                <w:rFonts w:hint="eastAsia"/>
              </w:rPr>
              <w:t>细颗粒物（PM</w:t>
            </w:r>
            <w:r>
              <w:rPr>
                <w:rFonts w:hint="eastAsia"/>
                <w:vertAlign w:val="subscript"/>
              </w:rPr>
              <w:t>2.5</w:t>
            </w:r>
            <w:r>
              <w:rPr>
                <w:rFonts w:hint="eastAsia"/>
              </w:rPr>
              <w:t>）日均浓度范围为8～252微克/立方米，日均值达标率为93.0%。年均值为38.7微克/立方米，与上年相比下降了4.4个百分点。可吸入颗粒物（PM</w:t>
            </w:r>
            <w:r>
              <w:rPr>
                <w:rFonts w:hint="eastAsia"/>
                <w:vertAlign w:val="subscript"/>
              </w:rPr>
              <w:t>10</w:t>
            </w:r>
            <w:r>
              <w:rPr>
                <w:rFonts w:hint="eastAsia"/>
              </w:rPr>
              <w:t>）日均浓度范围为12～313微克/立方米，日均值达标率为97.6%。年均值为65.9微克/立方米，与上年相比下降了0.8个百分点。二氧化氮（NO</w:t>
            </w:r>
            <w:r>
              <w:rPr>
                <w:rFonts w:hint="eastAsia"/>
                <w:vertAlign w:val="subscript"/>
              </w:rPr>
              <w:t>2</w:t>
            </w:r>
            <w:r>
              <w:rPr>
                <w:rFonts w:hint="eastAsia"/>
              </w:rPr>
              <w:t>）日均浓度范围为6～70微克/立方米，日均值达标率为100%。年均浓度为21微克/立方米，与上年相比上升了10.5个百分点。二氧化硫（SO</w:t>
            </w:r>
            <w:r>
              <w:rPr>
                <w:rFonts w:hint="eastAsia"/>
                <w:vertAlign w:val="subscript"/>
              </w:rPr>
              <w:t>2</w:t>
            </w:r>
            <w:r>
              <w:rPr>
                <w:rFonts w:hint="eastAsia"/>
              </w:rPr>
              <w:t>）日均浓度范围为3～15微克/立方米，日均值达标率为100%。年均浓度为8微克/立方米，与上年持平。</w:t>
            </w:r>
            <w:r>
              <w:rPr>
                <w:rFonts w:hint="eastAsia"/>
                <w:lang w:val="en-US" w:eastAsia="zh-CN"/>
              </w:rPr>
              <w:t>一</w:t>
            </w:r>
            <w:r>
              <w:rPr>
                <w:rFonts w:hint="eastAsia"/>
              </w:rPr>
              <w:t>氧化碳（CO）日均浓度范围为0.2～1.5毫克/立方米，日均值达标率为100%。日均值第95百分位数为0.7毫克/立方米，与上年相比下降了12.5个百分点。臭氧日最大8小时（O</w:t>
            </w:r>
            <w:r>
              <w:rPr>
                <w:rFonts w:hint="eastAsia"/>
                <w:vertAlign w:val="subscript"/>
              </w:rPr>
              <w:t>3</w:t>
            </w:r>
            <w:r>
              <w:rPr>
                <w:rFonts w:hint="eastAsia"/>
              </w:rPr>
              <w:t>-8h）滑动平均值范围为4～210微克/立方米，达标率为91.8%。日最大8小时滑动平均值第90百分位数为157微克/立方米，与上年相比上升了4.0个百分点。</w:t>
            </w:r>
          </w:p>
          <w:p w14:paraId="0A3F6CE7">
            <w:pPr>
              <w:pStyle w:val="46"/>
              <w:bidi w:val="0"/>
              <w:rPr>
                <w:rFonts w:hint="eastAsia"/>
                <w:color w:val="auto"/>
                <w:highlight w:val="none"/>
                <w:lang w:val="en-US" w:eastAsia="zh-CN"/>
              </w:rPr>
            </w:pPr>
            <w:r>
              <w:rPr>
                <w:rFonts w:hint="eastAsia"/>
                <w:color w:val="auto"/>
                <w:highlight w:val="none"/>
                <w:lang w:val="en-US" w:eastAsia="zh-CN"/>
              </w:rPr>
              <w:t>依据《2023年淮南市环境质量状况公报》，淮南市属于环境空气质量不达标区域，超标污染物为细颗粒物（</w:t>
            </w:r>
            <w:r>
              <w:rPr>
                <w:rFonts w:hint="eastAsia"/>
              </w:rPr>
              <w:t>PM</w:t>
            </w:r>
            <w:r>
              <w:rPr>
                <w:rFonts w:hint="eastAsia"/>
                <w:vertAlign w:val="subscript"/>
              </w:rPr>
              <w:t>2.5</w:t>
            </w:r>
            <w:r>
              <w:rPr>
                <w:rFonts w:hint="eastAsia"/>
                <w:color w:val="auto"/>
                <w:highlight w:val="none"/>
                <w:lang w:val="en-US" w:eastAsia="zh-CN"/>
              </w:rPr>
              <w:t>）。</w:t>
            </w:r>
          </w:p>
          <w:p w14:paraId="4CDDB093">
            <w:pPr>
              <w:pStyle w:val="69"/>
              <w:jc w:val="center"/>
              <w:rPr>
                <w:rFonts w:hint="eastAsia"/>
                <w:color w:val="000000" w:themeColor="text1"/>
                <w:highlight w:val="none"/>
                <w14:textFill>
                  <w14:solidFill>
                    <w14:schemeClr w14:val="tx1"/>
                  </w14:solidFill>
                </w14:textFill>
              </w:rPr>
            </w:pPr>
            <w:r>
              <w:rPr>
                <w:rFonts w:hint="eastAsia"/>
                <w:color w:val="auto"/>
                <w:highlight w:val="none"/>
              </w:rPr>
              <w:t>表</w:t>
            </w:r>
            <w:r>
              <w:rPr>
                <w:rFonts w:hint="eastAsia"/>
                <w:color w:val="auto"/>
                <w:highlight w:val="none"/>
                <w:lang w:val="en-US" w:eastAsia="zh-CN"/>
              </w:rPr>
              <w:t>3-1</w:t>
            </w:r>
            <w:r>
              <w:rPr>
                <w:rFonts w:hint="eastAsia"/>
                <w:color w:val="auto"/>
                <w:highlight w:val="none"/>
              </w:rPr>
              <w:t xml:space="preserve"> 202</w:t>
            </w:r>
            <w:r>
              <w:rPr>
                <w:rFonts w:hint="eastAsia"/>
                <w:color w:val="auto"/>
                <w:highlight w:val="none"/>
                <w:lang w:val="en-US" w:eastAsia="zh-CN"/>
              </w:rPr>
              <w:t>3</w:t>
            </w:r>
            <w:r>
              <w:rPr>
                <w:rFonts w:hint="eastAsia"/>
                <w:color w:val="000000" w:themeColor="text1"/>
                <w:highlight w:val="none"/>
                <w14:textFill>
                  <w14:solidFill>
                    <w14:schemeClr w14:val="tx1"/>
                  </w14:solidFill>
                </w14:textFill>
              </w:rPr>
              <w:t>年度</w:t>
            </w:r>
            <w:r>
              <w:rPr>
                <w:rFonts w:hint="eastAsia"/>
                <w:color w:val="000000" w:themeColor="text1"/>
                <w:highlight w:val="none"/>
                <w:lang w:val="en-US" w:eastAsia="zh-CN"/>
                <w14:textFill>
                  <w14:solidFill>
                    <w14:schemeClr w14:val="tx1"/>
                  </w14:solidFill>
                </w14:textFill>
              </w:rPr>
              <w:t>大气</w:t>
            </w:r>
            <w:r>
              <w:rPr>
                <w:rFonts w:hint="eastAsia"/>
                <w:color w:val="000000" w:themeColor="text1"/>
                <w:highlight w:val="none"/>
                <w14:textFill>
                  <w14:solidFill>
                    <w14:schemeClr w14:val="tx1"/>
                  </w14:solidFill>
                </w14:textFill>
              </w:rPr>
              <w:t>环境质量状况</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1711"/>
              <w:gridCol w:w="996"/>
              <w:gridCol w:w="1323"/>
              <w:gridCol w:w="1555"/>
              <w:gridCol w:w="1568"/>
            </w:tblGrid>
            <w:tr w14:paraId="0E5B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noWrap w:val="0"/>
                  <w:vAlign w:val="center"/>
                </w:tcPr>
                <w:p w14:paraId="22831DDE">
                  <w:pPr>
                    <w:pStyle w:val="7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环境要素</w:t>
                  </w:r>
                </w:p>
              </w:tc>
              <w:tc>
                <w:tcPr>
                  <w:tcW w:w="1020" w:type="pct"/>
                  <w:noWrap w:val="0"/>
                  <w:vAlign w:val="center"/>
                </w:tcPr>
                <w:p w14:paraId="5ADDFF43">
                  <w:pPr>
                    <w:pStyle w:val="7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评价因子</w:t>
                  </w:r>
                </w:p>
              </w:tc>
              <w:tc>
                <w:tcPr>
                  <w:tcW w:w="594" w:type="pct"/>
                  <w:noWrap w:val="0"/>
                  <w:vAlign w:val="center"/>
                </w:tcPr>
                <w:p w14:paraId="4050D5D7">
                  <w:pPr>
                    <w:pStyle w:val="7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监测值</w:t>
                  </w:r>
                </w:p>
              </w:tc>
              <w:tc>
                <w:tcPr>
                  <w:tcW w:w="789" w:type="pct"/>
                  <w:noWrap w:val="0"/>
                  <w:vAlign w:val="center"/>
                </w:tcPr>
                <w:p w14:paraId="31E2D620">
                  <w:pPr>
                    <w:pStyle w:val="7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标准值</w:t>
                  </w:r>
                </w:p>
              </w:tc>
              <w:tc>
                <w:tcPr>
                  <w:tcW w:w="927" w:type="pct"/>
                  <w:noWrap w:val="0"/>
                  <w:vAlign w:val="center"/>
                </w:tcPr>
                <w:p w14:paraId="582C32D1">
                  <w:pPr>
                    <w:pStyle w:val="7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是否达标</w:t>
                  </w:r>
                </w:p>
              </w:tc>
              <w:tc>
                <w:tcPr>
                  <w:tcW w:w="935" w:type="pct"/>
                  <w:noWrap w:val="0"/>
                  <w:vAlign w:val="center"/>
                </w:tcPr>
                <w:p w14:paraId="3B08A179">
                  <w:pPr>
                    <w:pStyle w:val="7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超标</w:t>
                  </w:r>
                  <w:r>
                    <w:rPr>
                      <w:rFonts w:hint="eastAsia"/>
                      <w:color w:val="000000" w:themeColor="text1"/>
                      <w:highlight w:val="none"/>
                      <w:lang w:val="en-US" w:eastAsia="zh-CN"/>
                      <w14:textFill>
                        <w14:solidFill>
                          <w14:schemeClr w14:val="tx1"/>
                        </w14:solidFill>
                      </w14:textFill>
                    </w:rPr>
                    <w:t>倍数</w:t>
                  </w:r>
                </w:p>
              </w:tc>
            </w:tr>
            <w:tr w14:paraId="1F8EC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restart"/>
                  <w:noWrap w:val="0"/>
                  <w:vAlign w:val="center"/>
                </w:tcPr>
                <w:p w14:paraId="6D3A54F6">
                  <w:pPr>
                    <w:pStyle w:val="78"/>
                    <w:rPr>
                      <w:color w:val="auto"/>
                      <w:highlight w:val="none"/>
                    </w:rPr>
                  </w:pPr>
                  <w:r>
                    <w:rPr>
                      <w:rFonts w:hint="eastAsia"/>
                      <w:color w:val="auto"/>
                      <w:highlight w:val="none"/>
                    </w:rPr>
                    <w:t>环境空气</w:t>
                  </w:r>
                </w:p>
              </w:tc>
              <w:tc>
                <w:tcPr>
                  <w:tcW w:w="1020" w:type="pct"/>
                  <w:noWrap w:val="0"/>
                  <w:vAlign w:val="center"/>
                </w:tcPr>
                <w:p w14:paraId="29D5AB2F">
                  <w:pPr>
                    <w:pStyle w:val="78"/>
                    <w:rPr>
                      <w:rFonts w:hint="eastAsia"/>
                      <w:color w:val="auto"/>
                      <w:highlight w:val="none"/>
                    </w:rPr>
                  </w:pPr>
                  <w:r>
                    <w:rPr>
                      <w:color w:val="auto"/>
                      <w:highlight w:val="none"/>
                    </w:rPr>
                    <w:t>SO</w:t>
                  </w:r>
                  <w:r>
                    <w:rPr>
                      <w:color w:val="auto"/>
                      <w:sz w:val="16"/>
                      <w:szCs w:val="20"/>
                      <w:highlight w:val="none"/>
                    </w:rPr>
                    <w:t>2</w:t>
                  </w:r>
                  <w:r>
                    <w:rPr>
                      <w:rFonts w:hint="eastAsia"/>
                      <w:color w:val="auto"/>
                      <w:highlight w:val="none"/>
                    </w:rPr>
                    <w:t>(ug/</w:t>
                  </w:r>
                  <w:r>
                    <w:rPr>
                      <w:rFonts w:hint="eastAsia"/>
                      <w:color w:val="auto"/>
                      <w:highlight w:val="none"/>
                      <w:lang w:val="en-US" w:eastAsia="zh-CN"/>
                    </w:rPr>
                    <w:t>m³</w:t>
                  </w:r>
                  <w:r>
                    <w:rPr>
                      <w:rFonts w:hint="eastAsia"/>
                      <w:color w:val="auto"/>
                      <w:highlight w:val="none"/>
                    </w:rPr>
                    <w:t>)</w:t>
                  </w:r>
                </w:p>
              </w:tc>
              <w:tc>
                <w:tcPr>
                  <w:tcW w:w="594" w:type="pct"/>
                  <w:noWrap w:val="0"/>
                  <w:vAlign w:val="center"/>
                </w:tcPr>
                <w:p w14:paraId="3691CDFE">
                  <w:pPr>
                    <w:pStyle w:val="78"/>
                    <w:rPr>
                      <w:color w:val="auto"/>
                      <w:highlight w:val="none"/>
                    </w:rPr>
                  </w:pPr>
                  <w:r>
                    <w:rPr>
                      <w:rFonts w:hint="eastAsia"/>
                      <w:color w:val="auto"/>
                      <w:highlight w:val="none"/>
                    </w:rPr>
                    <w:t>8</w:t>
                  </w:r>
                </w:p>
              </w:tc>
              <w:tc>
                <w:tcPr>
                  <w:tcW w:w="789" w:type="pct"/>
                  <w:noWrap w:val="0"/>
                  <w:vAlign w:val="center"/>
                </w:tcPr>
                <w:p w14:paraId="54B2E669">
                  <w:pPr>
                    <w:pStyle w:val="78"/>
                    <w:rPr>
                      <w:color w:val="auto"/>
                      <w:highlight w:val="none"/>
                    </w:rPr>
                  </w:pPr>
                  <w:r>
                    <w:rPr>
                      <w:rFonts w:hint="eastAsia"/>
                      <w:color w:val="auto"/>
                      <w:highlight w:val="none"/>
                    </w:rPr>
                    <w:t>60</w:t>
                  </w:r>
                </w:p>
              </w:tc>
              <w:tc>
                <w:tcPr>
                  <w:tcW w:w="927" w:type="pct"/>
                  <w:noWrap w:val="0"/>
                  <w:vAlign w:val="center"/>
                </w:tcPr>
                <w:p w14:paraId="17912DC9">
                  <w:pPr>
                    <w:pStyle w:val="78"/>
                    <w:rPr>
                      <w:color w:val="auto"/>
                      <w:highlight w:val="none"/>
                    </w:rPr>
                  </w:pPr>
                  <w:r>
                    <w:rPr>
                      <w:rFonts w:hint="eastAsia"/>
                      <w:color w:val="auto"/>
                      <w:highlight w:val="none"/>
                    </w:rPr>
                    <w:t>是</w:t>
                  </w:r>
                </w:p>
              </w:tc>
              <w:tc>
                <w:tcPr>
                  <w:tcW w:w="935" w:type="pct"/>
                  <w:noWrap w:val="0"/>
                  <w:vAlign w:val="center"/>
                </w:tcPr>
                <w:p w14:paraId="57EAAC52">
                  <w:pPr>
                    <w:pStyle w:val="78"/>
                    <w:rPr>
                      <w:color w:val="auto"/>
                      <w:highlight w:val="none"/>
                    </w:rPr>
                  </w:pPr>
                  <w:r>
                    <w:rPr>
                      <w:rFonts w:hint="eastAsia"/>
                      <w:color w:val="auto"/>
                      <w:highlight w:val="none"/>
                    </w:rPr>
                    <w:t>-</w:t>
                  </w:r>
                </w:p>
              </w:tc>
            </w:tr>
            <w:tr w14:paraId="3F14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continue"/>
                  <w:noWrap w:val="0"/>
                  <w:vAlign w:val="center"/>
                </w:tcPr>
                <w:p w14:paraId="17BA59F5">
                  <w:pPr>
                    <w:pStyle w:val="78"/>
                    <w:rPr>
                      <w:rFonts w:hint="eastAsia"/>
                      <w:color w:val="auto"/>
                      <w:highlight w:val="none"/>
                    </w:rPr>
                  </w:pPr>
                </w:p>
              </w:tc>
              <w:tc>
                <w:tcPr>
                  <w:tcW w:w="1020" w:type="pct"/>
                  <w:noWrap w:val="0"/>
                  <w:vAlign w:val="center"/>
                </w:tcPr>
                <w:p w14:paraId="47359ABD">
                  <w:pPr>
                    <w:pStyle w:val="78"/>
                    <w:rPr>
                      <w:rFonts w:hint="eastAsia"/>
                      <w:color w:val="auto"/>
                      <w:highlight w:val="none"/>
                    </w:rPr>
                  </w:pPr>
                  <w:r>
                    <w:rPr>
                      <w:color w:val="auto"/>
                      <w:highlight w:val="none"/>
                    </w:rPr>
                    <w:t>NO</w:t>
                  </w:r>
                  <w:r>
                    <w:rPr>
                      <w:color w:val="auto"/>
                      <w:sz w:val="16"/>
                      <w:szCs w:val="20"/>
                      <w:highlight w:val="none"/>
                    </w:rPr>
                    <w:t>2</w:t>
                  </w:r>
                  <w:r>
                    <w:rPr>
                      <w:rFonts w:hint="eastAsia"/>
                      <w:color w:val="auto"/>
                      <w:highlight w:val="none"/>
                    </w:rPr>
                    <w:t>(ug/</w:t>
                  </w:r>
                  <w:r>
                    <w:rPr>
                      <w:rFonts w:hint="eastAsia"/>
                      <w:color w:val="auto"/>
                      <w:highlight w:val="none"/>
                      <w:lang w:val="en-US" w:eastAsia="zh-CN"/>
                    </w:rPr>
                    <w:t>m³</w:t>
                  </w:r>
                  <w:r>
                    <w:rPr>
                      <w:rFonts w:hint="eastAsia"/>
                      <w:color w:val="auto"/>
                      <w:highlight w:val="none"/>
                    </w:rPr>
                    <w:t>)</w:t>
                  </w:r>
                </w:p>
              </w:tc>
              <w:tc>
                <w:tcPr>
                  <w:tcW w:w="594" w:type="pct"/>
                  <w:noWrap w:val="0"/>
                  <w:vAlign w:val="center"/>
                </w:tcPr>
                <w:p w14:paraId="65DC75BA">
                  <w:pPr>
                    <w:pStyle w:val="78"/>
                    <w:rPr>
                      <w:rFonts w:hint="default"/>
                      <w:color w:val="auto"/>
                      <w:highlight w:val="none"/>
                      <w:lang w:val="en-US"/>
                    </w:rPr>
                  </w:pPr>
                  <w:r>
                    <w:rPr>
                      <w:rFonts w:hint="eastAsia"/>
                      <w:color w:val="auto"/>
                      <w:highlight w:val="none"/>
                      <w:lang w:val="en-US" w:eastAsia="zh-CN"/>
                    </w:rPr>
                    <w:t>21</w:t>
                  </w:r>
                </w:p>
              </w:tc>
              <w:tc>
                <w:tcPr>
                  <w:tcW w:w="789" w:type="pct"/>
                  <w:noWrap w:val="0"/>
                  <w:vAlign w:val="center"/>
                </w:tcPr>
                <w:p w14:paraId="0CB8EA56">
                  <w:pPr>
                    <w:pStyle w:val="78"/>
                    <w:rPr>
                      <w:color w:val="auto"/>
                      <w:highlight w:val="none"/>
                    </w:rPr>
                  </w:pPr>
                  <w:r>
                    <w:rPr>
                      <w:rFonts w:hint="eastAsia"/>
                      <w:color w:val="auto"/>
                      <w:highlight w:val="none"/>
                    </w:rPr>
                    <w:t>40</w:t>
                  </w:r>
                </w:p>
              </w:tc>
              <w:tc>
                <w:tcPr>
                  <w:tcW w:w="927" w:type="pct"/>
                  <w:noWrap w:val="0"/>
                  <w:vAlign w:val="center"/>
                </w:tcPr>
                <w:p w14:paraId="70AB6B4B">
                  <w:pPr>
                    <w:pStyle w:val="78"/>
                    <w:rPr>
                      <w:rFonts w:hint="eastAsia"/>
                      <w:color w:val="auto"/>
                      <w:highlight w:val="none"/>
                    </w:rPr>
                  </w:pPr>
                  <w:r>
                    <w:rPr>
                      <w:rFonts w:hint="eastAsia"/>
                      <w:color w:val="auto"/>
                      <w:highlight w:val="none"/>
                    </w:rPr>
                    <w:t>是</w:t>
                  </w:r>
                </w:p>
              </w:tc>
              <w:tc>
                <w:tcPr>
                  <w:tcW w:w="935" w:type="pct"/>
                  <w:noWrap w:val="0"/>
                  <w:vAlign w:val="center"/>
                </w:tcPr>
                <w:p w14:paraId="179DDB1A">
                  <w:pPr>
                    <w:pStyle w:val="78"/>
                    <w:rPr>
                      <w:color w:val="auto"/>
                      <w:highlight w:val="none"/>
                    </w:rPr>
                  </w:pPr>
                  <w:r>
                    <w:rPr>
                      <w:rFonts w:hint="eastAsia"/>
                      <w:color w:val="auto"/>
                      <w:highlight w:val="none"/>
                    </w:rPr>
                    <w:t>-</w:t>
                  </w:r>
                </w:p>
              </w:tc>
            </w:tr>
            <w:tr w14:paraId="131AE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continue"/>
                  <w:noWrap w:val="0"/>
                  <w:vAlign w:val="center"/>
                </w:tcPr>
                <w:p w14:paraId="27EE3AD2">
                  <w:pPr>
                    <w:pStyle w:val="78"/>
                    <w:rPr>
                      <w:rFonts w:hint="eastAsia"/>
                      <w:color w:val="auto"/>
                      <w:highlight w:val="none"/>
                    </w:rPr>
                  </w:pPr>
                </w:p>
              </w:tc>
              <w:tc>
                <w:tcPr>
                  <w:tcW w:w="1020" w:type="pct"/>
                  <w:noWrap w:val="0"/>
                  <w:vAlign w:val="center"/>
                </w:tcPr>
                <w:p w14:paraId="41551297">
                  <w:pPr>
                    <w:pStyle w:val="78"/>
                    <w:rPr>
                      <w:color w:val="auto"/>
                      <w:highlight w:val="none"/>
                    </w:rPr>
                  </w:pPr>
                  <w:r>
                    <w:rPr>
                      <w:color w:val="auto"/>
                      <w:highlight w:val="none"/>
                    </w:rPr>
                    <w:t>PM</w:t>
                  </w:r>
                  <w:r>
                    <w:rPr>
                      <w:color w:val="auto"/>
                      <w:sz w:val="16"/>
                      <w:szCs w:val="20"/>
                      <w:highlight w:val="none"/>
                    </w:rPr>
                    <w:t>10</w:t>
                  </w:r>
                  <w:r>
                    <w:rPr>
                      <w:rFonts w:hint="eastAsia"/>
                      <w:color w:val="auto"/>
                      <w:highlight w:val="none"/>
                    </w:rPr>
                    <w:t>(ug/</w:t>
                  </w:r>
                  <w:r>
                    <w:rPr>
                      <w:rFonts w:hint="eastAsia"/>
                      <w:color w:val="auto"/>
                      <w:highlight w:val="none"/>
                      <w:lang w:val="en-US" w:eastAsia="zh-CN"/>
                    </w:rPr>
                    <w:t>m³</w:t>
                  </w:r>
                  <w:r>
                    <w:rPr>
                      <w:rFonts w:hint="eastAsia"/>
                      <w:color w:val="auto"/>
                      <w:highlight w:val="none"/>
                    </w:rPr>
                    <w:t>)</w:t>
                  </w:r>
                </w:p>
              </w:tc>
              <w:tc>
                <w:tcPr>
                  <w:tcW w:w="594" w:type="pct"/>
                  <w:noWrap w:val="0"/>
                  <w:vAlign w:val="center"/>
                </w:tcPr>
                <w:p w14:paraId="21C71455">
                  <w:pPr>
                    <w:pStyle w:val="78"/>
                    <w:rPr>
                      <w:rFonts w:hint="default"/>
                      <w:color w:val="auto"/>
                      <w:highlight w:val="none"/>
                      <w:lang w:val="en-US"/>
                    </w:rPr>
                  </w:pPr>
                  <w:r>
                    <w:rPr>
                      <w:rFonts w:hint="eastAsia"/>
                      <w:color w:val="auto"/>
                      <w:highlight w:val="none"/>
                      <w:lang w:val="en-US" w:eastAsia="zh-CN"/>
                    </w:rPr>
                    <w:t>65.9</w:t>
                  </w:r>
                </w:p>
              </w:tc>
              <w:tc>
                <w:tcPr>
                  <w:tcW w:w="789" w:type="pct"/>
                  <w:noWrap w:val="0"/>
                  <w:vAlign w:val="center"/>
                </w:tcPr>
                <w:p w14:paraId="4C415666">
                  <w:pPr>
                    <w:pStyle w:val="78"/>
                    <w:rPr>
                      <w:color w:val="auto"/>
                      <w:highlight w:val="none"/>
                    </w:rPr>
                  </w:pPr>
                  <w:r>
                    <w:rPr>
                      <w:rFonts w:hint="eastAsia"/>
                      <w:color w:val="auto"/>
                      <w:highlight w:val="none"/>
                    </w:rPr>
                    <w:t>70</w:t>
                  </w:r>
                </w:p>
              </w:tc>
              <w:tc>
                <w:tcPr>
                  <w:tcW w:w="927" w:type="pct"/>
                  <w:noWrap w:val="0"/>
                  <w:vAlign w:val="center"/>
                </w:tcPr>
                <w:p w14:paraId="59C72A3B">
                  <w:pPr>
                    <w:pStyle w:val="78"/>
                    <w:rPr>
                      <w:color w:val="auto"/>
                      <w:highlight w:val="none"/>
                    </w:rPr>
                  </w:pPr>
                  <w:r>
                    <w:rPr>
                      <w:rFonts w:hint="eastAsia"/>
                      <w:color w:val="auto"/>
                      <w:highlight w:val="none"/>
                    </w:rPr>
                    <w:t>是</w:t>
                  </w:r>
                </w:p>
              </w:tc>
              <w:tc>
                <w:tcPr>
                  <w:tcW w:w="935" w:type="pct"/>
                  <w:noWrap w:val="0"/>
                  <w:vAlign w:val="center"/>
                </w:tcPr>
                <w:p w14:paraId="435CB03C">
                  <w:pPr>
                    <w:pStyle w:val="78"/>
                    <w:rPr>
                      <w:rFonts w:hint="eastAsia"/>
                      <w:color w:val="auto"/>
                      <w:highlight w:val="none"/>
                      <w:lang w:eastAsia="zh-CN"/>
                    </w:rPr>
                  </w:pPr>
                  <w:r>
                    <w:rPr>
                      <w:rFonts w:hint="eastAsia"/>
                      <w:color w:val="auto"/>
                      <w:highlight w:val="none"/>
                      <w:lang w:val="en-US" w:eastAsia="zh-CN"/>
                    </w:rPr>
                    <w:t>-</w:t>
                  </w:r>
                </w:p>
              </w:tc>
            </w:tr>
            <w:tr w14:paraId="2851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continue"/>
                  <w:noWrap w:val="0"/>
                  <w:vAlign w:val="center"/>
                </w:tcPr>
                <w:p w14:paraId="42BD54C4">
                  <w:pPr>
                    <w:pStyle w:val="78"/>
                    <w:rPr>
                      <w:rFonts w:hint="eastAsia"/>
                      <w:color w:val="auto"/>
                      <w:highlight w:val="none"/>
                    </w:rPr>
                  </w:pPr>
                </w:p>
              </w:tc>
              <w:tc>
                <w:tcPr>
                  <w:tcW w:w="1020" w:type="pct"/>
                  <w:noWrap w:val="0"/>
                  <w:vAlign w:val="center"/>
                </w:tcPr>
                <w:p w14:paraId="6E0F652B">
                  <w:pPr>
                    <w:pStyle w:val="78"/>
                    <w:rPr>
                      <w:color w:val="auto"/>
                      <w:highlight w:val="none"/>
                    </w:rPr>
                  </w:pPr>
                  <w:r>
                    <w:rPr>
                      <w:rFonts w:hint="eastAsia"/>
                    </w:rPr>
                    <w:t>PM</w:t>
                  </w:r>
                  <w:r>
                    <w:rPr>
                      <w:rFonts w:hint="eastAsia"/>
                      <w:vertAlign w:val="subscript"/>
                    </w:rPr>
                    <w:t>2.5</w:t>
                  </w:r>
                  <w:r>
                    <w:rPr>
                      <w:rFonts w:hint="eastAsia"/>
                      <w:color w:val="auto"/>
                      <w:highlight w:val="none"/>
                    </w:rPr>
                    <w:t>(ug/</w:t>
                  </w:r>
                  <w:r>
                    <w:rPr>
                      <w:rFonts w:hint="eastAsia"/>
                      <w:color w:val="auto"/>
                      <w:highlight w:val="none"/>
                      <w:lang w:val="en-US" w:eastAsia="zh-CN"/>
                    </w:rPr>
                    <w:t>m³</w:t>
                  </w:r>
                  <w:r>
                    <w:rPr>
                      <w:rFonts w:hint="eastAsia"/>
                      <w:color w:val="auto"/>
                      <w:highlight w:val="none"/>
                    </w:rPr>
                    <w:t>)</w:t>
                  </w:r>
                </w:p>
              </w:tc>
              <w:tc>
                <w:tcPr>
                  <w:tcW w:w="594" w:type="pct"/>
                  <w:noWrap w:val="0"/>
                  <w:vAlign w:val="center"/>
                </w:tcPr>
                <w:p w14:paraId="4709F4E3">
                  <w:pPr>
                    <w:pStyle w:val="78"/>
                    <w:rPr>
                      <w:rFonts w:hint="default"/>
                      <w:color w:val="auto"/>
                      <w:highlight w:val="none"/>
                      <w:lang w:val="en-US"/>
                    </w:rPr>
                  </w:pPr>
                  <w:r>
                    <w:rPr>
                      <w:rFonts w:hint="eastAsia"/>
                      <w:color w:val="auto"/>
                      <w:highlight w:val="none"/>
                      <w:lang w:val="en-US" w:eastAsia="zh-CN"/>
                    </w:rPr>
                    <w:t>38.7</w:t>
                  </w:r>
                </w:p>
              </w:tc>
              <w:tc>
                <w:tcPr>
                  <w:tcW w:w="789" w:type="pct"/>
                  <w:noWrap w:val="0"/>
                  <w:vAlign w:val="center"/>
                </w:tcPr>
                <w:p w14:paraId="2C466E19">
                  <w:pPr>
                    <w:pStyle w:val="78"/>
                    <w:rPr>
                      <w:color w:val="auto"/>
                      <w:highlight w:val="none"/>
                    </w:rPr>
                  </w:pPr>
                  <w:r>
                    <w:rPr>
                      <w:rFonts w:hint="eastAsia"/>
                      <w:color w:val="auto"/>
                      <w:highlight w:val="none"/>
                    </w:rPr>
                    <w:t>35</w:t>
                  </w:r>
                </w:p>
              </w:tc>
              <w:tc>
                <w:tcPr>
                  <w:tcW w:w="927" w:type="pct"/>
                  <w:noWrap w:val="0"/>
                  <w:vAlign w:val="center"/>
                </w:tcPr>
                <w:p w14:paraId="549F8085">
                  <w:pPr>
                    <w:pStyle w:val="78"/>
                    <w:rPr>
                      <w:color w:val="auto"/>
                      <w:highlight w:val="none"/>
                    </w:rPr>
                  </w:pPr>
                  <w:r>
                    <w:rPr>
                      <w:rFonts w:hint="eastAsia"/>
                      <w:color w:val="auto"/>
                      <w:highlight w:val="none"/>
                    </w:rPr>
                    <w:t>否</w:t>
                  </w:r>
                </w:p>
              </w:tc>
              <w:tc>
                <w:tcPr>
                  <w:tcW w:w="935" w:type="pct"/>
                  <w:noWrap w:val="0"/>
                  <w:vAlign w:val="center"/>
                </w:tcPr>
                <w:p w14:paraId="5A378DBD">
                  <w:pPr>
                    <w:pStyle w:val="78"/>
                    <w:rPr>
                      <w:rFonts w:hint="default"/>
                      <w:color w:val="auto"/>
                      <w:highlight w:val="none"/>
                      <w:lang w:val="en-US"/>
                    </w:rPr>
                  </w:pPr>
                  <w:r>
                    <w:rPr>
                      <w:rFonts w:hint="eastAsia"/>
                      <w:color w:val="auto"/>
                      <w:highlight w:val="none"/>
                      <w:lang w:val="en-US" w:eastAsia="zh-CN"/>
                    </w:rPr>
                    <w:t>0.11</w:t>
                  </w:r>
                </w:p>
              </w:tc>
            </w:tr>
            <w:tr w14:paraId="7995E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continue"/>
                  <w:noWrap w:val="0"/>
                  <w:vAlign w:val="center"/>
                </w:tcPr>
                <w:p w14:paraId="2D46DC16">
                  <w:pPr>
                    <w:pStyle w:val="78"/>
                    <w:rPr>
                      <w:rFonts w:hint="eastAsia"/>
                      <w:color w:val="auto"/>
                      <w:highlight w:val="none"/>
                    </w:rPr>
                  </w:pPr>
                </w:p>
              </w:tc>
              <w:tc>
                <w:tcPr>
                  <w:tcW w:w="1020" w:type="pct"/>
                  <w:noWrap w:val="0"/>
                  <w:vAlign w:val="center"/>
                </w:tcPr>
                <w:p w14:paraId="47C075B4">
                  <w:pPr>
                    <w:pStyle w:val="78"/>
                    <w:rPr>
                      <w:rFonts w:hint="eastAsia"/>
                      <w:color w:val="auto"/>
                      <w:highlight w:val="none"/>
                    </w:rPr>
                  </w:pPr>
                  <w:r>
                    <w:rPr>
                      <w:color w:val="auto"/>
                      <w:highlight w:val="none"/>
                    </w:rPr>
                    <w:t>CO</w:t>
                  </w:r>
                  <w:r>
                    <w:rPr>
                      <w:rFonts w:hint="eastAsia"/>
                      <w:color w:val="auto"/>
                      <w:highlight w:val="none"/>
                    </w:rPr>
                    <w:t>（mg/</w:t>
                  </w:r>
                  <w:r>
                    <w:rPr>
                      <w:rFonts w:hint="eastAsia"/>
                      <w:color w:val="auto"/>
                      <w:highlight w:val="none"/>
                      <w:lang w:val="en-US" w:eastAsia="zh-CN"/>
                    </w:rPr>
                    <w:t>m³</w:t>
                  </w:r>
                  <w:r>
                    <w:rPr>
                      <w:rFonts w:hint="eastAsia"/>
                      <w:color w:val="auto"/>
                      <w:highlight w:val="none"/>
                    </w:rPr>
                    <w:t>）</w:t>
                  </w:r>
                </w:p>
              </w:tc>
              <w:tc>
                <w:tcPr>
                  <w:tcW w:w="594" w:type="pct"/>
                  <w:noWrap w:val="0"/>
                  <w:vAlign w:val="center"/>
                </w:tcPr>
                <w:p w14:paraId="0BBA0CF5">
                  <w:pPr>
                    <w:pStyle w:val="78"/>
                    <w:rPr>
                      <w:rFonts w:hint="default"/>
                      <w:color w:val="auto"/>
                      <w:highlight w:val="none"/>
                      <w:lang w:val="en-US"/>
                    </w:rPr>
                  </w:pPr>
                  <w:r>
                    <w:rPr>
                      <w:rFonts w:hint="eastAsia"/>
                      <w:color w:val="auto"/>
                      <w:highlight w:val="none"/>
                      <w:lang w:val="en-US" w:eastAsia="zh-CN"/>
                    </w:rPr>
                    <w:t>0.7</w:t>
                  </w:r>
                </w:p>
              </w:tc>
              <w:tc>
                <w:tcPr>
                  <w:tcW w:w="789" w:type="pct"/>
                  <w:noWrap w:val="0"/>
                  <w:vAlign w:val="center"/>
                </w:tcPr>
                <w:p w14:paraId="603664C2">
                  <w:pPr>
                    <w:pStyle w:val="78"/>
                    <w:rPr>
                      <w:color w:val="auto"/>
                      <w:highlight w:val="none"/>
                    </w:rPr>
                  </w:pPr>
                  <w:r>
                    <w:rPr>
                      <w:rFonts w:hint="eastAsia"/>
                      <w:color w:val="auto"/>
                      <w:highlight w:val="none"/>
                    </w:rPr>
                    <w:t>4</w:t>
                  </w:r>
                </w:p>
              </w:tc>
              <w:tc>
                <w:tcPr>
                  <w:tcW w:w="927" w:type="pct"/>
                  <w:noWrap w:val="0"/>
                  <w:vAlign w:val="center"/>
                </w:tcPr>
                <w:p w14:paraId="225586E0">
                  <w:pPr>
                    <w:pStyle w:val="78"/>
                    <w:rPr>
                      <w:rFonts w:hint="eastAsia"/>
                      <w:color w:val="auto"/>
                      <w:highlight w:val="none"/>
                    </w:rPr>
                  </w:pPr>
                  <w:r>
                    <w:rPr>
                      <w:rFonts w:hint="eastAsia"/>
                      <w:color w:val="auto"/>
                      <w:highlight w:val="none"/>
                    </w:rPr>
                    <w:t>是</w:t>
                  </w:r>
                </w:p>
              </w:tc>
              <w:tc>
                <w:tcPr>
                  <w:tcW w:w="935" w:type="pct"/>
                  <w:noWrap w:val="0"/>
                  <w:vAlign w:val="center"/>
                </w:tcPr>
                <w:p w14:paraId="14C8D845">
                  <w:pPr>
                    <w:pStyle w:val="78"/>
                    <w:rPr>
                      <w:color w:val="auto"/>
                      <w:highlight w:val="none"/>
                    </w:rPr>
                  </w:pPr>
                  <w:r>
                    <w:rPr>
                      <w:rFonts w:hint="eastAsia"/>
                      <w:color w:val="auto"/>
                      <w:highlight w:val="none"/>
                    </w:rPr>
                    <w:t>-</w:t>
                  </w:r>
                </w:p>
              </w:tc>
            </w:tr>
            <w:tr w14:paraId="153C8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continue"/>
                  <w:noWrap w:val="0"/>
                  <w:vAlign w:val="center"/>
                </w:tcPr>
                <w:p w14:paraId="24E08C5D">
                  <w:pPr>
                    <w:pStyle w:val="78"/>
                    <w:rPr>
                      <w:rFonts w:hint="eastAsia"/>
                      <w:color w:val="auto"/>
                      <w:highlight w:val="none"/>
                    </w:rPr>
                  </w:pPr>
                </w:p>
              </w:tc>
              <w:tc>
                <w:tcPr>
                  <w:tcW w:w="1020" w:type="pct"/>
                  <w:noWrap w:val="0"/>
                  <w:vAlign w:val="center"/>
                </w:tcPr>
                <w:p w14:paraId="414F143B">
                  <w:pPr>
                    <w:pStyle w:val="78"/>
                    <w:rPr>
                      <w:color w:val="auto"/>
                      <w:highlight w:val="none"/>
                    </w:rPr>
                  </w:pPr>
                  <w:r>
                    <w:rPr>
                      <w:color w:val="auto"/>
                      <w:highlight w:val="none"/>
                    </w:rPr>
                    <w:t>O</w:t>
                  </w:r>
                  <w:r>
                    <w:rPr>
                      <w:color w:val="auto"/>
                      <w:sz w:val="16"/>
                      <w:szCs w:val="20"/>
                      <w:highlight w:val="none"/>
                    </w:rPr>
                    <w:t>3</w:t>
                  </w:r>
                  <w:r>
                    <w:rPr>
                      <w:rFonts w:hint="eastAsia"/>
                      <w:color w:val="auto"/>
                      <w:highlight w:val="none"/>
                    </w:rPr>
                    <w:t>(ug/</w:t>
                  </w:r>
                  <w:r>
                    <w:rPr>
                      <w:rFonts w:hint="eastAsia"/>
                      <w:color w:val="auto"/>
                      <w:highlight w:val="none"/>
                      <w:lang w:val="en-US" w:eastAsia="zh-CN"/>
                    </w:rPr>
                    <w:t>m³</w:t>
                  </w:r>
                  <w:r>
                    <w:rPr>
                      <w:rFonts w:hint="eastAsia"/>
                      <w:color w:val="auto"/>
                      <w:highlight w:val="none"/>
                    </w:rPr>
                    <w:t>)</w:t>
                  </w:r>
                </w:p>
              </w:tc>
              <w:tc>
                <w:tcPr>
                  <w:tcW w:w="594" w:type="pct"/>
                  <w:noWrap w:val="0"/>
                  <w:vAlign w:val="center"/>
                </w:tcPr>
                <w:p w14:paraId="307D99F1">
                  <w:pPr>
                    <w:pStyle w:val="78"/>
                    <w:rPr>
                      <w:rFonts w:hint="default"/>
                      <w:color w:val="auto"/>
                      <w:highlight w:val="none"/>
                      <w:lang w:val="en-US"/>
                    </w:rPr>
                  </w:pPr>
                  <w:r>
                    <w:rPr>
                      <w:rFonts w:hint="eastAsia"/>
                      <w:color w:val="auto"/>
                      <w:highlight w:val="none"/>
                      <w:lang w:eastAsia="zh-CN"/>
                    </w:rPr>
                    <w:t>1</w:t>
                  </w:r>
                  <w:r>
                    <w:rPr>
                      <w:rFonts w:hint="eastAsia"/>
                      <w:color w:val="auto"/>
                      <w:highlight w:val="none"/>
                      <w:lang w:val="en-US" w:eastAsia="zh-CN"/>
                    </w:rPr>
                    <w:t>57</w:t>
                  </w:r>
                </w:p>
              </w:tc>
              <w:tc>
                <w:tcPr>
                  <w:tcW w:w="789" w:type="pct"/>
                  <w:noWrap w:val="0"/>
                  <w:vAlign w:val="center"/>
                </w:tcPr>
                <w:p w14:paraId="0CFCB783">
                  <w:pPr>
                    <w:pStyle w:val="78"/>
                    <w:rPr>
                      <w:color w:val="auto"/>
                      <w:highlight w:val="none"/>
                    </w:rPr>
                  </w:pPr>
                  <w:r>
                    <w:rPr>
                      <w:rFonts w:hint="eastAsia"/>
                      <w:color w:val="auto"/>
                      <w:highlight w:val="none"/>
                    </w:rPr>
                    <w:t>160</w:t>
                  </w:r>
                </w:p>
              </w:tc>
              <w:tc>
                <w:tcPr>
                  <w:tcW w:w="927" w:type="pct"/>
                  <w:noWrap w:val="0"/>
                  <w:vAlign w:val="center"/>
                </w:tcPr>
                <w:p w14:paraId="0F043FE4">
                  <w:pPr>
                    <w:pStyle w:val="78"/>
                    <w:rPr>
                      <w:color w:val="auto"/>
                      <w:highlight w:val="none"/>
                    </w:rPr>
                  </w:pPr>
                  <w:r>
                    <w:rPr>
                      <w:rFonts w:hint="eastAsia"/>
                      <w:color w:val="auto"/>
                      <w:highlight w:val="none"/>
                    </w:rPr>
                    <w:t>是</w:t>
                  </w:r>
                </w:p>
              </w:tc>
              <w:tc>
                <w:tcPr>
                  <w:tcW w:w="935" w:type="pct"/>
                  <w:noWrap w:val="0"/>
                  <w:vAlign w:val="center"/>
                </w:tcPr>
                <w:p w14:paraId="426215D8">
                  <w:pPr>
                    <w:pStyle w:val="78"/>
                    <w:rPr>
                      <w:rFonts w:hint="eastAsia"/>
                      <w:color w:val="auto"/>
                      <w:highlight w:val="none"/>
                    </w:rPr>
                  </w:pPr>
                  <w:r>
                    <w:rPr>
                      <w:rFonts w:hint="eastAsia"/>
                      <w:color w:val="auto"/>
                      <w:highlight w:val="none"/>
                      <w:lang w:eastAsia="zh-CN"/>
                    </w:rPr>
                    <w:t>-</w:t>
                  </w:r>
                </w:p>
              </w:tc>
            </w:tr>
          </w:tbl>
          <w:p w14:paraId="2DC19644">
            <w:pPr>
              <w:bidi w:val="0"/>
              <w:rPr>
                <w:b/>
                <w:bCs/>
                <w:color w:val="auto"/>
                <w:highlight w:val="none"/>
              </w:rPr>
            </w:pPr>
            <w:r>
              <w:rPr>
                <w:rFonts w:hint="eastAsia"/>
                <w:b/>
                <w:bCs/>
                <w:color w:val="auto"/>
                <w:highlight w:val="none"/>
              </w:rPr>
              <w:t>（2）</w:t>
            </w:r>
            <w:r>
              <w:rPr>
                <w:rFonts w:hint="eastAsia"/>
                <w:b/>
                <w:bCs/>
                <w:color w:val="auto"/>
                <w:highlight w:val="none"/>
                <w:lang w:val="en-US" w:eastAsia="zh-CN"/>
              </w:rPr>
              <w:t>其他</w:t>
            </w:r>
            <w:r>
              <w:rPr>
                <w:rFonts w:hint="eastAsia"/>
                <w:b/>
                <w:bCs/>
                <w:color w:val="auto"/>
                <w:highlight w:val="none"/>
              </w:rPr>
              <w:t>污染物</w:t>
            </w:r>
          </w:p>
          <w:p w14:paraId="4AC2A8CD">
            <w:pPr>
              <w:widowControl/>
              <w:ind w:firstLine="480"/>
              <w:rPr>
                <w:color w:val="auto"/>
                <w:highlight w:val="none"/>
              </w:rPr>
            </w:pPr>
            <w:r>
              <w:rPr>
                <w:rFonts w:hint="eastAsia"/>
                <w:color w:val="auto"/>
                <w:highlight w:val="none"/>
              </w:rPr>
              <w:t>根据本项目工程分析可知，本项目特征污染物为</w:t>
            </w:r>
            <w:r>
              <w:rPr>
                <w:rFonts w:hint="eastAsia"/>
                <w:color w:val="auto"/>
                <w:highlight w:val="none"/>
                <w:lang w:val="en-US" w:eastAsia="zh-CN"/>
              </w:rPr>
              <w:t>有机废气（以非甲烷总烃计）、苯乙烯</w:t>
            </w:r>
            <w:r>
              <w:rPr>
                <w:rFonts w:hint="eastAsia"/>
                <w:color w:val="auto"/>
                <w:highlight w:val="none"/>
              </w:rPr>
              <w:t>。</w:t>
            </w:r>
          </w:p>
          <w:p w14:paraId="3428F01B">
            <w:pPr>
              <w:pStyle w:val="46"/>
              <w:rPr>
                <w:color w:val="auto"/>
                <w:highlight w:val="none"/>
              </w:rPr>
            </w:pPr>
            <w:r>
              <w:rPr>
                <w:rFonts w:hint="eastAsia"/>
                <w:color w:val="auto"/>
                <w:highlight w:val="none"/>
              </w:rPr>
              <w:t>特征污染物</w:t>
            </w:r>
            <w:r>
              <w:rPr>
                <w:rFonts w:hint="eastAsia"/>
                <w:color w:val="auto"/>
                <w:highlight w:val="none"/>
                <w:lang w:val="en-US" w:eastAsia="zh-CN"/>
              </w:rPr>
              <w:t>非甲烷总烃、苯乙烯采用</w:t>
            </w:r>
            <w:r>
              <w:rPr>
                <w:rFonts w:hint="eastAsia"/>
                <w:color w:val="auto"/>
                <w:lang w:val="en-US" w:eastAsia="zh-CN"/>
              </w:rPr>
              <w:t>淮南市宜青环境检测有限公司</w:t>
            </w:r>
            <w:r>
              <w:rPr>
                <w:rFonts w:hint="eastAsia"/>
                <w:color w:val="auto"/>
                <w:highlight w:val="none"/>
                <w:lang w:val="en-US" w:eastAsia="zh-CN"/>
              </w:rPr>
              <w:t>2024年9月12日-9月14补充监测数据。</w:t>
            </w:r>
            <w:r>
              <w:rPr>
                <w:rFonts w:hint="eastAsia"/>
                <w:color w:val="auto"/>
              </w:rPr>
              <w:t>监测点位</w:t>
            </w:r>
            <w:r>
              <w:rPr>
                <w:rFonts w:hint="eastAsia"/>
                <w:color w:val="auto"/>
                <w:lang w:val="en-US" w:eastAsia="zh-CN"/>
              </w:rPr>
              <w:t>及监测数据见下表</w:t>
            </w:r>
            <w:r>
              <w:rPr>
                <w:rFonts w:hint="eastAsia"/>
                <w:color w:val="auto"/>
                <w:highlight w:val="none"/>
              </w:rPr>
              <w:t>。</w:t>
            </w:r>
          </w:p>
          <w:p w14:paraId="26A94F79">
            <w:pPr>
              <w:pStyle w:val="44"/>
              <w:bidi w:val="0"/>
            </w:pPr>
            <w:r>
              <w:rPr>
                <w:rFonts w:hint="eastAsia"/>
              </w:rPr>
              <w:t>表3-2 环境空气非甲烷总烃</w:t>
            </w:r>
            <w:r>
              <w:rPr>
                <w:rFonts w:hint="eastAsia"/>
                <w:lang w:eastAsia="zh-CN"/>
              </w:rPr>
              <w:t>、</w:t>
            </w:r>
            <w:r>
              <w:rPr>
                <w:rFonts w:hint="eastAsia"/>
                <w:lang w:val="en-US" w:eastAsia="zh-CN"/>
              </w:rPr>
              <w:t>苯乙烯</w:t>
            </w:r>
            <w:r>
              <w:rPr>
                <w:rFonts w:hint="eastAsia"/>
              </w:rPr>
              <w:t>现状</w:t>
            </w:r>
            <w:r>
              <w:rPr>
                <w:rFonts w:hint="eastAsia"/>
                <w:lang w:val="en-US" w:eastAsia="zh-CN"/>
              </w:rPr>
              <w:t>监测</w:t>
            </w:r>
            <w:r>
              <w:rPr>
                <w:rFonts w:hint="eastAsia"/>
              </w:rPr>
              <w:t>结果统计表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742"/>
              <w:gridCol w:w="908"/>
              <w:gridCol w:w="895"/>
              <w:gridCol w:w="1640"/>
              <w:gridCol w:w="1382"/>
              <w:gridCol w:w="900"/>
              <w:gridCol w:w="1024"/>
            </w:tblGrid>
            <w:tr w14:paraId="135FB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5" w:type="pct"/>
                  <w:noWrap w:val="0"/>
                  <w:vAlign w:val="center"/>
                </w:tcPr>
                <w:p w14:paraId="42D33D9E">
                  <w:pPr>
                    <w:pStyle w:val="51"/>
                    <w:bidi w:val="0"/>
                    <w:rPr>
                      <w:rFonts w:hint="eastAsia"/>
                    </w:rPr>
                  </w:pPr>
                  <w:r>
                    <w:t>监测</w:t>
                  </w:r>
                </w:p>
                <w:p w14:paraId="1D7EB657">
                  <w:pPr>
                    <w:pStyle w:val="51"/>
                    <w:bidi w:val="0"/>
                  </w:pPr>
                  <w:r>
                    <w:t>因子</w:t>
                  </w:r>
                </w:p>
              </w:tc>
              <w:tc>
                <w:tcPr>
                  <w:tcW w:w="442" w:type="pct"/>
                  <w:noWrap w:val="0"/>
                  <w:vAlign w:val="center"/>
                </w:tcPr>
                <w:p w14:paraId="773C0EBD">
                  <w:pPr>
                    <w:pStyle w:val="51"/>
                    <w:bidi w:val="0"/>
                  </w:pPr>
                  <w:r>
                    <w:rPr>
                      <w:rFonts w:hint="eastAsia"/>
                    </w:rPr>
                    <w:t>监测点位</w:t>
                  </w:r>
                </w:p>
              </w:tc>
              <w:tc>
                <w:tcPr>
                  <w:tcW w:w="541" w:type="pct"/>
                  <w:noWrap w:val="0"/>
                  <w:vAlign w:val="center"/>
                </w:tcPr>
                <w:p w14:paraId="14EFF91F">
                  <w:pPr>
                    <w:pStyle w:val="51"/>
                    <w:bidi w:val="0"/>
                    <w:rPr>
                      <w:rFonts w:hint="eastAsia"/>
                    </w:rPr>
                  </w:pPr>
                  <w:r>
                    <w:rPr>
                      <w:rFonts w:hint="eastAsia"/>
                    </w:rPr>
                    <w:t>平均</w:t>
                  </w:r>
                </w:p>
                <w:p w14:paraId="1B0C9A7F">
                  <w:pPr>
                    <w:pStyle w:val="51"/>
                    <w:bidi w:val="0"/>
                  </w:pPr>
                  <w:r>
                    <w:rPr>
                      <w:rFonts w:hint="eastAsia"/>
                    </w:rPr>
                    <w:t>时间</w:t>
                  </w:r>
                </w:p>
              </w:tc>
              <w:tc>
                <w:tcPr>
                  <w:tcW w:w="533" w:type="pct"/>
                  <w:noWrap w:val="0"/>
                  <w:vAlign w:val="center"/>
                </w:tcPr>
                <w:p w14:paraId="1FB11A6D">
                  <w:pPr>
                    <w:pStyle w:val="51"/>
                    <w:bidi w:val="0"/>
                    <w:rPr>
                      <w:rFonts w:hint="eastAsia"/>
                    </w:rPr>
                  </w:pPr>
                  <w:r>
                    <w:rPr>
                      <w:rFonts w:hint="eastAsia"/>
                    </w:rPr>
                    <w:t>评价</w:t>
                  </w:r>
                </w:p>
                <w:p w14:paraId="51A084D5">
                  <w:pPr>
                    <w:pStyle w:val="51"/>
                    <w:bidi w:val="0"/>
                  </w:pPr>
                  <w:r>
                    <w:rPr>
                      <w:rFonts w:hint="eastAsia"/>
                    </w:rPr>
                    <w:t>标准</w:t>
                  </w:r>
                </w:p>
              </w:tc>
              <w:tc>
                <w:tcPr>
                  <w:tcW w:w="977" w:type="pct"/>
                  <w:noWrap w:val="0"/>
                  <w:vAlign w:val="center"/>
                </w:tcPr>
                <w:p w14:paraId="57ECF2EA">
                  <w:pPr>
                    <w:pStyle w:val="51"/>
                    <w:bidi w:val="0"/>
                  </w:pPr>
                  <w:r>
                    <w:rPr>
                      <w:rFonts w:hint="eastAsia"/>
                    </w:rPr>
                    <w:t>监测浓度范围</w:t>
                  </w:r>
                  <w:r>
                    <w:rPr>
                      <w:rFonts w:hint="eastAsia"/>
                      <w:lang w:val="en-US" w:eastAsia="zh-CN"/>
                    </w:rPr>
                    <w:t>m</w:t>
                  </w:r>
                  <w:r>
                    <w:rPr>
                      <w:rFonts w:hint="eastAsia"/>
                      <w:lang w:eastAsia="zh-CN"/>
                    </w:rPr>
                    <w:t>g</w:t>
                  </w:r>
                  <w:r>
                    <w:t>/m³</w:t>
                  </w:r>
                </w:p>
              </w:tc>
              <w:tc>
                <w:tcPr>
                  <w:tcW w:w="823" w:type="pct"/>
                  <w:noWrap w:val="0"/>
                  <w:vAlign w:val="center"/>
                </w:tcPr>
                <w:p w14:paraId="7AAD1364">
                  <w:pPr>
                    <w:pStyle w:val="51"/>
                    <w:bidi w:val="0"/>
                  </w:pPr>
                  <w:r>
                    <w:rPr>
                      <w:rFonts w:hint="eastAsia"/>
                    </w:rPr>
                    <w:t>最大浓度占标率%</w:t>
                  </w:r>
                </w:p>
              </w:tc>
              <w:tc>
                <w:tcPr>
                  <w:tcW w:w="536" w:type="pct"/>
                  <w:noWrap w:val="0"/>
                  <w:vAlign w:val="center"/>
                </w:tcPr>
                <w:p w14:paraId="04F7DD89">
                  <w:pPr>
                    <w:pStyle w:val="51"/>
                    <w:bidi w:val="0"/>
                  </w:pPr>
                  <w:r>
                    <w:rPr>
                      <w:rFonts w:hint="eastAsia"/>
                    </w:rPr>
                    <w:t>超标率</w:t>
                  </w:r>
                </w:p>
              </w:tc>
              <w:tc>
                <w:tcPr>
                  <w:tcW w:w="610" w:type="pct"/>
                  <w:noWrap w:val="0"/>
                  <w:vAlign w:val="center"/>
                </w:tcPr>
                <w:p w14:paraId="7AB648F5">
                  <w:pPr>
                    <w:pStyle w:val="51"/>
                    <w:bidi w:val="0"/>
                  </w:pPr>
                  <w:r>
                    <w:rPr>
                      <w:rFonts w:hint="eastAsia"/>
                    </w:rPr>
                    <w:t>达标情况</w:t>
                  </w:r>
                </w:p>
              </w:tc>
            </w:tr>
            <w:tr w14:paraId="1D68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5" w:type="pct"/>
                  <w:vMerge w:val="restart"/>
                  <w:noWrap w:val="0"/>
                  <w:vAlign w:val="center"/>
                </w:tcPr>
                <w:p w14:paraId="13466D47">
                  <w:pPr>
                    <w:pStyle w:val="51"/>
                    <w:bidi w:val="0"/>
                  </w:pPr>
                  <w:r>
                    <w:t>非甲烷总烃</w:t>
                  </w:r>
                </w:p>
              </w:tc>
              <w:tc>
                <w:tcPr>
                  <w:tcW w:w="442" w:type="pct"/>
                  <w:noWrap w:val="0"/>
                  <w:vAlign w:val="center"/>
                </w:tcPr>
                <w:p w14:paraId="355C7A59">
                  <w:pPr>
                    <w:pStyle w:val="51"/>
                    <w:bidi w:val="0"/>
                    <w:rPr>
                      <w:rFonts w:hint="default" w:eastAsia="宋体"/>
                      <w:lang w:val="en-US" w:eastAsia="zh-CN"/>
                    </w:rPr>
                  </w:pPr>
                  <w:r>
                    <w:rPr>
                      <w:rFonts w:hint="eastAsia"/>
                      <w:lang w:val="en-US" w:eastAsia="zh-CN"/>
                    </w:rPr>
                    <w:t>1#</w:t>
                  </w:r>
                </w:p>
              </w:tc>
              <w:tc>
                <w:tcPr>
                  <w:tcW w:w="541" w:type="pct"/>
                  <w:vMerge w:val="restart"/>
                  <w:noWrap w:val="0"/>
                  <w:vAlign w:val="center"/>
                </w:tcPr>
                <w:p w14:paraId="3C6852C9">
                  <w:pPr>
                    <w:pStyle w:val="51"/>
                    <w:bidi w:val="0"/>
                    <w:rPr>
                      <w:rFonts w:hint="eastAsia"/>
                    </w:rPr>
                  </w:pPr>
                  <w:r>
                    <w:rPr>
                      <w:rFonts w:hint="eastAsia"/>
                    </w:rPr>
                    <w:t>小时</w:t>
                  </w:r>
                </w:p>
                <w:p w14:paraId="699985E2">
                  <w:pPr>
                    <w:pStyle w:val="51"/>
                    <w:bidi w:val="0"/>
                  </w:pPr>
                  <w:r>
                    <w:rPr>
                      <w:rFonts w:hint="eastAsia"/>
                    </w:rPr>
                    <w:t>平均</w:t>
                  </w:r>
                </w:p>
              </w:tc>
              <w:tc>
                <w:tcPr>
                  <w:tcW w:w="533" w:type="pct"/>
                  <w:vMerge w:val="restart"/>
                  <w:noWrap w:val="0"/>
                  <w:vAlign w:val="center"/>
                </w:tcPr>
                <w:p w14:paraId="62E26A39">
                  <w:pPr>
                    <w:pStyle w:val="51"/>
                    <w:bidi w:val="0"/>
                    <w:rPr>
                      <w:rFonts w:hint="default"/>
                      <w:lang w:val="en-US"/>
                    </w:rPr>
                  </w:pPr>
                  <w:r>
                    <w:rPr>
                      <w:rFonts w:hint="eastAsia"/>
                      <w:lang w:val="en-US" w:eastAsia="zh-CN"/>
                    </w:rPr>
                    <w:t>1.2m</w:t>
                  </w:r>
                  <w:r>
                    <w:rPr>
                      <w:rFonts w:hint="eastAsia"/>
                      <w:lang w:eastAsia="zh-CN"/>
                    </w:rPr>
                    <w:t>g</w:t>
                  </w:r>
                  <w:r>
                    <w:t>/m³</w:t>
                  </w:r>
                </w:p>
              </w:tc>
              <w:tc>
                <w:tcPr>
                  <w:tcW w:w="977" w:type="pct"/>
                  <w:noWrap w:val="0"/>
                  <w:vAlign w:val="center"/>
                </w:tcPr>
                <w:p w14:paraId="45DC6DE0">
                  <w:pPr>
                    <w:pStyle w:val="51"/>
                    <w:bidi w:val="0"/>
                    <w:rPr>
                      <w:rFonts w:hint="default" w:eastAsia="宋体"/>
                      <w:lang w:val="en-US" w:eastAsia="zh-CN"/>
                    </w:rPr>
                  </w:pPr>
                  <w:r>
                    <w:rPr>
                      <w:rFonts w:hint="eastAsia"/>
                      <w:lang w:val="en-US" w:eastAsia="zh-CN"/>
                    </w:rPr>
                    <w:t>0.98-1.16</w:t>
                  </w:r>
                </w:p>
              </w:tc>
              <w:tc>
                <w:tcPr>
                  <w:tcW w:w="823" w:type="pct"/>
                  <w:noWrap w:val="0"/>
                  <w:vAlign w:val="center"/>
                </w:tcPr>
                <w:p w14:paraId="526D78DB">
                  <w:pPr>
                    <w:pStyle w:val="51"/>
                    <w:bidi w:val="0"/>
                    <w:rPr>
                      <w:rFonts w:hint="default" w:eastAsia="宋体"/>
                      <w:lang w:val="en-US" w:eastAsia="zh-CN"/>
                    </w:rPr>
                  </w:pPr>
                  <w:r>
                    <w:rPr>
                      <w:rFonts w:hint="eastAsia"/>
                      <w:lang w:val="en-US" w:eastAsia="zh-CN"/>
                    </w:rPr>
                    <w:t>97</w:t>
                  </w:r>
                </w:p>
              </w:tc>
              <w:tc>
                <w:tcPr>
                  <w:tcW w:w="536" w:type="pct"/>
                  <w:noWrap w:val="0"/>
                  <w:vAlign w:val="center"/>
                </w:tcPr>
                <w:p w14:paraId="1CDCEC10">
                  <w:pPr>
                    <w:pStyle w:val="51"/>
                    <w:bidi w:val="0"/>
                    <w:rPr>
                      <w:rFonts w:hint="eastAsia"/>
                    </w:rPr>
                  </w:pPr>
                  <w:r>
                    <w:rPr>
                      <w:rFonts w:hint="eastAsia"/>
                    </w:rPr>
                    <w:t>0</w:t>
                  </w:r>
                </w:p>
              </w:tc>
              <w:tc>
                <w:tcPr>
                  <w:tcW w:w="610" w:type="pct"/>
                  <w:noWrap w:val="0"/>
                  <w:vAlign w:val="center"/>
                </w:tcPr>
                <w:p w14:paraId="26E9E148">
                  <w:pPr>
                    <w:pStyle w:val="51"/>
                    <w:bidi w:val="0"/>
                    <w:rPr>
                      <w:rFonts w:hint="eastAsia"/>
                    </w:rPr>
                  </w:pPr>
                  <w:r>
                    <w:rPr>
                      <w:rFonts w:hint="eastAsia"/>
                    </w:rPr>
                    <w:t>达标</w:t>
                  </w:r>
                </w:p>
              </w:tc>
            </w:tr>
            <w:tr w14:paraId="1E2D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5" w:type="pct"/>
                  <w:vMerge w:val="continue"/>
                  <w:noWrap w:val="0"/>
                  <w:vAlign w:val="center"/>
                </w:tcPr>
                <w:p w14:paraId="188248C3">
                  <w:pPr>
                    <w:pStyle w:val="51"/>
                    <w:bidi w:val="0"/>
                  </w:pPr>
                </w:p>
              </w:tc>
              <w:tc>
                <w:tcPr>
                  <w:tcW w:w="442" w:type="pct"/>
                  <w:noWrap w:val="0"/>
                  <w:vAlign w:val="center"/>
                </w:tcPr>
                <w:p w14:paraId="0D66208E">
                  <w:pPr>
                    <w:pStyle w:val="51"/>
                    <w:bidi w:val="0"/>
                    <w:rPr>
                      <w:rFonts w:hint="eastAsia"/>
                    </w:rPr>
                  </w:pPr>
                  <w:r>
                    <w:rPr>
                      <w:rFonts w:hint="eastAsia"/>
                      <w:lang w:val="en-US" w:eastAsia="zh-CN"/>
                    </w:rPr>
                    <w:t>2#</w:t>
                  </w:r>
                </w:p>
              </w:tc>
              <w:tc>
                <w:tcPr>
                  <w:tcW w:w="541" w:type="pct"/>
                  <w:vMerge w:val="continue"/>
                  <w:noWrap w:val="0"/>
                  <w:vAlign w:val="center"/>
                </w:tcPr>
                <w:p w14:paraId="1B17B92E">
                  <w:pPr>
                    <w:pStyle w:val="51"/>
                    <w:bidi w:val="0"/>
                    <w:rPr>
                      <w:rFonts w:hint="eastAsia"/>
                    </w:rPr>
                  </w:pPr>
                </w:p>
              </w:tc>
              <w:tc>
                <w:tcPr>
                  <w:tcW w:w="533" w:type="pct"/>
                  <w:vMerge w:val="continue"/>
                  <w:noWrap w:val="0"/>
                  <w:vAlign w:val="center"/>
                </w:tcPr>
                <w:p w14:paraId="6BD72FD0">
                  <w:pPr>
                    <w:pStyle w:val="51"/>
                    <w:bidi w:val="0"/>
                    <w:rPr>
                      <w:rFonts w:hint="eastAsia"/>
                    </w:rPr>
                  </w:pPr>
                </w:p>
              </w:tc>
              <w:tc>
                <w:tcPr>
                  <w:tcW w:w="977" w:type="pct"/>
                  <w:noWrap w:val="0"/>
                  <w:vAlign w:val="center"/>
                </w:tcPr>
                <w:p w14:paraId="5B650F01">
                  <w:pPr>
                    <w:pStyle w:val="51"/>
                    <w:bidi w:val="0"/>
                    <w:rPr>
                      <w:rFonts w:hint="default" w:eastAsia="宋体"/>
                      <w:lang w:val="en-US" w:eastAsia="zh-CN"/>
                    </w:rPr>
                  </w:pPr>
                  <w:r>
                    <w:rPr>
                      <w:rFonts w:hint="eastAsia"/>
                      <w:lang w:val="en-US" w:eastAsia="zh-CN"/>
                    </w:rPr>
                    <w:t>1.00-1.15</w:t>
                  </w:r>
                </w:p>
              </w:tc>
              <w:tc>
                <w:tcPr>
                  <w:tcW w:w="823" w:type="pct"/>
                  <w:noWrap w:val="0"/>
                  <w:vAlign w:val="center"/>
                </w:tcPr>
                <w:p w14:paraId="759A1C58">
                  <w:pPr>
                    <w:pStyle w:val="51"/>
                    <w:bidi w:val="0"/>
                    <w:rPr>
                      <w:rFonts w:hint="default" w:eastAsia="宋体"/>
                      <w:lang w:val="en-US" w:eastAsia="zh-CN"/>
                    </w:rPr>
                  </w:pPr>
                  <w:r>
                    <w:rPr>
                      <w:rFonts w:hint="eastAsia"/>
                      <w:lang w:val="en-US" w:eastAsia="zh-CN"/>
                    </w:rPr>
                    <w:t>96</w:t>
                  </w:r>
                </w:p>
              </w:tc>
              <w:tc>
                <w:tcPr>
                  <w:tcW w:w="536" w:type="pct"/>
                  <w:noWrap w:val="0"/>
                  <w:vAlign w:val="center"/>
                </w:tcPr>
                <w:p w14:paraId="11BB6892">
                  <w:pPr>
                    <w:pStyle w:val="51"/>
                    <w:bidi w:val="0"/>
                    <w:ind w:left="24" w:leftChars="10" w:right="24" w:rightChars="10" w:firstLine="0" w:firstLineChars="0"/>
                    <w:rPr>
                      <w:rFonts w:hint="eastAsia"/>
                    </w:rPr>
                  </w:pPr>
                  <w:r>
                    <w:rPr>
                      <w:rFonts w:hint="eastAsia"/>
                    </w:rPr>
                    <w:t>0</w:t>
                  </w:r>
                </w:p>
              </w:tc>
              <w:tc>
                <w:tcPr>
                  <w:tcW w:w="610" w:type="pct"/>
                  <w:noWrap w:val="0"/>
                  <w:vAlign w:val="center"/>
                </w:tcPr>
                <w:p w14:paraId="407ED3B5">
                  <w:pPr>
                    <w:pStyle w:val="51"/>
                    <w:bidi w:val="0"/>
                    <w:ind w:left="24" w:leftChars="10" w:right="24" w:rightChars="10" w:firstLine="0" w:firstLineChars="0"/>
                    <w:rPr>
                      <w:rFonts w:hint="eastAsia"/>
                    </w:rPr>
                  </w:pPr>
                  <w:r>
                    <w:rPr>
                      <w:rFonts w:hint="eastAsia"/>
                    </w:rPr>
                    <w:t>达标</w:t>
                  </w:r>
                </w:p>
              </w:tc>
            </w:tr>
            <w:tr w14:paraId="5C37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5" w:type="pct"/>
                  <w:vMerge w:val="continue"/>
                  <w:noWrap w:val="0"/>
                  <w:vAlign w:val="center"/>
                </w:tcPr>
                <w:p w14:paraId="44BB140A">
                  <w:pPr>
                    <w:pStyle w:val="51"/>
                    <w:bidi w:val="0"/>
                  </w:pPr>
                </w:p>
              </w:tc>
              <w:tc>
                <w:tcPr>
                  <w:tcW w:w="442" w:type="pct"/>
                  <w:noWrap w:val="0"/>
                  <w:vAlign w:val="center"/>
                </w:tcPr>
                <w:p w14:paraId="5E03E52E">
                  <w:pPr>
                    <w:pStyle w:val="51"/>
                    <w:bidi w:val="0"/>
                    <w:rPr>
                      <w:rFonts w:hint="eastAsia"/>
                    </w:rPr>
                  </w:pPr>
                  <w:r>
                    <w:rPr>
                      <w:rFonts w:hint="eastAsia"/>
                      <w:lang w:val="en-US" w:eastAsia="zh-CN"/>
                    </w:rPr>
                    <w:t>3#</w:t>
                  </w:r>
                </w:p>
              </w:tc>
              <w:tc>
                <w:tcPr>
                  <w:tcW w:w="541" w:type="pct"/>
                  <w:vMerge w:val="continue"/>
                  <w:noWrap w:val="0"/>
                  <w:vAlign w:val="center"/>
                </w:tcPr>
                <w:p w14:paraId="1FED81A8">
                  <w:pPr>
                    <w:pStyle w:val="51"/>
                    <w:bidi w:val="0"/>
                    <w:rPr>
                      <w:rFonts w:hint="eastAsia"/>
                    </w:rPr>
                  </w:pPr>
                </w:p>
              </w:tc>
              <w:tc>
                <w:tcPr>
                  <w:tcW w:w="533" w:type="pct"/>
                  <w:vMerge w:val="continue"/>
                  <w:noWrap w:val="0"/>
                  <w:vAlign w:val="center"/>
                </w:tcPr>
                <w:p w14:paraId="27DED033">
                  <w:pPr>
                    <w:pStyle w:val="51"/>
                    <w:bidi w:val="0"/>
                    <w:rPr>
                      <w:rFonts w:hint="eastAsia"/>
                    </w:rPr>
                  </w:pPr>
                </w:p>
              </w:tc>
              <w:tc>
                <w:tcPr>
                  <w:tcW w:w="977" w:type="pct"/>
                  <w:noWrap w:val="0"/>
                  <w:vAlign w:val="center"/>
                </w:tcPr>
                <w:p w14:paraId="150076EA">
                  <w:pPr>
                    <w:pStyle w:val="51"/>
                    <w:bidi w:val="0"/>
                    <w:rPr>
                      <w:rFonts w:hint="default" w:eastAsia="宋体"/>
                      <w:lang w:val="en-US" w:eastAsia="zh-CN"/>
                    </w:rPr>
                  </w:pPr>
                  <w:r>
                    <w:rPr>
                      <w:rFonts w:hint="eastAsia"/>
                      <w:lang w:val="en-US" w:eastAsia="zh-CN"/>
                    </w:rPr>
                    <w:t>0.99-1.06</w:t>
                  </w:r>
                </w:p>
              </w:tc>
              <w:tc>
                <w:tcPr>
                  <w:tcW w:w="823" w:type="pct"/>
                  <w:noWrap w:val="0"/>
                  <w:vAlign w:val="center"/>
                </w:tcPr>
                <w:p w14:paraId="2DC8E15A">
                  <w:pPr>
                    <w:pStyle w:val="51"/>
                    <w:bidi w:val="0"/>
                    <w:rPr>
                      <w:rFonts w:hint="default" w:eastAsia="宋体"/>
                      <w:lang w:val="en-US" w:eastAsia="zh-CN"/>
                    </w:rPr>
                  </w:pPr>
                  <w:r>
                    <w:rPr>
                      <w:rFonts w:hint="eastAsia"/>
                      <w:lang w:val="en-US" w:eastAsia="zh-CN"/>
                    </w:rPr>
                    <w:t>88</w:t>
                  </w:r>
                </w:p>
              </w:tc>
              <w:tc>
                <w:tcPr>
                  <w:tcW w:w="536" w:type="pct"/>
                  <w:noWrap w:val="0"/>
                  <w:vAlign w:val="center"/>
                </w:tcPr>
                <w:p w14:paraId="1E62D74A">
                  <w:pPr>
                    <w:pStyle w:val="51"/>
                    <w:bidi w:val="0"/>
                    <w:ind w:left="24" w:leftChars="10" w:right="24" w:rightChars="10" w:firstLine="0" w:firstLineChars="0"/>
                    <w:rPr>
                      <w:rFonts w:hint="eastAsia"/>
                    </w:rPr>
                  </w:pPr>
                  <w:r>
                    <w:rPr>
                      <w:rFonts w:hint="eastAsia"/>
                    </w:rPr>
                    <w:t>0</w:t>
                  </w:r>
                </w:p>
              </w:tc>
              <w:tc>
                <w:tcPr>
                  <w:tcW w:w="610" w:type="pct"/>
                  <w:noWrap w:val="0"/>
                  <w:vAlign w:val="center"/>
                </w:tcPr>
                <w:p w14:paraId="3858A7C3">
                  <w:pPr>
                    <w:pStyle w:val="51"/>
                    <w:bidi w:val="0"/>
                    <w:ind w:left="24" w:leftChars="10" w:right="24" w:rightChars="10" w:firstLine="0" w:firstLineChars="0"/>
                    <w:rPr>
                      <w:rFonts w:hint="eastAsia"/>
                    </w:rPr>
                  </w:pPr>
                  <w:r>
                    <w:rPr>
                      <w:rFonts w:hint="eastAsia"/>
                    </w:rPr>
                    <w:t>达标</w:t>
                  </w:r>
                </w:p>
              </w:tc>
            </w:tr>
            <w:tr w14:paraId="7190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5" w:type="pct"/>
                  <w:vMerge w:val="restart"/>
                  <w:noWrap w:val="0"/>
                  <w:vAlign w:val="center"/>
                </w:tcPr>
                <w:p w14:paraId="171340E5">
                  <w:pPr>
                    <w:pStyle w:val="51"/>
                    <w:bidi w:val="0"/>
                    <w:rPr>
                      <w:rFonts w:hint="eastAsia" w:eastAsia="宋体"/>
                      <w:lang w:val="en-US" w:eastAsia="zh-CN"/>
                    </w:rPr>
                  </w:pPr>
                  <w:r>
                    <w:rPr>
                      <w:rFonts w:hint="eastAsia"/>
                      <w:lang w:val="en-US" w:eastAsia="zh-CN"/>
                    </w:rPr>
                    <w:t>苯乙烯</w:t>
                  </w:r>
                </w:p>
              </w:tc>
              <w:tc>
                <w:tcPr>
                  <w:tcW w:w="442" w:type="pct"/>
                  <w:shd w:val="clear" w:color="auto" w:fill="auto"/>
                  <w:noWrap w:val="0"/>
                  <w:vAlign w:val="center"/>
                </w:tcPr>
                <w:p w14:paraId="282D6C12">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1#</w:t>
                  </w:r>
                </w:p>
              </w:tc>
              <w:tc>
                <w:tcPr>
                  <w:tcW w:w="541" w:type="pct"/>
                  <w:vMerge w:val="restart"/>
                  <w:noWrap w:val="0"/>
                  <w:vAlign w:val="center"/>
                </w:tcPr>
                <w:p w14:paraId="5908BE2F">
                  <w:pPr>
                    <w:pStyle w:val="51"/>
                    <w:bidi w:val="0"/>
                    <w:rPr>
                      <w:rFonts w:hint="eastAsia"/>
                    </w:rPr>
                  </w:pPr>
                  <w:r>
                    <w:rPr>
                      <w:rFonts w:hint="eastAsia"/>
                    </w:rPr>
                    <w:t>小时</w:t>
                  </w:r>
                </w:p>
                <w:p w14:paraId="4B9E2B16">
                  <w:pPr>
                    <w:pStyle w:val="51"/>
                    <w:bidi w:val="0"/>
                    <w:rPr>
                      <w:rFonts w:hint="eastAsia"/>
                    </w:rPr>
                  </w:pPr>
                  <w:r>
                    <w:rPr>
                      <w:rFonts w:hint="eastAsia"/>
                    </w:rPr>
                    <w:t>平均</w:t>
                  </w:r>
                </w:p>
              </w:tc>
              <w:tc>
                <w:tcPr>
                  <w:tcW w:w="533" w:type="pct"/>
                  <w:vMerge w:val="restart"/>
                  <w:noWrap w:val="0"/>
                  <w:vAlign w:val="center"/>
                </w:tcPr>
                <w:p w14:paraId="26090418">
                  <w:pPr>
                    <w:pStyle w:val="51"/>
                    <w:bidi w:val="0"/>
                    <w:rPr>
                      <w:rFonts w:hint="default" w:eastAsia="宋体"/>
                      <w:lang w:val="en-US" w:eastAsia="zh-CN"/>
                    </w:rPr>
                  </w:pPr>
                  <w:r>
                    <w:rPr>
                      <w:rFonts w:hint="eastAsia"/>
                      <w:lang w:val="en-US" w:eastAsia="zh-CN"/>
                    </w:rPr>
                    <w:t>0.01m</w:t>
                  </w:r>
                  <w:r>
                    <w:rPr>
                      <w:rFonts w:hint="eastAsia"/>
                      <w:lang w:eastAsia="zh-CN"/>
                    </w:rPr>
                    <w:t>g</w:t>
                  </w:r>
                  <w:r>
                    <w:t>/m³</w:t>
                  </w:r>
                </w:p>
              </w:tc>
              <w:tc>
                <w:tcPr>
                  <w:tcW w:w="977" w:type="pct"/>
                  <w:noWrap w:val="0"/>
                  <w:vAlign w:val="center"/>
                </w:tcPr>
                <w:p w14:paraId="702D67D3">
                  <w:pPr>
                    <w:pStyle w:val="51"/>
                    <w:bidi w:val="0"/>
                    <w:rPr>
                      <w:rFonts w:hint="default" w:eastAsia="宋体"/>
                      <w:lang w:val="en-US" w:eastAsia="zh-CN"/>
                    </w:rPr>
                  </w:pPr>
                  <w:r>
                    <w:rPr>
                      <w:rFonts w:hint="eastAsia"/>
                      <w:lang w:val="en-US" w:eastAsia="zh-CN"/>
                    </w:rPr>
                    <w:t>ND</w:t>
                  </w:r>
                </w:p>
              </w:tc>
              <w:tc>
                <w:tcPr>
                  <w:tcW w:w="823" w:type="pct"/>
                  <w:noWrap w:val="0"/>
                  <w:vAlign w:val="center"/>
                </w:tcPr>
                <w:p w14:paraId="6F0216A9">
                  <w:pPr>
                    <w:pStyle w:val="51"/>
                    <w:bidi w:val="0"/>
                    <w:rPr>
                      <w:rFonts w:hint="eastAsia" w:eastAsia="宋体"/>
                      <w:lang w:val="en-US" w:eastAsia="zh-CN"/>
                    </w:rPr>
                  </w:pPr>
                  <w:r>
                    <w:rPr>
                      <w:rFonts w:hint="eastAsia"/>
                      <w:lang w:val="en-US" w:eastAsia="zh-CN"/>
                    </w:rPr>
                    <w:t>/</w:t>
                  </w:r>
                </w:p>
              </w:tc>
              <w:tc>
                <w:tcPr>
                  <w:tcW w:w="536" w:type="pct"/>
                  <w:noWrap w:val="0"/>
                  <w:vAlign w:val="center"/>
                </w:tcPr>
                <w:p w14:paraId="1BCF3939">
                  <w:pPr>
                    <w:pStyle w:val="51"/>
                    <w:bidi w:val="0"/>
                    <w:ind w:left="24" w:leftChars="10" w:right="24" w:rightChars="10" w:firstLine="0" w:firstLineChars="0"/>
                    <w:rPr>
                      <w:rFonts w:hint="eastAsia"/>
                    </w:rPr>
                  </w:pPr>
                  <w:r>
                    <w:rPr>
                      <w:rFonts w:hint="eastAsia"/>
                    </w:rPr>
                    <w:t>0</w:t>
                  </w:r>
                </w:p>
              </w:tc>
              <w:tc>
                <w:tcPr>
                  <w:tcW w:w="610" w:type="pct"/>
                  <w:noWrap w:val="0"/>
                  <w:vAlign w:val="center"/>
                </w:tcPr>
                <w:p w14:paraId="7A1240C3">
                  <w:pPr>
                    <w:pStyle w:val="51"/>
                    <w:bidi w:val="0"/>
                    <w:ind w:left="24" w:leftChars="10" w:right="24" w:rightChars="10" w:firstLine="0" w:firstLineChars="0"/>
                    <w:rPr>
                      <w:rFonts w:hint="eastAsia"/>
                    </w:rPr>
                  </w:pPr>
                  <w:r>
                    <w:rPr>
                      <w:rFonts w:hint="eastAsia"/>
                    </w:rPr>
                    <w:t>达标</w:t>
                  </w:r>
                </w:p>
              </w:tc>
            </w:tr>
            <w:tr w14:paraId="4857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5" w:type="pct"/>
                  <w:vMerge w:val="continue"/>
                  <w:noWrap w:val="0"/>
                  <w:vAlign w:val="center"/>
                </w:tcPr>
                <w:p w14:paraId="2A208015">
                  <w:pPr>
                    <w:pStyle w:val="51"/>
                    <w:bidi w:val="0"/>
                  </w:pPr>
                </w:p>
              </w:tc>
              <w:tc>
                <w:tcPr>
                  <w:tcW w:w="442" w:type="pct"/>
                  <w:shd w:val="clear" w:color="auto" w:fill="auto"/>
                  <w:noWrap w:val="0"/>
                  <w:vAlign w:val="center"/>
                </w:tcPr>
                <w:p w14:paraId="2D50D01B">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2#</w:t>
                  </w:r>
                </w:p>
              </w:tc>
              <w:tc>
                <w:tcPr>
                  <w:tcW w:w="541" w:type="pct"/>
                  <w:vMerge w:val="continue"/>
                  <w:noWrap w:val="0"/>
                  <w:vAlign w:val="center"/>
                </w:tcPr>
                <w:p w14:paraId="17EC00AB">
                  <w:pPr>
                    <w:pStyle w:val="51"/>
                    <w:bidi w:val="0"/>
                    <w:rPr>
                      <w:rFonts w:hint="eastAsia"/>
                    </w:rPr>
                  </w:pPr>
                </w:p>
              </w:tc>
              <w:tc>
                <w:tcPr>
                  <w:tcW w:w="533" w:type="pct"/>
                  <w:vMerge w:val="continue"/>
                  <w:noWrap w:val="0"/>
                  <w:vAlign w:val="center"/>
                </w:tcPr>
                <w:p w14:paraId="430B136E">
                  <w:pPr>
                    <w:pStyle w:val="51"/>
                    <w:bidi w:val="0"/>
                    <w:rPr>
                      <w:rFonts w:hint="eastAsia"/>
                    </w:rPr>
                  </w:pPr>
                </w:p>
              </w:tc>
              <w:tc>
                <w:tcPr>
                  <w:tcW w:w="977" w:type="pct"/>
                  <w:noWrap w:val="0"/>
                  <w:vAlign w:val="center"/>
                </w:tcPr>
                <w:p w14:paraId="14915B88">
                  <w:pPr>
                    <w:pStyle w:val="51"/>
                    <w:bidi w:val="0"/>
                    <w:rPr>
                      <w:rFonts w:hint="eastAsia"/>
                    </w:rPr>
                  </w:pPr>
                  <w:r>
                    <w:rPr>
                      <w:rFonts w:hint="eastAsia"/>
                      <w:lang w:val="en-US" w:eastAsia="zh-CN"/>
                    </w:rPr>
                    <w:t>ND</w:t>
                  </w:r>
                </w:p>
              </w:tc>
              <w:tc>
                <w:tcPr>
                  <w:tcW w:w="823" w:type="pct"/>
                  <w:noWrap w:val="0"/>
                  <w:vAlign w:val="center"/>
                </w:tcPr>
                <w:p w14:paraId="1C46605D">
                  <w:pPr>
                    <w:pStyle w:val="51"/>
                    <w:bidi w:val="0"/>
                    <w:rPr>
                      <w:rFonts w:hint="eastAsia" w:eastAsia="宋体"/>
                      <w:lang w:val="en-US" w:eastAsia="zh-CN"/>
                    </w:rPr>
                  </w:pPr>
                  <w:r>
                    <w:rPr>
                      <w:rFonts w:hint="eastAsia"/>
                      <w:lang w:val="en-US" w:eastAsia="zh-CN"/>
                    </w:rPr>
                    <w:t>/</w:t>
                  </w:r>
                </w:p>
              </w:tc>
              <w:tc>
                <w:tcPr>
                  <w:tcW w:w="536" w:type="pct"/>
                  <w:noWrap w:val="0"/>
                  <w:vAlign w:val="center"/>
                </w:tcPr>
                <w:p w14:paraId="08AAAF3A">
                  <w:pPr>
                    <w:pStyle w:val="51"/>
                    <w:bidi w:val="0"/>
                    <w:ind w:left="24" w:leftChars="10" w:right="24" w:rightChars="10" w:firstLine="0" w:firstLineChars="0"/>
                    <w:rPr>
                      <w:rFonts w:hint="eastAsia"/>
                    </w:rPr>
                  </w:pPr>
                  <w:r>
                    <w:rPr>
                      <w:rFonts w:hint="eastAsia"/>
                    </w:rPr>
                    <w:t>0</w:t>
                  </w:r>
                </w:p>
              </w:tc>
              <w:tc>
                <w:tcPr>
                  <w:tcW w:w="610" w:type="pct"/>
                  <w:noWrap w:val="0"/>
                  <w:vAlign w:val="center"/>
                </w:tcPr>
                <w:p w14:paraId="6BCEC343">
                  <w:pPr>
                    <w:pStyle w:val="51"/>
                    <w:bidi w:val="0"/>
                    <w:ind w:left="24" w:leftChars="10" w:right="24" w:rightChars="10" w:firstLine="0" w:firstLineChars="0"/>
                    <w:rPr>
                      <w:rFonts w:hint="eastAsia"/>
                    </w:rPr>
                  </w:pPr>
                  <w:r>
                    <w:rPr>
                      <w:rFonts w:hint="eastAsia"/>
                    </w:rPr>
                    <w:t>达标</w:t>
                  </w:r>
                </w:p>
              </w:tc>
            </w:tr>
            <w:tr w14:paraId="1A92B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5" w:type="pct"/>
                  <w:vMerge w:val="continue"/>
                  <w:noWrap w:val="0"/>
                  <w:vAlign w:val="center"/>
                </w:tcPr>
                <w:p w14:paraId="153F25E1">
                  <w:pPr>
                    <w:pStyle w:val="51"/>
                    <w:bidi w:val="0"/>
                  </w:pPr>
                </w:p>
              </w:tc>
              <w:tc>
                <w:tcPr>
                  <w:tcW w:w="442" w:type="pct"/>
                  <w:shd w:val="clear" w:color="auto" w:fill="auto"/>
                  <w:noWrap w:val="0"/>
                  <w:vAlign w:val="center"/>
                </w:tcPr>
                <w:p w14:paraId="0F1CC023">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3#</w:t>
                  </w:r>
                </w:p>
              </w:tc>
              <w:tc>
                <w:tcPr>
                  <w:tcW w:w="541" w:type="pct"/>
                  <w:vMerge w:val="continue"/>
                  <w:noWrap w:val="0"/>
                  <w:vAlign w:val="center"/>
                </w:tcPr>
                <w:p w14:paraId="5ADC7C0D">
                  <w:pPr>
                    <w:pStyle w:val="51"/>
                    <w:bidi w:val="0"/>
                    <w:rPr>
                      <w:rFonts w:hint="eastAsia"/>
                    </w:rPr>
                  </w:pPr>
                </w:p>
              </w:tc>
              <w:tc>
                <w:tcPr>
                  <w:tcW w:w="533" w:type="pct"/>
                  <w:vMerge w:val="continue"/>
                  <w:noWrap w:val="0"/>
                  <w:vAlign w:val="center"/>
                </w:tcPr>
                <w:p w14:paraId="36788933">
                  <w:pPr>
                    <w:pStyle w:val="51"/>
                    <w:bidi w:val="0"/>
                    <w:rPr>
                      <w:rFonts w:hint="eastAsia"/>
                    </w:rPr>
                  </w:pPr>
                </w:p>
              </w:tc>
              <w:tc>
                <w:tcPr>
                  <w:tcW w:w="977" w:type="pct"/>
                  <w:noWrap w:val="0"/>
                  <w:vAlign w:val="center"/>
                </w:tcPr>
                <w:p w14:paraId="74EF4632">
                  <w:pPr>
                    <w:pStyle w:val="51"/>
                    <w:bidi w:val="0"/>
                    <w:rPr>
                      <w:rFonts w:hint="default"/>
                      <w:lang w:val="en-US"/>
                    </w:rPr>
                  </w:pPr>
                  <w:r>
                    <w:rPr>
                      <w:rFonts w:hint="eastAsia"/>
                      <w:lang w:val="en-US" w:eastAsia="zh-CN"/>
                    </w:rPr>
                    <w:t>0.0063</w:t>
                  </w:r>
                </w:p>
              </w:tc>
              <w:tc>
                <w:tcPr>
                  <w:tcW w:w="823" w:type="pct"/>
                  <w:noWrap w:val="0"/>
                  <w:vAlign w:val="center"/>
                </w:tcPr>
                <w:p w14:paraId="25388D8E">
                  <w:pPr>
                    <w:pStyle w:val="51"/>
                    <w:bidi w:val="0"/>
                    <w:rPr>
                      <w:rFonts w:hint="default" w:eastAsia="宋体"/>
                      <w:lang w:val="en-US" w:eastAsia="zh-CN"/>
                    </w:rPr>
                  </w:pPr>
                  <w:r>
                    <w:rPr>
                      <w:rFonts w:hint="eastAsia"/>
                      <w:lang w:val="en-US" w:eastAsia="zh-CN"/>
                    </w:rPr>
                    <w:t>63</w:t>
                  </w:r>
                </w:p>
              </w:tc>
              <w:tc>
                <w:tcPr>
                  <w:tcW w:w="536" w:type="pct"/>
                  <w:noWrap w:val="0"/>
                  <w:vAlign w:val="center"/>
                </w:tcPr>
                <w:p w14:paraId="2721CCB5">
                  <w:pPr>
                    <w:pStyle w:val="51"/>
                    <w:bidi w:val="0"/>
                    <w:ind w:left="24" w:leftChars="10" w:right="24" w:rightChars="10" w:firstLine="0" w:firstLineChars="0"/>
                    <w:rPr>
                      <w:rFonts w:hint="eastAsia"/>
                    </w:rPr>
                  </w:pPr>
                  <w:r>
                    <w:rPr>
                      <w:rFonts w:hint="eastAsia"/>
                    </w:rPr>
                    <w:t>0</w:t>
                  </w:r>
                </w:p>
              </w:tc>
              <w:tc>
                <w:tcPr>
                  <w:tcW w:w="610" w:type="pct"/>
                  <w:noWrap w:val="0"/>
                  <w:vAlign w:val="center"/>
                </w:tcPr>
                <w:p w14:paraId="7A9D1F5A">
                  <w:pPr>
                    <w:pStyle w:val="51"/>
                    <w:bidi w:val="0"/>
                    <w:ind w:left="24" w:leftChars="10" w:right="24" w:rightChars="10" w:firstLine="0" w:firstLineChars="0"/>
                    <w:rPr>
                      <w:rFonts w:hint="eastAsia"/>
                    </w:rPr>
                  </w:pPr>
                  <w:r>
                    <w:rPr>
                      <w:rFonts w:hint="eastAsia"/>
                    </w:rPr>
                    <w:t>达标</w:t>
                  </w:r>
                </w:p>
              </w:tc>
            </w:tr>
          </w:tbl>
          <w:p w14:paraId="47AC2405">
            <w:pPr>
              <w:bidi w:val="0"/>
              <w:rPr>
                <w:color w:val="auto"/>
              </w:rPr>
            </w:pPr>
            <w:r>
              <w:rPr>
                <w:rFonts w:hint="eastAsia"/>
                <w:color w:val="auto"/>
              </w:rPr>
              <w:t>根据补充监测数据可知，项目所在区域非甲烷总烃</w:t>
            </w:r>
            <w:r>
              <w:rPr>
                <w:rFonts w:hint="eastAsia"/>
                <w:color w:val="auto"/>
                <w:lang w:eastAsia="zh-CN"/>
              </w:rPr>
              <w:t>、</w:t>
            </w:r>
            <w:r>
              <w:rPr>
                <w:rFonts w:hint="eastAsia"/>
                <w:color w:val="auto"/>
                <w:lang w:val="en-US" w:eastAsia="zh-CN"/>
              </w:rPr>
              <w:t>苯乙烯</w:t>
            </w:r>
            <w:r>
              <w:rPr>
                <w:rFonts w:hint="eastAsia"/>
                <w:color w:val="auto"/>
              </w:rPr>
              <w:t>满足</w:t>
            </w:r>
            <w:r>
              <w:rPr>
                <w:rFonts w:hint="eastAsia" w:ascii="Times New Roman" w:hAnsi="Times New Roman" w:eastAsia="宋体" w:cs="Times New Roman"/>
                <w:b w:val="0"/>
                <w:bCs/>
                <w:lang w:val="en-US" w:eastAsia="zh-CN"/>
              </w:rPr>
              <w:t>《环境影响评价技术导则 大气境》（HJ2.2-2018）附录D</w:t>
            </w:r>
            <w:r>
              <w:rPr>
                <w:rFonts w:hint="eastAsia"/>
                <w:color w:val="auto"/>
              </w:rPr>
              <w:t>要求，区域环境质量良好。</w:t>
            </w:r>
          </w:p>
          <w:p w14:paraId="3361F1D7">
            <w:pPr>
              <w:ind w:firstLine="480"/>
              <w:rPr>
                <w:b/>
                <w:bCs/>
                <w:color w:val="auto"/>
                <w:highlight w:val="none"/>
              </w:rPr>
            </w:pPr>
            <w:r>
              <w:rPr>
                <w:rFonts w:hint="eastAsia"/>
                <w:b/>
                <w:bCs/>
                <w:color w:val="auto"/>
                <w:highlight w:val="none"/>
              </w:rPr>
              <w:t>（3）改善区域环境空气质量对应措施</w:t>
            </w:r>
          </w:p>
          <w:p w14:paraId="7B085192">
            <w:pPr>
              <w:widowControl/>
              <w:ind w:firstLine="480"/>
              <w:rPr>
                <w:color w:val="auto"/>
                <w:highlight w:val="none"/>
              </w:rPr>
            </w:pPr>
            <w:r>
              <w:rPr>
                <w:rFonts w:hint="eastAsia"/>
                <w:color w:val="auto"/>
                <w:highlight w:val="none"/>
              </w:rPr>
              <w:t>淮南市人民政府就空气质量不达标提出《淮南市大气环境质量限期达标规划》针对不达标项目，文件提出的一些列措施：</w:t>
            </w:r>
            <w:r>
              <w:rPr>
                <w:color w:val="auto"/>
                <w:highlight w:val="none"/>
              </w:rPr>
              <w:t>调整优化产业结构，构建绿色低碳产业体系</w:t>
            </w:r>
            <w:r>
              <w:rPr>
                <w:rFonts w:hint="eastAsia"/>
                <w:color w:val="auto"/>
                <w:highlight w:val="none"/>
              </w:rPr>
              <w:t>，</w:t>
            </w:r>
            <w:r>
              <w:rPr>
                <w:color w:val="auto"/>
                <w:highlight w:val="none"/>
              </w:rPr>
              <w:t>严格环境准入门槛</w:t>
            </w:r>
            <w:r>
              <w:rPr>
                <w:rFonts w:hint="eastAsia"/>
                <w:color w:val="auto"/>
                <w:highlight w:val="none"/>
              </w:rPr>
              <w:t>，</w:t>
            </w:r>
            <w:r>
              <w:rPr>
                <w:color w:val="auto"/>
                <w:highlight w:val="none"/>
              </w:rPr>
              <w:t>化解落后、过剩、低效产能</w:t>
            </w:r>
            <w:r>
              <w:rPr>
                <w:rFonts w:hint="eastAsia"/>
                <w:color w:val="auto"/>
                <w:highlight w:val="none"/>
              </w:rPr>
              <w:t>，</w:t>
            </w:r>
            <w:r>
              <w:rPr>
                <w:color w:val="auto"/>
                <w:highlight w:val="none"/>
              </w:rPr>
              <w:t>发展绿色低碳产业</w:t>
            </w:r>
            <w:r>
              <w:rPr>
                <w:rFonts w:hint="eastAsia"/>
                <w:color w:val="auto"/>
                <w:highlight w:val="none"/>
              </w:rPr>
              <w:t>；</w:t>
            </w:r>
            <w:r>
              <w:rPr>
                <w:color w:val="auto"/>
                <w:highlight w:val="none"/>
              </w:rPr>
              <w:t>深化工业行业污染治理，推动企业绿色升级</w:t>
            </w:r>
            <w:r>
              <w:rPr>
                <w:rFonts w:hint="eastAsia"/>
                <w:color w:val="auto"/>
                <w:highlight w:val="none"/>
              </w:rPr>
              <w:t>，</w:t>
            </w:r>
            <w:r>
              <w:rPr>
                <w:color w:val="auto"/>
                <w:highlight w:val="none"/>
              </w:rPr>
              <w:t>实施清洁生产提升行动</w:t>
            </w:r>
            <w:r>
              <w:rPr>
                <w:rFonts w:hint="eastAsia"/>
                <w:color w:val="auto"/>
                <w:highlight w:val="none"/>
              </w:rPr>
              <w:t>，</w:t>
            </w:r>
            <w:r>
              <w:rPr>
                <w:color w:val="auto"/>
                <w:highlight w:val="none"/>
              </w:rPr>
              <w:t>推进重点行业提标改造</w:t>
            </w:r>
            <w:r>
              <w:rPr>
                <w:rFonts w:hint="eastAsia"/>
                <w:color w:val="auto"/>
                <w:highlight w:val="none"/>
              </w:rPr>
              <w:t>，</w:t>
            </w:r>
            <w:r>
              <w:rPr>
                <w:color w:val="auto"/>
                <w:highlight w:val="none"/>
              </w:rPr>
              <w:t>混凝土（沥青）搅拌站行业采用产能减量置换、绿色生产、密闭化升级改造等手段，提升混凝土行业绿色发展水平。全市混凝土搅拌站需满足</w:t>
            </w:r>
            <w:r>
              <w:rPr>
                <w:rFonts w:hint="eastAsia"/>
                <w:color w:val="auto"/>
                <w:highlight w:val="none"/>
                <w:lang w:eastAsia="zh-CN"/>
              </w:rPr>
              <w:t>“</w:t>
            </w:r>
            <w:r>
              <w:rPr>
                <w:color w:val="auto"/>
                <w:highlight w:val="none"/>
              </w:rPr>
              <w:t>一硬化、两干净、三封闭、四符合、五具有</w:t>
            </w:r>
            <w:r>
              <w:rPr>
                <w:rFonts w:hint="eastAsia"/>
                <w:color w:val="auto"/>
                <w:highlight w:val="none"/>
                <w:lang w:eastAsia="zh-CN"/>
              </w:rPr>
              <w:t>”</w:t>
            </w:r>
            <w:r>
              <w:rPr>
                <w:color w:val="auto"/>
                <w:highlight w:val="none"/>
              </w:rPr>
              <w:t>标准，即：</w:t>
            </w:r>
            <w:r>
              <w:rPr>
                <w:rFonts w:hint="eastAsia"/>
                <w:color w:val="auto"/>
                <w:highlight w:val="none"/>
                <w:lang w:eastAsia="zh-CN"/>
              </w:rPr>
              <w:t>“</w:t>
            </w:r>
            <w:r>
              <w:rPr>
                <w:color w:val="auto"/>
                <w:highlight w:val="none"/>
              </w:rPr>
              <w:t>一硬化</w:t>
            </w:r>
            <w:r>
              <w:rPr>
                <w:rFonts w:hint="eastAsia"/>
                <w:color w:val="auto"/>
                <w:highlight w:val="none"/>
                <w:lang w:eastAsia="zh-CN"/>
              </w:rPr>
              <w:t>”</w:t>
            </w:r>
            <w:r>
              <w:rPr>
                <w:color w:val="auto"/>
                <w:highlight w:val="none"/>
              </w:rPr>
              <w:t>：厂区道路和生产作业区地面要硬化。</w:t>
            </w:r>
            <w:r>
              <w:rPr>
                <w:rFonts w:hint="eastAsia"/>
                <w:color w:val="auto"/>
                <w:highlight w:val="none"/>
                <w:lang w:eastAsia="zh-CN"/>
              </w:rPr>
              <w:t>“</w:t>
            </w:r>
            <w:r>
              <w:rPr>
                <w:color w:val="auto"/>
                <w:highlight w:val="none"/>
              </w:rPr>
              <w:t>两干净</w:t>
            </w:r>
            <w:r>
              <w:rPr>
                <w:rFonts w:hint="eastAsia"/>
                <w:color w:val="auto"/>
                <w:highlight w:val="none"/>
                <w:lang w:eastAsia="zh-CN"/>
              </w:rPr>
              <w:t>”</w:t>
            </w:r>
            <w:r>
              <w:rPr>
                <w:color w:val="auto"/>
                <w:highlight w:val="none"/>
              </w:rPr>
              <w:t>：厂区环境要干净；混凝土运输车辆要干净。</w:t>
            </w:r>
            <w:r>
              <w:rPr>
                <w:rFonts w:hint="eastAsia"/>
                <w:color w:val="auto"/>
                <w:highlight w:val="none"/>
                <w:lang w:eastAsia="zh-CN"/>
              </w:rPr>
              <w:t>“</w:t>
            </w:r>
            <w:r>
              <w:rPr>
                <w:color w:val="auto"/>
                <w:highlight w:val="none"/>
              </w:rPr>
              <w:t>三封闭</w:t>
            </w:r>
            <w:r>
              <w:rPr>
                <w:rFonts w:hint="eastAsia"/>
                <w:color w:val="auto"/>
                <w:highlight w:val="none"/>
                <w:lang w:eastAsia="zh-CN"/>
              </w:rPr>
              <w:t>”</w:t>
            </w:r>
            <w:r>
              <w:rPr>
                <w:color w:val="auto"/>
                <w:highlight w:val="none"/>
              </w:rPr>
              <w:t>：堆场、料仓要封闭；搅拌站要封闭；场内废弃物存放点要封闭。</w:t>
            </w:r>
            <w:r>
              <w:rPr>
                <w:rFonts w:hint="eastAsia"/>
                <w:color w:val="auto"/>
                <w:highlight w:val="none"/>
                <w:lang w:eastAsia="zh-CN"/>
              </w:rPr>
              <w:t>“</w:t>
            </w:r>
            <w:r>
              <w:rPr>
                <w:color w:val="auto"/>
                <w:highlight w:val="none"/>
              </w:rPr>
              <w:t>四符合</w:t>
            </w:r>
            <w:r>
              <w:rPr>
                <w:rFonts w:hint="eastAsia"/>
                <w:color w:val="auto"/>
                <w:highlight w:val="none"/>
                <w:lang w:eastAsia="zh-CN"/>
              </w:rPr>
              <w:t>”</w:t>
            </w:r>
            <w:r>
              <w:rPr>
                <w:color w:val="auto"/>
                <w:highlight w:val="none"/>
              </w:rPr>
              <w:t>：企业选址符合布点规划；工艺设备符合国家产业政策要求；生产运营符合行业管理要求；污染物排放符合国家、省和市有关排放标准。</w:t>
            </w:r>
            <w:r>
              <w:rPr>
                <w:rFonts w:hint="eastAsia"/>
                <w:color w:val="auto"/>
                <w:highlight w:val="none"/>
                <w:lang w:eastAsia="zh-CN"/>
              </w:rPr>
              <w:t>“</w:t>
            </w:r>
            <w:r>
              <w:rPr>
                <w:color w:val="auto"/>
                <w:highlight w:val="none"/>
              </w:rPr>
              <w:t>五具有</w:t>
            </w:r>
            <w:r>
              <w:rPr>
                <w:rFonts w:hint="eastAsia"/>
                <w:color w:val="auto"/>
                <w:highlight w:val="none"/>
                <w:lang w:eastAsia="zh-CN"/>
              </w:rPr>
              <w:t>”</w:t>
            </w:r>
            <w:r>
              <w:rPr>
                <w:color w:val="auto"/>
                <w:highlight w:val="none"/>
              </w:rPr>
              <w:t>：具有环保手续和资质；具有扬尘污染防治管理制度；具有专职环保管理人员；易产生扬尘工段具有喷淋、雾炮、冲洗等抑尘设施；具有扬尘在线监控设施和运输车辆GPS定位系统，并与环保部门联网</w:t>
            </w:r>
            <w:r>
              <w:rPr>
                <w:rFonts w:hint="eastAsia"/>
                <w:color w:val="auto"/>
                <w:highlight w:val="none"/>
              </w:rPr>
              <w:t>，</w:t>
            </w:r>
            <w:r>
              <w:rPr>
                <w:color w:val="auto"/>
                <w:highlight w:val="none"/>
              </w:rPr>
              <w:t>强化工业企业无组织排放治理</w:t>
            </w:r>
            <w:r>
              <w:rPr>
                <w:rFonts w:hint="eastAsia"/>
                <w:color w:val="auto"/>
                <w:highlight w:val="none"/>
              </w:rPr>
              <w:t>；</w:t>
            </w:r>
            <w:r>
              <w:rPr>
                <w:color w:val="auto"/>
                <w:highlight w:val="none"/>
              </w:rPr>
              <w:t>积极调整运输结构，完善绿色低碳交通体系</w:t>
            </w:r>
            <w:r>
              <w:rPr>
                <w:rFonts w:hint="eastAsia"/>
                <w:color w:val="auto"/>
                <w:highlight w:val="none"/>
              </w:rPr>
              <w:t>，</w:t>
            </w:r>
            <w:r>
              <w:rPr>
                <w:color w:val="auto"/>
                <w:highlight w:val="none"/>
              </w:rPr>
              <w:t>提升道路扬尘治理水平</w:t>
            </w:r>
            <w:r>
              <w:rPr>
                <w:rFonts w:hint="eastAsia"/>
                <w:color w:val="auto"/>
                <w:highlight w:val="none"/>
              </w:rPr>
              <w:t>，</w:t>
            </w:r>
            <w:r>
              <w:rPr>
                <w:color w:val="auto"/>
                <w:highlight w:val="none"/>
              </w:rPr>
              <w:t>强化工业堆场扬尘整治</w:t>
            </w:r>
            <w:r>
              <w:rPr>
                <w:rFonts w:hint="eastAsia"/>
                <w:color w:val="auto"/>
                <w:highlight w:val="none"/>
              </w:rPr>
              <w:t>，</w:t>
            </w:r>
            <w:r>
              <w:rPr>
                <w:color w:val="auto"/>
                <w:highlight w:val="none"/>
              </w:rPr>
              <w:t>开展面源污染防治专项培训</w:t>
            </w:r>
            <w:r>
              <w:rPr>
                <w:rFonts w:hint="eastAsia"/>
                <w:color w:val="auto"/>
                <w:highlight w:val="none"/>
              </w:rPr>
              <w:t>，</w:t>
            </w:r>
            <w:r>
              <w:rPr>
                <w:color w:val="auto"/>
                <w:highlight w:val="none"/>
              </w:rPr>
              <w:t>落实扬尘污染防治专项培训制度。</w:t>
            </w:r>
          </w:p>
          <w:p w14:paraId="1A0B1ECF">
            <w:pPr>
              <w:ind w:firstLine="482"/>
              <w:rPr>
                <w:color w:val="auto"/>
                <w:highlight w:val="none"/>
              </w:rPr>
            </w:pPr>
            <w:r>
              <w:rPr>
                <w:rFonts w:hint="eastAsia"/>
                <w:b/>
                <w:bCs/>
                <w:color w:val="auto"/>
                <w:highlight w:val="none"/>
              </w:rPr>
              <w:t>2、地表水环境</w:t>
            </w:r>
          </w:p>
          <w:p w14:paraId="775BAFA6">
            <w:pPr>
              <w:bidi w:val="0"/>
              <w:rPr>
                <w:color w:val="auto"/>
                <w:highlight w:val="none"/>
              </w:rPr>
            </w:pPr>
            <w:r>
              <w:rPr>
                <w:rFonts w:hint="eastAsia"/>
                <w:color w:val="auto"/>
                <w:highlight w:val="none"/>
              </w:rPr>
              <w:t>根据《建设项目环境影响报告表编制技术指南》，项目所在区域地表水环境质量引用与建设项目距离近的有效数据，包括近3年的规划环境影响评价的监测数据，所在流域控制单元内国家、地方控制断面监测数据，生态环境主管部门发布的水环境质量数据或地表水达标情况的结论。</w:t>
            </w:r>
          </w:p>
          <w:p w14:paraId="427F6304">
            <w:pPr>
              <w:bidi w:val="0"/>
              <w:rPr>
                <w:rFonts w:hint="eastAsia"/>
                <w:color w:val="auto"/>
              </w:rPr>
            </w:pPr>
            <w:r>
              <w:rPr>
                <w:rFonts w:hint="eastAsia"/>
                <w:color w:val="auto"/>
                <w:highlight w:val="none"/>
              </w:rPr>
              <w:t>根据淮南市生态环境局发布的《202</w:t>
            </w:r>
            <w:r>
              <w:rPr>
                <w:rFonts w:hint="eastAsia"/>
                <w:color w:val="auto"/>
                <w:highlight w:val="none"/>
                <w:lang w:val="en-US" w:eastAsia="zh-CN"/>
              </w:rPr>
              <w:t>3</w:t>
            </w:r>
            <w:r>
              <w:rPr>
                <w:rFonts w:hint="eastAsia"/>
                <w:color w:val="auto"/>
                <w:highlight w:val="none"/>
              </w:rPr>
              <w:t>年淮南市环境质量状况公报》，</w:t>
            </w:r>
            <w:r>
              <w:rPr>
                <w:rFonts w:hint="eastAsia"/>
                <w:color w:val="auto"/>
              </w:rPr>
              <w:t>2023年，全市地表水24个监测断面中优良水质比例为95.8%，比上年提升了16.6个百分点，Ⅳ类水质比例4.2%，总体水质状况优。</w:t>
            </w:r>
          </w:p>
          <w:p w14:paraId="37A5D68B">
            <w:pPr>
              <w:bidi w:val="0"/>
              <w:rPr>
                <w:rFonts w:hint="eastAsia"/>
                <w:color w:val="auto"/>
              </w:rPr>
            </w:pPr>
            <w:r>
              <w:rPr>
                <w:rFonts w:hint="eastAsia"/>
                <w:color w:val="auto"/>
              </w:rPr>
              <w:t>全市8个国控断面中优良水质比例为87.5%，Ⅳ类水质比例12.5%，总体水质状况良好；11个省控断面中优良水质比例为100%，总体水质状况优。</w:t>
            </w:r>
          </w:p>
          <w:p w14:paraId="63DCCCB2">
            <w:pPr>
              <w:bidi w:val="0"/>
              <w:rPr>
                <w:rFonts w:hint="eastAsia"/>
                <w:color w:val="auto"/>
              </w:rPr>
            </w:pPr>
            <w:r>
              <w:rPr>
                <w:rFonts w:hint="eastAsia"/>
                <w:color w:val="auto"/>
              </w:rPr>
              <w:t>河流：全市辖区内淮河干流水质状况为优，西淝河水质状况为优，东淝河、永幸河、架河、泥河、瓦西干渠、陡涧河、万小河、便民沟和丁家沟水质状况为良好。20个监测断面中优良水质比例为100%，比上年提升了15个百分点。其中新城口、西淝河闸下断面水质均有所好转（Ⅲ类→Ⅱ类），泥河入河口、便民沟焦岗闸、丁家沟河口和安丰塘水质均有所好转（Ⅳ类→Ⅲ类），其他断面水质保持稳定。</w:t>
            </w:r>
          </w:p>
          <w:p w14:paraId="74C96596">
            <w:pPr>
              <w:bidi w:val="0"/>
              <w:rPr>
                <w:rFonts w:hint="default"/>
                <w:color w:val="auto"/>
                <w:highlight w:val="none"/>
                <w:lang w:val="en-US" w:eastAsia="zh-CN"/>
              </w:rPr>
            </w:pPr>
            <w:r>
              <w:rPr>
                <w:rFonts w:hint="eastAsia"/>
                <w:color w:val="auto"/>
              </w:rPr>
              <w:t>湖库：瓦埠湖、焦岗湖和安丰塘点位水质年均值符合Ⅲ类标准，水质状况为良好；高塘湖点位水质年均值符合Ⅳ类标准，水质轻度污染，主要污染指标为总磷。瓦埠湖营养状态为中营养，焦岗湖、高塘湖和安丰塘营养状态均为轻度富营养。与上年相比，安丰塘点位水质类别由Ⅳ类好转为Ⅲ类，瓦埠湖、高塘湖和焦岗湖点位水质类别保持稳定。</w:t>
            </w:r>
          </w:p>
          <w:p w14:paraId="6F6F0274">
            <w:pPr>
              <w:ind w:firstLine="482"/>
              <w:rPr>
                <w:b/>
                <w:bCs/>
                <w:color w:val="auto"/>
                <w:highlight w:val="none"/>
              </w:rPr>
            </w:pPr>
            <w:r>
              <w:rPr>
                <w:rFonts w:hint="eastAsia"/>
                <w:b/>
                <w:bCs/>
                <w:color w:val="auto"/>
                <w:highlight w:val="none"/>
              </w:rPr>
              <w:t>3、声环境</w:t>
            </w:r>
          </w:p>
          <w:p w14:paraId="59C1A4E3">
            <w:pPr>
              <w:ind w:firstLine="480"/>
              <w:rPr>
                <w:color w:val="auto"/>
                <w:highlight w:val="none"/>
              </w:rPr>
            </w:pPr>
            <w:r>
              <w:rPr>
                <w:rFonts w:hint="eastAsia"/>
                <w:color w:val="auto"/>
                <w:highlight w:val="none"/>
              </w:rPr>
              <w:t>根据淮南市宜青环境检测有限公司202</w:t>
            </w:r>
            <w:r>
              <w:rPr>
                <w:rFonts w:hint="eastAsia"/>
                <w:color w:val="auto"/>
                <w:highlight w:val="none"/>
                <w:lang w:val="en-US" w:eastAsia="zh-CN"/>
              </w:rPr>
              <w:t>4</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12</w:t>
            </w:r>
            <w:r>
              <w:rPr>
                <w:rFonts w:hint="eastAsia"/>
                <w:color w:val="auto"/>
                <w:highlight w:val="none"/>
              </w:rPr>
              <w:t>日提供的声环境质量现状监测数据，厂界噪声监测结果如下：</w:t>
            </w:r>
          </w:p>
          <w:p w14:paraId="441F83BC">
            <w:pPr>
              <w:ind w:firstLine="480"/>
              <w:rPr>
                <w:color w:val="auto"/>
                <w:highlight w:val="none"/>
              </w:rPr>
            </w:pPr>
            <w:r>
              <w:rPr>
                <w:rFonts w:hint="eastAsia"/>
                <w:color w:val="auto"/>
                <w:highlight w:val="none"/>
              </w:rPr>
              <w:t>①</w:t>
            </w:r>
            <w:r>
              <w:rPr>
                <w:color w:val="auto"/>
                <w:highlight w:val="none"/>
              </w:rPr>
              <w:t>监测布点</w:t>
            </w:r>
            <w:r>
              <w:rPr>
                <w:rFonts w:hint="eastAsia"/>
                <w:color w:val="auto"/>
                <w:highlight w:val="none"/>
              </w:rPr>
              <w:t>：厂</w:t>
            </w:r>
            <w:r>
              <w:rPr>
                <w:color w:val="auto"/>
                <w:highlight w:val="none"/>
              </w:rPr>
              <w:t>界周围共布设</w:t>
            </w:r>
            <w:r>
              <w:rPr>
                <w:rFonts w:hint="eastAsia"/>
                <w:color w:val="auto"/>
                <w:highlight w:val="none"/>
                <w:lang w:val="en-US" w:eastAsia="zh-CN"/>
              </w:rPr>
              <w:t>4</w:t>
            </w:r>
            <w:r>
              <w:rPr>
                <w:color w:val="auto"/>
                <w:highlight w:val="none"/>
              </w:rPr>
              <w:t>个监测点位</w:t>
            </w:r>
            <w:r>
              <w:rPr>
                <w:rFonts w:hint="eastAsia"/>
                <w:color w:val="auto"/>
                <w:highlight w:val="none"/>
              </w:rPr>
              <w:t>。</w:t>
            </w:r>
          </w:p>
          <w:p w14:paraId="1C437273">
            <w:pPr>
              <w:ind w:firstLine="480"/>
              <w:rPr>
                <w:color w:val="auto"/>
                <w:highlight w:val="none"/>
              </w:rPr>
            </w:pPr>
            <w:r>
              <w:rPr>
                <w:rFonts w:hint="eastAsia"/>
                <w:color w:val="auto"/>
                <w:highlight w:val="none"/>
              </w:rPr>
              <w:t>②</w:t>
            </w:r>
            <w:r>
              <w:rPr>
                <w:color w:val="auto"/>
                <w:highlight w:val="none"/>
              </w:rPr>
              <w:t>监测结果及评价</w:t>
            </w:r>
          </w:p>
          <w:p w14:paraId="392F1338">
            <w:pPr>
              <w:pStyle w:val="49"/>
              <w:rPr>
                <w:color w:val="auto"/>
                <w:highlight w:val="none"/>
              </w:rPr>
            </w:pPr>
            <w:r>
              <w:rPr>
                <w:rFonts w:hint="eastAsia"/>
                <w:color w:val="auto"/>
                <w:highlight w:val="none"/>
              </w:rPr>
              <w:t>表3-</w:t>
            </w:r>
            <w:r>
              <w:rPr>
                <w:rFonts w:hint="eastAsia"/>
                <w:color w:val="auto"/>
                <w:highlight w:val="none"/>
                <w:lang w:val="en-US" w:eastAsia="zh-CN"/>
              </w:rPr>
              <w:t>3</w:t>
            </w:r>
            <w:r>
              <w:rPr>
                <w:rFonts w:hint="eastAsia"/>
                <w:color w:val="auto"/>
                <w:highlight w:val="none"/>
              </w:rPr>
              <w:t xml:space="preserve"> 项目噪声监测结果</w:t>
            </w:r>
          </w:p>
          <w:tbl>
            <w:tblPr>
              <w:tblStyle w:val="26"/>
              <w:tblW w:w="49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
              <w:gridCol w:w="2308"/>
              <w:gridCol w:w="2496"/>
              <w:gridCol w:w="2499"/>
            </w:tblGrid>
            <w:tr w14:paraId="053FF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6" w:type="pct"/>
                  <w:vMerge w:val="restart"/>
                  <w:tcBorders>
                    <w:top w:val="single" w:color="auto" w:sz="4" w:space="0"/>
                    <w:left w:val="single" w:color="auto" w:sz="0" w:space="0"/>
                    <w:bottom w:val="single" w:color="auto" w:sz="4" w:space="0"/>
                  </w:tcBorders>
                  <w:vAlign w:val="center"/>
                </w:tcPr>
                <w:p w14:paraId="77B01108">
                  <w:pPr>
                    <w:pStyle w:val="51"/>
                    <w:spacing w:before="31" w:after="31"/>
                    <w:rPr>
                      <w:color w:val="auto"/>
                      <w:highlight w:val="none"/>
                    </w:rPr>
                  </w:pPr>
                  <w:r>
                    <w:rPr>
                      <w:rFonts w:hint="eastAsia"/>
                      <w:color w:val="auto"/>
                      <w:highlight w:val="none"/>
                    </w:rPr>
                    <w:t>采样日期</w:t>
                  </w:r>
                </w:p>
              </w:tc>
              <w:tc>
                <w:tcPr>
                  <w:tcW w:w="1401" w:type="pct"/>
                  <w:vMerge w:val="restart"/>
                  <w:tcBorders>
                    <w:top w:val="single" w:color="auto" w:sz="4" w:space="0"/>
                  </w:tcBorders>
                  <w:vAlign w:val="center"/>
                </w:tcPr>
                <w:p w14:paraId="105A828A">
                  <w:pPr>
                    <w:pStyle w:val="51"/>
                    <w:spacing w:before="31" w:after="31"/>
                    <w:rPr>
                      <w:color w:val="auto"/>
                      <w:highlight w:val="none"/>
                    </w:rPr>
                  </w:pPr>
                  <w:r>
                    <w:rPr>
                      <w:rFonts w:hint="eastAsia"/>
                      <w:color w:val="auto"/>
                      <w:highlight w:val="none"/>
                    </w:rPr>
                    <w:t>检测点位</w:t>
                  </w:r>
                </w:p>
              </w:tc>
              <w:tc>
                <w:tcPr>
                  <w:tcW w:w="3032" w:type="pct"/>
                  <w:gridSpan w:val="2"/>
                  <w:tcBorders>
                    <w:top w:val="single" w:color="auto" w:sz="4" w:space="0"/>
                    <w:bottom w:val="single" w:color="auto" w:sz="4" w:space="0"/>
                    <w:right w:val="single" w:color="auto" w:sz="4" w:space="0"/>
                  </w:tcBorders>
                  <w:vAlign w:val="center"/>
                </w:tcPr>
                <w:p w14:paraId="3B0AF624">
                  <w:pPr>
                    <w:pStyle w:val="51"/>
                    <w:spacing w:before="31" w:after="31"/>
                    <w:rPr>
                      <w:color w:val="auto"/>
                      <w:highlight w:val="none"/>
                    </w:rPr>
                  </w:pPr>
                  <w:r>
                    <w:rPr>
                      <w:rFonts w:hint="eastAsia"/>
                      <w:color w:val="auto"/>
                      <w:highlight w:val="none"/>
                    </w:rPr>
                    <w:t>检测结果dB(A)</w:t>
                  </w:r>
                </w:p>
              </w:tc>
            </w:tr>
            <w:tr w14:paraId="1714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6" w:type="pct"/>
                  <w:vMerge w:val="continue"/>
                  <w:tcBorders>
                    <w:top w:val="single" w:color="auto" w:sz="4" w:space="0"/>
                    <w:left w:val="single" w:color="auto" w:sz="4" w:space="0"/>
                    <w:bottom w:val="single" w:color="auto" w:sz="4" w:space="0"/>
                  </w:tcBorders>
                  <w:vAlign w:val="center"/>
                </w:tcPr>
                <w:p w14:paraId="06D30A28">
                  <w:pPr>
                    <w:pStyle w:val="51"/>
                    <w:spacing w:before="31" w:after="31"/>
                    <w:rPr>
                      <w:color w:val="auto"/>
                      <w:highlight w:val="none"/>
                    </w:rPr>
                  </w:pPr>
                </w:p>
              </w:tc>
              <w:tc>
                <w:tcPr>
                  <w:tcW w:w="1401" w:type="pct"/>
                  <w:vMerge w:val="continue"/>
                  <w:tcBorders>
                    <w:bottom w:val="single" w:color="auto" w:sz="4" w:space="0"/>
                  </w:tcBorders>
                  <w:vAlign w:val="center"/>
                </w:tcPr>
                <w:p w14:paraId="5BE5F0BC">
                  <w:pPr>
                    <w:pStyle w:val="51"/>
                    <w:spacing w:before="31" w:after="31"/>
                    <w:rPr>
                      <w:color w:val="auto"/>
                      <w:highlight w:val="none"/>
                    </w:rPr>
                  </w:pPr>
                </w:p>
              </w:tc>
              <w:tc>
                <w:tcPr>
                  <w:tcW w:w="1515" w:type="pct"/>
                  <w:tcBorders>
                    <w:top w:val="single" w:color="auto" w:sz="4" w:space="0"/>
                    <w:bottom w:val="single" w:color="auto" w:sz="4" w:space="0"/>
                    <w:right w:val="single" w:color="auto" w:sz="4" w:space="0"/>
                  </w:tcBorders>
                  <w:vAlign w:val="center"/>
                </w:tcPr>
                <w:p w14:paraId="0E03CB45">
                  <w:pPr>
                    <w:pStyle w:val="51"/>
                    <w:spacing w:before="31" w:after="31"/>
                    <w:rPr>
                      <w:color w:val="auto"/>
                      <w:highlight w:val="none"/>
                    </w:rPr>
                  </w:pPr>
                  <w:r>
                    <w:rPr>
                      <w:rFonts w:hint="eastAsia"/>
                      <w:color w:val="auto"/>
                      <w:highlight w:val="none"/>
                    </w:rPr>
                    <w:t>昼间 Leq</w:t>
                  </w:r>
                </w:p>
              </w:tc>
              <w:tc>
                <w:tcPr>
                  <w:tcW w:w="1516" w:type="pct"/>
                  <w:tcBorders>
                    <w:top w:val="single" w:color="auto" w:sz="4" w:space="0"/>
                    <w:bottom w:val="single" w:color="auto" w:sz="4" w:space="0"/>
                    <w:right w:val="single" w:color="auto" w:sz="4" w:space="0"/>
                  </w:tcBorders>
                  <w:vAlign w:val="center"/>
                </w:tcPr>
                <w:p w14:paraId="72D7B9C8">
                  <w:pPr>
                    <w:pStyle w:val="51"/>
                    <w:spacing w:before="31" w:after="31"/>
                    <w:rPr>
                      <w:rFonts w:hint="eastAsia"/>
                      <w:color w:val="auto"/>
                      <w:highlight w:val="none"/>
                    </w:rPr>
                  </w:pPr>
                  <w:r>
                    <w:rPr>
                      <w:rFonts w:hint="eastAsia"/>
                      <w:color w:val="auto"/>
                      <w:highlight w:val="none"/>
                      <w:lang w:val="en-US" w:eastAsia="zh-CN"/>
                    </w:rPr>
                    <w:t>夜间</w:t>
                  </w:r>
                  <w:r>
                    <w:rPr>
                      <w:rFonts w:hint="eastAsia"/>
                      <w:color w:val="auto"/>
                      <w:highlight w:val="none"/>
                    </w:rPr>
                    <w:t xml:space="preserve"> Leq</w:t>
                  </w:r>
                </w:p>
              </w:tc>
            </w:tr>
            <w:tr w14:paraId="3F2BE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6" w:type="pct"/>
                  <w:vMerge w:val="restart"/>
                  <w:tcBorders>
                    <w:top w:val="single" w:color="auto" w:sz="4" w:space="0"/>
                    <w:left w:val="single" w:color="auto" w:sz="4" w:space="0"/>
                  </w:tcBorders>
                  <w:vAlign w:val="center"/>
                </w:tcPr>
                <w:p w14:paraId="6B8B6472">
                  <w:pPr>
                    <w:pStyle w:val="51"/>
                    <w:spacing w:before="31" w:after="31"/>
                    <w:rPr>
                      <w:color w:val="auto"/>
                      <w:highlight w:val="none"/>
                    </w:rPr>
                  </w:pPr>
                  <w:r>
                    <w:rPr>
                      <w:rFonts w:hint="eastAsia"/>
                      <w:color w:val="auto"/>
                      <w:highlight w:val="none"/>
                    </w:rPr>
                    <w:t>202</w:t>
                  </w:r>
                  <w:r>
                    <w:rPr>
                      <w:rFonts w:hint="eastAsia"/>
                      <w:color w:val="auto"/>
                      <w:highlight w:val="none"/>
                      <w:lang w:val="en-US" w:eastAsia="zh-CN"/>
                    </w:rPr>
                    <w:t>4</w:t>
                  </w:r>
                  <w:r>
                    <w:rPr>
                      <w:rFonts w:hint="eastAsia"/>
                      <w:color w:val="auto"/>
                      <w:highlight w:val="none"/>
                    </w:rPr>
                    <w:t>年</w:t>
                  </w:r>
                  <w:r>
                    <w:rPr>
                      <w:rFonts w:hint="eastAsia"/>
                      <w:color w:val="auto"/>
                      <w:highlight w:val="none"/>
                      <w:lang w:val="en-US" w:eastAsia="zh-CN"/>
                    </w:rPr>
                    <w:t>7</w:t>
                  </w:r>
                  <w:r>
                    <w:rPr>
                      <w:rFonts w:hint="eastAsia"/>
                      <w:color w:val="auto"/>
                      <w:highlight w:val="none"/>
                    </w:rPr>
                    <w:t>月</w:t>
                  </w:r>
                  <w:r>
                    <w:rPr>
                      <w:rFonts w:hint="eastAsia"/>
                      <w:color w:val="auto"/>
                      <w:highlight w:val="none"/>
                      <w:lang w:val="en-US" w:eastAsia="zh-CN"/>
                    </w:rPr>
                    <w:t>29</w:t>
                  </w:r>
                  <w:r>
                    <w:rPr>
                      <w:rFonts w:hint="eastAsia"/>
                      <w:color w:val="auto"/>
                      <w:highlight w:val="none"/>
                    </w:rPr>
                    <w:t>日</w:t>
                  </w:r>
                </w:p>
              </w:tc>
              <w:tc>
                <w:tcPr>
                  <w:tcW w:w="1401" w:type="pct"/>
                  <w:tcBorders>
                    <w:top w:val="single" w:color="auto" w:sz="4" w:space="0"/>
                  </w:tcBorders>
                  <w:vAlign w:val="center"/>
                </w:tcPr>
                <w:p w14:paraId="1F444229">
                  <w:pPr>
                    <w:pStyle w:val="51"/>
                    <w:spacing w:before="31" w:after="31"/>
                    <w:rPr>
                      <w:color w:val="auto"/>
                      <w:highlight w:val="none"/>
                    </w:rPr>
                  </w:pPr>
                  <w:r>
                    <w:rPr>
                      <w:rFonts w:hint="eastAsia"/>
                      <w:color w:val="auto"/>
                      <w:highlight w:val="none"/>
                    </w:rPr>
                    <w:t>厂界东</w:t>
                  </w:r>
                </w:p>
              </w:tc>
              <w:tc>
                <w:tcPr>
                  <w:tcW w:w="1515" w:type="pct"/>
                  <w:tcBorders>
                    <w:top w:val="single" w:color="auto" w:sz="4" w:space="0"/>
                    <w:right w:val="single" w:color="auto" w:sz="4" w:space="0"/>
                  </w:tcBorders>
                  <w:vAlign w:val="center"/>
                </w:tcPr>
                <w:p w14:paraId="5574EA65">
                  <w:pPr>
                    <w:pStyle w:val="51"/>
                    <w:spacing w:before="31" w:after="31"/>
                    <w:rPr>
                      <w:rFonts w:hint="default" w:eastAsia="宋体"/>
                      <w:color w:val="auto"/>
                      <w:highlight w:val="none"/>
                      <w:lang w:val="en-US" w:eastAsia="zh-CN"/>
                    </w:rPr>
                  </w:pPr>
                  <w:r>
                    <w:rPr>
                      <w:rFonts w:hint="eastAsia"/>
                      <w:color w:val="auto"/>
                      <w:highlight w:val="none"/>
                      <w:lang w:val="en-US" w:eastAsia="zh-CN"/>
                    </w:rPr>
                    <w:t>58.2</w:t>
                  </w:r>
                </w:p>
              </w:tc>
              <w:tc>
                <w:tcPr>
                  <w:tcW w:w="1516" w:type="pct"/>
                  <w:tcBorders>
                    <w:top w:val="single" w:color="auto" w:sz="4" w:space="0"/>
                    <w:right w:val="single" w:color="auto" w:sz="4" w:space="0"/>
                  </w:tcBorders>
                  <w:vAlign w:val="center"/>
                </w:tcPr>
                <w:p w14:paraId="34C0BC47">
                  <w:pPr>
                    <w:pStyle w:val="51"/>
                    <w:spacing w:before="31" w:after="31"/>
                    <w:rPr>
                      <w:rFonts w:hint="default"/>
                      <w:color w:val="auto"/>
                      <w:highlight w:val="none"/>
                      <w:lang w:val="en-US" w:eastAsia="zh-CN"/>
                    </w:rPr>
                  </w:pPr>
                  <w:r>
                    <w:rPr>
                      <w:rFonts w:hint="eastAsia"/>
                      <w:color w:val="auto"/>
                      <w:highlight w:val="none"/>
                      <w:lang w:val="en-US" w:eastAsia="zh-CN"/>
                    </w:rPr>
                    <w:t>45.3</w:t>
                  </w:r>
                </w:p>
              </w:tc>
            </w:tr>
            <w:tr w14:paraId="486A5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6" w:type="pct"/>
                  <w:vMerge w:val="continue"/>
                  <w:tcBorders>
                    <w:left w:val="single" w:color="auto" w:sz="4" w:space="0"/>
                  </w:tcBorders>
                  <w:vAlign w:val="center"/>
                </w:tcPr>
                <w:p w14:paraId="7FCC42D8">
                  <w:pPr>
                    <w:pStyle w:val="51"/>
                    <w:spacing w:before="31" w:after="31"/>
                    <w:rPr>
                      <w:color w:val="auto"/>
                      <w:highlight w:val="none"/>
                    </w:rPr>
                  </w:pPr>
                </w:p>
              </w:tc>
              <w:tc>
                <w:tcPr>
                  <w:tcW w:w="1401" w:type="pct"/>
                  <w:vAlign w:val="center"/>
                </w:tcPr>
                <w:p w14:paraId="59A4B131">
                  <w:pPr>
                    <w:pStyle w:val="51"/>
                    <w:spacing w:before="31" w:after="31"/>
                    <w:rPr>
                      <w:color w:val="auto"/>
                      <w:highlight w:val="none"/>
                    </w:rPr>
                  </w:pPr>
                  <w:r>
                    <w:rPr>
                      <w:rFonts w:hint="eastAsia"/>
                      <w:color w:val="auto"/>
                      <w:highlight w:val="none"/>
                    </w:rPr>
                    <w:t>厂界南</w:t>
                  </w:r>
                </w:p>
              </w:tc>
              <w:tc>
                <w:tcPr>
                  <w:tcW w:w="1515" w:type="pct"/>
                  <w:tcBorders>
                    <w:right w:val="single" w:color="auto" w:sz="4" w:space="0"/>
                  </w:tcBorders>
                  <w:vAlign w:val="center"/>
                </w:tcPr>
                <w:p w14:paraId="1B05C32B">
                  <w:pPr>
                    <w:pStyle w:val="51"/>
                    <w:spacing w:before="31" w:after="31"/>
                    <w:rPr>
                      <w:rFonts w:hint="default" w:eastAsia="宋体"/>
                      <w:color w:val="auto"/>
                      <w:highlight w:val="none"/>
                      <w:lang w:val="en-US" w:eastAsia="zh-CN"/>
                    </w:rPr>
                  </w:pPr>
                  <w:r>
                    <w:rPr>
                      <w:rFonts w:hint="eastAsia"/>
                      <w:color w:val="auto"/>
                      <w:highlight w:val="none"/>
                      <w:lang w:val="en-US" w:eastAsia="zh-CN"/>
                    </w:rPr>
                    <w:t>56.2</w:t>
                  </w:r>
                </w:p>
              </w:tc>
              <w:tc>
                <w:tcPr>
                  <w:tcW w:w="1516" w:type="pct"/>
                  <w:tcBorders>
                    <w:right w:val="single" w:color="auto" w:sz="4" w:space="0"/>
                  </w:tcBorders>
                  <w:vAlign w:val="center"/>
                </w:tcPr>
                <w:p w14:paraId="1F830A3B">
                  <w:pPr>
                    <w:pStyle w:val="51"/>
                    <w:spacing w:before="31" w:after="31"/>
                    <w:rPr>
                      <w:rFonts w:hint="default"/>
                      <w:color w:val="auto"/>
                      <w:highlight w:val="none"/>
                      <w:lang w:val="en-US" w:eastAsia="zh-CN"/>
                    </w:rPr>
                  </w:pPr>
                  <w:r>
                    <w:rPr>
                      <w:rFonts w:hint="eastAsia"/>
                      <w:color w:val="auto"/>
                      <w:highlight w:val="none"/>
                      <w:lang w:val="en-US" w:eastAsia="zh-CN"/>
                    </w:rPr>
                    <w:t>44.1</w:t>
                  </w:r>
                </w:p>
              </w:tc>
            </w:tr>
            <w:tr w14:paraId="0668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6" w:type="pct"/>
                  <w:vMerge w:val="continue"/>
                  <w:tcBorders>
                    <w:left w:val="single" w:color="auto" w:sz="4" w:space="0"/>
                  </w:tcBorders>
                  <w:vAlign w:val="center"/>
                </w:tcPr>
                <w:p w14:paraId="6F37F113">
                  <w:pPr>
                    <w:pStyle w:val="51"/>
                    <w:spacing w:before="31" w:after="31"/>
                    <w:rPr>
                      <w:color w:val="auto"/>
                      <w:highlight w:val="none"/>
                    </w:rPr>
                  </w:pPr>
                </w:p>
              </w:tc>
              <w:tc>
                <w:tcPr>
                  <w:tcW w:w="1401" w:type="pct"/>
                  <w:vAlign w:val="center"/>
                </w:tcPr>
                <w:p w14:paraId="5E01F984">
                  <w:pPr>
                    <w:pStyle w:val="51"/>
                    <w:spacing w:before="31" w:after="31"/>
                    <w:rPr>
                      <w:color w:val="auto"/>
                      <w:highlight w:val="none"/>
                    </w:rPr>
                  </w:pPr>
                  <w:r>
                    <w:rPr>
                      <w:rFonts w:hint="eastAsia"/>
                      <w:color w:val="auto"/>
                      <w:highlight w:val="none"/>
                    </w:rPr>
                    <w:t>厂界西</w:t>
                  </w:r>
                </w:p>
              </w:tc>
              <w:tc>
                <w:tcPr>
                  <w:tcW w:w="1515" w:type="pct"/>
                  <w:tcBorders>
                    <w:right w:val="single" w:color="auto" w:sz="4" w:space="0"/>
                  </w:tcBorders>
                  <w:vAlign w:val="center"/>
                </w:tcPr>
                <w:p w14:paraId="122DCB0E">
                  <w:pPr>
                    <w:pStyle w:val="51"/>
                    <w:spacing w:before="31" w:after="31"/>
                    <w:rPr>
                      <w:rFonts w:hint="default" w:eastAsia="宋体"/>
                      <w:color w:val="auto"/>
                      <w:highlight w:val="none"/>
                      <w:lang w:val="en-US" w:eastAsia="zh-CN"/>
                    </w:rPr>
                  </w:pPr>
                  <w:r>
                    <w:rPr>
                      <w:rFonts w:hint="eastAsia"/>
                      <w:color w:val="auto"/>
                      <w:highlight w:val="none"/>
                      <w:lang w:val="en-US" w:eastAsia="zh-CN"/>
                    </w:rPr>
                    <w:t>55.5</w:t>
                  </w:r>
                </w:p>
              </w:tc>
              <w:tc>
                <w:tcPr>
                  <w:tcW w:w="1516" w:type="pct"/>
                  <w:tcBorders>
                    <w:right w:val="single" w:color="auto" w:sz="4" w:space="0"/>
                  </w:tcBorders>
                  <w:vAlign w:val="center"/>
                </w:tcPr>
                <w:p w14:paraId="7A8D5319">
                  <w:pPr>
                    <w:pStyle w:val="51"/>
                    <w:spacing w:before="31" w:after="31"/>
                    <w:rPr>
                      <w:rFonts w:hint="default"/>
                      <w:color w:val="auto"/>
                      <w:highlight w:val="none"/>
                      <w:lang w:val="en-US" w:eastAsia="zh-CN"/>
                    </w:rPr>
                  </w:pPr>
                  <w:r>
                    <w:rPr>
                      <w:rFonts w:hint="eastAsia"/>
                      <w:color w:val="auto"/>
                      <w:highlight w:val="none"/>
                      <w:lang w:val="en-US" w:eastAsia="zh-CN"/>
                    </w:rPr>
                    <w:t>46.3</w:t>
                  </w:r>
                </w:p>
              </w:tc>
            </w:tr>
            <w:tr w14:paraId="423B9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6" w:type="pct"/>
                  <w:vMerge w:val="continue"/>
                  <w:tcBorders>
                    <w:left w:val="single" w:color="auto" w:sz="4" w:space="0"/>
                  </w:tcBorders>
                  <w:vAlign w:val="center"/>
                </w:tcPr>
                <w:p w14:paraId="1A5CDB1C">
                  <w:pPr>
                    <w:pStyle w:val="51"/>
                    <w:spacing w:before="31" w:after="31"/>
                    <w:rPr>
                      <w:color w:val="auto"/>
                      <w:highlight w:val="none"/>
                    </w:rPr>
                  </w:pPr>
                </w:p>
              </w:tc>
              <w:tc>
                <w:tcPr>
                  <w:tcW w:w="1401" w:type="pct"/>
                  <w:vAlign w:val="center"/>
                </w:tcPr>
                <w:p w14:paraId="570F3D6A">
                  <w:pPr>
                    <w:pStyle w:val="51"/>
                    <w:spacing w:before="31" w:after="31"/>
                    <w:rPr>
                      <w:rFonts w:hint="eastAsia"/>
                      <w:color w:val="auto"/>
                      <w:highlight w:val="none"/>
                    </w:rPr>
                  </w:pPr>
                  <w:r>
                    <w:rPr>
                      <w:rFonts w:hint="eastAsia"/>
                      <w:color w:val="auto"/>
                      <w:highlight w:val="none"/>
                    </w:rPr>
                    <w:t>厂界北</w:t>
                  </w:r>
                </w:p>
              </w:tc>
              <w:tc>
                <w:tcPr>
                  <w:tcW w:w="1515" w:type="pct"/>
                  <w:tcBorders>
                    <w:right w:val="single" w:color="auto" w:sz="4" w:space="0"/>
                  </w:tcBorders>
                  <w:vAlign w:val="center"/>
                </w:tcPr>
                <w:p w14:paraId="53B4F4EA">
                  <w:pPr>
                    <w:pStyle w:val="51"/>
                    <w:spacing w:before="31" w:after="31"/>
                    <w:jc w:val="center"/>
                    <w:rPr>
                      <w:rFonts w:hint="default"/>
                      <w:color w:val="auto"/>
                      <w:highlight w:val="none"/>
                      <w:lang w:val="en-US" w:eastAsia="zh-CN"/>
                    </w:rPr>
                  </w:pPr>
                  <w:r>
                    <w:rPr>
                      <w:rFonts w:hint="eastAsia"/>
                      <w:color w:val="auto"/>
                      <w:highlight w:val="none"/>
                      <w:lang w:val="en-US" w:eastAsia="zh-CN"/>
                    </w:rPr>
                    <w:t>55.5</w:t>
                  </w:r>
                </w:p>
              </w:tc>
              <w:tc>
                <w:tcPr>
                  <w:tcW w:w="1516" w:type="pct"/>
                  <w:tcBorders>
                    <w:right w:val="single" w:color="auto" w:sz="4" w:space="0"/>
                  </w:tcBorders>
                  <w:vAlign w:val="center"/>
                </w:tcPr>
                <w:p w14:paraId="1895731B">
                  <w:pPr>
                    <w:pStyle w:val="51"/>
                    <w:spacing w:before="31" w:after="31"/>
                    <w:jc w:val="center"/>
                    <w:rPr>
                      <w:rFonts w:hint="default"/>
                      <w:color w:val="auto"/>
                      <w:highlight w:val="none"/>
                      <w:lang w:val="en-US" w:eastAsia="zh-CN"/>
                    </w:rPr>
                  </w:pPr>
                  <w:r>
                    <w:rPr>
                      <w:rFonts w:hint="eastAsia"/>
                      <w:color w:val="auto"/>
                      <w:highlight w:val="none"/>
                      <w:lang w:val="en-US" w:eastAsia="zh-CN"/>
                    </w:rPr>
                    <w:t>44.6</w:t>
                  </w:r>
                </w:p>
              </w:tc>
            </w:tr>
            <w:tr w14:paraId="4CE03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6" w:type="pct"/>
                  <w:vMerge w:val="continue"/>
                  <w:tcBorders>
                    <w:left w:val="single" w:color="auto" w:sz="4" w:space="0"/>
                  </w:tcBorders>
                  <w:vAlign w:val="center"/>
                </w:tcPr>
                <w:p w14:paraId="5B9B9EB2">
                  <w:pPr>
                    <w:pStyle w:val="51"/>
                    <w:spacing w:before="31" w:after="31"/>
                    <w:rPr>
                      <w:color w:val="auto"/>
                      <w:highlight w:val="none"/>
                    </w:rPr>
                  </w:pPr>
                </w:p>
              </w:tc>
              <w:tc>
                <w:tcPr>
                  <w:tcW w:w="1401" w:type="pct"/>
                  <w:shd w:val="clear" w:color="auto" w:fill="auto"/>
                  <w:vAlign w:val="center"/>
                </w:tcPr>
                <w:p w14:paraId="4C4DD93C">
                  <w:pPr>
                    <w:pStyle w:val="78"/>
                    <w:bidi w:val="0"/>
                    <w:ind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rPr>
                    <w:t>标准限值</w:t>
                  </w:r>
                </w:p>
              </w:tc>
              <w:tc>
                <w:tcPr>
                  <w:tcW w:w="1515" w:type="pct"/>
                  <w:tcBorders>
                    <w:right w:val="single" w:color="auto" w:sz="4" w:space="0"/>
                  </w:tcBorders>
                  <w:shd w:val="clear" w:color="auto" w:fill="auto"/>
                  <w:vAlign w:val="center"/>
                </w:tcPr>
                <w:p w14:paraId="411A7066">
                  <w:pPr>
                    <w:pStyle w:val="78"/>
                    <w:bidi w:val="0"/>
                    <w:ind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65</w:t>
                  </w:r>
                </w:p>
              </w:tc>
              <w:tc>
                <w:tcPr>
                  <w:tcW w:w="1516" w:type="pct"/>
                  <w:tcBorders>
                    <w:right w:val="single" w:color="auto" w:sz="4" w:space="0"/>
                  </w:tcBorders>
                  <w:shd w:val="clear" w:color="auto" w:fill="auto"/>
                  <w:vAlign w:val="center"/>
                </w:tcPr>
                <w:p w14:paraId="61203C8D">
                  <w:pPr>
                    <w:pStyle w:val="78"/>
                    <w:bidi w:val="0"/>
                    <w:ind w:firstLine="0" w:firstLineChars="0"/>
                    <w:rPr>
                      <w:rFonts w:hint="default"/>
                      <w:color w:val="auto"/>
                      <w:lang w:val="en-US" w:eastAsia="zh-CN"/>
                    </w:rPr>
                  </w:pPr>
                  <w:r>
                    <w:rPr>
                      <w:rFonts w:hint="eastAsia"/>
                      <w:color w:val="auto"/>
                      <w:lang w:val="en-US" w:eastAsia="zh-CN"/>
                    </w:rPr>
                    <w:t>55</w:t>
                  </w:r>
                </w:p>
              </w:tc>
            </w:tr>
            <w:tr w14:paraId="7ED9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6" w:type="pct"/>
                  <w:vMerge w:val="continue"/>
                  <w:tcBorders>
                    <w:left w:val="single" w:color="auto" w:sz="4" w:space="0"/>
                  </w:tcBorders>
                  <w:vAlign w:val="center"/>
                </w:tcPr>
                <w:p w14:paraId="20CB9063">
                  <w:pPr>
                    <w:pStyle w:val="51"/>
                    <w:spacing w:before="31" w:after="31"/>
                    <w:rPr>
                      <w:color w:val="auto"/>
                      <w:highlight w:val="none"/>
                    </w:rPr>
                  </w:pPr>
                </w:p>
              </w:tc>
              <w:tc>
                <w:tcPr>
                  <w:tcW w:w="1401" w:type="pct"/>
                  <w:vAlign w:val="center"/>
                </w:tcPr>
                <w:p w14:paraId="1E9336D9">
                  <w:pPr>
                    <w:pStyle w:val="51"/>
                    <w:spacing w:before="31" w:after="31"/>
                    <w:ind w:left="24" w:leftChars="10" w:right="24" w:rightChars="10" w:firstLine="0" w:firstLineChars="0"/>
                    <w:rPr>
                      <w:rFonts w:hint="eastAsia"/>
                      <w:color w:val="auto"/>
                      <w:highlight w:val="none"/>
                    </w:rPr>
                  </w:pPr>
                  <w:r>
                    <w:rPr>
                      <w:rFonts w:hint="eastAsia"/>
                      <w:color w:val="auto"/>
                      <w:highlight w:val="none"/>
                    </w:rPr>
                    <w:t>达标情况</w:t>
                  </w:r>
                </w:p>
              </w:tc>
              <w:tc>
                <w:tcPr>
                  <w:tcW w:w="3032" w:type="pct"/>
                  <w:gridSpan w:val="2"/>
                  <w:tcBorders>
                    <w:right w:val="single" w:color="auto" w:sz="4" w:space="0"/>
                  </w:tcBorders>
                  <w:vAlign w:val="center"/>
                </w:tcPr>
                <w:p w14:paraId="4E03DF17">
                  <w:pPr>
                    <w:pStyle w:val="51"/>
                    <w:spacing w:before="31" w:after="31"/>
                    <w:ind w:left="24" w:leftChars="10" w:right="24" w:rightChars="10" w:firstLine="0" w:firstLineChars="0"/>
                    <w:rPr>
                      <w:rFonts w:hint="eastAsia" w:ascii="Times New Roman" w:hAnsi="Times New Roman" w:eastAsia="宋体" w:cs="Times New Roman"/>
                      <w:color w:val="auto"/>
                      <w:spacing w:val="-2"/>
                      <w:kern w:val="2"/>
                      <w:sz w:val="21"/>
                      <w:szCs w:val="18"/>
                      <w:highlight w:val="none"/>
                      <w:lang w:val="en-US" w:eastAsia="zh-CN" w:bidi="ar-SA"/>
                    </w:rPr>
                  </w:pPr>
                  <w:r>
                    <w:rPr>
                      <w:rFonts w:hint="eastAsia"/>
                      <w:color w:val="auto"/>
                      <w:highlight w:val="none"/>
                    </w:rPr>
                    <w:t>达标</w:t>
                  </w:r>
                </w:p>
              </w:tc>
            </w:tr>
            <w:tr w14:paraId="42DBD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6" w:type="pct"/>
                  <w:vMerge w:val="continue"/>
                  <w:tcBorders>
                    <w:left w:val="single" w:color="auto" w:sz="4" w:space="0"/>
                  </w:tcBorders>
                  <w:vAlign w:val="center"/>
                </w:tcPr>
                <w:p w14:paraId="185C4B12">
                  <w:pPr>
                    <w:pStyle w:val="51"/>
                    <w:spacing w:before="31" w:after="31"/>
                    <w:rPr>
                      <w:color w:val="auto"/>
                      <w:highlight w:val="none"/>
                    </w:rPr>
                  </w:pPr>
                </w:p>
              </w:tc>
              <w:tc>
                <w:tcPr>
                  <w:tcW w:w="1401" w:type="pct"/>
                  <w:vAlign w:val="center"/>
                </w:tcPr>
                <w:p w14:paraId="781B1219">
                  <w:pPr>
                    <w:pStyle w:val="51"/>
                    <w:spacing w:before="31" w:after="31"/>
                    <w:ind w:left="24" w:leftChars="10" w:right="24" w:rightChars="10" w:firstLine="0" w:firstLineChars="0"/>
                    <w:rPr>
                      <w:rFonts w:hint="eastAsia"/>
                      <w:color w:val="auto"/>
                      <w:highlight w:val="none"/>
                    </w:rPr>
                  </w:pPr>
                  <w:r>
                    <w:rPr>
                      <w:rFonts w:hint="eastAsia"/>
                      <w:color w:val="auto"/>
                      <w:highlight w:val="none"/>
                    </w:rPr>
                    <w:t>执行标准</w:t>
                  </w:r>
                </w:p>
              </w:tc>
              <w:tc>
                <w:tcPr>
                  <w:tcW w:w="3032" w:type="pct"/>
                  <w:gridSpan w:val="2"/>
                  <w:tcBorders>
                    <w:right w:val="single" w:color="auto" w:sz="4" w:space="0"/>
                  </w:tcBorders>
                  <w:vAlign w:val="center"/>
                </w:tcPr>
                <w:p w14:paraId="743ADF9B">
                  <w:pPr>
                    <w:pStyle w:val="51"/>
                    <w:spacing w:before="31" w:after="31"/>
                    <w:ind w:left="24" w:leftChars="10" w:right="24" w:rightChars="10" w:firstLine="0" w:firstLineChars="0"/>
                    <w:rPr>
                      <w:rFonts w:hint="eastAsia"/>
                      <w:color w:val="auto"/>
                      <w:highlight w:val="none"/>
                    </w:rPr>
                  </w:pPr>
                  <w:r>
                    <w:rPr>
                      <w:rFonts w:hint="eastAsia"/>
                      <w:color w:val="auto"/>
                      <w:highlight w:val="none"/>
                    </w:rPr>
                    <w:t>《声环境质量标准》（GB3096-2008）3类标准</w:t>
                  </w:r>
                </w:p>
              </w:tc>
            </w:tr>
          </w:tbl>
          <w:p w14:paraId="49ECD0C3">
            <w:pPr>
              <w:bidi w:val="0"/>
            </w:pPr>
            <w:r>
              <w:rPr>
                <w:rFonts w:hint="eastAsia"/>
              </w:rPr>
              <w:t>由上表可知，项目</w:t>
            </w:r>
            <w:r>
              <w:rPr>
                <w:rFonts w:hint="eastAsia"/>
                <w:color w:val="auto"/>
                <w:highlight w:val="none"/>
              </w:rPr>
              <w:t>厂界</w:t>
            </w:r>
            <w:r>
              <w:rPr>
                <w:rFonts w:hint="eastAsia"/>
                <w:color w:val="auto"/>
                <w:highlight w:val="none"/>
                <w:lang w:val="en-US" w:eastAsia="zh-CN"/>
              </w:rPr>
              <w:t>噪声</w:t>
            </w:r>
            <w:r>
              <w:rPr>
                <w:rFonts w:hint="eastAsia"/>
              </w:rPr>
              <w:t>能满足《声环境质量标</w:t>
            </w:r>
            <w:r>
              <w:rPr>
                <w:rFonts w:hint="eastAsia"/>
                <w:lang w:val="en-US" w:eastAsia="zh-CN"/>
              </w:rPr>
              <w:t>准</w:t>
            </w:r>
            <w:r>
              <w:rPr>
                <w:rFonts w:hint="eastAsia"/>
              </w:rPr>
              <w:t>（GB3096-2008）3类标准，说明区域声环境质量较好。</w:t>
            </w:r>
          </w:p>
          <w:p w14:paraId="0EFAD2C4">
            <w:pPr>
              <w:ind w:firstLine="482"/>
              <w:rPr>
                <w:b/>
                <w:bCs/>
                <w:color w:val="auto"/>
                <w:highlight w:val="none"/>
              </w:rPr>
            </w:pPr>
            <w:r>
              <w:rPr>
                <w:rFonts w:hint="eastAsia"/>
                <w:b/>
                <w:bCs/>
                <w:color w:val="auto"/>
                <w:highlight w:val="none"/>
              </w:rPr>
              <w:t>4、土壤、地下水</w:t>
            </w:r>
          </w:p>
          <w:p w14:paraId="09717566">
            <w:pPr>
              <w:ind w:firstLine="480"/>
              <w:rPr>
                <w:color w:val="auto"/>
                <w:highlight w:val="none"/>
              </w:rPr>
            </w:pPr>
            <w:r>
              <w:rPr>
                <w:rFonts w:hint="eastAsia"/>
                <w:color w:val="auto"/>
                <w:highlight w:val="none"/>
              </w:rPr>
              <w:t>根据《</w:t>
            </w:r>
            <w:bookmarkStart w:id="5" w:name="建设项目环境影响报告表编制技术指南"/>
            <w:bookmarkEnd w:id="5"/>
            <w:r>
              <w:rPr>
                <w:rFonts w:hint="eastAsia"/>
                <w:color w:val="auto"/>
                <w:highlight w:val="none"/>
              </w:rPr>
              <w:t>建设项目环境影响报告表编制技术指南</w:t>
            </w:r>
            <w:bookmarkStart w:id="6" w:name="（污染影响类）（试行）"/>
            <w:bookmarkEnd w:id="6"/>
            <w:r>
              <w:rPr>
                <w:rFonts w:hint="eastAsia"/>
                <w:color w:val="auto"/>
                <w:highlight w:val="none"/>
              </w:rPr>
              <w:t>（污染影响类）（试行）》地下水、土壤环境原则上不开展环境质量现状调查。建设项目存在土壤、地下水环境污染途径的，应结合污染源、保护目标分布情况开展现状调查以留作背景值。</w:t>
            </w:r>
            <w:r>
              <w:rPr>
                <w:rFonts w:hint="eastAsia"/>
                <w:color w:val="auto"/>
                <w:highlight w:val="none"/>
                <w:lang w:val="en-US" w:eastAsia="zh-CN"/>
              </w:rPr>
              <w:t>本项目生产车间进行一般防渗；</w:t>
            </w:r>
            <w:r>
              <w:rPr>
                <w:rFonts w:hint="eastAsia"/>
                <w:color w:val="auto"/>
              </w:rPr>
              <w:t>生活污水经</w:t>
            </w:r>
            <w:r>
              <w:rPr>
                <w:rFonts w:hint="eastAsia"/>
              </w:rPr>
              <w:t>生活污水经</w:t>
            </w:r>
            <w:r>
              <w:rPr>
                <w:rFonts w:hint="eastAsia"/>
                <w:lang w:val="en-US" w:eastAsia="zh-CN"/>
              </w:rPr>
              <w:t>化粪池处理后</w:t>
            </w:r>
            <w:r>
              <w:rPr>
                <w:rFonts w:hint="default"/>
                <w:color w:val="auto"/>
              </w:rPr>
              <w:t>排入</w:t>
            </w:r>
            <w:r>
              <w:rPr>
                <w:rFonts w:hint="eastAsia"/>
                <w:color w:val="auto"/>
                <w:lang w:val="en-US" w:eastAsia="zh-CN"/>
              </w:rPr>
              <w:t>市政</w:t>
            </w:r>
            <w:r>
              <w:rPr>
                <w:rFonts w:hint="default"/>
                <w:color w:val="auto"/>
              </w:rPr>
              <w:t>污水管网后进入淮南经济开发区污水处理厂（三万吨污水处理厂）</w:t>
            </w:r>
            <w:r>
              <w:rPr>
                <w:rFonts w:hint="eastAsia"/>
                <w:color w:val="auto"/>
                <w:lang w:val="en-US" w:eastAsia="zh-CN"/>
              </w:rPr>
              <w:t>处理</w:t>
            </w:r>
            <w:r>
              <w:rPr>
                <w:rFonts w:hint="eastAsia"/>
                <w:color w:val="auto"/>
              </w:rPr>
              <w:t>。危废间等有液态物质存储区域采取重点防渗措施，液态物料存储于包装桶内，包装桶存放于防泄漏托盘内，存储物料不会外泄进入外环境对污染地下水和土壤造成污染。</w:t>
            </w:r>
            <w:r>
              <w:rPr>
                <w:rFonts w:hint="eastAsia"/>
                <w:color w:val="auto"/>
                <w:highlight w:val="none"/>
              </w:rPr>
              <w:t>故不开展地下水、土壤环境现状调查。</w:t>
            </w:r>
          </w:p>
          <w:p w14:paraId="264B300D">
            <w:pPr>
              <w:ind w:firstLine="482"/>
              <w:rPr>
                <w:b/>
                <w:bCs/>
                <w:color w:val="auto"/>
                <w:highlight w:val="none"/>
              </w:rPr>
            </w:pPr>
            <w:r>
              <w:rPr>
                <w:rFonts w:hint="eastAsia"/>
                <w:b/>
                <w:bCs/>
                <w:color w:val="auto"/>
                <w:highlight w:val="none"/>
              </w:rPr>
              <w:t>5、生态环境、电磁辐射</w:t>
            </w:r>
          </w:p>
          <w:p w14:paraId="6E50B36F">
            <w:pPr>
              <w:ind w:firstLine="480"/>
              <w:rPr>
                <w:rFonts w:hint="eastAsia"/>
                <w:color w:val="auto"/>
                <w:highlight w:val="none"/>
              </w:rPr>
            </w:pPr>
            <w:r>
              <w:rPr>
                <w:rFonts w:hint="eastAsia"/>
                <w:color w:val="auto"/>
                <w:highlight w:val="none"/>
              </w:rPr>
              <w:t>根据《建设项目环境影响报告表编制技术指南（污染影响类）（试行）》，建设项目新增用地且用地范围内含有生态环境保护目标时，应进行生态现状调查。</w:t>
            </w:r>
            <w:r>
              <w:rPr>
                <w:rFonts w:hint="eastAsia"/>
                <w:color w:val="auto"/>
                <w:lang w:val="en-US" w:eastAsia="zh-CN"/>
              </w:rPr>
              <w:t>本项目位于淮南市经济开发区淮南益生啤酒有限公司</w:t>
            </w:r>
            <w:r>
              <w:rPr>
                <w:rFonts w:hint="eastAsia"/>
                <w:lang w:val="en-US" w:eastAsia="zh-CN"/>
              </w:rPr>
              <w:t>闲置厂房</w:t>
            </w:r>
            <w:r>
              <w:rPr>
                <w:rFonts w:hint="eastAsia"/>
                <w:color w:val="auto"/>
                <w:lang w:val="en-US" w:eastAsia="zh-CN"/>
              </w:rPr>
              <w:t>，且周边无生态环境保护目标</w:t>
            </w:r>
            <w:r>
              <w:rPr>
                <w:rFonts w:hint="eastAsia"/>
                <w:color w:val="auto"/>
                <w:highlight w:val="none"/>
                <w:lang w:val="en-US" w:eastAsia="zh-CN"/>
              </w:rPr>
              <w:t>，无新增用地</w:t>
            </w:r>
            <w:r>
              <w:rPr>
                <w:rFonts w:hint="eastAsia"/>
                <w:color w:val="auto"/>
                <w:highlight w:val="none"/>
              </w:rPr>
              <w:t>且周边无生态环境保护目标，故未进行生态环境质量监测。</w:t>
            </w:r>
          </w:p>
          <w:p w14:paraId="6B594DAB">
            <w:pPr>
              <w:ind w:firstLine="480"/>
              <w:rPr>
                <w:color w:val="auto"/>
                <w:highlight w:val="none"/>
              </w:rPr>
            </w:pPr>
            <w:r>
              <w:rPr>
                <w:rFonts w:hint="eastAsia"/>
                <w:color w:val="auto"/>
                <w:highlight w:val="none"/>
              </w:rPr>
              <w:t>本项目不存在电磁辐射等污染，因此</w:t>
            </w:r>
            <w:r>
              <w:rPr>
                <w:rFonts w:hint="eastAsia"/>
                <w:color w:val="auto"/>
                <w:highlight w:val="none"/>
                <w:lang w:val="en-US" w:eastAsia="zh-CN"/>
              </w:rPr>
              <w:t>未</w:t>
            </w:r>
            <w:r>
              <w:rPr>
                <w:rFonts w:hint="eastAsia"/>
                <w:color w:val="auto"/>
                <w:highlight w:val="none"/>
              </w:rPr>
              <w:t>开展电磁辐射现状监测与评价。本项目不涉及电磁辐射</w:t>
            </w:r>
            <w:r>
              <w:rPr>
                <w:color w:val="auto"/>
                <w:highlight w:val="none"/>
              </w:rPr>
              <w:t>。</w:t>
            </w:r>
          </w:p>
        </w:tc>
      </w:tr>
      <w:tr w14:paraId="4B34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1288" w:type="dxa"/>
            <w:tcBorders>
              <w:tl2br w:val="nil"/>
              <w:tr2bl w:val="nil"/>
            </w:tcBorders>
            <w:shd w:val="clear" w:color="auto" w:fill="auto"/>
            <w:vAlign w:val="center"/>
          </w:tcPr>
          <w:p w14:paraId="74F3CE25">
            <w:pPr>
              <w:ind w:firstLine="0" w:firstLineChars="0"/>
              <w:jc w:val="center"/>
              <w:rPr>
                <w:color w:val="auto"/>
                <w:highlight w:val="none"/>
              </w:rPr>
            </w:pPr>
            <w:r>
              <w:rPr>
                <w:rFonts w:hint="eastAsia" w:ascii="宋体"/>
                <w:color w:val="auto"/>
                <w:highlight w:val="none"/>
              </w:rPr>
              <w:t>环境保护目标</w:t>
            </w:r>
          </w:p>
        </w:tc>
        <w:tc>
          <w:tcPr>
            <w:tcW w:w="8000" w:type="dxa"/>
            <w:tcBorders>
              <w:tl2br w:val="nil"/>
              <w:tr2bl w:val="nil"/>
            </w:tcBorders>
            <w:shd w:val="clear" w:color="auto" w:fill="auto"/>
          </w:tcPr>
          <w:p w14:paraId="6801CCA5">
            <w:pPr>
              <w:bidi w:val="0"/>
              <w:rPr>
                <w:color w:val="auto"/>
              </w:rPr>
            </w:pPr>
            <w:r>
              <w:rPr>
                <w:color w:val="auto"/>
              </w:rPr>
              <w:t>本项目位于</w:t>
            </w:r>
            <w:r>
              <w:rPr>
                <w:rFonts w:hint="eastAsia"/>
                <w:color w:val="auto"/>
                <w:lang w:val="en-US" w:eastAsia="zh-CN"/>
              </w:rPr>
              <w:t>淮南市经济开发区</w:t>
            </w:r>
            <w:r>
              <w:rPr>
                <w:rFonts w:hint="eastAsia"/>
                <w:color w:val="auto"/>
              </w:rPr>
              <w:t>内</w:t>
            </w:r>
            <w:r>
              <w:rPr>
                <w:color w:val="auto"/>
              </w:rPr>
              <w:t>，项目评价范围内</w:t>
            </w:r>
            <w:r>
              <w:rPr>
                <w:rFonts w:hint="eastAsia"/>
                <w:color w:val="auto"/>
                <w:lang w:eastAsia="zh-CN"/>
              </w:rPr>
              <w:t>没有其他</w:t>
            </w:r>
            <w:r>
              <w:rPr>
                <w:color w:val="auto"/>
              </w:rPr>
              <w:t>自然保护区、风景旅游点和文物古迹等需要特殊保护的环境敏感对象。总体上不因本项目的实施而改变区域环境现有功能，具体环境保护目标如下：</w:t>
            </w:r>
          </w:p>
          <w:p w14:paraId="246B6DD2">
            <w:pPr>
              <w:bidi w:val="0"/>
              <w:rPr>
                <w:rFonts w:hint="eastAsia"/>
                <w:b/>
                <w:bCs/>
                <w:color w:val="auto"/>
              </w:rPr>
            </w:pPr>
            <w:r>
              <w:rPr>
                <w:rFonts w:hint="eastAsia"/>
                <w:b/>
                <w:bCs/>
                <w:color w:val="auto"/>
                <w:lang w:val="en-US" w:eastAsia="zh-CN"/>
              </w:rPr>
              <w:t>1、</w:t>
            </w:r>
            <w:r>
              <w:rPr>
                <w:rFonts w:hint="eastAsia"/>
                <w:b/>
                <w:bCs/>
                <w:color w:val="auto"/>
              </w:rPr>
              <w:t>大气环境保护目标</w:t>
            </w:r>
            <w:r>
              <w:rPr>
                <w:b/>
                <w:bCs/>
                <w:color w:val="auto"/>
              </w:rPr>
              <w:t>：</w:t>
            </w:r>
          </w:p>
          <w:p w14:paraId="73C76634">
            <w:pPr>
              <w:bidi w:val="0"/>
              <w:rPr>
                <w:rFonts w:hint="eastAsia"/>
                <w:lang w:eastAsia="zh-CN"/>
              </w:rPr>
            </w:pPr>
            <w:r>
              <w:rPr>
                <w:rFonts w:hint="eastAsia"/>
                <w:lang w:val="en-US" w:eastAsia="zh-CN"/>
              </w:rPr>
              <w:t>本项目厂界外500m</w:t>
            </w:r>
            <w:r>
              <w:rPr>
                <w:rFonts w:hint="eastAsia"/>
              </w:rPr>
              <w:t>范围内</w:t>
            </w:r>
            <w:r>
              <w:rPr>
                <w:rFonts w:hint="eastAsia"/>
                <w:lang w:val="en-US" w:eastAsia="zh-CN"/>
              </w:rPr>
              <w:t>无自然保护区、风景名胜区、大气</w:t>
            </w:r>
            <w:r>
              <w:rPr>
                <w:rFonts w:hint="eastAsia"/>
              </w:rPr>
              <w:t>环境保护目标</w:t>
            </w:r>
            <w:r>
              <w:rPr>
                <w:rFonts w:hint="eastAsia"/>
                <w:lang w:eastAsia="zh-CN"/>
              </w:rPr>
              <w:t>。</w:t>
            </w:r>
          </w:p>
          <w:p w14:paraId="188CD6DB">
            <w:pPr>
              <w:bidi w:val="0"/>
              <w:rPr>
                <w:rFonts w:hint="eastAsia"/>
                <w:b/>
                <w:bCs/>
                <w:color w:val="auto"/>
              </w:rPr>
            </w:pPr>
            <w:r>
              <w:rPr>
                <w:rFonts w:hint="eastAsia"/>
                <w:b/>
                <w:bCs/>
                <w:color w:val="auto"/>
                <w:lang w:val="en-US" w:eastAsia="zh-CN"/>
              </w:rPr>
              <w:t>2、</w:t>
            </w:r>
            <w:r>
              <w:rPr>
                <w:b/>
                <w:bCs/>
                <w:color w:val="auto"/>
              </w:rPr>
              <w:t>声</w:t>
            </w:r>
            <w:r>
              <w:rPr>
                <w:rFonts w:hint="eastAsia"/>
                <w:b/>
                <w:bCs/>
                <w:color w:val="auto"/>
              </w:rPr>
              <w:t>环境保护目标</w:t>
            </w:r>
            <w:r>
              <w:rPr>
                <w:b/>
                <w:bCs/>
                <w:color w:val="auto"/>
              </w:rPr>
              <w:t>：</w:t>
            </w:r>
          </w:p>
          <w:p w14:paraId="055C6DD5">
            <w:pPr>
              <w:bidi w:val="0"/>
              <w:rPr>
                <w:rFonts w:hint="eastAsia"/>
                <w:color w:val="auto"/>
                <w:lang w:eastAsia="zh-CN"/>
              </w:rPr>
            </w:pPr>
            <w:r>
              <w:rPr>
                <w:rFonts w:hint="eastAsia"/>
                <w:color w:val="auto"/>
              </w:rPr>
              <w:t>厂界外50米范围内</w:t>
            </w:r>
            <w:r>
              <w:rPr>
                <w:rFonts w:hint="eastAsia"/>
                <w:color w:val="auto"/>
                <w:lang w:val="en-US" w:eastAsia="zh-CN"/>
              </w:rPr>
              <w:t>无</w:t>
            </w:r>
            <w:r>
              <w:rPr>
                <w:rFonts w:hint="eastAsia"/>
                <w:color w:val="auto"/>
              </w:rPr>
              <w:t>声环境保护目标</w:t>
            </w:r>
            <w:r>
              <w:rPr>
                <w:rFonts w:hint="eastAsia"/>
                <w:color w:val="auto"/>
                <w:lang w:eastAsia="zh-CN"/>
              </w:rPr>
              <w:t>。</w:t>
            </w:r>
          </w:p>
          <w:p w14:paraId="06BE77E1">
            <w:pPr>
              <w:bidi w:val="0"/>
              <w:rPr>
                <w:rFonts w:hint="eastAsia"/>
                <w:b/>
                <w:bCs/>
                <w:color w:val="auto"/>
              </w:rPr>
            </w:pPr>
            <w:r>
              <w:rPr>
                <w:rFonts w:hint="eastAsia"/>
                <w:b/>
                <w:bCs/>
                <w:color w:val="auto"/>
                <w:lang w:val="en-US" w:eastAsia="zh-CN"/>
              </w:rPr>
              <w:t>3、</w:t>
            </w:r>
            <w:r>
              <w:rPr>
                <w:rFonts w:hint="eastAsia"/>
                <w:b/>
                <w:bCs/>
                <w:color w:val="auto"/>
              </w:rPr>
              <w:t>地下水环境保护目标</w:t>
            </w:r>
          </w:p>
          <w:p w14:paraId="381AC354">
            <w:pPr>
              <w:bidi w:val="0"/>
              <w:rPr>
                <w:rFonts w:hint="eastAsia"/>
                <w:color w:val="auto"/>
              </w:rPr>
            </w:pPr>
            <w:r>
              <w:rPr>
                <w:rFonts w:hint="eastAsia"/>
                <w:color w:val="auto"/>
              </w:rPr>
              <w:t>厂界外500米范围内无地下水集中式饮用水水源和热水、矿泉水、温泉等特殊地下水资源，无地下水环境保护目标。</w:t>
            </w:r>
          </w:p>
          <w:p w14:paraId="489EF814">
            <w:pPr>
              <w:bidi w:val="0"/>
              <w:rPr>
                <w:rFonts w:hint="eastAsia"/>
                <w:b/>
                <w:bCs/>
                <w:color w:val="auto"/>
              </w:rPr>
            </w:pPr>
            <w:r>
              <w:rPr>
                <w:rFonts w:hint="eastAsia"/>
                <w:b/>
                <w:bCs/>
                <w:color w:val="auto"/>
                <w:lang w:val="en-US" w:eastAsia="zh-CN"/>
              </w:rPr>
              <w:t>4、</w:t>
            </w:r>
            <w:r>
              <w:rPr>
                <w:rFonts w:hint="eastAsia"/>
                <w:b/>
                <w:bCs/>
                <w:color w:val="auto"/>
              </w:rPr>
              <w:t>生态环境保护目标</w:t>
            </w:r>
          </w:p>
          <w:p w14:paraId="7907357A">
            <w:pPr>
              <w:bidi w:val="0"/>
              <w:rPr>
                <w:color w:val="auto"/>
                <w:highlight w:val="none"/>
              </w:rPr>
            </w:pPr>
            <w:r>
              <w:rPr>
                <w:rFonts w:hint="eastAsia"/>
                <w:color w:val="auto"/>
                <w:lang w:eastAsia="zh-CN"/>
              </w:rPr>
              <w:t>本</w:t>
            </w:r>
            <w:r>
              <w:rPr>
                <w:rFonts w:hint="eastAsia"/>
                <w:color w:val="auto"/>
              </w:rPr>
              <w:t>项目</w:t>
            </w:r>
            <w:r>
              <w:rPr>
                <w:rFonts w:hint="eastAsia"/>
                <w:color w:val="auto"/>
                <w:lang w:val="en-US" w:eastAsia="zh-CN"/>
              </w:rPr>
              <w:t>厂房为租赁</w:t>
            </w:r>
            <w:r>
              <w:rPr>
                <w:rFonts w:hint="eastAsia"/>
                <w:color w:val="auto"/>
              </w:rPr>
              <w:t>，不新增占地，无生态环境保护目标。</w:t>
            </w:r>
          </w:p>
        </w:tc>
      </w:tr>
      <w:tr w14:paraId="4F52C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8" w:type="dxa"/>
            <w:tcBorders>
              <w:tl2br w:val="nil"/>
              <w:tr2bl w:val="nil"/>
            </w:tcBorders>
            <w:shd w:val="clear" w:color="auto" w:fill="auto"/>
            <w:vAlign w:val="center"/>
          </w:tcPr>
          <w:p w14:paraId="2FB042CC">
            <w:pPr>
              <w:ind w:firstLine="0" w:firstLineChars="0"/>
              <w:jc w:val="center"/>
              <w:rPr>
                <w:color w:val="auto"/>
                <w:highlight w:val="none"/>
              </w:rPr>
            </w:pPr>
            <w:r>
              <w:rPr>
                <w:color w:val="auto"/>
                <w:szCs w:val="21"/>
                <w:highlight w:val="none"/>
              </w:rPr>
              <w:t>污染物排放标准</w:t>
            </w:r>
          </w:p>
        </w:tc>
        <w:tc>
          <w:tcPr>
            <w:tcW w:w="8000" w:type="dxa"/>
            <w:tcBorders>
              <w:tl2br w:val="nil"/>
              <w:tr2bl w:val="nil"/>
            </w:tcBorders>
            <w:shd w:val="clear" w:color="auto" w:fill="auto"/>
            <w:vAlign w:val="center"/>
          </w:tcPr>
          <w:p w14:paraId="16F67928">
            <w:pPr>
              <w:bidi w:val="0"/>
              <w:rPr>
                <w:b/>
                <w:bCs/>
              </w:rPr>
            </w:pPr>
            <w:r>
              <w:rPr>
                <w:rFonts w:hint="eastAsia"/>
                <w:b/>
                <w:bCs/>
              </w:rPr>
              <w:t>1、废气污染物排放标准</w:t>
            </w:r>
          </w:p>
          <w:p w14:paraId="208EC695">
            <w:pPr>
              <w:spacing w:before="2"/>
              <w:ind w:firstLine="480"/>
              <w:rPr>
                <w:color w:val="auto"/>
              </w:rPr>
            </w:pPr>
            <w:r>
              <w:rPr>
                <w:color w:val="auto"/>
              </w:rPr>
              <w:t>项目非甲烷总烃有组织排放执行</w:t>
            </w:r>
            <w:r>
              <w:rPr>
                <w:rFonts w:hint="eastAsia" w:ascii="Times New Roman" w:hAnsi="Times New Roman" w:cs="Times New Roman"/>
                <w:b w:val="0"/>
                <w:bCs w:val="0"/>
                <w:color w:val="auto"/>
                <w:sz w:val="24"/>
                <w:szCs w:val="24"/>
                <w:highlight w:val="none"/>
                <w:lang w:val="en-US" w:eastAsia="zh-CN"/>
              </w:rPr>
              <w:t>《固定源挥发性有机物综合排放标准-第6部分：其他行业》（DB34 4812.6-2024 ）表1排放限制</w:t>
            </w:r>
            <w:r>
              <w:rPr>
                <w:color w:val="auto"/>
              </w:rPr>
              <w:t>；</w:t>
            </w:r>
            <w:r>
              <w:rPr>
                <w:rFonts w:hint="eastAsia"/>
                <w:color w:val="auto"/>
                <w:lang w:val="en-US" w:eastAsia="zh-CN"/>
              </w:rPr>
              <w:t>苯乙烯</w:t>
            </w:r>
            <w:r>
              <w:rPr>
                <w:color w:val="auto"/>
              </w:rPr>
              <w:t>有组织排放执行</w:t>
            </w:r>
            <w:r>
              <w:rPr>
                <w:rFonts w:hint="eastAsia" w:ascii="Times New Roman" w:hAnsi="Times New Roman" w:cs="Times New Roman"/>
                <w:b w:val="0"/>
                <w:bCs w:val="0"/>
                <w:color w:val="auto"/>
                <w:sz w:val="24"/>
                <w:szCs w:val="24"/>
                <w:highlight w:val="none"/>
                <w:lang w:val="en-US" w:eastAsia="zh-CN"/>
              </w:rPr>
              <w:t>《固定源挥发性有机物综合排放标准-第6部分：其他行业》（DB34 4812.6-2024 ）表2排放限制</w:t>
            </w:r>
            <w:r>
              <w:rPr>
                <w:color w:val="auto"/>
              </w:rPr>
              <w:t>；臭气浓度排放执行《恶臭污染物排放标准》（GB14554-93）</w:t>
            </w:r>
            <w:r>
              <w:rPr>
                <w:rFonts w:hint="eastAsia"/>
                <w:color w:val="auto"/>
              </w:rPr>
              <w:t>表 2 恶臭污染物排放标准值及</w:t>
            </w:r>
            <w:r>
              <w:rPr>
                <w:color w:val="auto"/>
              </w:rPr>
              <w:t>表 1 中恶臭污染物厂界浓度控制限值；厂区内VOCs无组织排放监控点浓度应符合</w:t>
            </w:r>
            <w:r>
              <w:rPr>
                <w:rFonts w:hint="eastAsia" w:ascii="Times New Roman" w:hAnsi="Times New Roman" w:cs="Times New Roman"/>
                <w:b w:val="0"/>
                <w:bCs w:val="0"/>
                <w:color w:val="auto"/>
                <w:sz w:val="24"/>
                <w:szCs w:val="24"/>
                <w:highlight w:val="none"/>
                <w:lang w:val="en-US" w:eastAsia="zh-CN"/>
              </w:rPr>
              <w:t>《固定源挥发性有机物综合排放标准-第6部分：其他行业》（DB34 4812.6-2024 ）表4排放限制</w:t>
            </w:r>
            <w:r>
              <w:rPr>
                <w:rFonts w:hint="eastAsia"/>
                <w:color w:val="auto"/>
              </w:rPr>
              <w:t>。</w:t>
            </w:r>
            <w:r>
              <w:rPr>
                <w:color w:val="auto"/>
              </w:rPr>
              <w:t>详情见表</w:t>
            </w:r>
            <w:r>
              <w:rPr>
                <w:rFonts w:hint="eastAsia"/>
                <w:color w:val="auto"/>
              </w:rPr>
              <w:t>3-9~3-11</w:t>
            </w:r>
            <w:r>
              <w:rPr>
                <w:rFonts w:hint="eastAsia" w:ascii="宋体" w:hAnsi="宋体" w:cs="宋体"/>
                <w:color w:val="auto"/>
              </w:rPr>
              <w:t>。</w:t>
            </w:r>
          </w:p>
          <w:p w14:paraId="32E58F0F">
            <w:pPr>
              <w:pStyle w:val="91"/>
              <w:rPr>
                <w:color w:val="auto"/>
                <w:kern w:val="2"/>
                <w:sz w:val="24"/>
                <w:szCs w:val="24"/>
              </w:rPr>
            </w:pPr>
            <w:r>
              <w:rPr>
                <w:rFonts w:hint="eastAsia"/>
                <w:color w:val="auto"/>
                <w:kern w:val="2"/>
                <w:sz w:val="24"/>
                <w:szCs w:val="24"/>
              </w:rPr>
              <w:t>表3-</w:t>
            </w:r>
            <w:r>
              <w:rPr>
                <w:rFonts w:hint="eastAsia"/>
                <w:color w:val="auto"/>
                <w:kern w:val="2"/>
                <w:sz w:val="24"/>
                <w:szCs w:val="24"/>
                <w:lang w:val="en-US" w:eastAsia="zh-CN"/>
              </w:rPr>
              <w:t>4</w:t>
            </w:r>
            <w:r>
              <w:rPr>
                <w:rFonts w:hint="eastAsia"/>
                <w:color w:val="auto"/>
                <w:kern w:val="2"/>
                <w:sz w:val="24"/>
                <w:szCs w:val="24"/>
              </w:rPr>
              <w:t xml:space="preserve"> </w:t>
            </w:r>
            <w:r>
              <w:rPr>
                <w:rFonts w:hint="eastAsia" w:ascii="Times New Roman" w:hAnsi="Times New Roman" w:cs="Times New Roman"/>
                <w:b/>
                <w:bCs/>
                <w:color w:val="auto"/>
                <w:sz w:val="24"/>
                <w:szCs w:val="24"/>
                <w:highlight w:val="none"/>
                <w:lang w:val="en-US" w:eastAsia="zh-CN"/>
              </w:rPr>
              <w:t>《固定源挥发性有机物综合排放标准-第6部分：其他行业》（DB34 4812.6-2024 ）</w:t>
            </w:r>
          </w:p>
          <w:tbl>
            <w:tblPr>
              <w:tblStyle w:val="26"/>
              <w:tblW w:w="0" w:type="auto"/>
              <w:tblInd w:w="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994"/>
              <w:gridCol w:w="2085"/>
              <w:gridCol w:w="1930"/>
              <w:gridCol w:w="2385"/>
            </w:tblGrid>
            <w:tr w14:paraId="4BC4E0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5" w:hRule="atLeast"/>
              </w:trPr>
              <w:tc>
                <w:tcPr>
                  <w:tcW w:w="1994" w:type="dxa"/>
                  <w:vMerge w:val="restart"/>
                  <w:noWrap/>
                  <w:vAlign w:val="center"/>
                </w:tcPr>
                <w:p w14:paraId="650D7101">
                  <w:pPr>
                    <w:pStyle w:val="68"/>
                    <w:rPr>
                      <w:rFonts w:hint="default"/>
                      <w:color w:val="auto"/>
                    </w:rPr>
                  </w:pPr>
                  <w:r>
                    <w:rPr>
                      <w:color w:val="auto"/>
                    </w:rPr>
                    <w:t>污染物</w:t>
                  </w:r>
                </w:p>
              </w:tc>
              <w:tc>
                <w:tcPr>
                  <w:tcW w:w="4015" w:type="dxa"/>
                  <w:gridSpan w:val="2"/>
                  <w:noWrap/>
                  <w:vAlign w:val="center"/>
                </w:tcPr>
                <w:p w14:paraId="05E4409D">
                  <w:pPr>
                    <w:pStyle w:val="68"/>
                    <w:rPr>
                      <w:color w:val="auto"/>
                    </w:rPr>
                  </w:pPr>
                  <w:r>
                    <w:rPr>
                      <w:color w:val="auto"/>
                    </w:rPr>
                    <w:t>排放限值</w:t>
                  </w:r>
                </w:p>
              </w:tc>
              <w:tc>
                <w:tcPr>
                  <w:tcW w:w="2385" w:type="dxa"/>
                  <w:vMerge w:val="restart"/>
                  <w:noWrap/>
                  <w:vAlign w:val="center"/>
                </w:tcPr>
                <w:p w14:paraId="63C1E599">
                  <w:pPr>
                    <w:pStyle w:val="68"/>
                    <w:rPr>
                      <w:rFonts w:hint="default"/>
                      <w:color w:val="auto"/>
                    </w:rPr>
                  </w:pPr>
                  <w:r>
                    <w:rPr>
                      <w:color w:val="auto"/>
                    </w:rPr>
                    <w:t>污染物排放监控位置</w:t>
                  </w:r>
                </w:p>
              </w:tc>
            </w:tr>
            <w:tr w14:paraId="189AD9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5" w:hRule="atLeast"/>
              </w:trPr>
              <w:tc>
                <w:tcPr>
                  <w:tcW w:w="1994" w:type="dxa"/>
                  <w:vMerge w:val="continue"/>
                  <w:noWrap/>
                  <w:vAlign w:val="center"/>
                </w:tcPr>
                <w:p w14:paraId="3B6927D7">
                  <w:pPr>
                    <w:pStyle w:val="68"/>
                    <w:rPr>
                      <w:color w:val="auto"/>
                    </w:rPr>
                  </w:pPr>
                </w:p>
              </w:tc>
              <w:tc>
                <w:tcPr>
                  <w:tcW w:w="2085" w:type="dxa"/>
                  <w:noWrap/>
                  <w:vAlign w:val="center"/>
                </w:tcPr>
                <w:p w14:paraId="6102D882">
                  <w:pPr>
                    <w:pStyle w:val="68"/>
                    <w:rPr>
                      <w:rFonts w:hint="default" w:eastAsia="宋体"/>
                      <w:color w:val="auto"/>
                      <w:lang w:val="en-US" w:eastAsia="zh-CN"/>
                    </w:rPr>
                  </w:pPr>
                  <w:r>
                    <w:rPr>
                      <w:rFonts w:hint="eastAsia"/>
                      <w:color w:val="auto"/>
                      <w:lang w:val="en-US" w:eastAsia="zh-CN"/>
                    </w:rPr>
                    <w:t>最高允许排放浓度</w:t>
                  </w:r>
                </w:p>
              </w:tc>
              <w:tc>
                <w:tcPr>
                  <w:tcW w:w="1930" w:type="dxa"/>
                  <w:noWrap/>
                  <w:vAlign w:val="center"/>
                </w:tcPr>
                <w:p w14:paraId="7B1E3604">
                  <w:pPr>
                    <w:pStyle w:val="68"/>
                    <w:rPr>
                      <w:rFonts w:hint="default" w:eastAsia="宋体"/>
                      <w:color w:val="auto"/>
                      <w:lang w:val="en-US" w:eastAsia="zh-CN"/>
                    </w:rPr>
                  </w:pPr>
                  <w:r>
                    <w:rPr>
                      <w:rFonts w:hint="eastAsia"/>
                      <w:color w:val="auto"/>
                      <w:lang w:val="en-US" w:eastAsia="zh-CN"/>
                    </w:rPr>
                    <w:t>最高允许排放速率</w:t>
                  </w:r>
                </w:p>
              </w:tc>
              <w:tc>
                <w:tcPr>
                  <w:tcW w:w="2385" w:type="dxa"/>
                  <w:vMerge w:val="continue"/>
                  <w:noWrap/>
                  <w:vAlign w:val="center"/>
                </w:tcPr>
                <w:p w14:paraId="2F0B2860">
                  <w:pPr>
                    <w:pStyle w:val="68"/>
                    <w:rPr>
                      <w:color w:val="auto"/>
                    </w:rPr>
                  </w:pPr>
                </w:p>
              </w:tc>
            </w:tr>
            <w:tr w14:paraId="45DF66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994" w:type="dxa"/>
                  <w:noWrap/>
                  <w:vAlign w:val="center"/>
                </w:tcPr>
                <w:p w14:paraId="74400956">
                  <w:pPr>
                    <w:pStyle w:val="68"/>
                    <w:rPr>
                      <w:rFonts w:hint="default"/>
                      <w:color w:val="auto"/>
                    </w:rPr>
                  </w:pPr>
                  <w:r>
                    <w:rPr>
                      <w:rFonts w:hint="eastAsia"/>
                      <w:color w:val="auto"/>
                    </w:rPr>
                    <w:t>NMHC</w:t>
                  </w:r>
                </w:p>
              </w:tc>
              <w:tc>
                <w:tcPr>
                  <w:tcW w:w="2085" w:type="dxa"/>
                  <w:noWrap/>
                  <w:vAlign w:val="center"/>
                </w:tcPr>
                <w:p w14:paraId="2AD3B4E1">
                  <w:pPr>
                    <w:pStyle w:val="68"/>
                    <w:rPr>
                      <w:rFonts w:hint="default"/>
                      <w:color w:val="auto"/>
                    </w:rPr>
                  </w:pPr>
                  <w:r>
                    <w:rPr>
                      <w:rFonts w:hint="eastAsia"/>
                      <w:color w:val="auto"/>
                      <w:lang w:val="en-US" w:eastAsia="zh-CN"/>
                    </w:rPr>
                    <w:t>40mg/m³</w:t>
                  </w:r>
                </w:p>
              </w:tc>
              <w:tc>
                <w:tcPr>
                  <w:tcW w:w="1930" w:type="dxa"/>
                  <w:noWrap/>
                  <w:vAlign w:val="center"/>
                </w:tcPr>
                <w:p w14:paraId="0CB4F98D">
                  <w:pPr>
                    <w:pStyle w:val="68"/>
                    <w:rPr>
                      <w:rFonts w:hint="default" w:eastAsia="宋体"/>
                      <w:color w:val="auto"/>
                      <w:lang w:val="en-US" w:eastAsia="zh-CN"/>
                    </w:rPr>
                  </w:pPr>
                  <w:r>
                    <w:rPr>
                      <w:rFonts w:hint="eastAsia"/>
                      <w:color w:val="auto"/>
                      <w:lang w:val="en-US" w:eastAsia="zh-CN"/>
                    </w:rPr>
                    <w:t>1.6kg/h</w:t>
                  </w:r>
                </w:p>
              </w:tc>
              <w:tc>
                <w:tcPr>
                  <w:tcW w:w="2385" w:type="dxa"/>
                  <w:vMerge w:val="restart"/>
                  <w:noWrap/>
                  <w:vAlign w:val="center"/>
                </w:tcPr>
                <w:p w14:paraId="2872DF61">
                  <w:pPr>
                    <w:pStyle w:val="68"/>
                    <w:rPr>
                      <w:rFonts w:hint="default"/>
                      <w:color w:val="auto"/>
                    </w:rPr>
                  </w:pPr>
                  <w:r>
                    <w:rPr>
                      <w:color w:val="auto"/>
                    </w:rPr>
                    <w:t>车间或生产设施排气筒</w:t>
                  </w:r>
                </w:p>
              </w:tc>
            </w:tr>
            <w:tr w14:paraId="764EE8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994" w:type="dxa"/>
                  <w:noWrap/>
                  <w:vAlign w:val="center"/>
                </w:tcPr>
                <w:p w14:paraId="3319DE72">
                  <w:pPr>
                    <w:pStyle w:val="68"/>
                    <w:rPr>
                      <w:rFonts w:hint="eastAsia" w:eastAsia="宋体"/>
                      <w:color w:val="auto"/>
                      <w:lang w:val="en-US" w:eastAsia="zh-CN"/>
                    </w:rPr>
                  </w:pPr>
                  <w:r>
                    <w:rPr>
                      <w:rFonts w:hint="eastAsia"/>
                      <w:color w:val="auto"/>
                      <w:lang w:val="en-US" w:eastAsia="zh-CN"/>
                    </w:rPr>
                    <w:t>苯乙烯</w:t>
                  </w:r>
                </w:p>
              </w:tc>
              <w:tc>
                <w:tcPr>
                  <w:tcW w:w="2085" w:type="dxa"/>
                  <w:noWrap/>
                  <w:vAlign w:val="center"/>
                </w:tcPr>
                <w:p w14:paraId="1E4984BE">
                  <w:pPr>
                    <w:pStyle w:val="68"/>
                    <w:rPr>
                      <w:rFonts w:hint="default"/>
                      <w:color w:val="auto"/>
                      <w:lang w:val="en-US" w:eastAsia="zh-CN"/>
                    </w:rPr>
                  </w:pPr>
                  <w:r>
                    <w:rPr>
                      <w:rFonts w:hint="eastAsia"/>
                      <w:color w:val="auto"/>
                      <w:lang w:val="en-US" w:eastAsia="zh-CN"/>
                    </w:rPr>
                    <w:t>20mg/m³</w:t>
                  </w:r>
                </w:p>
              </w:tc>
              <w:tc>
                <w:tcPr>
                  <w:tcW w:w="1930" w:type="dxa"/>
                  <w:noWrap/>
                  <w:vAlign w:val="center"/>
                </w:tcPr>
                <w:p w14:paraId="62F9EC04">
                  <w:pPr>
                    <w:pStyle w:val="68"/>
                    <w:rPr>
                      <w:rFonts w:hint="default"/>
                      <w:color w:val="auto"/>
                      <w:lang w:val="en-US" w:eastAsia="zh-CN"/>
                    </w:rPr>
                  </w:pPr>
                  <w:r>
                    <w:rPr>
                      <w:rFonts w:hint="eastAsia"/>
                      <w:color w:val="auto"/>
                      <w:lang w:val="en-US" w:eastAsia="zh-CN"/>
                    </w:rPr>
                    <w:t>/</w:t>
                  </w:r>
                </w:p>
              </w:tc>
              <w:tc>
                <w:tcPr>
                  <w:tcW w:w="2385" w:type="dxa"/>
                  <w:vMerge w:val="continue"/>
                  <w:noWrap/>
                  <w:vAlign w:val="center"/>
                </w:tcPr>
                <w:p w14:paraId="1D449B6A">
                  <w:pPr>
                    <w:pStyle w:val="68"/>
                    <w:rPr>
                      <w:color w:val="auto"/>
                    </w:rPr>
                  </w:pPr>
                </w:p>
              </w:tc>
            </w:tr>
          </w:tbl>
          <w:p w14:paraId="68096857">
            <w:pPr>
              <w:pStyle w:val="91"/>
              <w:spacing w:beforeLines="50"/>
              <w:rPr>
                <w:color w:val="auto"/>
                <w:kern w:val="2"/>
                <w:sz w:val="24"/>
                <w:szCs w:val="24"/>
              </w:rPr>
            </w:pPr>
            <w:r>
              <w:rPr>
                <w:rFonts w:hint="eastAsia"/>
                <w:color w:val="auto"/>
                <w:kern w:val="2"/>
                <w:sz w:val="24"/>
                <w:szCs w:val="24"/>
              </w:rPr>
              <w:t>表 3-</w:t>
            </w:r>
            <w:r>
              <w:rPr>
                <w:rFonts w:hint="eastAsia"/>
                <w:color w:val="auto"/>
                <w:kern w:val="2"/>
                <w:sz w:val="24"/>
                <w:szCs w:val="24"/>
                <w:lang w:val="en-US" w:eastAsia="zh-CN"/>
              </w:rPr>
              <w:t>5</w:t>
            </w:r>
            <w:r>
              <w:rPr>
                <w:rFonts w:hint="eastAsia"/>
                <w:color w:val="auto"/>
                <w:kern w:val="2"/>
                <w:sz w:val="24"/>
                <w:szCs w:val="24"/>
              </w:rPr>
              <w:t xml:space="preserve"> 《恶臭污染物排放标准》（</w:t>
            </w:r>
            <w:r>
              <w:rPr>
                <w:color w:val="auto"/>
                <w:kern w:val="2"/>
                <w:sz w:val="24"/>
                <w:szCs w:val="24"/>
              </w:rPr>
              <w:t>GB14554-93</w:t>
            </w:r>
            <w:r>
              <w:rPr>
                <w:rFonts w:hint="eastAsia"/>
                <w:color w:val="auto"/>
                <w:kern w:val="2"/>
                <w:sz w:val="24"/>
                <w:szCs w:val="24"/>
              </w:rPr>
              <w:t xml:space="preserve">）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995"/>
              <w:gridCol w:w="3060"/>
              <w:gridCol w:w="2370"/>
            </w:tblGrid>
            <w:tr w14:paraId="701A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2" w:type="dxa"/>
                  <w:noWrap/>
                  <w:vAlign w:val="center"/>
                </w:tcPr>
                <w:p w14:paraId="5B9D81EB">
                  <w:pPr>
                    <w:pStyle w:val="68"/>
                    <w:rPr>
                      <w:rFonts w:hint="default"/>
                      <w:color w:val="auto"/>
                    </w:rPr>
                  </w:pPr>
                  <w:r>
                    <w:rPr>
                      <w:color w:val="auto"/>
                    </w:rPr>
                    <w:t>序号</w:t>
                  </w:r>
                </w:p>
              </w:tc>
              <w:tc>
                <w:tcPr>
                  <w:tcW w:w="1995" w:type="dxa"/>
                  <w:noWrap/>
                  <w:vAlign w:val="center"/>
                </w:tcPr>
                <w:p w14:paraId="42C733DD">
                  <w:pPr>
                    <w:pStyle w:val="68"/>
                    <w:rPr>
                      <w:rFonts w:hint="default"/>
                      <w:color w:val="auto"/>
                    </w:rPr>
                  </w:pPr>
                  <w:r>
                    <w:rPr>
                      <w:color w:val="auto"/>
                    </w:rPr>
                    <w:t>污染物</w:t>
                  </w:r>
                </w:p>
              </w:tc>
              <w:tc>
                <w:tcPr>
                  <w:tcW w:w="3060" w:type="dxa"/>
                  <w:noWrap/>
                  <w:vAlign w:val="center"/>
                </w:tcPr>
                <w:p w14:paraId="11DFDB7E">
                  <w:pPr>
                    <w:pStyle w:val="68"/>
                    <w:rPr>
                      <w:rFonts w:hint="default" w:eastAsia="宋体"/>
                      <w:color w:val="auto"/>
                      <w:lang w:val="en-US" w:eastAsia="zh-CN"/>
                    </w:rPr>
                  </w:pPr>
                  <w:r>
                    <w:rPr>
                      <w:rFonts w:hint="eastAsia"/>
                      <w:color w:val="auto"/>
                      <w:lang w:val="en-US" w:eastAsia="zh-CN"/>
                    </w:rPr>
                    <w:t>有组织</w:t>
                  </w:r>
                  <w:r>
                    <w:rPr>
                      <w:color w:val="auto"/>
                    </w:rPr>
                    <w:t>排放标准值</w:t>
                  </w:r>
                  <w:r>
                    <w:rPr>
                      <w:rFonts w:hint="eastAsia"/>
                      <w:color w:val="auto"/>
                      <w:lang w:val="en-US" w:eastAsia="zh-CN"/>
                    </w:rPr>
                    <w:t>-21m排气筒</w:t>
                  </w:r>
                </w:p>
              </w:tc>
              <w:tc>
                <w:tcPr>
                  <w:tcW w:w="2370" w:type="dxa"/>
                  <w:noWrap/>
                  <w:vAlign w:val="center"/>
                </w:tcPr>
                <w:p w14:paraId="677CF2DA">
                  <w:pPr>
                    <w:pStyle w:val="68"/>
                    <w:rPr>
                      <w:rFonts w:hint="default"/>
                      <w:color w:val="auto"/>
                    </w:rPr>
                  </w:pPr>
                  <w:r>
                    <w:rPr>
                      <w:color w:val="auto"/>
                    </w:rPr>
                    <w:t>厂界标准（mg/m</w:t>
                  </w:r>
                  <w:r>
                    <w:rPr>
                      <w:color w:val="auto"/>
                      <w:vertAlign w:val="superscript"/>
                    </w:rPr>
                    <w:t>3</w:t>
                  </w:r>
                  <w:r>
                    <w:rPr>
                      <w:color w:val="auto"/>
                    </w:rPr>
                    <w:t>）</w:t>
                  </w:r>
                </w:p>
              </w:tc>
            </w:tr>
            <w:tr w14:paraId="5237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2" w:type="dxa"/>
                  <w:noWrap/>
                  <w:vAlign w:val="center"/>
                </w:tcPr>
                <w:p w14:paraId="48F1FD2A">
                  <w:pPr>
                    <w:pStyle w:val="68"/>
                    <w:rPr>
                      <w:rFonts w:hint="default"/>
                      <w:color w:val="auto"/>
                    </w:rPr>
                  </w:pPr>
                  <w:r>
                    <w:rPr>
                      <w:color w:val="auto"/>
                    </w:rPr>
                    <w:t>1</w:t>
                  </w:r>
                </w:p>
              </w:tc>
              <w:tc>
                <w:tcPr>
                  <w:tcW w:w="1995" w:type="dxa"/>
                  <w:noWrap/>
                  <w:vAlign w:val="center"/>
                </w:tcPr>
                <w:p w14:paraId="0591D2E9">
                  <w:pPr>
                    <w:pStyle w:val="68"/>
                    <w:rPr>
                      <w:rFonts w:hint="default"/>
                      <w:color w:val="auto"/>
                    </w:rPr>
                  </w:pPr>
                  <w:r>
                    <w:rPr>
                      <w:color w:val="auto"/>
                    </w:rPr>
                    <w:t xml:space="preserve">臭气浓度 </w:t>
                  </w:r>
                </w:p>
              </w:tc>
              <w:tc>
                <w:tcPr>
                  <w:tcW w:w="3060" w:type="dxa"/>
                  <w:noWrap/>
                  <w:vAlign w:val="center"/>
                </w:tcPr>
                <w:p w14:paraId="256A67BD">
                  <w:pPr>
                    <w:pStyle w:val="68"/>
                    <w:rPr>
                      <w:rFonts w:hint="default"/>
                      <w:color w:val="auto"/>
                    </w:rPr>
                  </w:pPr>
                  <w:r>
                    <w:rPr>
                      <w:color w:val="auto"/>
                    </w:rPr>
                    <w:t>2000（无量纲）</w:t>
                  </w:r>
                </w:p>
              </w:tc>
              <w:tc>
                <w:tcPr>
                  <w:tcW w:w="2370" w:type="dxa"/>
                  <w:noWrap/>
                  <w:vAlign w:val="center"/>
                </w:tcPr>
                <w:p w14:paraId="72C3AB1A">
                  <w:pPr>
                    <w:pStyle w:val="68"/>
                    <w:rPr>
                      <w:rFonts w:hint="default"/>
                      <w:color w:val="auto"/>
                    </w:rPr>
                  </w:pPr>
                  <w:r>
                    <w:rPr>
                      <w:rFonts w:hint="default"/>
                      <w:color w:val="auto"/>
                    </w:rPr>
                    <w:t>20</w:t>
                  </w:r>
                  <w:r>
                    <w:rPr>
                      <w:color w:val="auto"/>
                    </w:rPr>
                    <w:t xml:space="preserve">（无量纲） </w:t>
                  </w:r>
                </w:p>
              </w:tc>
            </w:tr>
            <w:tr w14:paraId="5F68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2" w:type="dxa"/>
                  <w:noWrap/>
                  <w:vAlign w:val="center"/>
                </w:tcPr>
                <w:p w14:paraId="66375C0F">
                  <w:pPr>
                    <w:pStyle w:val="68"/>
                    <w:rPr>
                      <w:rFonts w:hint="eastAsia" w:eastAsia="宋体"/>
                      <w:color w:val="auto"/>
                      <w:lang w:val="en-US" w:eastAsia="zh-CN"/>
                    </w:rPr>
                  </w:pPr>
                  <w:r>
                    <w:rPr>
                      <w:rFonts w:hint="eastAsia"/>
                      <w:color w:val="auto"/>
                      <w:lang w:val="en-US" w:eastAsia="zh-CN"/>
                    </w:rPr>
                    <w:t>2</w:t>
                  </w:r>
                </w:p>
              </w:tc>
              <w:tc>
                <w:tcPr>
                  <w:tcW w:w="1995" w:type="dxa"/>
                  <w:noWrap/>
                  <w:vAlign w:val="center"/>
                </w:tcPr>
                <w:p w14:paraId="4CFB54FE">
                  <w:pPr>
                    <w:pStyle w:val="68"/>
                    <w:rPr>
                      <w:rFonts w:hint="eastAsia" w:eastAsia="宋体"/>
                      <w:color w:val="auto"/>
                      <w:lang w:val="en-US" w:eastAsia="zh-CN"/>
                    </w:rPr>
                  </w:pPr>
                  <w:r>
                    <w:rPr>
                      <w:rFonts w:hint="eastAsia"/>
                      <w:color w:val="auto"/>
                      <w:lang w:val="en-US" w:eastAsia="zh-CN"/>
                    </w:rPr>
                    <w:t>苯乙烯</w:t>
                  </w:r>
                </w:p>
              </w:tc>
              <w:tc>
                <w:tcPr>
                  <w:tcW w:w="3060" w:type="dxa"/>
                  <w:noWrap/>
                  <w:vAlign w:val="center"/>
                </w:tcPr>
                <w:p w14:paraId="63EFFCD1">
                  <w:pPr>
                    <w:pStyle w:val="68"/>
                    <w:rPr>
                      <w:rFonts w:hint="default" w:eastAsia="宋体"/>
                      <w:color w:val="auto"/>
                      <w:lang w:val="en-US" w:eastAsia="zh-CN"/>
                    </w:rPr>
                  </w:pPr>
                  <w:r>
                    <w:rPr>
                      <w:rFonts w:hint="eastAsia"/>
                      <w:color w:val="auto"/>
                      <w:lang w:val="en-US" w:eastAsia="zh-CN"/>
                    </w:rPr>
                    <w:t>13.2kg/h</w:t>
                  </w:r>
                </w:p>
              </w:tc>
              <w:tc>
                <w:tcPr>
                  <w:tcW w:w="2370" w:type="dxa"/>
                  <w:noWrap/>
                  <w:vAlign w:val="center"/>
                </w:tcPr>
                <w:p w14:paraId="0695A6F1">
                  <w:pPr>
                    <w:pStyle w:val="68"/>
                    <w:rPr>
                      <w:rFonts w:hint="default" w:eastAsia="宋体"/>
                      <w:color w:val="auto"/>
                      <w:lang w:val="en-US" w:eastAsia="zh-CN"/>
                    </w:rPr>
                  </w:pPr>
                  <w:r>
                    <w:rPr>
                      <w:rFonts w:hint="eastAsia"/>
                      <w:color w:val="auto"/>
                      <w:lang w:val="en-US" w:eastAsia="zh-CN"/>
                    </w:rPr>
                    <w:t>5.0</w:t>
                  </w:r>
                </w:p>
              </w:tc>
            </w:tr>
          </w:tbl>
          <w:p w14:paraId="7ADB4B9D">
            <w:pPr>
              <w:pStyle w:val="91"/>
              <w:spacing w:beforeLines="50"/>
              <w:rPr>
                <w:color w:val="auto"/>
                <w:sz w:val="24"/>
                <w:szCs w:val="24"/>
              </w:rPr>
            </w:pPr>
            <w:r>
              <w:rPr>
                <w:rFonts w:hint="eastAsia"/>
                <w:color w:val="auto"/>
                <w:sz w:val="24"/>
                <w:szCs w:val="24"/>
              </w:rPr>
              <w:t>表3-</w:t>
            </w:r>
            <w:r>
              <w:rPr>
                <w:rFonts w:hint="eastAsia"/>
                <w:color w:val="auto"/>
                <w:sz w:val="24"/>
                <w:szCs w:val="24"/>
                <w:lang w:val="en-US" w:eastAsia="zh-CN"/>
              </w:rPr>
              <w:t>6</w:t>
            </w:r>
            <w:r>
              <w:rPr>
                <w:rFonts w:hint="eastAsia"/>
                <w:color w:val="auto"/>
                <w:sz w:val="24"/>
                <w:szCs w:val="24"/>
              </w:rPr>
              <w:t xml:space="preserve"> 厂区内VOCs无组织排放限值mg/m</w:t>
            </w:r>
            <w:r>
              <w:rPr>
                <w:rFonts w:hint="eastAsia"/>
                <w:color w:val="auto"/>
                <w:sz w:val="24"/>
                <w:szCs w:val="24"/>
                <w:vertAlign w:val="superscript"/>
              </w:rPr>
              <w:t>3</w:t>
            </w:r>
          </w:p>
          <w:tbl>
            <w:tblPr>
              <w:tblStyle w:val="26"/>
              <w:tblW w:w="49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7"/>
              <w:gridCol w:w="1500"/>
              <w:gridCol w:w="2819"/>
              <w:gridCol w:w="2119"/>
            </w:tblGrid>
            <w:tr w14:paraId="1BEC9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9" w:type="pct"/>
                  <w:noWrap/>
                  <w:vAlign w:val="center"/>
                </w:tcPr>
                <w:p w14:paraId="036A0EF4">
                  <w:pPr>
                    <w:pStyle w:val="51"/>
                    <w:spacing w:before="31" w:after="31"/>
                    <w:rPr>
                      <w:color w:val="auto"/>
                    </w:rPr>
                  </w:pPr>
                  <w:r>
                    <w:rPr>
                      <w:rFonts w:hint="eastAsia"/>
                      <w:color w:val="auto"/>
                    </w:rPr>
                    <w:t>污染物项目</w:t>
                  </w:r>
                </w:p>
              </w:tc>
              <w:tc>
                <w:tcPr>
                  <w:tcW w:w="625" w:type="pct"/>
                  <w:noWrap/>
                  <w:vAlign w:val="center"/>
                </w:tcPr>
                <w:p w14:paraId="6B341079">
                  <w:pPr>
                    <w:pStyle w:val="51"/>
                    <w:spacing w:before="31" w:after="31"/>
                    <w:rPr>
                      <w:color w:val="auto"/>
                    </w:rPr>
                  </w:pPr>
                  <w:r>
                    <w:rPr>
                      <w:rFonts w:hint="eastAsia"/>
                      <w:color w:val="auto"/>
                    </w:rPr>
                    <w:t>特别排放限值</w:t>
                  </w:r>
                </w:p>
              </w:tc>
              <w:tc>
                <w:tcPr>
                  <w:tcW w:w="1805" w:type="pct"/>
                  <w:noWrap/>
                  <w:vAlign w:val="center"/>
                </w:tcPr>
                <w:p w14:paraId="650760E9">
                  <w:pPr>
                    <w:pStyle w:val="51"/>
                    <w:spacing w:before="31" w:after="31"/>
                    <w:rPr>
                      <w:color w:val="auto"/>
                    </w:rPr>
                  </w:pPr>
                  <w:r>
                    <w:rPr>
                      <w:rFonts w:hint="eastAsia"/>
                      <w:color w:val="auto"/>
                    </w:rPr>
                    <w:t>限值含义</w:t>
                  </w:r>
                </w:p>
              </w:tc>
              <w:tc>
                <w:tcPr>
                  <w:tcW w:w="1369" w:type="pct"/>
                  <w:noWrap/>
                  <w:vAlign w:val="center"/>
                </w:tcPr>
                <w:p w14:paraId="55E7689D">
                  <w:pPr>
                    <w:pStyle w:val="51"/>
                    <w:spacing w:before="31" w:after="31"/>
                    <w:rPr>
                      <w:color w:val="auto"/>
                    </w:rPr>
                  </w:pPr>
                  <w:r>
                    <w:rPr>
                      <w:rFonts w:hint="eastAsia"/>
                      <w:color w:val="auto"/>
                    </w:rPr>
                    <w:t>无组织排放监控位置</w:t>
                  </w:r>
                </w:p>
              </w:tc>
            </w:tr>
            <w:tr w14:paraId="46F0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9" w:type="pct"/>
                  <w:vMerge w:val="restart"/>
                  <w:noWrap/>
                  <w:vAlign w:val="center"/>
                </w:tcPr>
                <w:p w14:paraId="3C49ACF4">
                  <w:pPr>
                    <w:pStyle w:val="51"/>
                    <w:spacing w:before="31" w:after="31"/>
                    <w:rPr>
                      <w:color w:val="auto"/>
                    </w:rPr>
                  </w:pPr>
                  <w:r>
                    <w:rPr>
                      <w:rFonts w:hint="eastAsia"/>
                      <w:color w:val="auto"/>
                    </w:rPr>
                    <w:t>NMHC</w:t>
                  </w:r>
                </w:p>
              </w:tc>
              <w:tc>
                <w:tcPr>
                  <w:tcW w:w="625" w:type="pct"/>
                  <w:noWrap/>
                  <w:vAlign w:val="center"/>
                </w:tcPr>
                <w:p w14:paraId="2B861033">
                  <w:pPr>
                    <w:pStyle w:val="51"/>
                    <w:spacing w:before="31" w:after="31"/>
                    <w:rPr>
                      <w:color w:val="auto"/>
                    </w:rPr>
                  </w:pPr>
                  <w:r>
                    <w:rPr>
                      <w:rFonts w:hint="eastAsia"/>
                      <w:color w:val="auto"/>
                    </w:rPr>
                    <w:t>6</w:t>
                  </w:r>
                </w:p>
              </w:tc>
              <w:tc>
                <w:tcPr>
                  <w:tcW w:w="1805" w:type="pct"/>
                  <w:noWrap/>
                  <w:vAlign w:val="center"/>
                </w:tcPr>
                <w:p w14:paraId="053812CE">
                  <w:pPr>
                    <w:pStyle w:val="51"/>
                    <w:spacing w:before="31" w:after="31"/>
                    <w:rPr>
                      <w:color w:val="auto"/>
                    </w:rPr>
                  </w:pPr>
                  <w:r>
                    <w:rPr>
                      <w:rFonts w:hint="eastAsia"/>
                      <w:color w:val="auto"/>
                    </w:rPr>
                    <w:t>监控点处1h平均浓度值</w:t>
                  </w:r>
                </w:p>
              </w:tc>
              <w:tc>
                <w:tcPr>
                  <w:tcW w:w="1369" w:type="pct"/>
                  <w:vMerge w:val="restart"/>
                  <w:noWrap/>
                  <w:vAlign w:val="center"/>
                </w:tcPr>
                <w:p w14:paraId="612F7DFE">
                  <w:pPr>
                    <w:pStyle w:val="51"/>
                    <w:spacing w:before="31" w:after="31"/>
                    <w:rPr>
                      <w:color w:val="auto"/>
                    </w:rPr>
                  </w:pPr>
                  <w:r>
                    <w:rPr>
                      <w:rFonts w:hint="eastAsia"/>
                      <w:color w:val="auto"/>
                    </w:rPr>
                    <w:t>在厂房外设置监控点</w:t>
                  </w:r>
                </w:p>
              </w:tc>
            </w:tr>
            <w:tr w14:paraId="5B20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9" w:type="pct"/>
                  <w:vMerge w:val="continue"/>
                  <w:noWrap/>
                  <w:vAlign w:val="center"/>
                </w:tcPr>
                <w:p w14:paraId="31B6D637">
                  <w:pPr>
                    <w:pStyle w:val="51"/>
                    <w:spacing w:before="31" w:after="31"/>
                    <w:rPr>
                      <w:color w:val="auto"/>
                    </w:rPr>
                  </w:pPr>
                </w:p>
              </w:tc>
              <w:tc>
                <w:tcPr>
                  <w:tcW w:w="625" w:type="pct"/>
                  <w:noWrap/>
                  <w:vAlign w:val="center"/>
                </w:tcPr>
                <w:p w14:paraId="60903D47">
                  <w:pPr>
                    <w:pStyle w:val="51"/>
                    <w:spacing w:before="31" w:after="31"/>
                    <w:rPr>
                      <w:color w:val="auto"/>
                    </w:rPr>
                  </w:pPr>
                  <w:r>
                    <w:rPr>
                      <w:rFonts w:hint="eastAsia"/>
                      <w:color w:val="auto"/>
                    </w:rPr>
                    <w:t>20</w:t>
                  </w:r>
                </w:p>
              </w:tc>
              <w:tc>
                <w:tcPr>
                  <w:tcW w:w="1805" w:type="pct"/>
                  <w:noWrap/>
                  <w:vAlign w:val="center"/>
                </w:tcPr>
                <w:p w14:paraId="5954EC6F">
                  <w:pPr>
                    <w:pStyle w:val="51"/>
                    <w:spacing w:before="31" w:after="31"/>
                    <w:rPr>
                      <w:color w:val="auto"/>
                    </w:rPr>
                  </w:pPr>
                  <w:r>
                    <w:rPr>
                      <w:rFonts w:hint="eastAsia"/>
                      <w:color w:val="auto"/>
                    </w:rPr>
                    <w:t>监控点处任意一次浓度值</w:t>
                  </w:r>
                </w:p>
              </w:tc>
              <w:tc>
                <w:tcPr>
                  <w:tcW w:w="1369" w:type="pct"/>
                  <w:vMerge w:val="continue"/>
                  <w:noWrap/>
                  <w:vAlign w:val="center"/>
                </w:tcPr>
                <w:p w14:paraId="38B21EEA">
                  <w:pPr>
                    <w:pStyle w:val="51"/>
                    <w:spacing w:before="31" w:after="31"/>
                    <w:rPr>
                      <w:color w:val="auto"/>
                    </w:rPr>
                  </w:pPr>
                </w:p>
              </w:tc>
            </w:tr>
          </w:tbl>
          <w:p w14:paraId="41B130C3">
            <w:pPr>
              <w:ind w:firstLine="482"/>
              <w:rPr>
                <w:b/>
                <w:bCs/>
                <w:color w:val="auto"/>
                <w:highlight w:val="none"/>
              </w:rPr>
            </w:pPr>
            <w:r>
              <w:rPr>
                <w:rFonts w:hint="eastAsia"/>
                <w:b/>
                <w:bCs/>
                <w:color w:val="auto"/>
                <w:highlight w:val="none"/>
              </w:rPr>
              <w:t>2、水污染物排放标准</w:t>
            </w:r>
          </w:p>
          <w:p w14:paraId="02D4308F">
            <w:pPr>
              <w:pStyle w:val="46"/>
              <w:bidi w:val="0"/>
              <w:rPr>
                <w:rFonts w:hint="eastAsia" w:eastAsia="宋体"/>
                <w:color w:val="auto"/>
                <w:lang w:eastAsia="zh-CN"/>
              </w:rPr>
            </w:pPr>
            <w:r>
              <w:rPr>
                <w:rFonts w:hint="eastAsia"/>
                <w:color w:val="auto"/>
              </w:rPr>
              <w:t>本项目废水</w:t>
            </w:r>
            <w:r>
              <w:rPr>
                <w:rFonts w:hint="eastAsia"/>
                <w:color w:val="auto"/>
                <w:lang w:val="en-US" w:eastAsia="zh-CN"/>
              </w:rPr>
              <w:t>排放依托淮南益生啤酒有限公司污水管网，经</w:t>
            </w:r>
            <w:r>
              <w:rPr>
                <w:rFonts w:hint="eastAsia" w:cs="Times New Roman"/>
                <w:color w:val="auto"/>
                <w:highlight w:val="none"/>
                <w:lang w:val="en-US" w:eastAsia="zh-CN"/>
              </w:rPr>
              <w:t>淮南益生啤酒有限公司</w:t>
            </w:r>
            <w:r>
              <w:rPr>
                <w:rFonts w:hint="default"/>
                <w:color w:val="auto"/>
                <w:sz w:val="24"/>
                <w:szCs w:val="24"/>
              </w:rPr>
              <w:t>化粪池预处理后</w:t>
            </w:r>
            <w:r>
              <w:rPr>
                <w:rFonts w:hint="eastAsia"/>
                <w:color w:val="auto"/>
                <w:highlight w:val="none"/>
                <w:lang w:val="en-US" w:eastAsia="zh-CN"/>
              </w:rPr>
              <w:t>排</w:t>
            </w:r>
            <w:r>
              <w:rPr>
                <w:rFonts w:hint="eastAsia"/>
                <w:color w:val="auto"/>
                <w:highlight w:val="none"/>
                <w:lang w:eastAsia="zh-CN"/>
              </w:rPr>
              <w:t>入</w:t>
            </w:r>
            <w:r>
              <w:rPr>
                <w:rFonts w:hint="eastAsia"/>
                <w:color w:val="auto"/>
                <w:highlight w:val="none"/>
                <w:lang w:val="en-US" w:eastAsia="zh-CN"/>
              </w:rPr>
              <w:t>淮南经济</w:t>
            </w:r>
            <w:r>
              <w:rPr>
                <w:rFonts w:hint="eastAsia"/>
                <w:color w:val="auto"/>
                <w:highlight w:val="none"/>
              </w:rPr>
              <w:t>开发区污水处理厂（三万吨污水处理厂）</w:t>
            </w:r>
            <w:r>
              <w:rPr>
                <w:rFonts w:hint="eastAsia"/>
                <w:color w:val="auto"/>
                <w:highlight w:val="none"/>
                <w:lang w:eastAsia="zh-CN"/>
              </w:rPr>
              <w:t>。</w:t>
            </w:r>
            <w:r>
              <w:rPr>
                <w:rFonts w:hint="eastAsia"/>
                <w:color w:val="auto"/>
                <w:highlight w:val="none"/>
                <w:lang w:val="en-US" w:eastAsia="zh-CN"/>
              </w:rPr>
              <w:t>执行淮南经济</w:t>
            </w:r>
            <w:r>
              <w:rPr>
                <w:rFonts w:hint="eastAsia"/>
                <w:color w:val="auto"/>
                <w:highlight w:val="none"/>
              </w:rPr>
              <w:t>开发区污水处理厂（三万吨污水处理厂）接管</w:t>
            </w:r>
            <w:r>
              <w:rPr>
                <w:rFonts w:hint="eastAsia"/>
                <w:color w:val="auto"/>
                <w:highlight w:val="none"/>
                <w:lang w:val="en-US" w:eastAsia="zh-CN"/>
              </w:rPr>
              <w:t>限值（《关于发布淮南经开区企业生产废水排放限值的逋知》(2021年1月19日））</w:t>
            </w:r>
            <w:r>
              <w:rPr>
                <w:rFonts w:hint="eastAsia"/>
                <w:color w:val="auto"/>
              </w:rPr>
              <w:t>。淮南经济技术开发区工业污水处理厂尾水外排执行《城镇污水处理厂污染物排放标准》GB18918-2002)一级标准中的 A 标准</w:t>
            </w:r>
            <w:r>
              <w:rPr>
                <w:rFonts w:hint="eastAsia"/>
                <w:color w:val="auto"/>
                <w:lang w:eastAsia="zh-CN"/>
              </w:rPr>
              <w:t>。</w:t>
            </w:r>
          </w:p>
          <w:p w14:paraId="0F0A2D83">
            <w:pPr>
              <w:bidi w:val="0"/>
              <w:spacing w:line="240" w:lineRule="auto"/>
              <w:ind w:left="0" w:leftChars="0" w:firstLine="0" w:firstLineChars="0"/>
              <w:jc w:val="center"/>
              <w:rPr>
                <w:b/>
                <w:bCs/>
                <w:color w:val="auto"/>
              </w:rPr>
            </w:pPr>
            <w:r>
              <w:rPr>
                <w:rFonts w:hint="eastAsia"/>
                <w:b/>
                <w:bCs/>
                <w:color w:val="auto"/>
              </w:rPr>
              <w:t>表3-</w:t>
            </w:r>
            <w:r>
              <w:rPr>
                <w:rFonts w:hint="eastAsia"/>
                <w:b/>
                <w:bCs/>
                <w:color w:val="auto"/>
                <w:lang w:val="en-US" w:eastAsia="zh-CN"/>
              </w:rPr>
              <w:t xml:space="preserve">7 </w:t>
            </w:r>
            <w:r>
              <w:rPr>
                <w:rFonts w:hint="eastAsia"/>
                <w:b/>
                <w:bCs/>
                <w:color w:val="auto"/>
              </w:rPr>
              <w:t>污水排放标准  （</w:t>
            </w:r>
            <w:r>
              <w:rPr>
                <w:rFonts w:hint="eastAsia"/>
                <w:b/>
                <w:bCs/>
                <w:color w:val="auto"/>
                <w:lang w:val="en-US" w:eastAsia="zh-CN"/>
              </w:rPr>
              <w:t>单位</w:t>
            </w:r>
            <w:r>
              <w:rPr>
                <w:rFonts w:hint="eastAsia"/>
                <w:b/>
                <w:bCs/>
                <w:color w:val="auto"/>
              </w:rPr>
              <w:t>mg/L，pH无量纲）</w:t>
            </w:r>
          </w:p>
          <w:tbl>
            <w:tblPr>
              <w:tblStyle w:val="26"/>
              <w:tblW w:w="4988" w:type="pct"/>
              <w:jc w:val="center"/>
              <w:tblBorders>
                <w:top w:val="single" w:color="auto" w:sz="8" w:space="0"/>
                <w:left w:val="single" w:color="auto" w:sz="2" w:space="0"/>
                <w:bottom w:val="single" w:color="auto" w:sz="8"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940"/>
              <w:gridCol w:w="713"/>
              <w:gridCol w:w="770"/>
              <w:gridCol w:w="841"/>
              <w:gridCol w:w="662"/>
              <w:gridCol w:w="935"/>
              <w:gridCol w:w="729"/>
              <w:gridCol w:w="784"/>
            </w:tblGrid>
            <w:tr w14:paraId="3C417171">
              <w:tblPrEx>
                <w:tblBorders>
                  <w:top w:val="single" w:color="auto" w:sz="8" w:space="0"/>
                  <w:left w:val="single" w:color="auto" w:sz="2" w:space="0"/>
                  <w:bottom w:val="single" w:color="auto" w:sz="8"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56" w:type="pct"/>
                  <w:noWrap w:val="0"/>
                  <w:vAlign w:val="center"/>
                </w:tcPr>
                <w:p w14:paraId="4C9B91A5">
                  <w:pPr>
                    <w:pStyle w:val="78"/>
                    <w:bidi w:val="0"/>
                    <w:rPr>
                      <w:color w:val="auto"/>
                    </w:rPr>
                  </w:pPr>
                  <w:r>
                    <w:rPr>
                      <w:rFonts w:hint="eastAsia"/>
                      <w:color w:val="auto"/>
                    </w:rPr>
                    <w:t>废水执行标准</w:t>
                  </w:r>
                </w:p>
              </w:tc>
              <w:tc>
                <w:tcPr>
                  <w:tcW w:w="426" w:type="pct"/>
                  <w:noWrap w:val="0"/>
                  <w:vAlign w:val="center"/>
                </w:tcPr>
                <w:p w14:paraId="115B15EB">
                  <w:pPr>
                    <w:pStyle w:val="47"/>
                    <w:bidi w:val="0"/>
                  </w:pPr>
                  <w:r>
                    <w:rPr>
                      <w:rFonts w:hint="eastAsia"/>
                    </w:rPr>
                    <w:t>pH</w:t>
                  </w:r>
                </w:p>
              </w:tc>
              <w:tc>
                <w:tcPr>
                  <w:tcW w:w="460" w:type="pct"/>
                  <w:noWrap w:val="0"/>
                  <w:vAlign w:val="center"/>
                </w:tcPr>
                <w:p w14:paraId="2A71F8F3">
                  <w:pPr>
                    <w:pStyle w:val="47"/>
                    <w:bidi w:val="0"/>
                  </w:pPr>
                  <w:r>
                    <w:rPr>
                      <w:rFonts w:hint="eastAsia"/>
                    </w:rPr>
                    <w:t>COD</w:t>
                  </w:r>
                </w:p>
              </w:tc>
              <w:tc>
                <w:tcPr>
                  <w:tcW w:w="502" w:type="pct"/>
                  <w:noWrap w:val="0"/>
                  <w:vAlign w:val="center"/>
                </w:tcPr>
                <w:p w14:paraId="1AFCD000">
                  <w:pPr>
                    <w:pStyle w:val="47"/>
                    <w:bidi w:val="0"/>
                  </w:pPr>
                  <w:r>
                    <w:rPr>
                      <w:rFonts w:hint="eastAsia"/>
                    </w:rPr>
                    <w:t>BOD</w:t>
                  </w:r>
                  <w:r>
                    <w:rPr>
                      <w:rFonts w:hint="eastAsia"/>
                      <w:vertAlign w:val="subscript"/>
                    </w:rPr>
                    <w:t>5</w:t>
                  </w:r>
                </w:p>
              </w:tc>
              <w:tc>
                <w:tcPr>
                  <w:tcW w:w="395" w:type="pct"/>
                  <w:noWrap w:val="0"/>
                  <w:vAlign w:val="center"/>
                </w:tcPr>
                <w:p w14:paraId="159BF9C2">
                  <w:pPr>
                    <w:pStyle w:val="47"/>
                    <w:bidi w:val="0"/>
                  </w:pPr>
                  <w:r>
                    <w:rPr>
                      <w:rFonts w:hint="eastAsia"/>
                    </w:rPr>
                    <w:t>SS</w:t>
                  </w:r>
                </w:p>
              </w:tc>
              <w:tc>
                <w:tcPr>
                  <w:tcW w:w="558" w:type="pct"/>
                  <w:noWrap w:val="0"/>
                  <w:vAlign w:val="center"/>
                </w:tcPr>
                <w:p w14:paraId="273EC4B7">
                  <w:pPr>
                    <w:pStyle w:val="47"/>
                    <w:bidi w:val="0"/>
                  </w:pPr>
                  <w:r>
                    <w:rPr>
                      <w:rFonts w:hint="eastAsia"/>
                    </w:rPr>
                    <w:t>NH</w:t>
                  </w:r>
                  <w:r>
                    <w:rPr>
                      <w:rFonts w:hint="eastAsia"/>
                      <w:vertAlign w:val="subscript"/>
                    </w:rPr>
                    <w:t>3</w:t>
                  </w:r>
                  <w:r>
                    <w:rPr>
                      <w:rFonts w:hint="eastAsia"/>
                    </w:rPr>
                    <w:t>-N</w:t>
                  </w:r>
                </w:p>
              </w:tc>
              <w:tc>
                <w:tcPr>
                  <w:tcW w:w="435" w:type="pct"/>
                  <w:noWrap w:val="0"/>
                  <w:vAlign w:val="center"/>
                </w:tcPr>
                <w:p w14:paraId="7B0864B8">
                  <w:pPr>
                    <w:pStyle w:val="47"/>
                    <w:bidi w:val="0"/>
                    <w:rPr>
                      <w:rFonts w:hint="default" w:eastAsia="宋体"/>
                      <w:lang w:val="en-US" w:eastAsia="zh-CN"/>
                    </w:rPr>
                  </w:pPr>
                  <w:r>
                    <w:rPr>
                      <w:rFonts w:hint="eastAsia"/>
                      <w:lang w:val="en-US" w:eastAsia="zh-CN"/>
                    </w:rPr>
                    <w:t>TP</w:t>
                  </w:r>
                </w:p>
              </w:tc>
              <w:tc>
                <w:tcPr>
                  <w:tcW w:w="465" w:type="pct"/>
                  <w:noWrap w:val="0"/>
                  <w:vAlign w:val="center"/>
                </w:tcPr>
                <w:p w14:paraId="4435368A">
                  <w:pPr>
                    <w:pStyle w:val="47"/>
                    <w:bidi w:val="0"/>
                    <w:rPr>
                      <w:rFonts w:hint="default" w:eastAsia="宋体"/>
                      <w:lang w:val="en-US" w:eastAsia="zh-CN"/>
                    </w:rPr>
                  </w:pPr>
                  <w:r>
                    <w:rPr>
                      <w:rFonts w:hint="eastAsia"/>
                      <w:lang w:val="en-US" w:eastAsia="zh-CN"/>
                    </w:rPr>
                    <w:t>TN</w:t>
                  </w:r>
                </w:p>
              </w:tc>
            </w:tr>
            <w:tr w14:paraId="2D3DBFF0">
              <w:tblPrEx>
                <w:tblBorders>
                  <w:top w:val="single" w:color="auto" w:sz="8" w:space="0"/>
                  <w:left w:val="single" w:color="auto" w:sz="2" w:space="0"/>
                  <w:bottom w:val="single" w:color="auto" w:sz="8"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56" w:type="pct"/>
                  <w:noWrap w:val="0"/>
                  <w:vAlign w:val="center"/>
                </w:tcPr>
                <w:p w14:paraId="19C97336">
                  <w:pPr>
                    <w:pStyle w:val="78"/>
                    <w:bidi w:val="0"/>
                    <w:rPr>
                      <w:rFonts w:hint="eastAsia"/>
                      <w:color w:val="auto"/>
                      <w:lang w:eastAsia="zh-CN"/>
                    </w:rPr>
                  </w:pPr>
                  <w:r>
                    <w:rPr>
                      <w:rFonts w:hint="eastAsia"/>
                      <w:color w:val="auto"/>
                      <w:highlight w:val="none"/>
                      <w:lang w:val="en-US" w:eastAsia="zh-CN"/>
                    </w:rPr>
                    <w:t>淮南经济</w:t>
                  </w:r>
                  <w:r>
                    <w:rPr>
                      <w:rFonts w:hint="eastAsia"/>
                      <w:color w:val="auto"/>
                      <w:highlight w:val="none"/>
                    </w:rPr>
                    <w:t>开发区污水处理厂（三万吨污水处理厂）接管</w:t>
                  </w:r>
                  <w:r>
                    <w:rPr>
                      <w:rFonts w:hint="eastAsia"/>
                      <w:color w:val="auto"/>
                      <w:highlight w:val="none"/>
                      <w:lang w:val="en-US" w:eastAsia="zh-CN"/>
                    </w:rPr>
                    <w:t>限值</w:t>
                  </w:r>
                </w:p>
              </w:tc>
              <w:tc>
                <w:tcPr>
                  <w:tcW w:w="426" w:type="pct"/>
                  <w:noWrap w:val="0"/>
                  <w:vAlign w:val="center"/>
                </w:tcPr>
                <w:p w14:paraId="19164668">
                  <w:pPr>
                    <w:pStyle w:val="47"/>
                    <w:bidi w:val="0"/>
                    <w:rPr>
                      <w:rFonts w:hint="eastAsia"/>
                      <w:lang w:val="en-US" w:eastAsia="zh-CN"/>
                    </w:rPr>
                  </w:pPr>
                  <w:r>
                    <w:t>6~9</w:t>
                  </w:r>
                </w:p>
              </w:tc>
              <w:tc>
                <w:tcPr>
                  <w:tcW w:w="460" w:type="pct"/>
                  <w:noWrap w:val="0"/>
                  <w:vAlign w:val="center"/>
                </w:tcPr>
                <w:p w14:paraId="49B2285C">
                  <w:pPr>
                    <w:pStyle w:val="47"/>
                    <w:bidi w:val="0"/>
                    <w:rPr>
                      <w:rFonts w:hint="default"/>
                      <w:lang w:val="en-US" w:eastAsia="zh-CN"/>
                    </w:rPr>
                  </w:pPr>
                  <w:r>
                    <w:rPr>
                      <w:rFonts w:hint="eastAsia"/>
                      <w:lang w:val="en-US" w:eastAsia="zh-CN"/>
                    </w:rPr>
                    <w:t>360</w:t>
                  </w:r>
                </w:p>
              </w:tc>
              <w:tc>
                <w:tcPr>
                  <w:tcW w:w="502" w:type="pct"/>
                  <w:noWrap w:val="0"/>
                  <w:vAlign w:val="center"/>
                </w:tcPr>
                <w:p w14:paraId="45DD2318">
                  <w:pPr>
                    <w:pStyle w:val="47"/>
                    <w:bidi w:val="0"/>
                    <w:rPr>
                      <w:rFonts w:hint="default"/>
                      <w:lang w:val="en-US" w:eastAsia="zh-CN"/>
                    </w:rPr>
                  </w:pPr>
                  <w:r>
                    <w:rPr>
                      <w:rFonts w:hint="eastAsia"/>
                      <w:lang w:val="en-US" w:eastAsia="zh-CN"/>
                    </w:rPr>
                    <w:t>80</w:t>
                  </w:r>
                </w:p>
              </w:tc>
              <w:tc>
                <w:tcPr>
                  <w:tcW w:w="395" w:type="pct"/>
                  <w:noWrap w:val="0"/>
                  <w:vAlign w:val="center"/>
                </w:tcPr>
                <w:p w14:paraId="3152525A">
                  <w:pPr>
                    <w:pStyle w:val="47"/>
                    <w:bidi w:val="0"/>
                    <w:rPr>
                      <w:rFonts w:hint="default"/>
                      <w:lang w:val="en-US" w:eastAsia="zh-CN"/>
                    </w:rPr>
                  </w:pPr>
                  <w:r>
                    <w:rPr>
                      <w:rFonts w:hint="eastAsia"/>
                      <w:lang w:val="en-US" w:eastAsia="zh-CN"/>
                    </w:rPr>
                    <w:t>200</w:t>
                  </w:r>
                </w:p>
              </w:tc>
              <w:tc>
                <w:tcPr>
                  <w:tcW w:w="558" w:type="pct"/>
                  <w:noWrap w:val="0"/>
                  <w:vAlign w:val="center"/>
                </w:tcPr>
                <w:p w14:paraId="7A5A23C8">
                  <w:pPr>
                    <w:pStyle w:val="47"/>
                    <w:bidi w:val="0"/>
                    <w:rPr>
                      <w:rFonts w:hint="default"/>
                      <w:lang w:val="en-US" w:eastAsia="zh-CN"/>
                    </w:rPr>
                  </w:pPr>
                  <w:r>
                    <w:rPr>
                      <w:rFonts w:hint="eastAsia"/>
                      <w:lang w:val="en-US" w:eastAsia="zh-CN"/>
                    </w:rPr>
                    <w:t>35</w:t>
                  </w:r>
                </w:p>
              </w:tc>
              <w:tc>
                <w:tcPr>
                  <w:tcW w:w="435" w:type="pct"/>
                  <w:noWrap w:val="0"/>
                  <w:vAlign w:val="center"/>
                </w:tcPr>
                <w:p w14:paraId="080766A3">
                  <w:pPr>
                    <w:pStyle w:val="47"/>
                    <w:bidi w:val="0"/>
                    <w:rPr>
                      <w:rFonts w:hint="default"/>
                      <w:lang w:val="en-US" w:eastAsia="zh-CN"/>
                    </w:rPr>
                  </w:pPr>
                  <w:r>
                    <w:rPr>
                      <w:rFonts w:hint="eastAsia"/>
                      <w:lang w:val="en-US" w:eastAsia="zh-CN"/>
                    </w:rPr>
                    <w:t>4.5</w:t>
                  </w:r>
                </w:p>
              </w:tc>
              <w:tc>
                <w:tcPr>
                  <w:tcW w:w="465" w:type="pct"/>
                  <w:noWrap w:val="0"/>
                  <w:vAlign w:val="center"/>
                </w:tcPr>
                <w:p w14:paraId="2738135F">
                  <w:pPr>
                    <w:pStyle w:val="47"/>
                    <w:bidi w:val="0"/>
                    <w:rPr>
                      <w:rFonts w:hint="default"/>
                      <w:lang w:val="en-US" w:eastAsia="zh-CN"/>
                    </w:rPr>
                  </w:pPr>
                  <w:r>
                    <w:rPr>
                      <w:rFonts w:hint="eastAsia"/>
                      <w:lang w:val="en-US" w:eastAsia="zh-CN"/>
                    </w:rPr>
                    <w:t>50</w:t>
                  </w:r>
                </w:p>
              </w:tc>
            </w:tr>
            <w:tr w14:paraId="014A1E52">
              <w:tblPrEx>
                <w:tblBorders>
                  <w:top w:val="single" w:color="auto" w:sz="8" w:space="0"/>
                  <w:left w:val="single" w:color="auto" w:sz="2" w:space="0"/>
                  <w:bottom w:val="single" w:color="auto" w:sz="8"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56" w:type="pct"/>
                  <w:noWrap w:val="0"/>
                  <w:vAlign w:val="center"/>
                </w:tcPr>
                <w:p w14:paraId="28A81416">
                  <w:pPr>
                    <w:pStyle w:val="47"/>
                    <w:bidi w:val="0"/>
                    <w:rPr>
                      <w:rFonts w:hint="eastAsia"/>
                      <w:color w:val="auto"/>
                      <w:highlight w:val="none"/>
                      <w:lang w:val="en-US" w:eastAsia="zh-CN"/>
                    </w:rPr>
                  </w:pPr>
                  <w:r>
                    <w:rPr>
                      <w:rFonts w:hint="eastAsia"/>
                    </w:rPr>
                    <w:t>《城镇污水处理厂污染物排放标准》GB18918-2002)一级标准中的 A 标准</w:t>
                  </w:r>
                </w:p>
              </w:tc>
              <w:tc>
                <w:tcPr>
                  <w:tcW w:w="426" w:type="pct"/>
                  <w:noWrap w:val="0"/>
                  <w:vAlign w:val="center"/>
                </w:tcPr>
                <w:p w14:paraId="275C7F7E">
                  <w:pPr>
                    <w:pStyle w:val="47"/>
                    <w:bidi w:val="0"/>
                  </w:pPr>
                  <w:r>
                    <w:t>6~9</w:t>
                  </w:r>
                </w:p>
              </w:tc>
              <w:tc>
                <w:tcPr>
                  <w:tcW w:w="460" w:type="pct"/>
                  <w:noWrap w:val="0"/>
                  <w:vAlign w:val="center"/>
                </w:tcPr>
                <w:p w14:paraId="2AFB866F">
                  <w:pPr>
                    <w:pStyle w:val="47"/>
                    <w:bidi w:val="0"/>
                    <w:rPr>
                      <w:rFonts w:hint="default"/>
                      <w:lang w:val="en-US" w:eastAsia="zh-CN"/>
                    </w:rPr>
                  </w:pPr>
                  <w:r>
                    <w:rPr>
                      <w:rFonts w:hint="eastAsia"/>
                      <w:lang w:val="en-US" w:eastAsia="zh-CN"/>
                    </w:rPr>
                    <w:t>50</w:t>
                  </w:r>
                </w:p>
              </w:tc>
              <w:tc>
                <w:tcPr>
                  <w:tcW w:w="502" w:type="pct"/>
                  <w:noWrap w:val="0"/>
                  <w:vAlign w:val="center"/>
                </w:tcPr>
                <w:p w14:paraId="38E513B2">
                  <w:pPr>
                    <w:pStyle w:val="47"/>
                    <w:bidi w:val="0"/>
                    <w:rPr>
                      <w:rFonts w:hint="default"/>
                      <w:lang w:val="en-US" w:eastAsia="zh-CN"/>
                    </w:rPr>
                  </w:pPr>
                  <w:r>
                    <w:rPr>
                      <w:rFonts w:hint="eastAsia"/>
                      <w:lang w:val="en-US" w:eastAsia="zh-CN"/>
                    </w:rPr>
                    <w:t>10</w:t>
                  </w:r>
                </w:p>
              </w:tc>
              <w:tc>
                <w:tcPr>
                  <w:tcW w:w="395" w:type="pct"/>
                  <w:noWrap w:val="0"/>
                  <w:vAlign w:val="center"/>
                </w:tcPr>
                <w:p w14:paraId="2165909F">
                  <w:pPr>
                    <w:pStyle w:val="47"/>
                    <w:bidi w:val="0"/>
                    <w:rPr>
                      <w:rFonts w:hint="default"/>
                      <w:lang w:val="en-US" w:eastAsia="zh-CN"/>
                    </w:rPr>
                  </w:pPr>
                  <w:r>
                    <w:rPr>
                      <w:rFonts w:hint="eastAsia"/>
                      <w:lang w:val="en-US" w:eastAsia="zh-CN"/>
                    </w:rPr>
                    <w:t>10</w:t>
                  </w:r>
                </w:p>
              </w:tc>
              <w:tc>
                <w:tcPr>
                  <w:tcW w:w="558" w:type="pct"/>
                  <w:noWrap w:val="0"/>
                  <w:vAlign w:val="center"/>
                </w:tcPr>
                <w:p w14:paraId="540BFACF">
                  <w:pPr>
                    <w:pStyle w:val="47"/>
                    <w:bidi w:val="0"/>
                    <w:rPr>
                      <w:rFonts w:hint="eastAsia"/>
                      <w:lang w:val="en-US" w:eastAsia="zh-CN"/>
                    </w:rPr>
                  </w:pPr>
                  <w:r>
                    <w:rPr>
                      <w:rFonts w:hint="eastAsia"/>
                      <w:lang w:val="en-US" w:eastAsia="zh-CN"/>
                    </w:rPr>
                    <w:t>5（8）</w:t>
                  </w:r>
                </w:p>
              </w:tc>
              <w:tc>
                <w:tcPr>
                  <w:tcW w:w="435" w:type="pct"/>
                  <w:noWrap w:val="0"/>
                  <w:vAlign w:val="center"/>
                </w:tcPr>
                <w:p w14:paraId="5845D0A2">
                  <w:pPr>
                    <w:pStyle w:val="47"/>
                    <w:bidi w:val="0"/>
                    <w:rPr>
                      <w:rFonts w:hint="default"/>
                      <w:lang w:val="en-US" w:eastAsia="zh-CN"/>
                    </w:rPr>
                  </w:pPr>
                  <w:r>
                    <w:rPr>
                      <w:rFonts w:hint="eastAsia"/>
                      <w:lang w:val="en-US" w:eastAsia="zh-CN"/>
                    </w:rPr>
                    <w:t>0.5</w:t>
                  </w:r>
                </w:p>
              </w:tc>
              <w:tc>
                <w:tcPr>
                  <w:tcW w:w="465" w:type="pct"/>
                  <w:noWrap w:val="0"/>
                  <w:vAlign w:val="center"/>
                </w:tcPr>
                <w:p w14:paraId="0ED98C7F">
                  <w:pPr>
                    <w:pStyle w:val="47"/>
                    <w:bidi w:val="0"/>
                    <w:rPr>
                      <w:rFonts w:hint="default"/>
                      <w:lang w:val="en-US" w:eastAsia="zh-CN"/>
                    </w:rPr>
                  </w:pPr>
                  <w:r>
                    <w:rPr>
                      <w:rFonts w:hint="eastAsia"/>
                      <w:lang w:val="en-US" w:eastAsia="zh-CN"/>
                    </w:rPr>
                    <w:t>15</w:t>
                  </w:r>
                </w:p>
              </w:tc>
            </w:tr>
            <w:tr w14:paraId="0A2E7266">
              <w:tblPrEx>
                <w:tblBorders>
                  <w:top w:val="single" w:color="auto" w:sz="8" w:space="0"/>
                  <w:left w:val="single" w:color="auto" w:sz="2" w:space="0"/>
                  <w:bottom w:val="single" w:color="auto" w:sz="8"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000" w:type="pct"/>
                  <w:gridSpan w:val="8"/>
                  <w:noWrap w:val="0"/>
                  <w:vAlign w:val="center"/>
                </w:tcPr>
                <w:p w14:paraId="3778C8B7">
                  <w:pPr>
                    <w:pStyle w:val="47"/>
                    <w:bidi w:val="0"/>
                    <w:rPr>
                      <w:rFonts w:hint="eastAsia"/>
                      <w:lang w:val="en-US" w:eastAsia="zh-CN"/>
                    </w:rPr>
                  </w:pPr>
                  <w:r>
                    <w:rPr>
                      <w:rFonts w:hint="eastAsia"/>
                      <w:lang w:val="en-US" w:eastAsia="zh-CN"/>
                    </w:rPr>
                    <w:t>注；括号外数值为水温&gt;12℃时的控制指标，括号内数值为水温&lt;12℃的控制指标。</w:t>
                  </w:r>
                </w:p>
              </w:tc>
            </w:tr>
          </w:tbl>
          <w:p w14:paraId="1E52D7B4">
            <w:pPr>
              <w:ind w:firstLine="482"/>
              <w:rPr>
                <w:b/>
                <w:bCs/>
                <w:color w:val="auto"/>
                <w:highlight w:val="none"/>
              </w:rPr>
            </w:pPr>
            <w:r>
              <w:rPr>
                <w:rFonts w:hint="eastAsia"/>
                <w:b/>
                <w:bCs/>
                <w:color w:val="auto"/>
                <w:highlight w:val="none"/>
              </w:rPr>
              <w:t>3、噪声</w:t>
            </w:r>
          </w:p>
          <w:p w14:paraId="1FEC8231">
            <w:pPr>
              <w:ind w:firstLine="480"/>
              <w:rPr>
                <w:rFonts w:hint="eastAsia"/>
                <w:color w:val="auto"/>
                <w:highlight w:val="none"/>
              </w:rPr>
            </w:pPr>
            <w:r>
              <w:rPr>
                <w:rFonts w:hint="eastAsia"/>
                <w:color w:val="auto"/>
                <w:highlight w:val="none"/>
              </w:rPr>
              <w:t>运营期厂界噪声排放执行《工业企业厂界环境噪声排放标准》（GB12348-2008）中3类标准，具体标准见下表：</w:t>
            </w:r>
          </w:p>
          <w:p w14:paraId="4F9D3A3F">
            <w:pPr>
              <w:pStyle w:val="49"/>
              <w:rPr>
                <w:color w:val="auto"/>
                <w:highlight w:val="none"/>
              </w:rPr>
            </w:pPr>
            <w:r>
              <w:rPr>
                <w:rFonts w:hint="eastAsia"/>
                <w:color w:val="auto"/>
                <w:highlight w:val="none"/>
              </w:rPr>
              <w:t>表3-</w:t>
            </w:r>
            <w:r>
              <w:rPr>
                <w:rFonts w:hint="eastAsia"/>
                <w:color w:val="auto"/>
                <w:highlight w:val="none"/>
                <w:lang w:val="en-US" w:eastAsia="zh-CN"/>
              </w:rPr>
              <w:t>8</w:t>
            </w:r>
            <w:r>
              <w:rPr>
                <w:rFonts w:hint="eastAsia"/>
                <w:color w:val="auto"/>
                <w:highlight w:val="none"/>
              </w:rPr>
              <w:t>运营期厂界噪声排放标准 单位： dB(A)</w:t>
            </w:r>
          </w:p>
          <w:tbl>
            <w:tblPr>
              <w:tblStyle w:val="26"/>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824"/>
              <w:gridCol w:w="1544"/>
              <w:gridCol w:w="2013"/>
            </w:tblGrid>
            <w:tr w14:paraId="5AC83E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77" w:type="pct"/>
                  <w:vAlign w:val="center"/>
                </w:tcPr>
                <w:p w14:paraId="2FC6F35B">
                  <w:pPr>
                    <w:pStyle w:val="51"/>
                    <w:spacing w:before="31" w:after="31"/>
                    <w:rPr>
                      <w:color w:val="auto"/>
                      <w:highlight w:val="none"/>
                    </w:rPr>
                  </w:pPr>
                  <w:r>
                    <w:rPr>
                      <w:rFonts w:hint="eastAsia"/>
                      <w:color w:val="auto"/>
                      <w:highlight w:val="none"/>
                    </w:rPr>
                    <w:t>《工业企业厂界环境噪声排放标准》</w:t>
                  </w:r>
                </w:p>
              </w:tc>
              <w:tc>
                <w:tcPr>
                  <w:tcW w:w="921" w:type="pct"/>
                  <w:vAlign w:val="center"/>
                </w:tcPr>
                <w:p w14:paraId="64008530">
                  <w:pPr>
                    <w:pStyle w:val="51"/>
                    <w:spacing w:before="31" w:after="31"/>
                    <w:rPr>
                      <w:color w:val="auto"/>
                      <w:highlight w:val="none"/>
                    </w:rPr>
                  </w:pPr>
                  <w:r>
                    <w:rPr>
                      <w:rFonts w:hint="eastAsia"/>
                      <w:color w:val="auto"/>
                      <w:highlight w:val="none"/>
                    </w:rPr>
                    <w:t>昼间</w:t>
                  </w:r>
                </w:p>
              </w:tc>
              <w:tc>
                <w:tcPr>
                  <w:tcW w:w="1200" w:type="pct"/>
                  <w:vAlign w:val="center"/>
                </w:tcPr>
                <w:p w14:paraId="6B600518">
                  <w:pPr>
                    <w:pStyle w:val="51"/>
                    <w:spacing w:before="31" w:after="31"/>
                    <w:rPr>
                      <w:color w:val="auto"/>
                      <w:highlight w:val="none"/>
                    </w:rPr>
                  </w:pPr>
                  <w:r>
                    <w:rPr>
                      <w:rFonts w:hint="eastAsia"/>
                      <w:color w:val="auto"/>
                      <w:highlight w:val="none"/>
                    </w:rPr>
                    <w:t>夜间</w:t>
                  </w:r>
                </w:p>
              </w:tc>
            </w:tr>
            <w:tr w14:paraId="16A420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77" w:type="pct"/>
                  <w:vAlign w:val="center"/>
                </w:tcPr>
                <w:p w14:paraId="749B4161">
                  <w:pPr>
                    <w:pStyle w:val="51"/>
                    <w:spacing w:before="31" w:after="31"/>
                    <w:rPr>
                      <w:color w:val="auto"/>
                      <w:highlight w:val="none"/>
                    </w:rPr>
                  </w:pPr>
                  <w:r>
                    <w:rPr>
                      <w:rFonts w:hint="eastAsia"/>
                      <w:color w:val="auto"/>
                      <w:highlight w:val="none"/>
                    </w:rPr>
                    <w:t>3类</w:t>
                  </w:r>
                </w:p>
              </w:tc>
              <w:tc>
                <w:tcPr>
                  <w:tcW w:w="921" w:type="pct"/>
                  <w:vAlign w:val="center"/>
                </w:tcPr>
                <w:p w14:paraId="3793CF02">
                  <w:pPr>
                    <w:pStyle w:val="51"/>
                    <w:spacing w:before="31" w:after="31"/>
                    <w:rPr>
                      <w:color w:val="auto"/>
                      <w:highlight w:val="none"/>
                    </w:rPr>
                  </w:pPr>
                  <w:r>
                    <w:rPr>
                      <w:rFonts w:hint="eastAsia"/>
                      <w:color w:val="auto"/>
                      <w:highlight w:val="none"/>
                    </w:rPr>
                    <w:t>65</w:t>
                  </w:r>
                </w:p>
              </w:tc>
              <w:tc>
                <w:tcPr>
                  <w:tcW w:w="1200" w:type="pct"/>
                  <w:vAlign w:val="center"/>
                </w:tcPr>
                <w:p w14:paraId="6C5EADEF">
                  <w:pPr>
                    <w:pStyle w:val="51"/>
                    <w:spacing w:before="31" w:after="31"/>
                    <w:rPr>
                      <w:color w:val="auto"/>
                      <w:highlight w:val="none"/>
                    </w:rPr>
                  </w:pPr>
                  <w:r>
                    <w:rPr>
                      <w:rFonts w:hint="eastAsia"/>
                      <w:color w:val="auto"/>
                      <w:highlight w:val="none"/>
                    </w:rPr>
                    <w:t>55</w:t>
                  </w:r>
                </w:p>
              </w:tc>
            </w:tr>
          </w:tbl>
          <w:p w14:paraId="35250AEB">
            <w:pPr>
              <w:bidi w:val="0"/>
              <w:rPr>
                <w:b/>
                <w:bCs/>
              </w:rPr>
            </w:pPr>
            <w:r>
              <w:rPr>
                <w:rFonts w:hint="eastAsia"/>
                <w:b/>
                <w:bCs/>
              </w:rPr>
              <w:t>4、固体废物</w:t>
            </w:r>
          </w:p>
          <w:p w14:paraId="1FBF73B4">
            <w:pPr>
              <w:ind w:firstLine="480"/>
              <w:rPr>
                <w:rFonts w:hint="eastAsia" w:eastAsia="宋体"/>
                <w:color w:val="auto"/>
                <w:highlight w:val="none"/>
                <w:lang w:eastAsia="zh-CN"/>
              </w:rPr>
            </w:pPr>
            <w:r>
              <w:rPr>
                <w:rFonts w:hint="eastAsia"/>
                <w:color w:val="auto"/>
                <w:highlight w:val="none"/>
              </w:rPr>
              <w:t>一般工业固废</w:t>
            </w:r>
            <w:r>
              <w:rPr>
                <w:rFonts w:hint="eastAsia"/>
                <w:color w:val="auto"/>
                <w:highlight w:val="none"/>
                <w:lang w:val="en-US" w:eastAsia="zh-CN"/>
              </w:rPr>
              <w:t>参照</w:t>
            </w:r>
            <w:r>
              <w:rPr>
                <w:rFonts w:hint="eastAsia"/>
                <w:color w:val="auto"/>
                <w:highlight w:val="none"/>
              </w:rPr>
              <w:t>执行《一般工业固体废物贮存和填埋污染控制标准》（GB18599－2020）的相关要求；危险废物贮存及处置</w:t>
            </w:r>
            <w:r>
              <w:rPr>
                <w:rFonts w:hint="eastAsia"/>
                <w:color w:val="auto"/>
                <w:highlight w:val="none"/>
                <w:lang w:val="en-US" w:eastAsia="zh-CN"/>
              </w:rPr>
              <w:t>参照</w:t>
            </w:r>
            <w:r>
              <w:rPr>
                <w:rFonts w:hint="eastAsia"/>
                <w:color w:val="auto"/>
                <w:highlight w:val="none"/>
              </w:rPr>
              <w:t>执行《危险废物贮存污染控制标准》（GB18597-2023）</w:t>
            </w:r>
            <w:r>
              <w:rPr>
                <w:rFonts w:hint="eastAsia"/>
                <w:color w:val="auto"/>
                <w:highlight w:val="none"/>
                <w:lang w:eastAsia="zh-CN"/>
              </w:rPr>
              <w:t>。</w:t>
            </w:r>
          </w:p>
        </w:tc>
      </w:tr>
      <w:tr w14:paraId="493AB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8" w:type="dxa"/>
            <w:tcBorders>
              <w:tl2br w:val="nil"/>
              <w:tr2bl w:val="nil"/>
            </w:tcBorders>
            <w:shd w:val="clear" w:color="auto" w:fill="auto"/>
            <w:vAlign w:val="center"/>
          </w:tcPr>
          <w:p w14:paraId="196D7AFA">
            <w:pPr>
              <w:ind w:firstLine="0" w:firstLineChars="0"/>
              <w:jc w:val="center"/>
              <w:rPr>
                <w:color w:val="auto"/>
                <w:sz w:val="28"/>
                <w:szCs w:val="28"/>
                <w:highlight w:val="none"/>
              </w:rPr>
            </w:pPr>
            <w:r>
              <w:rPr>
                <w:color w:val="auto"/>
                <w:szCs w:val="21"/>
                <w:highlight w:val="none"/>
              </w:rPr>
              <w:t>总量控制指标</w:t>
            </w:r>
          </w:p>
        </w:tc>
        <w:tc>
          <w:tcPr>
            <w:tcW w:w="8000" w:type="dxa"/>
            <w:tcBorders>
              <w:tl2br w:val="nil"/>
              <w:tr2bl w:val="nil"/>
            </w:tcBorders>
            <w:shd w:val="clear" w:color="auto" w:fill="auto"/>
            <w:vAlign w:val="center"/>
          </w:tcPr>
          <w:p w14:paraId="4AF49BC2">
            <w:pPr>
              <w:bidi w:val="0"/>
              <w:rPr>
                <w:color w:val="auto"/>
                <w:highlight w:val="none"/>
              </w:rPr>
            </w:pPr>
            <w:r>
              <w:rPr>
                <w:rFonts w:hint="eastAsia"/>
                <w:color w:val="auto"/>
              </w:rPr>
              <w:t>根据生态环境部办公厅《关于做好</w:t>
            </w:r>
            <w:r>
              <w:rPr>
                <w:rFonts w:hint="eastAsia"/>
                <w:color w:val="auto"/>
                <w:lang w:eastAsia="zh-CN"/>
              </w:rPr>
              <w:t>“</w:t>
            </w:r>
            <w:r>
              <w:rPr>
                <w:rFonts w:hint="eastAsia"/>
                <w:color w:val="auto"/>
              </w:rPr>
              <w:t>十四五</w:t>
            </w:r>
            <w:r>
              <w:rPr>
                <w:rFonts w:hint="eastAsia"/>
                <w:color w:val="auto"/>
                <w:lang w:eastAsia="zh-CN"/>
              </w:rPr>
              <w:t>”</w:t>
            </w:r>
            <w:r>
              <w:rPr>
                <w:rFonts w:hint="eastAsia"/>
                <w:color w:val="auto"/>
              </w:rPr>
              <w:t>主要污染物总量减排工作的通知》（环办综合函〔2021〕323号），目前国家对氮氧化物、挥发性有机物、化学需氧量、氨氮等4种主要污染物纳入排放总量控制计划管理。</w:t>
            </w:r>
          </w:p>
          <w:p w14:paraId="2F863870">
            <w:pPr>
              <w:bidi w:val="0"/>
              <w:rPr>
                <w:rFonts w:hint="eastAsia"/>
                <w:b/>
                <w:bCs/>
                <w:color w:val="auto"/>
              </w:rPr>
            </w:pPr>
            <w:r>
              <w:rPr>
                <w:rFonts w:hint="eastAsia"/>
                <w:b/>
                <w:bCs/>
                <w:color w:val="auto"/>
              </w:rPr>
              <w:t>1、总量控制因子</w:t>
            </w:r>
          </w:p>
          <w:p w14:paraId="6D528AA5">
            <w:pPr>
              <w:bidi w:val="0"/>
              <w:rPr>
                <w:rFonts w:hint="eastAsia"/>
                <w:color w:val="auto"/>
              </w:rPr>
            </w:pPr>
            <w:r>
              <w:rPr>
                <w:rFonts w:hint="eastAsia"/>
                <w:color w:val="auto"/>
              </w:rPr>
              <w:t>废气：VOCs</w:t>
            </w:r>
            <w:r>
              <w:rPr>
                <w:rFonts w:hint="eastAsia"/>
                <w:color w:val="auto"/>
                <w:lang w:eastAsia="zh-CN"/>
              </w:rPr>
              <w:t>；</w:t>
            </w:r>
            <w:r>
              <w:rPr>
                <w:rFonts w:hint="eastAsia"/>
                <w:color w:val="auto"/>
              </w:rPr>
              <w:t>废水：COD、</w:t>
            </w:r>
            <w:r>
              <w:rPr>
                <w:color w:val="auto"/>
              </w:rPr>
              <w:t>NH</w:t>
            </w:r>
            <w:r>
              <w:rPr>
                <w:color w:val="auto"/>
                <w:vertAlign w:val="subscript"/>
              </w:rPr>
              <w:t>3</w:t>
            </w:r>
            <w:r>
              <w:rPr>
                <w:color w:val="auto"/>
              </w:rPr>
              <w:t>-N</w:t>
            </w:r>
          </w:p>
          <w:p w14:paraId="0B6D84E5">
            <w:pPr>
              <w:bidi w:val="0"/>
              <w:rPr>
                <w:rFonts w:hint="eastAsia"/>
                <w:b/>
                <w:bCs/>
                <w:color w:val="auto"/>
              </w:rPr>
            </w:pPr>
            <w:r>
              <w:rPr>
                <w:rFonts w:hint="eastAsia"/>
                <w:b/>
                <w:bCs/>
                <w:color w:val="auto"/>
              </w:rPr>
              <w:t>2、总量控制指标。</w:t>
            </w:r>
          </w:p>
          <w:p w14:paraId="0F0FB872">
            <w:pPr>
              <w:bidi w:val="0"/>
              <w:rPr>
                <w:rFonts w:hint="eastAsia"/>
                <w:color w:val="auto"/>
              </w:rPr>
            </w:pPr>
            <w:r>
              <w:rPr>
                <w:rFonts w:hint="eastAsia"/>
                <w:color w:val="auto"/>
              </w:rPr>
              <w:t>本项目新增废水总量指标：COD：0.</w:t>
            </w:r>
            <w:r>
              <w:rPr>
                <w:rFonts w:hint="eastAsia"/>
                <w:color w:val="auto"/>
                <w:lang w:val="en-US" w:eastAsia="zh-CN"/>
              </w:rPr>
              <w:t>2448</w:t>
            </w:r>
            <w:r>
              <w:rPr>
                <w:rFonts w:hint="eastAsia"/>
                <w:color w:val="auto"/>
              </w:rPr>
              <w:t>t/a，氨氮</w:t>
            </w:r>
            <w:r>
              <w:rPr>
                <w:rFonts w:hint="eastAsia"/>
                <w:color w:val="auto"/>
                <w:lang w:eastAsia="zh-CN"/>
              </w:rPr>
              <w:t>0.0</w:t>
            </w:r>
            <w:r>
              <w:rPr>
                <w:rFonts w:hint="eastAsia"/>
                <w:color w:val="auto"/>
                <w:lang w:val="en-US" w:eastAsia="zh-CN"/>
              </w:rPr>
              <w:t>235</w:t>
            </w:r>
            <w:r>
              <w:rPr>
                <w:rFonts w:hint="eastAsia"/>
                <w:color w:val="auto"/>
              </w:rPr>
              <w:t>t/a。本项目废水水污染物排放量纳入</w:t>
            </w:r>
            <w:r>
              <w:rPr>
                <w:rFonts w:hint="eastAsia"/>
                <w:lang w:val="en-US" w:eastAsia="zh-CN"/>
              </w:rPr>
              <w:t>淮南经济</w:t>
            </w:r>
            <w:r>
              <w:rPr>
                <w:rFonts w:hint="eastAsia"/>
              </w:rPr>
              <w:t>开发区污水处理厂（三万吨污水处理厂）</w:t>
            </w:r>
            <w:r>
              <w:rPr>
                <w:rFonts w:hint="eastAsia"/>
                <w:color w:val="auto"/>
              </w:rPr>
              <w:t>总量指标内，不单独申请。</w:t>
            </w:r>
          </w:p>
          <w:p w14:paraId="5A5ED596">
            <w:pPr>
              <w:bidi w:val="0"/>
            </w:pPr>
            <w:r>
              <w:rPr>
                <w:rFonts w:hint="eastAsia"/>
                <w:color w:val="auto"/>
                <w:highlight w:val="none"/>
                <w:lang w:val="en-US" w:eastAsia="zh-CN"/>
              </w:rPr>
              <w:t>本项目</w:t>
            </w:r>
            <w:r>
              <w:rPr>
                <w:rFonts w:hint="eastAsia"/>
                <w:color w:val="auto"/>
                <w:highlight w:val="none"/>
              </w:rPr>
              <w:t>新增VOCs：</w:t>
            </w:r>
            <w:r>
              <w:rPr>
                <w:rFonts w:hint="eastAsia"/>
                <w:color w:val="auto"/>
                <w:highlight w:val="none"/>
                <w:lang w:val="en-US" w:eastAsia="zh-CN"/>
              </w:rPr>
              <w:t>1.132</w:t>
            </w:r>
            <w:r>
              <w:rPr>
                <w:rFonts w:hint="eastAsia"/>
                <w:color w:val="auto"/>
                <w:highlight w:val="none"/>
              </w:rPr>
              <w:t>t/a。废气总量指标VOCs：</w:t>
            </w:r>
            <w:r>
              <w:rPr>
                <w:rFonts w:hint="eastAsia"/>
                <w:color w:val="auto"/>
                <w:highlight w:val="none"/>
                <w:lang w:val="en-US" w:eastAsia="zh-CN"/>
              </w:rPr>
              <w:t>1.132t/a。</w:t>
            </w:r>
          </w:p>
        </w:tc>
      </w:tr>
    </w:tbl>
    <w:p w14:paraId="747007EF">
      <w:pPr>
        <w:pStyle w:val="3"/>
        <w:ind w:firstLine="643"/>
        <w:rPr>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17" w:right="1417" w:bottom="1417" w:left="1417" w:header="737" w:footer="850" w:gutter="0"/>
          <w:pgBorders>
            <w:top w:val="none" w:sz="0" w:space="0"/>
            <w:left w:val="none" w:sz="0" w:space="0"/>
            <w:bottom w:val="none" w:sz="0" w:space="0"/>
            <w:right w:val="none" w:sz="0" w:space="0"/>
          </w:pgBorders>
          <w:pgNumType w:start="1"/>
          <w:cols w:space="720" w:num="1"/>
          <w:docGrid w:type="lines" w:linePitch="312" w:charSpace="0"/>
        </w:sectPr>
      </w:pPr>
    </w:p>
    <w:p w14:paraId="5E07DE31">
      <w:pPr>
        <w:pStyle w:val="3"/>
        <w:ind w:firstLine="643"/>
        <w:rPr>
          <w:color w:val="auto"/>
          <w:highlight w:val="none"/>
        </w:rPr>
      </w:pPr>
      <w:r>
        <w:rPr>
          <w:rFonts w:hint="eastAsia"/>
          <w:color w:val="auto"/>
          <w:highlight w:val="none"/>
        </w:rPr>
        <w:t>四</w:t>
      </w:r>
      <w:r>
        <w:rPr>
          <w:color w:val="auto"/>
          <w:highlight w:val="none"/>
        </w:rPr>
        <w:t>、</w:t>
      </w:r>
      <w:r>
        <w:rPr>
          <w:rFonts w:hint="eastAsia"/>
          <w:color w:val="auto"/>
          <w:highlight w:val="none"/>
        </w:rPr>
        <w:t>主要环境影响和保护措施</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
        <w:gridCol w:w="13786"/>
      </w:tblGrid>
      <w:tr w14:paraId="10309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3" w:type="pct"/>
            <w:tcBorders>
              <w:tl2br w:val="nil"/>
              <w:tr2bl w:val="nil"/>
            </w:tcBorders>
            <w:vAlign w:val="center"/>
          </w:tcPr>
          <w:p w14:paraId="38622E3E">
            <w:pPr>
              <w:spacing w:after="156" w:afterLines="50"/>
              <w:ind w:firstLine="0" w:firstLineChars="0"/>
              <w:jc w:val="center"/>
              <w:rPr>
                <w:color w:val="auto"/>
                <w:sz w:val="28"/>
                <w:szCs w:val="28"/>
                <w:highlight w:val="none"/>
              </w:rPr>
            </w:pPr>
            <w:r>
              <w:rPr>
                <w:rFonts w:hint="eastAsia"/>
                <w:color w:val="auto"/>
                <w:szCs w:val="21"/>
                <w:highlight w:val="none"/>
              </w:rPr>
              <w:t>施工期环境保护措施</w:t>
            </w:r>
          </w:p>
        </w:tc>
        <w:tc>
          <w:tcPr>
            <w:tcW w:w="4606" w:type="pct"/>
            <w:tcBorders>
              <w:tl2br w:val="nil"/>
              <w:tr2bl w:val="nil"/>
            </w:tcBorders>
            <w:vAlign w:val="center"/>
          </w:tcPr>
          <w:p w14:paraId="2E97DFE6">
            <w:pPr>
              <w:widowControl/>
              <w:ind w:firstLine="480"/>
              <w:rPr>
                <w:color w:val="auto"/>
                <w:highlight w:val="none"/>
              </w:rPr>
            </w:pPr>
            <w:r>
              <w:rPr>
                <w:color w:val="auto"/>
                <w:lang w:val="en-US" w:eastAsia="zh-CN"/>
              </w:rPr>
              <w:t>本项目为租赁</w:t>
            </w:r>
            <w:r>
              <w:rPr>
                <w:rFonts w:hint="eastAsia"/>
                <w:color w:val="auto"/>
                <w:lang w:val="en-US" w:eastAsia="zh-CN"/>
              </w:rPr>
              <w:t>现有</w:t>
            </w:r>
            <w:r>
              <w:rPr>
                <w:color w:val="auto"/>
                <w:lang w:val="en-US" w:eastAsia="zh-CN"/>
              </w:rPr>
              <w:t>厂房</w:t>
            </w:r>
            <w:r>
              <w:rPr>
                <w:rFonts w:hint="eastAsia"/>
                <w:color w:val="auto"/>
                <w:lang w:val="en-US" w:eastAsia="zh-CN"/>
              </w:rPr>
              <w:t>及空地待建厂房（由出租方建设好）进行</w:t>
            </w:r>
            <w:r>
              <w:rPr>
                <w:color w:val="auto"/>
                <w:lang w:val="en-US" w:eastAsia="zh-CN"/>
              </w:rPr>
              <w:t>生产，施工期仅进行设备安装。本项目施工期的噪声对周围声环境的不利影响随着工程竣工，噪声影响将降低或消失。</w:t>
            </w:r>
          </w:p>
        </w:tc>
      </w:tr>
      <w:tr w14:paraId="3F09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3" w:type="pct"/>
            <w:tcBorders>
              <w:tl2br w:val="nil"/>
              <w:tr2bl w:val="nil"/>
            </w:tcBorders>
            <w:vAlign w:val="center"/>
          </w:tcPr>
          <w:p w14:paraId="41FBE59D">
            <w:pPr>
              <w:spacing w:after="156" w:afterLines="50"/>
              <w:ind w:firstLine="0" w:firstLineChars="0"/>
              <w:jc w:val="center"/>
              <w:rPr>
                <w:rFonts w:hint="eastAsia"/>
                <w:color w:val="auto"/>
                <w:szCs w:val="21"/>
                <w:highlight w:val="none"/>
              </w:rPr>
            </w:pPr>
            <w:r>
              <w:rPr>
                <w:rFonts w:hint="eastAsia" w:ascii="宋体"/>
                <w:color w:val="auto"/>
                <w:highlight w:val="none"/>
              </w:rPr>
              <w:t>运营期环境影响和保护措施</w:t>
            </w:r>
          </w:p>
        </w:tc>
        <w:tc>
          <w:tcPr>
            <w:tcW w:w="4606" w:type="pct"/>
            <w:tcBorders>
              <w:tl2br w:val="nil"/>
              <w:tr2bl w:val="nil"/>
            </w:tcBorders>
            <w:vAlign w:val="center"/>
          </w:tcPr>
          <w:p w14:paraId="0EE015A5">
            <w:pPr>
              <w:ind w:firstLine="480"/>
              <w:rPr>
                <w:color w:val="auto"/>
                <w:highlight w:val="none"/>
              </w:rPr>
            </w:pPr>
            <w:r>
              <w:rPr>
                <w:rFonts w:hint="eastAsia"/>
                <w:color w:val="auto"/>
                <w:highlight w:val="none"/>
              </w:rPr>
              <w:t>本项目运营期产生的污染物主要是在生产过程中产生的</w:t>
            </w:r>
            <w:r>
              <w:rPr>
                <w:rFonts w:hint="eastAsia"/>
                <w:color w:val="auto"/>
                <w:highlight w:val="none"/>
                <w:lang w:val="en-US" w:eastAsia="zh-CN"/>
              </w:rPr>
              <w:t>废气</w:t>
            </w:r>
            <w:r>
              <w:rPr>
                <w:rFonts w:hint="eastAsia"/>
                <w:color w:val="auto"/>
                <w:highlight w:val="none"/>
              </w:rPr>
              <w:t>、</w:t>
            </w:r>
            <w:r>
              <w:rPr>
                <w:rFonts w:hint="eastAsia"/>
                <w:color w:val="auto"/>
                <w:highlight w:val="none"/>
                <w:lang w:val="en-US" w:eastAsia="zh-CN"/>
              </w:rPr>
              <w:t>废水、</w:t>
            </w:r>
            <w:r>
              <w:rPr>
                <w:rFonts w:hint="eastAsia"/>
                <w:color w:val="auto"/>
                <w:highlight w:val="none"/>
              </w:rPr>
              <w:t>噪声</w:t>
            </w:r>
            <w:r>
              <w:rPr>
                <w:rFonts w:hint="eastAsia"/>
                <w:color w:val="auto"/>
                <w:highlight w:val="none"/>
                <w:lang w:eastAsia="zh-CN"/>
              </w:rPr>
              <w:t>、</w:t>
            </w:r>
            <w:r>
              <w:rPr>
                <w:rFonts w:hint="eastAsia"/>
                <w:color w:val="auto"/>
                <w:highlight w:val="none"/>
                <w:lang w:val="en-US" w:eastAsia="zh-CN"/>
              </w:rPr>
              <w:t>固体废物</w:t>
            </w:r>
            <w:r>
              <w:rPr>
                <w:rFonts w:hint="eastAsia"/>
                <w:color w:val="auto"/>
                <w:highlight w:val="none"/>
              </w:rPr>
              <w:t>。</w:t>
            </w:r>
          </w:p>
          <w:p w14:paraId="018897F7">
            <w:pPr>
              <w:numPr>
                <w:ilvl w:val="0"/>
                <w:numId w:val="6"/>
              </w:numPr>
              <w:ind w:firstLine="482"/>
              <w:rPr>
                <w:b/>
                <w:bCs/>
                <w:color w:val="auto"/>
                <w:highlight w:val="none"/>
              </w:rPr>
            </w:pPr>
            <w:r>
              <w:rPr>
                <w:rFonts w:hint="eastAsia"/>
                <w:b/>
                <w:bCs/>
                <w:color w:val="auto"/>
                <w:highlight w:val="none"/>
              </w:rPr>
              <w:t>废气</w:t>
            </w:r>
          </w:p>
          <w:p w14:paraId="1846FDF2">
            <w:pPr>
              <w:numPr>
                <w:ilvl w:val="0"/>
                <w:numId w:val="7"/>
              </w:numPr>
              <w:bidi w:val="0"/>
              <w:rPr>
                <w:b/>
                <w:bCs/>
              </w:rPr>
            </w:pPr>
            <w:r>
              <w:rPr>
                <w:rFonts w:hint="eastAsia"/>
                <w:b/>
                <w:bCs/>
                <w:lang w:val="en-US" w:eastAsia="zh-CN"/>
              </w:rPr>
              <w:t>废气污染源源强</w:t>
            </w:r>
          </w:p>
          <w:p w14:paraId="67D15713">
            <w:pPr>
              <w:pStyle w:val="46"/>
              <w:rPr>
                <w:rFonts w:hint="default"/>
                <w:color w:val="auto"/>
                <w:highlight w:val="none"/>
                <w:lang w:val="en-US" w:eastAsia="zh-CN"/>
              </w:rPr>
            </w:pPr>
            <w:r>
              <w:rPr>
                <w:color w:val="auto"/>
                <w:highlight w:val="none"/>
              </w:rPr>
              <w:t>项目营运期排放废气主要为</w:t>
            </w:r>
            <w:r>
              <w:rPr>
                <w:rFonts w:hint="eastAsia"/>
                <w:color w:val="auto"/>
                <w:highlight w:val="none"/>
                <w:lang w:val="en-US" w:eastAsia="zh-CN"/>
              </w:rPr>
              <w:t>发泡、成型、烘干过程中的有机废气。其产污情况见下表。</w:t>
            </w:r>
          </w:p>
          <w:p w14:paraId="30A56590">
            <w:pPr>
              <w:pStyle w:val="44"/>
              <w:bidi w:val="0"/>
            </w:pPr>
            <w:r>
              <w:rPr>
                <w:rFonts w:hint="eastAsia"/>
              </w:rPr>
              <w:t>表</w:t>
            </w:r>
            <w:r>
              <w:t>4</w:t>
            </w:r>
            <w:r>
              <w:rPr>
                <w:rFonts w:hint="eastAsia"/>
              </w:rPr>
              <w:t>-</w:t>
            </w:r>
            <w:r>
              <w:t>1</w:t>
            </w:r>
            <w:r>
              <w:rPr>
                <w:rFonts w:hint="eastAsia"/>
              </w:rPr>
              <w:t xml:space="preserve"> 废气产排污节点、污染物产排及污染治理设施信息表</w:t>
            </w:r>
          </w:p>
          <w:tbl>
            <w:tblPr>
              <w:tblStyle w:val="26"/>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05"/>
              <w:gridCol w:w="622"/>
              <w:gridCol w:w="805"/>
              <w:gridCol w:w="988"/>
              <w:gridCol w:w="623"/>
              <w:gridCol w:w="669"/>
              <w:gridCol w:w="761"/>
              <w:gridCol w:w="761"/>
              <w:gridCol w:w="441"/>
              <w:gridCol w:w="441"/>
              <w:gridCol w:w="441"/>
              <w:gridCol w:w="441"/>
              <w:gridCol w:w="441"/>
              <w:gridCol w:w="761"/>
              <w:gridCol w:w="761"/>
              <w:gridCol w:w="1400"/>
              <w:gridCol w:w="441"/>
              <w:gridCol w:w="761"/>
              <w:gridCol w:w="761"/>
              <w:gridCol w:w="441"/>
            </w:tblGrid>
            <w:tr w14:paraId="79F10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1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B159C">
                  <w:pPr>
                    <w:pStyle w:val="47"/>
                    <w:bidi w:val="0"/>
                    <w:rPr>
                      <w:rFonts w:hint="eastAsia"/>
                      <w:sz w:val="21"/>
                      <w:szCs w:val="21"/>
                    </w:rPr>
                  </w:pPr>
                  <w:r>
                    <w:rPr>
                      <w:rFonts w:hint="eastAsia"/>
                      <w:sz w:val="21"/>
                      <w:szCs w:val="21"/>
                      <w:lang w:val="en-US" w:eastAsia="zh-CN"/>
                    </w:rPr>
                    <w:t>生产线</w:t>
                  </w:r>
                </w:p>
              </w:tc>
              <w:tc>
                <w:tcPr>
                  <w:tcW w:w="1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234F0A">
                  <w:pPr>
                    <w:pStyle w:val="47"/>
                    <w:bidi w:val="0"/>
                    <w:rPr>
                      <w:rFonts w:hint="eastAsia"/>
                      <w:sz w:val="21"/>
                      <w:szCs w:val="21"/>
                    </w:rPr>
                  </w:pPr>
                  <w:r>
                    <w:rPr>
                      <w:rFonts w:hint="eastAsia"/>
                      <w:sz w:val="21"/>
                      <w:szCs w:val="21"/>
                      <w:lang w:val="en-US" w:eastAsia="zh-CN"/>
                    </w:rPr>
                    <w:t>工序</w:t>
                  </w:r>
                </w:p>
              </w:tc>
              <w:tc>
                <w:tcPr>
                  <w:tcW w:w="3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24972E">
                  <w:pPr>
                    <w:pStyle w:val="47"/>
                    <w:bidi w:val="0"/>
                    <w:rPr>
                      <w:rFonts w:hint="eastAsia"/>
                      <w:sz w:val="21"/>
                      <w:szCs w:val="21"/>
                    </w:rPr>
                  </w:pPr>
                  <w:r>
                    <w:rPr>
                      <w:rFonts w:hint="eastAsia"/>
                      <w:sz w:val="21"/>
                      <w:szCs w:val="21"/>
                      <w:lang w:val="en-US" w:eastAsia="zh-CN"/>
                    </w:rPr>
                    <w:t>污染物</w:t>
                  </w:r>
                </w:p>
              </w:tc>
              <w:tc>
                <w:tcPr>
                  <w:tcW w:w="2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29CB8F">
                  <w:pPr>
                    <w:pStyle w:val="47"/>
                    <w:bidi w:val="0"/>
                    <w:rPr>
                      <w:rFonts w:hint="eastAsia"/>
                      <w:sz w:val="21"/>
                      <w:szCs w:val="21"/>
                    </w:rPr>
                  </w:pPr>
                  <w:r>
                    <w:rPr>
                      <w:rFonts w:hint="eastAsia"/>
                      <w:sz w:val="21"/>
                      <w:szCs w:val="21"/>
                      <w:lang w:val="en-US" w:eastAsia="zh-CN"/>
                    </w:rPr>
                    <w:t>核算方法</w:t>
                  </w:r>
                </w:p>
              </w:tc>
              <w:tc>
                <w:tcPr>
                  <w:tcW w:w="1211"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04C801">
                  <w:pPr>
                    <w:pStyle w:val="47"/>
                    <w:bidi w:val="0"/>
                    <w:rPr>
                      <w:rFonts w:hint="eastAsia"/>
                      <w:sz w:val="21"/>
                      <w:szCs w:val="21"/>
                    </w:rPr>
                  </w:pPr>
                  <w:r>
                    <w:rPr>
                      <w:rFonts w:hint="eastAsia"/>
                      <w:sz w:val="21"/>
                      <w:szCs w:val="21"/>
                      <w:lang w:val="en-US" w:eastAsia="zh-CN"/>
                    </w:rPr>
                    <w:t>污染物产生情况</w:t>
                  </w:r>
                </w:p>
              </w:tc>
              <w:tc>
                <w:tcPr>
                  <w:tcW w:w="715"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601B10">
                  <w:pPr>
                    <w:pStyle w:val="47"/>
                    <w:bidi w:val="0"/>
                    <w:rPr>
                      <w:rFonts w:hint="eastAsia"/>
                      <w:sz w:val="21"/>
                      <w:szCs w:val="21"/>
                    </w:rPr>
                  </w:pPr>
                  <w:r>
                    <w:rPr>
                      <w:rFonts w:hint="eastAsia"/>
                      <w:sz w:val="21"/>
                      <w:szCs w:val="21"/>
                      <w:lang w:val="en-US" w:eastAsia="zh-CN"/>
                    </w:rPr>
                    <w:t>治理设施</w:t>
                  </w:r>
                </w:p>
              </w:tc>
              <w:tc>
                <w:tcPr>
                  <w:tcW w:w="192" w:type="pct"/>
                  <w:vMerge w:val="restart"/>
                  <w:tcBorders>
                    <w:top w:val="single" w:color="000000" w:sz="4" w:space="0"/>
                    <w:left w:val="single" w:color="000000" w:sz="4" w:space="0"/>
                    <w:right w:val="single" w:color="000000" w:sz="4" w:space="0"/>
                  </w:tcBorders>
                  <w:shd w:val="clear" w:color="auto" w:fill="auto"/>
                  <w:vAlign w:val="center"/>
                </w:tcPr>
                <w:p w14:paraId="23033091">
                  <w:pPr>
                    <w:pStyle w:val="47"/>
                    <w:bidi w:val="0"/>
                    <w:rPr>
                      <w:rFonts w:hint="eastAsia"/>
                      <w:sz w:val="21"/>
                      <w:szCs w:val="21"/>
                    </w:rPr>
                  </w:pPr>
                  <w:r>
                    <w:rPr>
                      <w:rFonts w:hint="eastAsia"/>
                      <w:sz w:val="21"/>
                      <w:szCs w:val="21"/>
                      <w:lang w:val="en-US" w:eastAsia="zh-CN"/>
                    </w:rPr>
                    <w:t>污染物</w:t>
                  </w:r>
                </w:p>
              </w:tc>
              <w:tc>
                <w:tcPr>
                  <w:tcW w:w="1735"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DAD5193">
                  <w:pPr>
                    <w:pStyle w:val="47"/>
                    <w:bidi w:val="0"/>
                    <w:rPr>
                      <w:rFonts w:hint="eastAsia"/>
                      <w:sz w:val="21"/>
                      <w:szCs w:val="21"/>
                    </w:rPr>
                  </w:pPr>
                  <w:r>
                    <w:rPr>
                      <w:rFonts w:hint="eastAsia"/>
                      <w:sz w:val="21"/>
                      <w:szCs w:val="21"/>
                      <w:lang w:val="en-US" w:eastAsia="zh-CN"/>
                    </w:rPr>
                    <w:t>污染物排放情况</w:t>
                  </w:r>
                </w:p>
              </w:tc>
              <w:tc>
                <w:tcPr>
                  <w:tcW w:w="1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9DC9A2">
                  <w:pPr>
                    <w:pStyle w:val="47"/>
                    <w:bidi w:val="0"/>
                    <w:rPr>
                      <w:rFonts w:hint="eastAsia"/>
                      <w:sz w:val="21"/>
                      <w:szCs w:val="21"/>
                    </w:rPr>
                  </w:pPr>
                  <w:r>
                    <w:rPr>
                      <w:rFonts w:hint="eastAsia"/>
                      <w:sz w:val="21"/>
                      <w:szCs w:val="21"/>
                      <w:lang w:val="en-US" w:eastAsia="zh-CN"/>
                    </w:rPr>
                    <w:t>排放时间h/a</w:t>
                  </w:r>
                </w:p>
              </w:tc>
            </w:tr>
            <w:tr w14:paraId="64339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1D56A">
                  <w:pPr>
                    <w:pStyle w:val="47"/>
                    <w:bidi w:val="0"/>
                    <w:rPr>
                      <w:rFonts w:hint="eastAsia"/>
                      <w:sz w:val="21"/>
                      <w:szCs w:val="21"/>
                    </w:rPr>
                  </w:pP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BC8390">
                  <w:pPr>
                    <w:pStyle w:val="47"/>
                    <w:bidi w:val="0"/>
                    <w:rPr>
                      <w:rFonts w:hint="eastAsia"/>
                      <w:sz w:val="21"/>
                      <w:szCs w:val="21"/>
                    </w:rPr>
                  </w:pPr>
                </w:p>
              </w:tc>
              <w:tc>
                <w:tcPr>
                  <w:tcW w:w="3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D0A72">
                  <w:pPr>
                    <w:pStyle w:val="47"/>
                    <w:bidi w:val="0"/>
                    <w:rPr>
                      <w:rFonts w:hint="eastAsia"/>
                      <w:sz w:val="21"/>
                      <w:szCs w:val="21"/>
                    </w:rPr>
                  </w:pPr>
                </w:p>
              </w:tc>
              <w:tc>
                <w:tcPr>
                  <w:tcW w:w="2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25F29">
                  <w:pPr>
                    <w:pStyle w:val="47"/>
                    <w:bidi w:val="0"/>
                    <w:rPr>
                      <w:rFonts w:hint="eastAsia"/>
                      <w:sz w:val="21"/>
                      <w:szCs w:val="21"/>
                    </w:rPr>
                  </w:pPr>
                </w:p>
              </w:tc>
              <w:tc>
                <w:tcPr>
                  <w:tcW w:w="1211"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07C37">
                  <w:pPr>
                    <w:pStyle w:val="47"/>
                    <w:bidi w:val="0"/>
                    <w:rPr>
                      <w:rFonts w:hint="eastAsia"/>
                      <w:sz w:val="21"/>
                      <w:szCs w:val="21"/>
                    </w:rPr>
                  </w:pPr>
                </w:p>
              </w:tc>
              <w:tc>
                <w:tcPr>
                  <w:tcW w:w="715"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29B2B">
                  <w:pPr>
                    <w:pStyle w:val="47"/>
                    <w:bidi w:val="0"/>
                    <w:rPr>
                      <w:rFonts w:hint="eastAsia"/>
                      <w:sz w:val="21"/>
                      <w:szCs w:val="21"/>
                    </w:rPr>
                  </w:pPr>
                </w:p>
              </w:tc>
              <w:tc>
                <w:tcPr>
                  <w:tcW w:w="192" w:type="pct"/>
                  <w:vMerge w:val="continue"/>
                  <w:tcBorders>
                    <w:left w:val="single" w:color="000000" w:sz="4" w:space="0"/>
                    <w:right w:val="single" w:color="000000" w:sz="4" w:space="0"/>
                  </w:tcBorders>
                  <w:shd w:val="clear" w:color="auto" w:fill="auto"/>
                  <w:vAlign w:val="center"/>
                </w:tcPr>
                <w:p w14:paraId="021940D5">
                  <w:pPr>
                    <w:pStyle w:val="47"/>
                    <w:bidi w:val="0"/>
                    <w:rPr>
                      <w:rFonts w:hint="eastAsia"/>
                      <w:sz w:val="21"/>
                      <w:szCs w:val="21"/>
                    </w:rPr>
                  </w:pPr>
                </w:p>
              </w:tc>
              <w:tc>
                <w:tcPr>
                  <w:tcW w:w="112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1387A1A">
                  <w:pPr>
                    <w:pStyle w:val="47"/>
                    <w:bidi w:val="0"/>
                    <w:rPr>
                      <w:rFonts w:hint="eastAsia"/>
                      <w:sz w:val="21"/>
                      <w:szCs w:val="21"/>
                    </w:rPr>
                  </w:pPr>
                  <w:r>
                    <w:rPr>
                      <w:rFonts w:hint="eastAsia"/>
                      <w:sz w:val="21"/>
                      <w:szCs w:val="21"/>
                      <w:lang w:val="en-US" w:eastAsia="zh-CN"/>
                    </w:rPr>
                    <w:t>有组织</w:t>
                  </w:r>
                </w:p>
              </w:tc>
              <w:tc>
                <w:tcPr>
                  <w:tcW w:w="6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859A51">
                  <w:pPr>
                    <w:pStyle w:val="47"/>
                    <w:bidi w:val="0"/>
                    <w:rPr>
                      <w:rFonts w:hint="eastAsia"/>
                      <w:sz w:val="21"/>
                      <w:szCs w:val="21"/>
                    </w:rPr>
                  </w:pPr>
                  <w:r>
                    <w:rPr>
                      <w:rFonts w:hint="eastAsia"/>
                      <w:sz w:val="21"/>
                      <w:szCs w:val="21"/>
                      <w:lang w:val="en-US" w:eastAsia="zh-CN"/>
                    </w:rPr>
                    <w:t>无组织</w:t>
                  </w:r>
                </w:p>
              </w:tc>
              <w:tc>
                <w:tcPr>
                  <w:tcW w:w="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A6585">
                  <w:pPr>
                    <w:pStyle w:val="47"/>
                    <w:bidi w:val="0"/>
                    <w:rPr>
                      <w:rFonts w:hint="eastAsia"/>
                      <w:sz w:val="21"/>
                      <w:szCs w:val="21"/>
                    </w:rPr>
                  </w:pPr>
                </w:p>
              </w:tc>
            </w:tr>
            <w:tr w14:paraId="7EC8B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95815">
                  <w:pPr>
                    <w:pStyle w:val="47"/>
                    <w:bidi w:val="0"/>
                    <w:rPr>
                      <w:rFonts w:hint="eastAsia"/>
                      <w:sz w:val="21"/>
                      <w:szCs w:val="21"/>
                    </w:rPr>
                  </w:pP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76E21">
                  <w:pPr>
                    <w:pStyle w:val="47"/>
                    <w:bidi w:val="0"/>
                    <w:rPr>
                      <w:rFonts w:hint="eastAsia"/>
                      <w:sz w:val="21"/>
                      <w:szCs w:val="21"/>
                    </w:rPr>
                  </w:pPr>
                </w:p>
              </w:tc>
              <w:tc>
                <w:tcPr>
                  <w:tcW w:w="3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94A43">
                  <w:pPr>
                    <w:pStyle w:val="47"/>
                    <w:bidi w:val="0"/>
                    <w:rPr>
                      <w:rFonts w:hint="eastAsia"/>
                      <w:sz w:val="21"/>
                      <w:szCs w:val="21"/>
                    </w:rPr>
                  </w:pPr>
                </w:p>
              </w:tc>
              <w:tc>
                <w:tcPr>
                  <w:tcW w:w="2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135C76">
                  <w:pPr>
                    <w:pStyle w:val="47"/>
                    <w:bidi w:val="0"/>
                    <w:rPr>
                      <w:rFonts w:hint="eastAsia"/>
                      <w:sz w:val="21"/>
                      <w:szCs w:val="21"/>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1B5A2">
                  <w:pPr>
                    <w:pStyle w:val="47"/>
                    <w:bidi w:val="0"/>
                    <w:rPr>
                      <w:rFonts w:hint="eastAsia"/>
                      <w:sz w:val="21"/>
                      <w:szCs w:val="21"/>
                    </w:rPr>
                  </w:pPr>
                  <w:r>
                    <w:rPr>
                      <w:rFonts w:hint="eastAsia"/>
                      <w:sz w:val="21"/>
                      <w:szCs w:val="21"/>
                      <w:lang w:val="en-US" w:eastAsia="zh-CN"/>
                    </w:rPr>
                    <w:t>废气量</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E9FB8">
                  <w:pPr>
                    <w:pStyle w:val="47"/>
                    <w:bidi w:val="0"/>
                    <w:rPr>
                      <w:rFonts w:hint="eastAsia"/>
                      <w:sz w:val="21"/>
                      <w:szCs w:val="21"/>
                    </w:rPr>
                  </w:pPr>
                  <w:r>
                    <w:rPr>
                      <w:rFonts w:hint="eastAsia"/>
                      <w:sz w:val="21"/>
                      <w:szCs w:val="21"/>
                      <w:lang w:val="en-US" w:eastAsia="zh-CN"/>
                    </w:rPr>
                    <w:t>产生量</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E8F5C">
                  <w:pPr>
                    <w:pStyle w:val="47"/>
                    <w:bidi w:val="0"/>
                    <w:rPr>
                      <w:rFonts w:hint="eastAsia"/>
                      <w:sz w:val="21"/>
                      <w:szCs w:val="21"/>
                    </w:rPr>
                  </w:pPr>
                  <w:r>
                    <w:rPr>
                      <w:rFonts w:hint="eastAsia"/>
                      <w:sz w:val="21"/>
                      <w:szCs w:val="21"/>
                      <w:lang w:val="en-US" w:eastAsia="zh-CN"/>
                    </w:rPr>
                    <w:t>产生速率</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B6816">
                  <w:pPr>
                    <w:pStyle w:val="47"/>
                    <w:bidi w:val="0"/>
                    <w:rPr>
                      <w:rFonts w:hint="eastAsia"/>
                      <w:sz w:val="21"/>
                      <w:szCs w:val="21"/>
                    </w:rPr>
                  </w:pPr>
                  <w:r>
                    <w:rPr>
                      <w:rFonts w:hint="eastAsia"/>
                      <w:sz w:val="21"/>
                      <w:szCs w:val="21"/>
                      <w:lang w:val="en-US" w:eastAsia="zh-CN"/>
                    </w:rPr>
                    <w:t>产生浓度</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4566B">
                  <w:pPr>
                    <w:pStyle w:val="47"/>
                    <w:bidi w:val="0"/>
                    <w:rPr>
                      <w:rFonts w:hint="eastAsia"/>
                      <w:sz w:val="21"/>
                      <w:szCs w:val="21"/>
                    </w:rPr>
                  </w:pPr>
                  <w:r>
                    <w:rPr>
                      <w:rFonts w:hint="eastAsia"/>
                      <w:sz w:val="21"/>
                      <w:szCs w:val="21"/>
                      <w:lang w:val="en-US" w:eastAsia="zh-CN"/>
                    </w:rPr>
                    <w:t>收集效率</w:t>
                  </w:r>
                </w:p>
              </w:tc>
              <w:tc>
                <w:tcPr>
                  <w:tcW w:w="16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26DE90">
                  <w:pPr>
                    <w:pStyle w:val="47"/>
                    <w:bidi w:val="0"/>
                    <w:rPr>
                      <w:rFonts w:hint="eastAsia"/>
                      <w:sz w:val="21"/>
                      <w:szCs w:val="21"/>
                    </w:rPr>
                  </w:pPr>
                  <w:r>
                    <w:rPr>
                      <w:rFonts w:hint="eastAsia"/>
                      <w:sz w:val="21"/>
                      <w:szCs w:val="21"/>
                      <w:lang w:val="en-US" w:eastAsia="zh-CN"/>
                    </w:rPr>
                    <w:t>治理工艺</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4DEBD">
                  <w:pPr>
                    <w:pStyle w:val="47"/>
                    <w:bidi w:val="0"/>
                    <w:rPr>
                      <w:rFonts w:hint="eastAsia"/>
                      <w:sz w:val="21"/>
                      <w:szCs w:val="21"/>
                    </w:rPr>
                  </w:pPr>
                  <w:r>
                    <w:rPr>
                      <w:rFonts w:hint="eastAsia"/>
                      <w:sz w:val="21"/>
                      <w:szCs w:val="21"/>
                      <w:lang w:val="en-US" w:eastAsia="zh-CN"/>
                    </w:rPr>
                    <w:t>去除效率</w:t>
                  </w:r>
                </w:p>
              </w:tc>
              <w:tc>
                <w:tcPr>
                  <w:tcW w:w="1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E704D4">
                  <w:pPr>
                    <w:pStyle w:val="47"/>
                    <w:bidi w:val="0"/>
                    <w:rPr>
                      <w:rFonts w:hint="eastAsia"/>
                      <w:sz w:val="21"/>
                      <w:szCs w:val="21"/>
                    </w:rPr>
                  </w:pPr>
                  <w:r>
                    <w:rPr>
                      <w:rFonts w:hint="eastAsia"/>
                      <w:sz w:val="21"/>
                      <w:szCs w:val="21"/>
                      <w:lang w:val="en-US" w:eastAsia="zh-CN"/>
                    </w:rPr>
                    <w:t>是否为可行性技术</w:t>
                  </w:r>
                </w:p>
              </w:tc>
              <w:tc>
                <w:tcPr>
                  <w:tcW w:w="192" w:type="pct"/>
                  <w:vMerge w:val="continue"/>
                  <w:tcBorders>
                    <w:left w:val="single" w:color="000000" w:sz="4" w:space="0"/>
                    <w:right w:val="single" w:color="000000" w:sz="4" w:space="0"/>
                  </w:tcBorders>
                  <w:shd w:val="clear" w:color="auto" w:fill="auto"/>
                  <w:vAlign w:val="center"/>
                </w:tcPr>
                <w:p w14:paraId="155C9D90">
                  <w:pPr>
                    <w:pStyle w:val="47"/>
                    <w:bidi w:val="0"/>
                    <w:rPr>
                      <w:rFonts w:hint="eastAsia"/>
                      <w:sz w:val="21"/>
                      <w:szCs w:val="21"/>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F0EE7">
                  <w:pPr>
                    <w:pStyle w:val="47"/>
                    <w:bidi w:val="0"/>
                    <w:rPr>
                      <w:rFonts w:hint="eastAsia"/>
                      <w:sz w:val="21"/>
                      <w:szCs w:val="21"/>
                    </w:rPr>
                  </w:pPr>
                  <w:r>
                    <w:rPr>
                      <w:rFonts w:hint="eastAsia"/>
                      <w:sz w:val="21"/>
                      <w:szCs w:val="21"/>
                      <w:lang w:val="en-US" w:eastAsia="zh-CN"/>
                    </w:rPr>
                    <w:t>排放量</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864C1">
                  <w:pPr>
                    <w:pStyle w:val="47"/>
                    <w:bidi w:val="0"/>
                    <w:rPr>
                      <w:rFonts w:hint="eastAsia"/>
                      <w:sz w:val="21"/>
                      <w:szCs w:val="21"/>
                    </w:rPr>
                  </w:pPr>
                  <w:r>
                    <w:rPr>
                      <w:rFonts w:hint="eastAsia"/>
                      <w:sz w:val="21"/>
                      <w:szCs w:val="21"/>
                      <w:lang w:val="en-US" w:eastAsia="zh-CN"/>
                    </w:rPr>
                    <w:t>排放速率</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14159">
                  <w:pPr>
                    <w:pStyle w:val="47"/>
                    <w:bidi w:val="0"/>
                    <w:rPr>
                      <w:rFonts w:hint="eastAsia"/>
                      <w:sz w:val="21"/>
                      <w:szCs w:val="21"/>
                    </w:rPr>
                  </w:pPr>
                  <w:r>
                    <w:rPr>
                      <w:rFonts w:hint="eastAsia"/>
                      <w:sz w:val="21"/>
                      <w:szCs w:val="21"/>
                      <w:lang w:val="en-US" w:eastAsia="zh-CN"/>
                    </w:rPr>
                    <w:t>排放浓度</w:t>
                  </w:r>
                </w:p>
              </w:tc>
              <w:tc>
                <w:tcPr>
                  <w:tcW w:w="1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8328A0">
                  <w:pPr>
                    <w:pStyle w:val="47"/>
                    <w:bidi w:val="0"/>
                    <w:rPr>
                      <w:rFonts w:hint="eastAsia"/>
                      <w:sz w:val="21"/>
                      <w:szCs w:val="21"/>
                    </w:rPr>
                  </w:pPr>
                  <w:r>
                    <w:rPr>
                      <w:rFonts w:hint="eastAsia"/>
                      <w:sz w:val="21"/>
                      <w:szCs w:val="21"/>
                      <w:lang w:val="en-US" w:eastAsia="zh-CN"/>
                    </w:rPr>
                    <w:t>排放口</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57407">
                  <w:pPr>
                    <w:pStyle w:val="47"/>
                    <w:bidi w:val="0"/>
                    <w:rPr>
                      <w:rFonts w:hint="eastAsia"/>
                      <w:sz w:val="21"/>
                      <w:szCs w:val="21"/>
                    </w:rPr>
                  </w:pPr>
                  <w:r>
                    <w:rPr>
                      <w:rFonts w:hint="eastAsia"/>
                      <w:sz w:val="21"/>
                      <w:szCs w:val="21"/>
                      <w:lang w:val="en-US" w:eastAsia="zh-CN"/>
                    </w:rPr>
                    <w:t>排放量</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196AC">
                  <w:pPr>
                    <w:pStyle w:val="47"/>
                    <w:bidi w:val="0"/>
                    <w:rPr>
                      <w:rFonts w:hint="eastAsia"/>
                      <w:sz w:val="21"/>
                      <w:szCs w:val="21"/>
                    </w:rPr>
                  </w:pPr>
                  <w:r>
                    <w:rPr>
                      <w:rFonts w:hint="eastAsia"/>
                      <w:sz w:val="21"/>
                      <w:szCs w:val="21"/>
                      <w:lang w:val="en-US" w:eastAsia="zh-CN"/>
                    </w:rPr>
                    <w:t>排放速率</w:t>
                  </w:r>
                </w:p>
              </w:tc>
              <w:tc>
                <w:tcPr>
                  <w:tcW w:w="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77553">
                  <w:pPr>
                    <w:pStyle w:val="47"/>
                    <w:bidi w:val="0"/>
                    <w:rPr>
                      <w:rFonts w:hint="eastAsia"/>
                      <w:sz w:val="21"/>
                      <w:szCs w:val="21"/>
                    </w:rPr>
                  </w:pPr>
                </w:p>
              </w:tc>
            </w:tr>
            <w:tr w14:paraId="7BDFE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29836">
                  <w:pPr>
                    <w:pStyle w:val="47"/>
                    <w:bidi w:val="0"/>
                    <w:rPr>
                      <w:rFonts w:hint="eastAsia"/>
                      <w:sz w:val="21"/>
                      <w:szCs w:val="21"/>
                    </w:rPr>
                  </w:pP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23950">
                  <w:pPr>
                    <w:pStyle w:val="47"/>
                    <w:bidi w:val="0"/>
                    <w:rPr>
                      <w:rFonts w:hint="eastAsia"/>
                      <w:sz w:val="21"/>
                      <w:szCs w:val="21"/>
                    </w:rPr>
                  </w:pPr>
                </w:p>
              </w:tc>
              <w:tc>
                <w:tcPr>
                  <w:tcW w:w="3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94400">
                  <w:pPr>
                    <w:pStyle w:val="47"/>
                    <w:bidi w:val="0"/>
                    <w:rPr>
                      <w:rFonts w:hint="eastAsia"/>
                      <w:sz w:val="21"/>
                      <w:szCs w:val="21"/>
                    </w:rPr>
                  </w:pPr>
                </w:p>
              </w:tc>
              <w:tc>
                <w:tcPr>
                  <w:tcW w:w="2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7C223">
                  <w:pPr>
                    <w:pStyle w:val="47"/>
                    <w:bidi w:val="0"/>
                    <w:rPr>
                      <w:rFonts w:hint="eastAsia"/>
                      <w:sz w:val="21"/>
                      <w:szCs w:val="21"/>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54F75">
                  <w:pPr>
                    <w:pStyle w:val="47"/>
                    <w:bidi w:val="0"/>
                    <w:rPr>
                      <w:rFonts w:hint="eastAsia"/>
                      <w:sz w:val="21"/>
                      <w:szCs w:val="21"/>
                    </w:rPr>
                  </w:pPr>
                  <w:r>
                    <w:rPr>
                      <w:rFonts w:hint="eastAsia"/>
                      <w:sz w:val="21"/>
                      <w:szCs w:val="21"/>
                      <w:lang w:val="en-US" w:eastAsia="zh-CN"/>
                    </w:rPr>
                    <w:t>m³/h</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54DE1">
                  <w:pPr>
                    <w:pStyle w:val="47"/>
                    <w:bidi w:val="0"/>
                    <w:rPr>
                      <w:rFonts w:hint="eastAsia"/>
                      <w:sz w:val="21"/>
                      <w:szCs w:val="21"/>
                    </w:rPr>
                  </w:pPr>
                  <w:r>
                    <w:rPr>
                      <w:rFonts w:hint="eastAsia"/>
                      <w:sz w:val="21"/>
                      <w:szCs w:val="21"/>
                      <w:lang w:val="en-US" w:eastAsia="zh-CN"/>
                    </w:rPr>
                    <w:t>t/a</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45C3E">
                  <w:pPr>
                    <w:pStyle w:val="47"/>
                    <w:bidi w:val="0"/>
                    <w:rPr>
                      <w:rFonts w:hint="eastAsia"/>
                      <w:sz w:val="21"/>
                      <w:szCs w:val="21"/>
                    </w:rPr>
                  </w:pPr>
                  <w:r>
                    <w:rPr>
                      <w:rFonts w:hint="eastAsia"/>
                      <w:sz w:val="21"/>
                      <w:szCs w:val="21"/>
                      <w:lang w:val="en-US" w:eastAsia="zh-CN"/>
                    </w:rPr>
                    <w:t>kg/h</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A50D8">
                  <w:pPr>
                    <w:pStyle w:val="47"/>
                    <w:bidi w:val="0"/>
                    <w:rPr>
                      <w:rFonts w:hint="eastAsia"/>
                      <w:sz w:val="21"/>
                      <w:szCs w:val="21"/>
                    </w:rPr>
                  </w:pPr>
                  <w:r>
                    <w:rPr>
                      <w:rFonts w:hint="eastAsia"/>
                      <w:sz w:val="21"/>
                      <w:szCs w:val="21"/>
                      <w:lang w:val="en-US" w:eastAsia="zh-CN"/>
                    </w:rPr>
                    <w:t>mg/m³</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E4B7C">
                  <w:pPr>
                    <w:pStyle w:val="47"/>
                    <w:bidi w:val="0"/>
                    <w:rPr>
                      <w:rFonts w:hint="eastAsia"/>
                      <w:sz w:val="21"/>
                      <w:szCs w:val="21"/>
                    </w:rPr>
                  </w:pPr>
                  <w:r>
                    <w:rPr>
                      <w:rFonts w:hint="eastAsia"/>
                      <w:sz w:val="21"/>
                      <w:szCs w:val="21"/>
                      <w:lang w:val="en-US" w:eastAsia="zh-CN"/>
                    </w:rPr>
                    <w:t>%</w:t>
                  </w:r>
                </w:p>
              </w:tc>
              <w:tc>
                <w:tcPr>
                  <w:tcW w:w="1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34745">
                  <w:pPr>
                    <w:pStyle w:val="47"/>
                    <w:bidi w:val="0"/>
                    <w:rPr>
                      <w:rFonts w:hint="eastAsia"/>
                      <w:sz w:val="21"/>
                      <w:szCs w:val="21"/>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51FF9">
                  <w:pPr>
                    <w:pStyle w:val="47"/>
                    <w:bidi w:val="0"/>
                    <w:rPr>
                      <w:rFonts w:hint="eastAsia"/>
                      <w:sz w:val="21"/>
                      <w:szCs w:val="21"/>
                    </w:rPr>
                  </w:pPr>
                  <w:r>
                    <w:rPr>
                      <w:rFonts w:hint="eastAsia"/>
                      <w:sz w:val="21"/>
                      <w:szCs w:val="21"/>
                      <w:lang w:val="en-US" w:eastAsia="zh-CN"/>
                    </w:rPr>
                    <w:t>%</w:t>
                  </w:r>
                </w:p>
              </w:tc>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393DC">
                  <w:pPr>
                    <w:pStyle w:val="47"/>
                    <w:bidi w:val="0"/>
                    <w:rPr>
                      <w:rFonts w:hint="eastAsia"/>
                      <w:sz w:val="21"/>
                      <w:szCs w:val="21"/>
                    </w:rPr>
                  </w:pPr>
                </w:p>
              </w:tc>
              <w:tc>
                <w:tcPr>
                  <w:tcW w:w="192" w:type="pct"/>
                  <w:vMerge w:val="continue"/>
                  <w:tcBorders>
                    <w:left w:val="single" w:color="000000" w:sz="4" w:space="0"/>
                    <w:bottom w:val="single" w:color="000000" w:sz="4" w:space="0"/>
                    <w:right w:val="single" w:color="000000" w:sz="4" w:space="0"/>
                  </w:tcBorders>
                  <w:shd w:val="clear" w:color="auto" w:fill="auto"/>
                  <w:vAlign w:val="center"/>
                </w:tcPr>
                <w:p w14:paraId="14F32DB5">
                  <w:pPr>
                    <w:pStyle w:val="47"/>
                    <w:bidi w:val="0"/>
                    <w:rPr>
                      <w:rFonts w:hint="eastAsia"/>
                      <w:sz w:val="21"/>
                      <w:szCs w:val="21"/>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17539">
                  <w:pPr>
                    <w:pStyle w:val="47"/>
                    <w:bidi w:val="0"/>
                    <w:rPr>
                      <w:rFonts w:hint="eastAsia"/>
                      <w:sz w:val="21"/>
                      <w:szCs w:val="21"/>
                    </w:rPr>
                  </w:pPr>
                  <w:r>
                    <w:rPr>
                      <w:rFonts w:hint="eastAsia"/>
                      <w:sz w:val="21"/>
                      <w:szCs w:val="21"/>
                      <w:lang w:val="en-US" w:eastAsia="zh-CN"/>
                    </w:rPr>
                    <w:t>t/a</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2E08A">
                  <w:pPr>
                    <w:pStyle w:val="47"/>
                    <w:bidi w:val="0"/>
                    <w:rPr>
                      <w:rFonts w:hint="eastAsia"/>
                      <w:sz w:val="21"/>
                      <w:szCs w:val="21"/>
                    </w:rPr>
                  </w:pPr>
                  <w:r>
                    <w:rPr>
                      <w:rFonts w:hint="eastAsia"/>
                      <w:sz w:val="21"/>
                      <w:szCs w:val="21"/>
                      <w:lang w:val="en-US" w:eastAsia="zh-CN"/>
                    </w:rPr>
                    <w:t>kg/h</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A211E">
                  <w:pPr>
                    <w:pStyle w:val="47"/>
                    <w:bidi w:val="0"/>
                    <w:rPr>
                      <w:rFonts w:hint="eastAsia"/>
                      <w:sz w:val="21"/>
                      <w:szCs w:val="21"/>
                    </w:rPr>
                  </w:pPr>
                  <w:r>
                    <w:rPr>
                      <w:rFonts w:hint="eastAsia"/>
                      <w:sz w:val="21"/>
                      <w:szCs w:val="21"/>
                      <w:lang w:val="en-US" w:eastAsia="zh-CN"/>
                    </w:rPr>
                    <w:t>mg/m³</w:t>
                  </w:r>
                </w:p>
              </w:tc>
              <w:tc>
                <w:tcPr>
                  <w:tcW w:w="1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92D01">
                  <w:pPr>
                    <w:pStyle w:val="47"/>
                    <w:bidi w:val="0"/>
                    <w:rPr>
                      <w:rFonts w:hint="eastAsia"/>
                      <w:sz w:val="21"/>
                      <w:szCs w:val="21"/>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43857">
                  <w:pPr>
                    <w:pStyle w:val="47"/>
                    <w:bidi w:val="0"/>
                    <w:rPr>
                      <w:rFonts w:hint="eastAsia"/>
                      <w:sz w:val="21"/>
                      <w:szCs w:val="21"/>
                    </w:rPr>
                  </w:pPr>
                  <w:r>
                    <w:rPr>
                      <w:rFonts w:hint="eastAsia"/>
                      <w:sz w:val="21"/>
                      <w:szCs w:val="21"/>
                      <w:lang w:val="en-US" w:eastAsia="zh-CN"/>
                    </w:rPr>
                    <w:t>t/a</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D1C99">
                  <w:pPr>
                    <w:pStyle w:val="47"/>
                    <w:bidi w:val="0"/>
                    <w:rPr>
                      <w:rFonts w:hint="eastAsia"/>
                      <w:sz w:val="21"/>
                      <w:szCs w:val="21"/>
                    </w:rPr>
                  </w:pPr>
                  <w:r>
                    <w:rPr>
                      <w:rFonts w:hint="eastAsia"/>
                      <w:sz w:val="21"/>
                      <w:szCs w:val="21"/>
                      <w:lang w:val="en-US" w:eastAsia="zh-CN"/>
                    </w:rPr>
                    <w:t>kg/h</w:t>
                  </w:r>
                </w:p>
              </w:tc>
              <w:tc>
                <w:tcPr>
                  <w:tcW w:w="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C1A43">
                  <w:pPr>
                    <w:pStyle w:val="47"/>
                    <w:bidi w:val="0"/>
                    <w:rPr>
                      <w:rFonts w:hint="eastAsia"/>
                      <w:sz w:val="21"/>
                      <w:szCs w:val="21"/>
                    </w:rPr>
                  </w:pPr>
                </w:p>
              </w:tc>
            </w:tr>
            <w:tr w14:paraId="61406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51E12D">
                  <w:pPr>
                    <w:pStyle w:val="47"/>
                    <w:bidi w:val="0"/>
                    <w:rPr>
                      <w:rFonts w:hint="eastAsia"/>
                      <w:sz w:val="21"/>
                      <w:szCs w:val="21"/>
                    </w:rPr>
                  </w:pPr>
                  <w:r>
                    <w:rPr>
                      <w:rFonts w:hint="eastAsia"/>
                      <w:sz w:val="21"/>
                      <w:szCs w:val="21"/>
                      <w:lang w:val="en-US" w:eastAsia="zh-CN"/>
                    </w:rPr>
                    <w:t>EPS包装材料生产线</w:t>
                  </w:r>
                </w:p>
              </w:tc>
              <w:tc>
                <w:tcPr>
                  <w:tcW w:w="1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631AF7">
                  <w:pPr>
                    <w:pStyle w:val="47"/>
                    <w:bidi w:val="0"/>
                    <w:rPr>
                      <w:rFonts w:hint="eastAsia"/>
                      <w:sz w:val="21"/>
                      <w:szCs w:val="21"/>
                    </w:rPr>
                  </w:pPr>
                  <w:r>
                    <w:rPr>
                      <w:rFonts w:hint="eastAsia"/>
                      <w:sz w:val="21"/>
                      <w:szCs w:val="21"/>
                      <w:lang w:val="en-US" w:eastAsia="zh-CN"/>
                    </w:rPr>
                    <w:t>发泡</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B6E2D">
                  <w:pPr>
                    <w:pStyle w:val="47"/>
                    <w:bidi w:val="0"/>
                    <w:rPr>
                      <w:rFonts w:hint="eastAsia"/>
                      <w:sz w:val="21"/>
                      <w:szCs w:val="21"/>
                    </w:rPr>
                  </w:pPr>
                  <w:r>
                    <w:rPr>
                      <w:rFonts w:hint="eastAsia"/>
                      <w:sz w:val="21"/>
                      <w:szCs w:val="21"/>
                      <w:lang w:val="en-US" w:eastAsia="zh-CN"/>
                    </w:rPr>
                    <w:t>非甲烷总烃</w:t>
                  </w:r>
                </w:p>
              </w:tc>
              <w:tc>
                <w:tcPr>
                  <w:tcW w:w="2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3EE3A6">
                  <w:pPr>
                    <w:pStyle w:val="47"/>
                    <w:bidi w:val="0"/>
                    <w:rPr>
                      <w:rFonts w:hint="eastAsia"/>
                      <w:sz w:val="21"/>
                      <w:szCs w:val="21"/>
                    </w:rPr>
                  </w:pPr>
                  <w:r>
                    <w:rPr>
                      <w:rFonts w:hint="eastAsia"/>
                      <w:sz w:val="21"/>
                      <w:szCs w:val="21"/>
                      <w:lang w:val="en-US" w:eastAsia="zh-CN"/>
                    </w:rPr>
                    <w:t>类比法</w:t>
                  </w:r>
                </w:p>
              </w:tc>
              <w:tc>
                <w:tcPr>
                  <w:tcW w:w="2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380201">
                  <w:pPr>
                    <w:pStyle w:val="47"/>
                    <w:bidi w:val="0"/>
                    <w:rPr>
                      <w:rFonts w:hint="eastAsia"/>
                      <w:sz w:val="21"/>
                      <w:szCs w:val="21"/>
                    </w:rPr>
                  </w:pPr>
                  <w:r>
                    <w:rPr>
                      <w:rFonts w:hint="eastAsia"/>
                      <w:sz w:val="21"/>
                      <w:szCs w:val="21"/>
                      <w:lang w:val="en-US" w:eastAsia="zh-CN"/>
                    </w:rPr>
                    <w:t>23500</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959FA">
                  <w:pPr>
                    <w:pStyle w:val="47"/>
                    <w:bidi w:val="0"/>
                    <w:rPr>
                      <w:rFonts w:hint="eastAsia"/>
                      <w:sz w:val="21"/>
                      <w:szCs w:val="21"/>
                    </w:rPr>
                  </w:pPr>
                  <w:r>
                    <w:rPr>
                      <w:rFonts w:hint="eastAsia"/>
                      <w:sz w:val="21"/>
                      <w:szCs w:val="21"/>
                      <w:lang w:val="en-US" w:eastAsia="zh-CN"/>
                    </w:rPr>
                    <w:t>3.47</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78F56">
                  <w:pPr>
                    <w:pStyle w:val="47"/>
                    <w:bidi w:val="0"/>
                    <w:rPr>
                      <w:rFonts w:hint="eastAsia"/>
                      <w:sz w:val="21"/>
                      <w:szCs w:val="21"/>
                    </w:rPr>
                  </w:pPr>
                  <w:r>
                    <w:rPr>
                      <w:rFonts w:hint="eastAsia"/>
                      <w:sz w:val="21"/>
                      <w:szCs w:val="21"/>
                      <w:lang w:val="en-US" w:eastAsia="zh-CN"/>
                    </w:rPr>
                    <w:t>0.4819</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F2E98">
                  <w:pPr>
                    <w:pStyle w:val="47"/>
                    <w:bidi w:val="0"/>
                    <w:rPr>
                      <w:rFonts w:hint="eastAsia"/>
                      <w:sz w:val="21"/>
                      <w:szCs w:val="21"/>
                    </w:rPr>
                  </w:pPr>
                  <w:r>
                    <w:rPr>
                      <w:rFonts w:hint="eastAsia"/>
                      <w:sz w:val="21"/>
                      <w:szCs w:val="21"/>
                      <w:lang w:val="en-US" w:eastAsia="zh-CN"/>
                    </w:rPr>
                    <w:t>20.506</w:t>
                  </w:r>
                </w:p>
              </w:tc>
              <w:tc>
                <w:tcPr>
                  <w:tcW w:w="16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43C75C">
                  <w:pPr>
                    <w:pStyle w:val="47"/>
                    <w:bidi w:val="0"/>
                    <w:rPr>
                      <w:rFonts w:hint="eastAsia"/>
                      <w:sz w:val="21"/>
                      <w:szCs w:val="21"/>
                    </w:rPr>
                  </w:pPr>
                  <w:r>
                    <w:rPr>
                      <w:rFonts w:hint="eastAsia"/>
                      <w:sz w:val="21"/>
                      <w:szCs w:val="21"/>
                      <w:lang w:val="en-US" w:eastAsia="zh-CN"/>
                    </w:rPr>
                    <w:t>85</w:t>
                  </w:r>
                </w:p>
              </w:tc>
              <w:tc>
                <w:tcPr>
                  <w:tcW w:w="160" w:type="pct"/>
                  <w:vMerge w:val="restart"/>
                  <w:tcBorders>
                    <w:top w:val="single" w:color="000000" w:sz="4" w:space="0"/>
                    <w:left w:val="single" w:color="000000" w:sz="4" w:space="0"/>
                    <w:right w:val="single" w:color="000000" w:sz="4" w:space="0"/>
                  </w:tcBorders>
                  <w:shd w:val="clear" w:color="auto" w:fill="auto"/>
                  <w:vAlign w:val="center"/>
                </w:tcPr>
                <w:p w14:paraId="5043FC93">
                  <w:pPr>
                    <w:pStyle w:val="47"/>
                    <w:bidi w:val="0"/>
                    <w:rPr>
                      <w:rFonts w:hint="eastAsia"/>
                      <w:sz w:val="21"/>
                      <w:szCs w:val="21"/>
                    </w:rPr>
                  </w:pPr>
                  <w:r>
                    <w:rPr>
                      <w:rFonts w:hint="eastAsia"/>
                      <w:sz w:val="21"/>
                      <w:szCs w:val="21"/>
                      <w:lang w:val="en-US" w:eastAsia="zh-CN"/>
                    </w:rPr>
                    <w:t>冷凝+二级活性炭</w:t>
                  </w:r>
                </w:p>
              </w:tc>
              <w:tc>
                <w:tcPr>
                  <w:tcW w:w="2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20A9D5">
                  <w:pPr>
                    <w:pStyle w:val="47"/>
                    <w:bidi w:val="0"/>
                    <w:rPr>
                      <w:rFonts w:hint="eastAsia"/>
                      <w:sz w:val="21"/>
                      <w:szCs w:val="21"/>
                    </w:rPr>
                  </w:pPr>
                  <w:r>
                    <w:rPr>
                      <w:rFonts w:hint="eastAsia"/>
                      <w:sz w:val="21"/>
                      <w:szCs w:val="21"/>
                      <w:lang w:val="en-US" w:eastAsia="zh-CN"/>
                    </w:rPr>
                    <w:t>97.5</w:t>
                  </w:r>
                </w:p>
              </w:tc>
              <w:tc>
                <w:tcPr>
                  <w:tcW w:w="1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DD2D96">
                  <w:pPr>
                    <w:pStyle w:val="47"/>
                    <w:bidi w:val="0"/>
                    <w:rPr>
                      <w:rFonts w:hint="eastAsia"/>
                      <w:sz w:val="21"/>
                      <w:szCs w:val="21"/>
                    </w:rPr>
                  </w:pPr>
                  <w:r>
                    <w:rPr>
                      <w:rFonts w:hint="eastAsia"/>
                      <w:sz w:val="21"/>
                      <w:szCs w:val="21"/>
                      <w:lang w:val="en-US" w:eastAsia="zh-CN"/>
                    </w:rPr>
                    <w:t>是</w:t>
                  </w:r>
                </w:p>
              </w:tc>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9586B">
                  <w:pPr>
                    <w:pStyle w:val="47"/>
                    <w:bidi w:val="0"/>
                    <w:rPr>
                      <w:rFonts w:hint="eastAsia"/>
                      <w:sz w:val="21"/>
                      <w:szCs w:val="21"/>
                    </w:rPr>
                  </w:pPr>
                  <w:r>
                    <w:rPr>
                      <w:rFonts w:hint="eastAsia"/>
                      <w:sz w:val="21"/>
                      <w:szCs w:val="21"/>
                      <w:lang w:val="en-US" w:eastAsia="zh-CN"/>
                    </w:rPr>
                    <w:t>非甲烷总烃</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07014">
                  <w:pPr>
                    <w:pStyle w:val="47"/>
                    <w:bidi w:val="0"/>
                    <w:rPr>
                      <w:rFonts w:hint="eastAsia"/>
                      <w:sz w:val="21"/>
                      <w:szCs w:val="21"/>
                    </w:rPr>
                  </w:pPr>
                  <w:r>
                    <w:rPr>
                      <w:rFonts w:hint="eastAsia"/>
                      <w:sz w:val="21"/>
                      <w:szCs w:val="21"/>
                      <w:lang w:val="en-US" w:eastAsia="zh-CN"/>
                    </w:rPr>
                    <w:t>0.0874</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29550">
                  <w:pPr>
                    <w:pStyle w:val="47"/>
                    <w:bidi w:val="0"/>
                    <w:rPr>
                      <w:rFonts w:hint="eastAsia"/>
                      <w:sz w:val="21"/>
                      <w:szCs w:val="21"/>
                    </w:rPr>
                  </w:pPr>
                  <w:r>
                    <w:rPr>
                      <w:rFonts w:hint="eastAsia"/>
                      <w:sz w:val="21"/>
                      <w:szCs w:val="21"/>
                      <w:lang w:val="en-US" w:eastAsia="zh-CN"/>
                    </w:rPr>
                    <w:t>0.0121</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63F3A">
                  <w:pPr>
                    <w:pStyle w:val="47"/>
                    <w:bidi w:val="0"/>
                    <w:rPr>
                      <w:rFonts w:hint="eastAsia"/>
                      <w:sz w:val="21"/>
                      <w:szCs w:val="21"/>
                    </w:rPr>
                  </w:pPr>
                  <w:r>
                    <w:rPr>
                      <w:rFonts w:hint="eastAsia"/>
                      <w:sz w:val="21"/>
                      <w:szCs w:val="21"/>
                      <w:lang w:val="en-US" w:eastAsia="zh-CN"/>
                    </w:rPr>
                    <w:t>0.5149</w:t>
                  </w:r>
                </w:p>
              </w:tc>
              <w:tc>
                <w:tcPr>
                  <w:tcW w:w="1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C6818A">
                  <w:pPr>
                    <w:pStyle w:val="47"/>
                    <w:bidi w:val="0"/>
                    <w:rPr>
                      <w:rFonts w:hint="eastAsia"/>
                      <w:sz w:val="21"/>
                      <w:szCs w:val="21"/>
                    </w:rPr>
                  </w:pPr>
                  <w:r>
                    <w:rPr>
                      <w:rFonts w:hint="eastAsia"/>
                      <w:sz w:val="21"/>
                      <w:szCs w:val="21"/>
                      <w:lang w:val="en-US" w:eastAsia="zh-CN"/>
                    </w:rPr>
                    <w:t>一般</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815FD">
                  <w:pPr>
                    <w:pStyle w:val="47"/>
                    <w:bidi w:val="0"/>
                    <w:rPr>
                      <w:rFonts w:hint="eastAsia"/>
                      <w:sz w:val="21"/>
                      <w:szCs w:val="21"/>
                    </w:rPr>
                  </w:pPr>
                  <w:r>
                    <w:rPr>
                      <w:rFonts w:hint="eastAsia"/>
                      <w:sz w:val="21"/>
                      <w:szCs w:val="21"/>
                      <w:lang w:val="en-US" w:eastAsia="zh-CN"/>
                    </w:rPr>
                    <w:t>0.5817</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E9A32">
                  <w:pPr>
                    <w:pStyle w:val="47"/>
                    <w:bidi w:val="0"/>
                    <w:rPr>
                      <w:rFonts w:hint="eastAsia"/>
                      <w:sz w:val="21"/>
                      <w:szCs w:val="21"/>
                    </w:rPr>
                  </w:pPr>
                  <w:r>
                    <w:rPr>
                      <w:rFonts w:hint="eastAsia"/>
                      <w:sz w:val="21"/>
                      <w:szCs w:val="21"/>
                      <w:lang w:val="en-US" w:eastAsia="zh-CN"/>
                    </w:rPr>
                    <w:t>0.0808</w:t>
                  </w:r>
                </w:p>
              </w:tc>
              <w:tc>
                <w:tcPr>
                  <w:tcW w:w="1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CF9596">
                  <w:pPr>
                    <w:pStyle w:val="47"/>
                    <w:bidi w:val="0"/>
                    <w:rPr>
                      <w:rFonts w:hint="eastAsia"/>
                      <w:sz w:val="21"/>
                      <w:szCs w:val="21"/>
                    </w:rPr>
                  </w:pPr>
                  <w:r>
                    <w:rPr>
                      <w:rFonts w:hint="eastAsia"/>
                      <w:sz w:val="21"/>
                      <w:szCs w:val="21"/>
                      <w:lang w:val="en-US" w:eastAsia="zh-CN"/>
                    </w:rPr>
                    <w:t>7200</w:t>
                  </w:r>
                </w:p>
              </w:tc>
            </w:tr>
            <w:tr w14:paraId="49D51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1FA0E">
                  <w:pPr>
                    <w:pStyle w:val="47"/>
                    <w:bidi w:val="0"/>
                    <w:rPr>
                      <w:rFonts w:hint="eastAsia"/>
                      <w:sz w:val="21"/>
                      <w:szCs w:val="21"/>
                    </w:rPr>
                  </w:pP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A6B4E">
                  <w:pPr>
                    <w:pStyle w:val="47"/>
                    <w:bidi w:val="0"/>
                    <w:rPr>
                      <w:rFonts w:hint="eastAsia"/>
                      <w:sz w:val="21"/>
                      <w:szCs w:val="21"/>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E720B">
                  <w:pPr>
                    <w:pStyle w:val="47"/>
                    <w:bidi w:val="0"/>
                    <w:rPr>
                      <w:rFonts w:hint="eastAsia"/>
                      <w:sz w:val="21"/>
                      <w:szCs w:val="21"/>
                    </w:rPr>
                  </w:pPr>
                  <w:r>
                    <w:rPr>
                      <w:rFonts w:hint="eastAsia"/>
                      <w:sz w:val="21"/>
                      <w:szCs w:val="21"/>
                      <w:lang w:val="en-US" w:eastAsia="zh-CN"/>
                    </w:rPr>
                    <w:t>苯乙烯</w:t>
                  </w:r>
                </w:p>
              </w:tc>
              <w:tc>
                <w:tcPr>
                  <w:tcW w:w="2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CCCF5">
                  <w:pPr>
                    <w:pStyle w:val="47"/>
                    <w:bidi w:val="0"/>
                    <w:rPr>
                      <w:rFonts w:hint="eastAsia"/>
                      <w:sz w:val="21"/>
                      <w:szCs w:val="21"/>
                    </w:rPr>
                  </w:pPr>
                </w:p>
              </w:tc>
              <w:tc>
                <w:tcPr>
                  <w:tcW w:w="2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7FE1F">
                  <w:pPr>
                    <w:pStyle w:val="47"/>
                    <w:bidi w:val="0"/>
                    <w:rPr>
                      <w:rFonts w:hint="eastAsia"/>
                      <w:sz w:val="21"/>
                      <w:szCs w:val="21"/>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618C2">
                  <w:pPr>
                    <w:pStyle w:val="47"/>
                    <w:bidi w:val="0"/>
                    <w:rPr>
                      <w:rFonts w:hint="eastAsia"/>
                      <w:sz w:val="21"/>
                      <w:szCs w:val="21"/>
                    </w:rPr>
                  </w:pPr>
                  <w:r>
                    <w:rPr>
                      <w:rFonts w:hint="eastAsia"/>
                      <w:sz w:val="21"/>
                      <w:szCs w:val="21"/>
                      <w:lang w:val="en-US" w:eastAsia="zh-CN"/>
                    </w:rPr>
                    <w:t>0.46</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14BAD">
                  <w:pPr>
                    <w:pStyle w:val="47"/>
                    <w:bidi w:val="0"/>
                    <w:rPr>
                      <w:rFonts w:hint="eastAsia"/>
                      <w:sz w:val="21"/>
                      <w:szCs w:val="21"/>
                    </w:rPr>
                  </w:pPr>
                  <w:r>
                    <w:rPr>
                      <w:rFonts w:hint="eastAsia"/>
                      <w:sz w:val="21"/>
                      <w:szCs w:val="21"/>
                      <w:lang w:val="en-US" w:eastAsia="zh-CN"/>
                    </w:rPr>
                    <w:t>0.0639</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1E4AC">
                  <w:pPr>
                    <w:pStyle w:val="47"/>
                    <w:bidi w:val="0"/>
                    <w:rPr>
                      <w:rFonts w:hint="eastAsia"/>
                      <w:sz w:val="21"/>
                      <w:szCs w:val="21"/>
                    </w:rPr>
                  </w:pPr>
                  <w:r>
                    <w:rPr>
                      <w:rFonts w:hint="eastAsia"/>
                      <w:sz w:val="21"/>
                      <w:szCs w:val="21"/>
                      <w:lang w:val="en-US" w:eastAsia="zh-CN"/>
                    </w:rPr>
                    <w:t>2.719</w:t>
                  </w:r>
                </w:p>
              </w:tc>
              <w:tc>
                <w:tcPr>
                  <w:tcW w:w="1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4FC82">
                  <w:pPr>
                    <w:pStyle w:val="47"/>
                    <w:bidi w:val="0"/>
                    <w:rPr>
                      <w:rFonts w:hint="eastAsia"/>
                      <w:sz w:val="21"/>
                      <w:szCs w:val="21"/>
                    </w:rPr>
                  </w:pPr>
                </w:p>
              </w:tc>
              <w:tc>
                <w:tcPr>
                  <w:tcW w:w="160" w:type="pct"/>
                  <w:vMerge w:val="continue"/>
                  <w:tcBorders>
                    <w:left w:val="single" w:color="000000" w:sz="4" w:space="0"/>
                    <w:right w:val="single" w:color="000000" w:sz="4" w:space="0"/>
                  </w:tcBorders>
                  <w:shd w:val="clear" w:color="auto" w:fill="auto"/>
                  <w:vAlign w:val="center"/>
                </w:tcPr>
                <w:p w14:paraId="50C39A24">
                  <w:pPr>
                    <w:pStyle w:val="47"/>
                    <w:bidi w:val="0"/>
                    <w:rPr>
                      <w:rFonts w:hint="eastAsia"/>
                      <w:sz w:val="21"/>
                      <w:szCs w:val="21"/>
                    </w:rPr>
                  </w:pPr>
                </w:p>
              </w:tc>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62E4D0">
                  <w:pPr>
                    <w:pStyle w:val="47"/>
                    <w:bidi w:val="0"/>
                    <w:rPr>
                      <w:rFonts w:hint="eastAsia"/>
                      <w:sz w:val="21"/>
                      <w:szCs w:val="21"/>
                    </w:rPr>
                  </w:pPr>
                </w:p>
              </w:tc>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F179D">
                  <w:pPr>
                    <w:pStyle w:val="47"/>
                    <w:bidi w:val="0"/>
                    <w:rPr>
                      <w:rFonts w:hint="eastAsia"/>
                      <w:sz w:val="21"/>
                      <w:szCs w:val="21"/>
                    </w:rPr>
                  </w:pPr>
                </w:p>
              </w:tc>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07E23">
                  <w:pPr>
                    <w:pStyle w:val="47"/>
                    <w:bidi w:val="0"/>
                    <w:rPr>
                      <w:rFonts w:hint="eastAsia"/>
                      <w:sz w:val="21"/>
                      <w:szCs w:val="21"/>
                    </w:rPr>
                  </w:pPr>
                  <w:r>
                    <w:rPr>
                      <w:rFonts w:hint="eastAsia"/>
                      <w:sz w:val="21"/>
                      <w:szCs w:val="21"/>
                      <w:lang w:val="en-US" w:eastAsia="zh-CN"/>
                    </w:rPr>
                    <w:t>苯乙烯</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3D16B">
                  <w:pPr>
                    <w:pStyle w:val="47"/>
                    <w:bidi w:val="0"/>
                    <w:rPr>
                      <w:rFonts w:hint="eastAsia"/>
                      <w:sz w:val="21"/>
                      <w:szCs w:val="21"/>
                    </w:rPr>
                  </w:pPr>
                  <w:r>
                    <w:rPr>
                      <w:rFonts w:hint="eastAsia"/>
                      <w:sz w:val="21"/>
                      <w:szCs w:val="21"/>
                      <w:lang w:val="en-US" w:eastAsia="zh-CN"/>
                    </w:rPr>
                    <w:t>0.0116</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9269D">
                  <w:pPr>
                    <w:pStyle w:val="47"/>
                    <w:bidi w:val="0"/>
                    <w:rPr>
                      <w:rFonts w:hint="eastAsia"/>
                      <w:sz w:val="21"/>
                      <w:szCs w:val="21"/>
                    </w:rPr>
                  </w:pPr>
                  <w:r>
                    <w:rPr>
                      <w:rFonts w:hint="eastAsia"/>
                      <w:sz w:val="21"/>
                      <w:szCs w:val="21"/>
                      <w:lang w:val="en-US" w:eastAsia="zh-CN"/>
                    </w:rPr>
                    <w:t>0.0016</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023F8">
                  <w:pPr>
                    <w:pStyle w:val="47"/>
                    <w:bidi w:val="0"/>
                    <w:rPr>
                      <w:rFonts w:hint="eastAsia"/>
                      <w:sz w:val="21"/>
                      <w:szCs w:val="21"/>
                    </w:rPr>
                  </w:pPr>
                  <w:r>
                    <w:rPr>
                      <w:rFonts w:hint="eastAsia"/>
                      <w:sz w:val="21"/>
                      <w:szCs w:val="21"/>
                      <w:lang w:val="en-US" w:eastAsia="zh-CN"/>
                    </w:rPr>
                    <w:t>0.0681</w:t>
                  </w:r>
                </w:p>
              </w:tc>
              <w:tc>
                <w:tcPr>
                  <w:tcW w:w="1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A7CB90">
                  <w:pPr>
                    <w:pStyle w:val="47"/>
                    <w:bidi w:val="0"/>
                    <w:rPr>
                      <w:rFonts w:hint="eastAsia"/>
                      <w:sz w:val="21"/>
                      <w:szCs w:val="21"/>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FDC48">
                  <w:pPr>
                    <w:pStyle w:val="47"/>
                    <w:bidi w:val="0"/>
                    <w:rPr>
                      <w:rFonts w:hint="eastAsia"/>
                      <w:sz w:val="21"/>
                      <w:szCs w:val="21"/>
                    </w:rPr>
                  </w:pPr>
                  <w:r>
                    <w:rPr>
                      <w:rFonts w:hint="eastAsia"/>
                      <w:sz w:val="21"/>
                      <w:szCs w:val="21"/>
                      <w:lang w:val="en-US" w:eastAsia="zh-CN"/>
                    </w:rPr>
                    <w:t>0.0771</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8C90A">
                  <w:pPr>
                    <w:pStyle w:val="47"/>
                    <w:bidi w:val="0"/>
                    <w:rPr>
                      <w:rFonts w:hint="eastAsia"/>
                      <w:sz w:val="21"/>
                      <w:szCs w:val="21"/>
                    </w:rPr>
                  </w:pPr>
                  <w:r>
                    <w:rPr>
                      <w:rFonts w:hint="eastAsia"/>
                      <w:sz w:val="21"/>
                      <w:szCs w:val="21"/>
                      <w:lang w:val="en-US" w:eastAsia="zh-CN"/>
                    </w:rPr>
                    <w:t>0.0107</w:t>
                  </w:r>
                </w:p>
              </w:tc>
              <w:tc>
                <w:tcPr>
                  <w:tcW w:w="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79FE0">
                  <w:pPr>
                    <w:pStyle w:val="47"/>
                    <w:bidi w:val="0"/>
                    <w:rPr>
                      <w:rFonts w:hint="eastAsia"/>
                      <w:sz w:val="21"/>
                      <w:szCs w:val="21"/>
                    </w:rPr>
                  </w:pPr>
                </w:p>
              </w:tc>
            </w:tr>
            <w:tr w14:paraId="6F270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9" w:hRule="atLeast"/>
              </w:trPr>
              <w:tc>
                <w:tcPr>
                  <w:tcW w:w="1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140D4D">
                  <w:pPr>
                    <w:pStyle w:val="47"/>
                    <w:bidi w:val="0"/>
                    <w:rPr>
                      <w:rFonts w:hint="eastAsia"/>
                      <w:sz w:val="21"/>
                      <w:szCs w:val="21"/>
                    </w:rPr>
                  </w:pPr>
                </w:p>
              </w:tc>
              <w:tc>
                <w:tcPr>
                  <w:tcW w:w="1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B0C4D5">
                  <w:pPr>
                    <w:pStyle w:val="47"/>
                    <w:bidi w:val="0"/>
                    <w:rPr>
                      <w:rFonts w:hint="eastAsia"/>
                      <w:sz w:val="21"/>
                      <w:szCs w:val="21"/>
                    </w:rPr>
                  </w:pPr>
                  <w:r>
                    <w:rPr>
                      <w:rFonts w:hint="eastAsia"/>
                      <w:sz w:val="21"/>
                      <w:szCs w:val="21"/>
                      <w:lang w:val="en-US" w:eastAsia="zh-CN"/>
                    </w:rPr>
                    <w:t>成型</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44323">
                  <w:pPr>
                    <w:pStyle w:val="47"/>
                    <w:bidi w:val="0"/>
                    <w:rPr>
                      <w:rFonts w:hint="eastAsia"/>
                      <w:sz w:val="21"/>
                      <w:szCs w:val="21"/>
                    </w:rPr>
                  </w:pPr>
                  <w:r>
                    <w:rPr>
                      <w:rFonts w:hint="eastAsia"/>
                      <w:sz w:val="21"/>
                      <w:szCs w:val="21"/>
                      <w:lang w:val="en-US" w:eastAsia="zh-CN"/>
                    </w:rPr>
                    <w:t>非甲烷总烃</w:t>
                  </w:r>
                </w:p>
              </w:tc>
              <w:tc>
                <w:tcPr>
                  <w:tcW w:w="2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5A8A8">
                  <w:pPr>
                    <w:pStyle w:val="47"/>
                    <w:bidi w:val="0"/>
                    <w:rPr>
                      <w:rFonts w:hint="eastAsia"/>
                      <w:sz w:val="21"/>
                      <w:szCs w:val="21"/>
                    </w:rPr>
                  </w:pPr>
                </w:p>
              </w:tc>
              <w:tc>
                <w:tcPr>
                  <w:tcW w:w="2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89FA2">
                  <w:pPr>
                    <w:pStyle w:val="47"/>
                    <w:bidi w:val="0"/>
                    <w:rPr>
                      <w:rFonts w:hint="eastAsia"/>
                      <w:sz w:val="21"/>
                      <w:szCs w:val="21"/>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7670B">
                  <w:pPr>
                    <w:pStyle w:val="47"/>
                    <w:bidi w:val="0"/>
                    <w:rPr>
                      <w:rFonts w:hint="eastAsia"/>
                      <w:sz w:val="21"/>
                      <w:szCs w:val="21"/>
                    </w:rPr>
                  </w:pPr>
                  <w:r>
                    <w:rPr>
                      <w:rFonts w:hint="eastAsia"/>
                      <w:sz w:val="21"/>
                      <w:szCs w:val="21"/>
                      <w:lang w:val="en-US" w:eastAsia="zh-CN"/>
                    </w:rPr>
                    <w:t>0.53</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341BD">
                  <w:pPr>
                    <w:pStyle w:val="47"/>
                    <w:bidi w:val="0"/>
                    <w:rPr>
                      <w:rFonts w:hint="eastAsia"/>
                      <w:sz w:val="21"/>
                      <w:szCs w:val="21"/>
                    </w:rPr>
                  </w:pPr>
                  <w:r>
                    <w:rPr>
                      <w:rFonts w:hint="eastAsia"/>
                      <w:sz w:val="21"/>
                      <w:szCs w:val="21"/>
                      <w:lang w:val="en-US" w:eastAsia="zh-CN"/>
                    </w:rPr>
                    <w:t>0.0736</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74398">
                  <w:pPr>
                    <w:pStyle w:val="47"/>
                    <w:bidi w:val="0"/>
                    <w:rPr>
                      <w:rFonts w:hint="eastAsia"/>
                      <w:sz w:val="21"/>
                      <w:szCs w:val="21"/>
                    </w:rPr>
                  </w:pPr>
                  <w:r>
                    <w:rPr>
                      <w:rFonts w:hint="eastAsia"/>
                      <w:sz w:val="21"/>
                      <w:szCs w:val="21"/>
                      <w:lang w:val="en-US" w:eastAsia="zh-CN"/>
                    </w:rPr>
                    <w:t>3.132</w:t>
                  </w:r>
                </w:p>
              </w:tc>
              <w:tc>
                <w:tcPr>
                  <w:tcW w:w="16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EBCC85">
                  <w:pPr>
                    <w:pStyle w:val="47"/>
                    <w:bidi w:val="0"/>
                    <w:rPr>
                      <w:rFonts w:hint="eastAsia"/>
                      <w:sz w:val="21"/>
                      <w:szCs w:val="21"/>
                    </w:rPr>
                  </w:pPr>
                  <w:r>
                    <w:rPr>
                      <w:rFonts w:hint="eastAsia"/>
                      <w:sz w:val="21"/>
                      <w:szCs w:val="21"/>
                      <w:lang w:val="en-US" w:eastAsia="zh-CN"/>
                    </w:rPr>
                    <w:t>90</w:t>
                  </w:r>
                </w:p>
              </w:tc>
              <w:tc>
                <w:tcPr>
                  <w:tcW w:w="160" w:type="pct"/>
                  <w:vMerge w:val="continue"/>
                  <w:tcBorders>
                    <w:left w:val="single" w:color="000000" w:sz="4" w:space="0"/>
                    <w:right w:val="single" w:color="000000" w:sz="4" w:space="0"/>
                  </w:tcBorders>
                  <w:shd w:val="clear" w:color="auto" w:fill="auto"/>
                  <w:vAlign w:val="center"/>
                </w:tcPr>
                <w:p w14:paraId="5B0AC2BB">
                  <w:pPr>
                    <w:pStyle w:val="47"/>
                    <w:bidi w:val="0"/>
                    <w:rPr>
                      <w:rFonts w:hint="eastAsia"/>
                      <w:sz w:val="21"/>
                      <w:szCs w:val="21"/>
                    </w:rPr>
                  </w:pPr>
                </w:p>
              </w:tc>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DC6FC">
                  <w:pPr>
                    <w:pStyle w:val="47"/>
                    <w:bidi w:val="0"/>
                    <w:rPr>
                      <w:rFonts w:hint="eastAsia"/>
                      <w:sz w:val="21"/>
                      <w:szCs w:val="21"/>
                    </w:rPr>
                  </w:pPr>
                </w:p>
              </w:tc>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3CEC5">
                  <w:pPr>
                    <w:pStyle w:val="47"/>
                    <w:bidi w:val="0"/>
                    <w:rPr>
                      <w:rFonts w:hint="eastAsia"/>
                      <w:sz w:val="21"/>
                      <w:szCs w:val="21"/>
                    </w:rPr>
                  </w:pPr>
                </w:p>
              </w:tc>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2ED04">
                  <w:pPr>
                    <w:pStyle w:val="47"/>
                    <w:bidi w:val="0"/>
                    <w:rPr>
                      <w:rFonts w:hint="eastAsia"/>
                      <w:sz w:val="21"/>
                      <w:szCs w:val="21"/>
                    </w:rPr>
                  </w:pPr>
                  <w:r>
                    <w:rPr>
                      <w:rFonts w:hint="eastAsia"/>
                      <w:sz w:val="21"/>
                      <w:szCs w:val="21"/>
                      <w:lang w:val="en-US" w:eastAsia="zh-CN"/>
                    </w:rPr>
                    <w:t>臭气浓度</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27C61">
                  <w:pPr>
                    <w:pStyle w:val="47"/>
                    <w:bidi w:val="0"/>
                    <w:rPr>
                      <w:rFonts w:hint="eastAsia"/>
                      <w:sz w:val="21"/>
                      <w:szCs w:val="21"/>
                    </w:rPr>
                  </w:pPr>
                  <w:r>
                    <w:rPr>
                      <w:rFonts w:hint="eastAsia"/>
                      <w:sz w:val="21"/>
                      <w:szCs w:val="21"/>
                      <w:lang w:val="en-US" w:eastAsia="zh-CN"/>
                    </w:rPr>
                    <w:t>少量</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7B545">
                  <w:pPr>
                    <w:pStyle w:val="47"/>
                    <w:bidi w:val="0"/>
                    <w:rPr>
                      <w:rFonts w:hint="eastAsia"/>
                      <w:sz w:val="21"/>
                      <w:szCs w:val="21"/>
                    </w:rPr>
                  </w:pPr>
                  <w:r>
                    <w:rPr>
                      <w:rFonts w:hint="eastAsia"/>
                      <w:sz w:val="21"/>
                      <w:szCs w:val="21"/>
                      <w:lang w:val="en-US" w:eastAsia="zh-CN"/>
                    </w:rPr>
                    <w:t>少量</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DE3BE">
                  <w:pPr>
                    <w:pStyle w:val="47"/>
                    <w:bidi w:val="0"/>
                    <w:rPr>
                      <w:rFonts w:hint="eastAsia"/>
                      <w:sz w:val="21"/>
                      <w:szCs w:val="21"/>
                    </w:rPr>
                  </w:pPr>
                  <w:r>
                    <w:rPr>
                      <w:rFonts w:hint="eastAsia"/>
                      <w:sz w:val="21"/>
                      <w:szCs w:val="21"/>
                      <w:lang w:val="en-US" w:eastAsia="zh-CN"/>
                    </w:rPr>
                    <w:t>＜2000无量纲</w:t>
                  </w:r>
                </w:p>
              </w:tc>
              <w:tc>
                <w:tcPr>
                  <w:tcW w:w="1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082CD">
                  <w:pPr>
                    <w:pStyle w:val="47"/>
                    <w:bidi w:val="0"/>
                    <w:rPr>
                      <w:rFonts w:hint="eastAsia"/>
                      <w:sz w:val="21"/>
                      <w:szCs w:val="21"/>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ED23D">
                  <w:pPr>
                    <w:pStyle w:val="47"/>
                    <w:bidi w:val="0"/>
                    <w:rPr>
                      <w:rFonts w:hint="eastAsia"/>
                      <w:sz w:val="21"/>
                      <w:szCs w:val="21"/>
                    </w:rPr>
                  </w:pPr>
                  <w:r>
                    <w:rPr>
                      <w:rFonts w:hint="eastAsia"/>
                      <w:sz w:val="21"/>
                      <w:szCs w:val="21"/>
                      <w:lang w:val="en-US" w:eastAsia="zh-CN"/>
                    </w:rPr>
                    <w:t>少量</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3D7B5">
                  <w:pPr>
                    <w:pStyle w:val="47"/>
                    <w:bidi w:val="0"/>
                    <w:rPr>
                      <w:rFonts w:hint="eastAsia"/>
                      <w:sz w:val="21"/>
                      <w:szCs w:val="21"/>
                    </w:rPr>
                  </w:pPr>
                  <w:r>
                    <w:rPr>
                      <w:rFonts w:hint="eastAsia"/>
                      <w:sz w:val="21"/>
                      <w:szCs w:val="21"/>
                      <w:lang w:val="en-US" w:eastAsia="zh-CN"/>
                    </w:rPr>
                    <w:t>少量</w:t>
                  </w:r>
                </w:p>
              </w:tc>
              <w:tc>
                <w:tcPr>
                  <w:tcW w:w="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31FED">
                  <w:pPr>
                    <w:pStyle w:val="47"/>
                    <w:bidi w:val="0"/>
                    <w:rPr>
                      <w:rFonts w:hint="eastAsia"/>
                      <w:sz w:val="21"/>
                      <w:szCs w:val="21"/>
                    </w:rPr>
                  </w:pPr>
                </w:p>
              </w:tc>
            </w:tr>
            <w:tr w14:paraId="70652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80B94">
                  <w:pPr>
                    <w:pStyle w:val="47"/>
                    <w:bidi w:val="0"/>
                    <w:rPr>
                      <w:rFonts w:hint="eastAsia"/>
                      <w:sz w:val="21"/>
                      <w:szCs w:val="21"/>
                    </w:rPr>
                  </w:pP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DCEAD">
                  <w:pPr>
                    <w:pStyle w:val="47"/>
                    <w:bidi w:val="0"/>
                    <w:rPr>
                      <w:rFonts w:hint="eastAsia"/>
                      <w:sz w:val="21"/>
                      <w:szCs w:val="21"/>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13D13">
                  <w:pPr>
                    <w:pStyle w:val="47"/>
                    <w:bidi w:val="0"/>
                    <w:rPr>
                      <w:rFonts w:hint="eastAsia"/>
                      <w:sz w:val="21"/>
                      <w:szCs w:val="21"/>
                    </w:rPr>
                  </w:pPr>
                  <w:r>
                    <w:rPr>
                      <w:rFonts w:hint="eastAsia"/>
                      <w:sz w:val="21"/>
                      <w:szCs w:val="21"/>
                      <w:lang w:val="en-US" w:eastAsia="zh-CN"/>
                    </w:rPr>
                    <w:t>苯乙烯</w:t>
                  </w:r>
                </w:p>
              </w:tc>
              <w:tc>
                <w:tcPr>
                  <w:tcW w:w="2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AF039">
                  <w:pPr>
                    <w:pStyle w:val="47"/>
                    <w:bidi w:val="0"/>
                    <w:rPr>
                      <w:rFonts w:hint="eastAsia"/>
                      <w:sz w:val="21"/>
                      <w:szCs w:val="21"/>
                    </w:rPr>
                  </w:pPr>
                </w:p>
              </w:tc>
              <w:tc>
                <w:tcPr>
                  <w:tcW w:w="2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C5A3A">
                  <w:pPr>
                    <w:pStyle w:val="47"/>
                    <w:bidi w:val="0"/>
                    <w:rPr>
                      <w:rFonts w:hint="eastAsia"/>
                      <w:sz w:val="21"/>
                      <w:szCs w:val="21"/>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FFC24">
                  <w:pPr>
                    <w:pStyle w:val="47"/>
                    <w:bidi w:val="0"/>
                    <w:rPr>
                      <w:rFonts w:hint="eastAsia"/>
                      <w:sz w:val="21"/>
                      <w:szCs w:val="21"/>
                    </w:rPr>
                  </w:pPr>
                  <w:r>
                    <w:rPr>
                      <w:rFonts w:hint="eastAsia"/>
                      <w:sz w:val="21"/>
                      <w:szCs w:val="21"/>
                      <w:lang w:val="en-US" w:eastAsia="zh-CN"/>
                    </w:rPr>
                    <w:t>0.07</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63B76">
                  <w:pPr>
                    <w:pStyle w:val="47"/>
                    <w:bidi w:val="0"/>
                    <w:rPr>
                      <w:rFonts w:hint="eastAsia"/>
                      <w:sz w:val="21"/>
                      <w:szCs w:val="21"/>
                    </w:rPr>
                  </w:pPr>
                  <w:r>
                    <w:rPr>
                      <w:rFonts w:hint="eastAsia"/>
                      <w:sz w:val="21"/>
                      <w:szCs w:val="21"/>
                      <w:lang w:val="en-US" w:eastAsia="zh-CN"/>
                    </w:rPr>
                    <w:t>0.0097</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86F6A">
                  <w:pPr>
                    <w:pStyle w:val="47"/>
                    <w:bidi w:val="0"/>
                    <w:rPr>
                      <w:rFonts w:hint="eastAsia"/>
                      <w:sz w:val="21"/>
                      <w:szCs w:val="21"/>
                    </w:rPr>
                  </w:pPr>
                  <w:r>
                    <w:rPr>
                      <w:rFonts w:hint="eastAsia"/>
                      <w:sz w:val="21"/>
                      <w:szCs w:val="21"/>
                      <w:lang w:val="en-US" w:eastAsia="zh-CN"/>
                    </w:rPr>
                    <w:t>0.413</w:t>
                  </w:r>
                </w:p>
              </w:tc>
              <w:tc>
                <w:tcPr>
                  <w:tcW w:w="1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AD4AA">
                  <w:pPr>
                    <w:pStyle w:val="47"/>
                    <w:bidi w:val="0"/>
                    <w:rPr>
                      <w:rFonts w:hint="eastAsia"/>
                      <w:sz w:val="21"/>
                      <w:szCs w:val="21"/>
                    </w:rPr>
                  </w:pPr>
                </w:p>
              </w:tc>
              <w:tc>
                <w:tcPr>
                  <w:tcW w:w="160" w:type="pct"/>
                  <w:vMerge w:val="continue"/>
                  <w:tcBorders>
                    <w:left w:val="single" w:color="000000" w:sz="4" w:space="0"/>
                    <w:right w:val="single" w:color="000000" w:sz="4" w:space="0"/>
                  </w:tcBorders>
                  <w:shd w:val="clear" w:color="auto" w:fill="auto"/>
                  <w:vAlign w:val="center"/>
                </w:tcPr>
                <w:p w14:paraId="33242B77">
                  <w:pPr>
                    <w:pStyle w:val="47"/>
                    <w:bidi w:val="0"/>
                    <w:rPr>
                      <w:rFonts w:hint="eastAsia"/>
                      <w:sz w:val="21"/>
                      <w:szCs w:val="21"/>
                    </w:rPr>
                  </w:pPr>
                </w:p>
              </w:tc>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74E35">
                  <w:pPr>
                    <w:pStyle w:val="47"/>
                    <w:bidi w:val="0"/>
                    <w:rPr>
                      <w:rFonts w:hint="eastAsia"/>
                      <w:sz w:val="21"/>
                      <w:szCs w:val="21"/>
                    </w:rPr>
                  </w:pPr>
                </w:p>
              </w:tc>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B1BA7">
                  <w:pPr>
                    <w:pStyle w:val="47"/>
                    <w:bidi w:val="0"/>
                    <w:rPr>
                      <w:rFonts w:hint="eastAsia"/>
                      <w:sz w:val="21"/>
                      <w:szCs w:val="21"/>
                    </w:rPr>
                  </w:pPr>
                </w:p>
              </w:tc>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31C2B">
                  <w:pPr>
                    <w:pStyle w:val="47"/>
                    <w:bidi w:val="0"/>
                    <w:rPr>
                      <w:rFonts w:hint="eastAsia"/>
                      <w:sz w:val="21"/>
                      <w:szCs w:val="21"/>
                    </w:rPr>
                  </w:pPr>
                  <w:r>
                    <w:rPr>
                      <w:rFonts w:hint="eastAsia"/>
                      <w:sz w:val="21"/>
                      <w:szCs w:val="21"/>
                      <w:lang w:val="en-US" w:eastAsia="zh-CN"/>
                    </w:rPr>
                    <w:t>/</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4A5B8">
                  <w:pPr>
                    <w:pStyle w:val="47"/>
                    <w:bidi w:val="0"/>
                    <w:rPr>
                      <w:rFonts w:hint="eastAsia"/>
                      <w:sz w:val="21"/>
                      <w:szCs w:val="21"/>
                    </w:rPr>
                  </w:pPr>
                  <w:r>
                    <w:rPr>
                      <w:rFonts w:hint="eastAsia"/>
                      <w:sz w:val="21"/>
                      <w:szCs w:val="21"/>
                      <w:lang w:val="en-US" w:eastAsia="zh-CN"/>
                    </w:rPr>
                    <w:t>/</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AEE6E">
                  <w:pPr>
                    <w:pStyle w:val="47"/>
                    <w:bidi w:val="0"/>
                    <w:rPr>
                      <w:rFonts w:hint="eastAsia"/>
                      <w:sz w:val="21"/>
                      <w:szCs w:val="21"/>
                    </w:rPr>
                  </w:pPr>
                  <w:r>
                    <w:rPr>
                      <w:rFonts w:hint="eastAsia"/>
                      <w:sz w:val="21"/>
                      <w:szCs w:val="21"/>
                      <w:lang w:val="en-US" w:eastAsia="zh-CN"/>
                    </w:rPr>
                    <w:t>/</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0691C">
                  <w:pPr>
                    <w:pStyle w:val="47"/>
                    <w:bidi w:val="0"/>
                    <w:rPr>
                      <w:rFonts w:hint="eastAsia"/>
                      <w:sz w:val="21"/>
                      <w:szCs w:val="21"/>
                    </w:rPr>
                  </w:pPr>
                  <w:r>
                    <w:rPr>
                      <w:rFonts w:hint="eastAsia"/>
                      <w:sz w:val="21"/>
                      <w:szCs w:val="21"/>
                      <w:lang w:val="en-US" w:eastAsia="zh-CN"/>
                    </w:rPr>
                    <w:t>/</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92D0F">
                  <w:pPr>
                    <w:pStyle w:val="47"/>
                    <w:bidi w:val="0"/>
                    <w:rPr>
                      <w:rFonts w:hint="eastAsia"/>
                      <w:sz w:val="21"/>
                      <w:szCs w:val="21"/>
                    </w:rPr>
                  </w:pPr>
                  <w:r>
                    <w:rPr>
                      <w:rFonts w:hint="eastAsia"/>
                      <w:sz w:val="21"/>
                      <w:szCs w:val="21"/>
                      <w:lang w:val="en-US" w:eastAsia="zh-CN"/>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E5D66">
                  <w:pPr>
                    <w:pStyle w:val="47"/>
                    <w:bidi w:val="0"/>
                    <w:rPr>
                      <w:rFonts w:hint="eastAsia"/>
                      <w:sz w:val="21"/>
                      <w:szCs w:val="21"/>
                    </w:rPr>
                  </w:pPr>
                  <w:r>
                    <w:rPr>
                      <w:rFonts w:hint="eastAsia"/>
                      <w:sz w:val="21"/>
                      <w:szCs w:val="21"/>
                      <w:lang w:val="en-US" w:eastAsia="zh-CN"/>
                    </w:rPr>
                    <w:t>/</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73043">
                  <w:pPr>
                    <w:pStyle w:val="47"/>
                    <w:bidi w:val="0"/>
                    <w:rPr>
                      <w:rFonts w:hint="eastAsia"/>
                      <w:sz w:val="21"/>
                      <w:szCs w:val="21"/>
                    </w:rPr>
                  </w:pPr>
                  <w:r>
                    <w:rPr>
                      <w:rFonts w:hint="eastAsia"/>
                      <w:sz w:val="21"/>
                      <w:szCs w:val="21"/>
                      <w:lang w:val="en-US" w:eastAsia="zh-CN"/>
                    </w:rPr>
                    <w:t>/</w:t>
                  </w:r>
                </w:p>
              </w:tc>
              <w:tc>
                <w:tcPr>
                  <w:tcW w:w="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B9733">
                  <w:pPr>
                    <w:pStyle w:val="47"/>
                    <w:bidi w:val="0"/>
                    <w:rPr>
                      <w:rFonts w:hint="eastAsia"/>
                      <w:sz w:val="21"/>
                      <w:szCs w:val="21"/>
                    </w:rPr>
                  </w:pPr>
                </w:p>
              </w:tc>
            </w:tr>
            <w:tr w14:paraId="57646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rPr>
              <w:tc>
                <w:tcPr>
                  <w:tcW w:w="1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C737D">
                  <w:pPr>
                    <w:pStyle w:val="47"/>
                    <w:bidi w:val="0"/>
                    <w:rPr>
                      <w:rFonts w:hint="eastAsia"/>
                      <w:sz w:val="21"/>
                      <w:szCs w:val="21"/>
                    </w:rPr>
                  </w:pPr>
                </w:p>
              </w:tc>
              <w:tc>
                <w:tcPr>
                  <w:tcW w:w="1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20471">
                  <w:pPr>
                    <w:pStyle w:val="47"/>
                    <w:bidi w:val="0"/>
                    <w:rPr>
                      <w:rFonts w:hint="eastAsia"/>
                      <w:sz w:val="21"/>
                      <w:szCs w:val="21"/>
                    </w:rPr>
                  </w:pPr>
                  <w:r>
                    <w:rPr>
                      <w:rFonts w:hint="eastAsia"/>
                      <w:sz w:val="21"/>
                      <w:szCs w:val="21"/>
                      <w:lang w:val="en-US" w:eastAsia="zh-CN"/>
                    </w:rPr>
                    <w:t>烘干</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DE751">
                  <w:pPr>
                    <w:pStyle w:val="47"/>
                    <w:bidi w:val="0"/>
                    <w:rPr>
                      <w:rFonts w:hint="eastAsia"/>
                      <w:sz w:val="21"/>
                      <w:szCs w:val="21"/>
                    </w:rPr>
                  </w:pPr>
                  <w:r>
                    <w:rPr>
                      <w:rFonts w:hint="eastAsia"/>
                      <w:sz w:val="21"/>
                      <w:szCs w:val="21"/>
                      <w:lang w:val="en-US" w:eastAsia="zh-CN"/>
                    </w:rPr>
                    <w:t>非甲烷总烃</w:t>
                  </w:r>
                </w:p>
              </w:tc>
              <w:tc>
                <w:tcPr>
                  <w:tcW w:w="2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3F845">
                  <w:pPr>
                    <w:pStyle w:val="47"/>
                    <w:bidi w:val="0"/>
                    <w:rPr>
                      <w:rFonts w:hint="eastAsia"/>
                      <w:sz w:val="21"/>
                      <w:szCs w:val="21"/>
                    </w:rPr>
                  </w:pPr>
                </w:p>
              </w:tc>
              <w:tc>
                <w:tcPr>
                  <w:tcW w:w="2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9880A">
                  <w:pPr>
                    <w:pStyle w:val="47"/>
                    <w:bidi w:val="0"/>
                    <w:rPr>
                      <w:rFonts w:hint="eastAsia"/>
                      <w:sz w:val="21"/>
                      <w:szCs w:val="21"/>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759FA">
                  <w:pPr>
                    <w:pStyle w:val="47"/>
                    <w:bidi w:val="0"/>
                    <w:rPr>
                      <w:rFonts w:hint="default"/>
                      <w:sz w:val="21"/>
                      <w:szCs w:val="21"/>
                      <w:lang w:val="en-US"/>
                    </w:rPr>
                  </w:pPr>
                  <w:r>
                    <w:rPr>
                      <w:rFonts w:hint="eastAsia"/>
                      <w:sz w:val="21"/>
                      <w:szCs w:val="21"/>
                      <w:lang w:val="en-US" w:eastAsia="zh-CN"/>
                    </w:rPr>
                    <w:t>0.082</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E9B4C">
                  <w:pPr>
                    <w:pStyle w:val="47"/>
                    <w:bidi w:val="0"/>
                    <w:rPr>
                      <w:rFonts w:hint="eastAsia"/>
                      <w:sz w:val="21"/>
                      <w:szCs w:val="21"/>
                    </w:rPr>
                  </w:pPr>
                  <w:r>
                    <w:rPr>
                      <w:rFonts w:hint="eastAsia"/>
                      <w:sz w:val="21"/>
                      <w:szCs w:val="21"/>
                      <w:lang w:val="en-US" w:eastAsia="zh-CN"/>
                    </w:rPr>
                    <w:t>0.0114</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47EDB">
                  <w:pPr>
                    <w:pStyle w:val="47"/>
                    <w:bidi w:val="0"/>
                    <w:rPr>
                      <w:rFonts w:hint="eastAsia"/>
                      <w:sz w:val="21"/>
                      <w:szCs w:val="21"/>
                    </w:rPr>
                  </w:pPr>
                  <w:r>
                    <w:rPr>
                      <w:rFonts w:hint="eastAsia"/>
                      <w:sz w:val="21"/>
                      <w:szCs w:val="21"/>
                      <w:lang w:val="en-US" w:eastAsia="zh-CN"/>
                    </w:rPr>
                    <w:t>0.485</w:t>
                  </w:r>
                </w:p>
              </w:tc>
              <w:tc>
                <w:tcPr>
                  <w:tcW w:w="16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9EB9FD">
                  <w:pPr>
                    <w:pStyle w:val="47"/>
                    <w:bidi w:val="0"/>
                    <w:rPr>
                      <w:rFonts w:hint="eastAsia"/>
                      <w:sz w:val="21"/>
                      <w:szCs w:val="21"/>
                    </w:rPr>
                  </w:pPr>
                  <w:r>
                    <w:rPr>
                      <w:rFonts w:hint="eastAsia"/>
                      <w:sz w:val="21"/>
                      <w:szCs w:val="21"/>
                      <w:lang w:val="en-US" w:eastAsia="zh-CN"/>
                    </w:rPr>
                    <w:t>90</w:t>
                  </w:r>
                </w:p>
              </w:tc>
              <w:tc>
                <w:tcPr>
                  <w:tcW w:w="160" w:type="pct"/>
                  <w:vMerge w:val="continue"/>
                  <w:tcBorders>
                    <w:left w:val="single" w:color="000000" w:sz="4" w:space="0"/>
                    <w:right w:val="single" w:color="000000" w:sz="4" w:space="0"/>
                  </w:tcBorders>
                  <w:shd w:val="clear" w:color="auto" w:fill="auto"/>
                  <w:vAlign w:val="center"/>
                </w:tcPr>
                <w:p w14:paraId="0634C9F5">
                  <w:pPr>
                    <w:pStyle w:val="47"/>
                    <w:bidi w:val="0"/>
                    <w:rPr>
                      <w:rFonts w:hint="eastAsia"/>
                      <w:sz w:val="21"/>
                      <w:szCs w:val="21"/>
                    </w:rPr>
                  </w:pPr>
                </w:p>
              </w:tc>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D5B6A6">
                  <w:pPr>
                    <w:pStyle w:val="47"/>
                    <w:bidi w:val="0"/>
                    <w:rPr>
                      <w:rFonts w:hint="eastAsia"/>
                      <w:sz w:val="21"/>
                      <w:szCs w:val="21"/>
                    </w:rPr>
                  </w:pPr>
                </w:p>
              </w:tc>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94189D">
                  <w:pPr>
                    <w:pStyle w:val="47"/>
                    <w:bidi w:val="0"/>
                    <w:rPr>
                      <w:rFonts w:hint="eastAsia"/>
                      <w:sz w:val="21"/>
                      <w:szCs w:val="21"/>
                    </w:rPr>
                  </w:pPr>
                </w:p>
              </w:tc>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B9170">
                  <w:pPr>
                    <w:pStyle w:val="47"/>
                    <w:bidi w:val="0"/>
                    <w:rPr>
                      <w:rFonts w:hint="eastAsia"/>
                      <w:sz w:val="21"/>
                      <w:szCs w:val="21"/>
                    </w:rPr>
                  </w:pPr>
                  <w:r>
                    <w:rPr>
                      <w:rFonts w:hint="eastAsia"/>
                      <w:sz w:val="21"/>
                      <w:szCs w:val="21"/>
                      <w:lang w:val="en-US" w:eastAsia="zh-CN"/>
                    </w:rPr>
                    <w:t>/</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870E9">
                  <w:pPr>
                    <w:pStyle w:val="47"/>
                    <w:bidi w:val="0"/>
                    <w:rPr>
                      <w:rFonts w:hint="eastAsia"/>
                      <w:sz w:val="21"/>
                      <w:szCs w:val="21"/>
                    </w:rPr>
                  </w:pPr>
                  <w:r>
                    <w:rPr>
                      <w:rFonts w:hint="eastAsia"/>
                      <w:sz w:val="21"/>
                      <w:szCs w:val="21"/>
                      <w:lang w:val="en-US" w:eastAsia="zh-CN"/>
                    </w:rPr>
                    <w:t>/</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59AB3">
                  <w:pPr>
                    <w:pStyle w:val="47"/>
                    <w:bidi w:val="0"/>
                    <w:rPr>
                      <w:rFonts w:hint="eastAsia"/>
                      <w:sz w:val="21"/>
                      <w:szCs w:val="21"/>
                    </w:rPr>
                  </w:pPr>
                  <w:r>
                    <w:rPr>
                      <w:rFonts w:hint="eastAsia"/>
                      <w:sz w:val="21"/>
                      <w:szCs w:val="21"/>
                      <w:lang w:val="en-US" w:eastAsia="zh-CN"/>
                    </w:rPr>
                    <w:t>/</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710ED">
                  <w:pPr>
                    <w:pStyle w:val="47"/>
                    <w:bidi w:val="0"/>
                    <w:rPr>
                      <w:rFonts w:hint="eastAsia"/>
                      <w:sz w:val="21"/>
                      <w:szCs w:val="21"/>
                    </w:rPr>
                  </w:pPr>
                  <w:r>
                    <w:rPr>
                      <w:rFonts w:hint="eastAsia"/>
                      <w:sz w:val="21"/>
                      <w:szCs w:val="21"/>
                      <w:lang w:val="en-US" w:eastAsia="zh-CN"/>
                    </w:rPr>
                    <w:t>/</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11FFD">
                  <w:pPr>
                    <w:pStyle w:val="47"/>
                    <w:bidi w:val="0"/>
                    <w:rPr>
                      <w:rFonts w:hint="eastAsia"/>
                      <w:sz w:val="21"/>
                      <w:szCs w:val="21"/>
                    </w:rPr>
                  </w:pPr>
                  <w:r>
                    <w:rPr>
                      <w:rFonts w:hint="eastAsia"/>
                      <w:sz w:val="21"/>
                      <w:szCs w:val="21"/>
                      <w:lang w:val="en-US" w:eastAsia="zh-CN"/>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10331">
                  <w:pPr>
                    <w:pStyle w:val="47"/>
                    <w:bidi w:val="0"/>
                    <w:rPr>
                      <w:rFonts w:hint="eastAsia"/>
                      <w:sz w:val="21"/>
                      <w:szCs w:val="21"/>
                    </w:rPr>
                  </w:pPr>
                  <w:r>
                    <w:rPr>
                      <w:rFonts w:hint="eastAsia"/>
                      <w:sz w:val="21"/>
                      <w:szCs w:val="21"/>
                      <w:lang w:val="en-US" w:eastAsia="zh-CN"/>
                    </w:rPr>
                    <w:t>/</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35016">
                  <w:pPr>
                    <w:pStyle w:val="47"/>
                    <w:bidi w:val="0"/>
                    <w:rPr>
                      <w:rFonts w:hint="eastAsia"/>
                      <w:sz w:val="21"/>
                      <w:szCs w:val="21"/>
                    </w:rPr>
                  </w:pPr>
                  <w:r>
                    <w:rPr>
                      <w:rFonts w:hint="eastAsia"/>
                      <w:sz w:val="21"/>
                      <w:szCs w:val="21"/>
                      <w:lang w:val="en-US" w:eastAsia="zh-CN"/>
                    </w:rPr>
                    <w:t>/</w:t>
                  </w:r>
                </w:p>
              </w:tc>
              <w:tc>
                <w:tcPr>
                  <w:tcW w:w="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C4143">
                  <w:pPr>
                    <w:pStyle w:val="47"/>
                    <w:bidi w:val="0"/>
                    <w:rPr>
                      <w:rFonts w:hint="eastAsia"/>
                      <w:sz w:val="21"/>
                      <w:szCs w:val="21"/>
                    </w:rPr>
                  </w:pPr>
                </w:p>
              </w:tc>
            </w:tr>
            <w:tr w14:paraId="4DBE4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A24C96">
                  <w:pPr>
                    <w:pStyle w:val="47"/>
                    <w:bidi w:val="0"/>
                    <w:rPr>
                      <w:rFonts w:hint="eastAsia"/>
                      <w:sz w:val="21"/>
                      <w:szCs w:val="21"/>
                    </w:rPr>
                  </w:pPr>
                </w:p>
              </w:tc>
              <w:tc>
                <w:tcPr>
                  <w:tcW w:w="1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E150A">
                  <w:pPr>
                    <w:pStyle w:val="47"/>
                    <w:bidi w:val="0"/>
                    <w:rPr>
                      <w:rFonts w:hint="eastAsia"/>
                      <w:sz w:val="21"/>
                      <w:szCs w:val="21"/>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FCB17">
                  <w:pPr>
                    <w:pStyle w:val="47"/>
                    <w:bidi w:val="0"/>
                    <w:rPr>
                      <w:rFonts w:hint="eastAsia"/>
                      <w:sz w:val="21"/>
                      <w:szCs w:val="21"/>
                    </w:rPr>
                  </w:pPr>
                  <w:r>
                    <w:rPr>
                      <w:rFonts w:hint="eastAsia"/>
                      <w:sz w:val="21"/>
                      <w:szCs w:val="21"/>
                      <w:lang w:val="en-US" w:eastAsia="zh-CN"/>
                    </w:rPr>
                    <w:t>苯乙烯</w:t>
                  </w:r>
                </w:p>
              </w:tc>
              <w:tc>
                <w:tcPr>
                  <w:tcW w:w="2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8EC41">
                  <w:pPr>
                    <w:pStyle w:val="47"/>
                    <w:bidi w:val="0"/>
                    <w:rPr>
                      <w:rFonts w:hint="eastAsia"/>
                      <w:sz w:val="21"/>
                      <w:szCs w:val="21"/>
                    </w:rPr>
                  </w:pPr>
                </w:p>
              </w:tc>
              <w:tc>
                <w:tcPr>
                  <w:tcW w:w="2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E1B11">
                  <w:pPr>
                    <w:pStyle w:val="47"/>
                    <w:bidi w:val="0"/>
                    <w:rPr>
                      <w:rFonts w:hint="eastAsia"/>
                      <w:sz w:val="21"/>
                      <w:szCs w:val="21"/>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95592">
                  <w:pPr>
                    <w:pStyle w:val="47"/>
                    <w:bidi w:val="0"/>
                    <w:rPr>
                      <w:rFonts w:hint="eastAsia"/>
                      <w:sz w:val="21"/>
                      <w:szCs w:val="21"/>
                    </w:rPr>
                  </w:pPr>
                  <w:r>
                    <w:rPr>
                      <w:rFonts w:hint="eastAsia"/>
                      <w:sz w:val="21"/>
                      <w:szCs w:val="21"/>
                      <w:lang w:val="en-US" w:eastAsia="zh-CN"/>
                    </w:rPr>
                    <w:t>0.011</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6DF7A">
                  <w:pPr>
                    <w:pStyle w:val="47"/>
                    <w:bidi w:val="0"/>
                    <w:rPr>
                      <w:rFonts w:hint="eastAsia"/>
                      <w:sz w:val="21"/>
                      <w:szCs w:val="21"/>
                    </w:rPr>
                  </w:pPr>
                  <w:r>
                    <w:rPr>
                      <w:rFonts w:hint="eastAsia"/>
                      <w:sz w:val="21"/>
                      <w:szCs w:val="21"/>
                      <w:lang w:val="en-US" w:eastAsia="zh-CN"/>
                    </w:rPr>
                    <w:t>0.0015</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BE590">
                  <w:pPr>
                    <w:pStyle w:val="47"/>
                    <w:bidi w:val="0"/>
                    <w:rPr>
                      <w:rFonts w:hint="eastAsia"/>
                      <w:sz w:val="21"/>
                      <w:szCs w:val="21"/>
                    </w:rPr>
                  </w:pPr>
                  <w:r>
                    <w:rPr>
                      <w:rFonts w:hint="eastAsia"/>
                      <w:sz w:val="21"/>
                      <w:szCs w:val="21"/>
                      <w:lang w:val="en-US" w:eastAsia="zh-CN"/>
                    </w:rPr>
                    <w:t>0.064</w:t>
                  </w:r>
                </w:p>
              </w:tc>
              <w:tc>
                <w:tcPr>
                  <w:tcW w:w="1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CCE4C">
                  <w:pPr>
                    <w:pStyle w:val="47"/>
                    <w:bidi w:val="0"/>
                    <w:rPr>
                      <w:rFonts w:hint="eastAsia"/>
                      <w:sz w:val="21"/>
                      <w:szCs w:val="21"/>
                    </w:rPr>
                  </w:pPr>
                </w:p>
              </w:tc>
              <w:tc>
                <w:tcPr>
                  <w:tcW w:w="160" w:type="pct"/>
                  <w:vMerge w:val="continue"/>
                  <w:tcBorders>
                    <w:left w:val="single" w:color="000000" w:sz="4" w:space="0"/>
                    <w:right w:val="single" w:color="000000" w:sz="4" w:space="0"/>
                  </w:tcBorders>
                  <w:shd w:val="clear" w:color="auto" w:fill="auto"/>
                  <w:vAlign w:val="center"/>
                </w:tcPr>
                <w:p w14:paraId="65F0999C">
                  <w:pPr>
                    <w:pStyle w:val="47"/>
                    <w:bidi w:val="0"/>
                    <w:rPr>
                      <w:rFonts w:hint="eastAsia"/>
                      <w:sz w:val="21"/>
                      <w:szCs w:val="21"/>
                    </w:rPr>
                  </w:pPr>
                </w:p>
              </w:tc>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03CCB">
                  <w:pPr>
                    <w:pStyle w:val="47"/>
                    <w:bidi w:val="0"/>
                    <w:rPr>
                      <w:rFonts w:hint="eastAsia"/>
                      <w:sz w:val="21"/>
                      <w:szCs w:val="21"/>
                    </w:rPr>
                  </w:pPr>
                </w:p>
              </w:tc>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5E682">
                  <w:pPr>
                    <w:pStyle w:val="47"/>
                    <w:bidi w:val="0"/>
                    <w:rPr>
                      <w:rFonts w:hint="eastAsia"/>
                      <w:sz w:val="21"/>
                      <w:szCs w:val="21"/>
                    </w:rPr>
                  </w:pPr>
                </w:p>
              </w:tc>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B4F2E">
                  <w:pPr>
                    <w:pStyle w:val="47"/>
                    <w:bidi w:val="0"/>
                    <w:rPr>
                      <w:rFonts w:hint="eastAsia"/>
                      <w:sz w:val="21"/>
                      <w:szCs w:val="21"/>
                    </w:rPr>
                  </w:pPr>
                  <w:r>
                    <w:rPr>
                      <w:rFonts w:hint="eastAsia"/>
                      <w:sz w:val="21"/>
                      <w:szCs w:val="21"/>
                      <w:lang w:val="en-US" w:eastAsia="zh-CN"/>
                    </w:rPr>
                    <w:t>/</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82C07">
                  <w:pPr>
                    <w:pStyle w:val="47"/>
                    <w:bidi w:val="0"/>
                    <w:rPr>
                      <w:rFonts w:hint="eastAsia"/>
                      <w:sz w:val="21"/>
                      <w:szCs w:val="21"/>
                    </w:rPr>
                  </w:pPr>
                  <w:r>
                    <w:rPr>
                      <w:rFonts w:hint="eastAsia"/>
                      <w:sz w:val="21"/>
                      <w:szCs w:val="21"/>
                      <w:lang w:val="en-US" w:eastAsia="zh-CN"/>
                    </w:rPr>
                    <w:t>/</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AD199">
                  <w:pPr>
                    <w:pStyle w:val="47"/>
                    <w:bidi w:val="0"/>
                    <w:rPr>
                      <w:rFonts w:hint="eastAsia"/>
                      <w:sz w:val="21"/>
                      <w:szCs w:val="21"/>
                    </w:rPr>
                  </w:pPr>
                  <w:r>
                    <w:rPr>
                      <w:rFonts w:hint="eastAsia"/>
                      <w:sz w:val="21"/>
                      <w:szCs w:val="21"/>
                      <w:lang w:val="en-US" w:eastAsia="zh-CN"/>
                    </w:rPr>
                    <w:t>/</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30FCD">
                  <w:pPr>
                    <w:pStyle w:val="47"/>
                    <w:bidi w:val="0"/>
                    <w:rPr>
                      <w:rFonts w:hint="eastAsia"/>
                      <w:sz w:val="21"/>
                      <w:szCs w:val="21"/>
                    </w:rPr>
                  </w:pPr>
                  <w:r>
                    <w:rPr>
                      <w:rFonts w:hint="eastAsia"/>
                      <w:sz w:val="21"/>
                      <w:szCs w:val="21"/>
                      <w:lang w:val="en-US" w:eastAsia="zh-CN"/>
                    </w:rPr>
                    <w:t>/</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F57CD">
                  <w:pPr>
                    <w:pStyle w:val="47"/>
                    <w:bidi w:val="0"/>
                    <w:rPr>
                      <w:rFonts w:hint="eastAsia"/>
                      <w:sz w:val="21"/>
                      <w:szCs w:val="21"/>
                    </w:rPr>
                  </w:pPr>
                  <w:r>
                    <w:rPr>
                      <w:rFonts w:hint="eastAsia"/>
                      <w:sz w:val="21"/>
                      <w:szCs w:val="21"/>
                      <w:lang w:val="en-US" w:eastAsia="zh-CN"/>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1FA21">
                  <w:pPr>
                    <w:pStyle w:val="47"/>
                    <w:bidi w:val="0"/>
                    <w:rPr>
                      <w:rFonts w:hint="eastAsia"/>
                      <w:sz w:val="21"/>
                      <w:szCs w:val="21"/>
                    </w:rPr>
                  </w:pPr>
                  <w:r>
                    <w:rPr>
                      <w:rFonts w:hint="eastAsia"/>
                      <w:sz w:val="21"/>
                      <w:szCs w:val="21"/>
                      <w:lang w:val="en-US" w:eastAsia="zh-CN"/>
                    </w:rPr>
                    <w:t>/</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B7416">
                  <w:pPr>
                    <w:pStyle w:val="47"/>
                    <w:bidi w:val="0"/>
                    <w:rPr>
                      <w:rFonts w:hint="eastAsia"/>
                      <w:sz w:val="21"/>
                      <w:szCs w:val="21"/>
                    </w:rPr>
                  </w:pPr>
                  <w:r>
                    <w:rPr>
                      <w:rFonts w:hint="eastAsia"/>
                      <w:sz w:val="21"/>
                      <w:szCs w:val="21"/>
                      <w:lang w:val="en-US" w:eastAsia="zh-CN"/>
                    </w:rPr>
                    <w:t>/</w:t>
                  </w:r>
                </w:p>
              </w:tc>
              <w:tc>
                <w:tcPr>
                  <w:tcW w:w="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A3E81">
                  <w:pPr>
                    <w:pStyle w:val="47"/>
                    <w:bidi w:val="0"/>
                    <w:rPr>
                      <w:rFonts w:hint="eastAsia"/>
                      <w:sz w:val="21"/>
                      <w:szCs w:val="21"/>
                    </w:rPr>
                  </w:pPr>
                </w:p>
              </w:tc>
            </w:tr>
            <w:tr w14:paraId="288AB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3DD60F">
                  <w:pPr>
                    <w:pStyle w:val="47"/>
                    <w:bidi w:val="0"/>
                    <w:rPr>
                      <w:rFonts w:hint="eastAsia"/>
                      <w:sz w:val="21"/>
                      <w:szCs w:val="21"/>
                    </w:rPr>
                  </w:pPr>
                </w:p>
              </w:tc>
              <w:tc>
                <w:tcPr>
                  <w:tcW w:w="55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B4482">
                  <w:pPr>
                    <w:pStyle w:val="47"/>
                    <w:bidi w:val="0"/>
                    <w:rPr>
                      <w:rFonts w:hint="eastAsia"/>
                      <w:sz w:val="21"/>
                      <w:szCs w:val="21"/>
                    </w:rPr>
                  </w:pPr>
                  <w:r>
                    <w:rPr>
                      <w:rFonts w:hint="eastAsia"/>
                      <w:sz w:val="21"/>
                      <w:szCs w:val="21"/>
                      <w:lang w:val="en-US" w:eastAsia="zh-CN"/>
                    </w:rPr>
                    <w:t>臭气浓度</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45265">
                  <w:pPr>
                    <w:pStyle w:val="47"/>
                    <w:bidi w:val="0"/>
                    <w:rPr>
                      <w:rFonts w:hint="eastAsia"/>
                      <w:sz w:val="21"/>
                      <w:szCs w:val="21"/>
                    </w:rPr>
                  </w:pPr>
                  <w:r>
                    <w:rPr>
                      <w:rFonts w:hint="eastAsia"/>
                      <w:sz w:val="21"/>
                      <w:szCs w:val="21"/>
                      <w:lang w:val="en-US" w:eastAsia="zh-CN"/>
                    </w:rPr>
                    <w:t>定性分析</w:t>
                  </w:r>
                </w:p>
              </w:tc>
              <w:tc>
                <w:tcPr>
                  <w:tcW w:w="2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C55BA">
                  <w:pPr>
                    <w:pStyle w:val="47"/>
                    <w:bidi w:val="0"/>
                    <w:rPr>
                      <w:rFonts w:hint="eastAsia"/>
                      <w:sz w:val="21"/>
                      <w:szCs w:val="21"/>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2D0ED">
                  <w:pPr>
                    <w:pStyle w:val="47"/>
                    <w:bidi w:val="0"/>
                    <w:rPr>
                      <w:rFonts w:hint="eastAsia"/>
                      <w:sz w:val="21"/>
                      <w:szCs w:val="21"/>
                    </w:rPr>
                  </w:pPr>
                  <w:r>
                    <w:rPr>
                      <w:rFonts w:hint="eastAsia"/>
                      <w:sz w:val="21"/>
                      <w:szCs w:val="21"/>
                      <w:lang w:val="en-US" w:eastAsia="zh-CN"/>
                    </w:rPr>
                    <w:t>少量</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76EB2">
                  <w:pPr>
                    <w:pStyle w:val="47"/>
                    <w:bidi w:val="0"/>
                    <w:rPr>
                      <w:rFonts w:hint="eastAsia"/>
                      <w:sz w:val="21"/>
                      <w:szCs w:val="21"/>
                    </w:rPr>
                  </w:pPr>
                  <w:r>
                    <w:rPr>
                      <w:rFonts w:hint="eastAsia"/>
                      <w:sz w:val="21"/>
                      <w:szCs w:val="21"/>
                      <w:lang w:val="en-US" w:eastAsia="zh-CN"/>
                    </w:rPr>
                    <w:t>少量</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EC9E1">
                  <w:pPr>
                    <w:pStyle w:val="47"/>
                    <w:bidi w:val="0"/>
                    <w:rPr>
                      <w:rFonts w:hint="eastAsia"/>
                      <w:sz w:val="21"/>
                      <w:szCs w:val="21"/>
                    </w:rPr>
                  </w:pPr>
                  <w:r>
                    <w:rPr>
                      <w:rFonts w:hint="eastAsia"/>
                      <w:sz w:val="21"/>
                      <w:szCs w:val="21"/>
                      <w:lang w:val="en-US" w:eastAsia="zh-CN"/>
                    </w:rPr>
                    <w:t>少量</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D4387">
                  <w:pPr>
                    <w:pStyle w:val="47"/>
                    <w:bidi w:val="0"/>
                    <w:rPr>
                      <w:rFonts w:hint="eastAsia"/>
                      <w:sz w:val="21"/>
                      <w:szCs w:val="21"/>
                    </w:rPr>
                  </w:pPr>
                  <w:r>
                    <w:rPr>
                      <w:rFonts w:hint="eastAsia"/>
                      <w:sz w:val="21"/>
                      <w:szCs w:val="21"/>
                      <w:lang w:val="en-US" w:eastAsia="zh-CN"/>
                    </w:rPr>
                    <w:t>85</w:t>
                  </w:r>
                </w:p>
              </w:tc>
              <w:tc>
                <w:tcPr>
                  <w:tcW w:w="160" w:type="pct"/>
                  <w:vMerge w:val="continue"/>
                  <w:tcBorders>
                    <w:left w:val="single" w:color="000000" w:sz="4" w:space="0"/>
                    <w:bottom w:val="single" w:color="000000" w:sz="4" w:space="0"/>
                    <w:right w:val="single" w:color="000000" w:sz="4" w:space="0"/>
                  </w:tcBorders>
                  <w:shd w:val="clear" w:color="auto" w:fill="auto"/>
                  <w:vAlign w:val="center"/>
                </w:tcPr>
                <w:p w14:paraId="49F5F730">
                  <w:pPr>
                    <w:pStyle w:val="47"/>
                    <w:bidi w:val="0"/>
                    <w:rPr>
                      <w:rFonts w:hint="eastAsia"/>
                      <w:sz w:val="21"/>
                      <w:szCs w:val="21"/>
                    </w:rPr>
                  </w:pPr>
                </w:p>
              </w:tc>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124EE">
                  <w:pPr>
                    <w:pStyle w:val="47"/>
                    <w:bidi w:val="0"/>
                    <w:rPr>
                      <w:rFonts w:hint="eastAsia"/>
                      <w:sz w:val="21"/>
                      <w:szCs w:val="21"/>
                    </w:rPr>
                  </w:pPr>
                </w:p>
              </w:tc>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D061C">
                  <w:pPr>
                    <w:pStyle w:val="47"/>
                    <w:bidi w:val="0"/>
                    <w:rPr>
                      <w:rFonts w:hint="eastAsia"/>
                      <w:sz w:val="21"/>
                      <w:szCs w:val="21"/>
                    </w:rPr>
                  </w:pPr>
                </w:p>
              </w:tc>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532FF">
                  <w:pPr>
                    <w:pStyle w:val="47"/>
                    <w:bidi w:val="0"/>
                    <w:rPr>
                      <w:rFonts w:hint="eastAsia"/>
                      <w:sz w:val="21"/>
                      <w:szCs w:val="21"/>
                    </w:rPr>
                  </w:pPr>
                  <w:r>
                    <w:rPr>
                      <w:rFonts w:hint="eastAsia"/>
                      <w:sz w:val="21"/>
                      <w:szCs w:val="21"/>
                      <w:lang w:val="en-US" w:eastAsia="zh-CN"/>
                    </w:rPr>
                    <w:t>/</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B92DF">
                  <w:pPr>
                    <w:pStyle w:val="47"/>
                    <w:bidi w:val="0"/>
                    <w:rPr>
                      <w:rFonts w:hint="eastAsia"/>
                      <w:sz w:val="21"/>
                      <w:szCs w:val="21"/>
                    </w:rPr>
                  </w:pPr>
                  <w:r>
                    <w:rPr>
                      <w:rFonts w:hint="eastAsia"/>
                      <w:sz w:val="21"/>
                      <w:szCs w:val="21"/>
                      <w:lang w:val="en-US" w:eastAsia="zh-CN"/>
                    </w:rPr>
                    <w:t>/</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1ADA2">
                  <w:pPr>
                    <w:pStyle w:val="47"/>
                    <w:bidi w:val="0"/>
                    <w:rPr>
                      <w:rFonts w:hint="eastAsia"/>
                      <w:sz w:val="21"/>
                      <w:szCs w:val="21"/>
                    </w:rPr>
                  </w:pPr>
                  <w:r>
                    <w:rPr>
                      <w:rFonts w:hint="eastAsia"/>
                      <w:sz w:val="21"/>
                      <w:szCs w:val="21"/>
                      <w:lang w:val="en-US" w:eastAsia="zh-CN"/>
                    </w:rPr>
                    <w:t>/</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4D766">
                  <w:pPr>
                    <w:pStyle w:val="47"/>
                    <w:bidi w:val="0"/>
                    <w:rPr>
                      <w:rFonts w:hint="eastAsia"/>
                      <w:sz w:val="21"/>
                      <w:szCs w:val="21"/>
                    </w:rPr>
                  </w:pPr>
                  <w:r>
                    <w:rPr>
                      <w:rFonts w:hint="eastAsia"/>
                      <w:sz w:val="21"/>
                      <w:szCs w:val="21"/>
                      <w:lang w:val="en-US" w:eastAsia="zh-CN"/>
                    </w:rPr>
                    <w:t>/</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A37C2">
                  <w:pPr>
                    <w:pStyle w:val="47"/>
                    <w:bidi w:val="0"/>
                    <w:rPr>
                      <w:rFonts w:hint="eastAsia"/>
                      <w:sz w:val="21"/>
                      <w:szCs w:val="21"/>
                    </w:rPr>
                  </w:pPr>
                  <w:r>
                    <w:rPr>
                      <w:rFonts w:hint="eastAsia"/>
                      <w:sz w:val="21"/>
                      <w:szCs w:val="21"/>
                      <w:lang w:val="en-US" w:eastAsia="zh-CN"/>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5F120">
                  <w:pPr>
                    <w:pStyle w:val="47"/>
                    <w:bidi w:val="0"/>
                    <w:rPr>
                      <w:rFonts w:hint="eastAsia"/>
                      <w:sz w:val="21"/>
                      <w:szCs w:val="21"/>
                    </w:rPr>
                  </w:pPr>
                  <w:r>
                    <w:rPr>
                      <w:rFonts w:hint="eastAsia"/>
                      <w:sz w:val="21"/>
                      <w:szCs w:val="21"/>
                      <w:lang w:val="en-US" w:eastAsia="zh-CN"/>
                    </w:rPr>
                    <w:t>/</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D2658">
                  <w:pPr>
                    <w:pStyle w:val="47"/>
                    <w:bidi w:val="0"/>
                    <w:rPr>
                      <w:rFonts w:hint="eastAsia"/>
                      <w:sz w:val="21"/>
                      <w:szCs w:val="21"/>
                    </w:rPr>
                  </w:pPr>
                  <w:r>
                    <w:rPr>
                      <w:rFonts w:hint="eastAsia"/>
                      <w:sz w:val="21"/>
                      <w:szCs w:val="21"/>
                      <w:lang w:val="en-US" w:eastAsia="zh-CN"/>
                    </w:rPr>
                    <w:t>/</w:t>
                  </w:r>
                </w:p>
              </w:tc>
              <w:tc>
                <w:tcPr>
                  <w:tcW w:w="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40D29">
                  <w:pPr>
                    <w:pStyle w:val="47"/>
                    <w:bidi w:val="0"/>
                    <w:rPr>
                      <w:rFonts w:hint="eastAsia"/>
                      <w:sz w:val="21"/>
                      <w:szCs w:val="21"/>
                    </w:rPr>
                  </w:pPr>
                </w:p>
              </w:tc>
            </w:tr>
            <w:tr w14:paraId="648AD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5" w:hRule="atLeast"/>
              </w:trPr>
              <w:tc>
                <w:tcPr>
                  <w:tcW w:w="1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94D5D6">
                  <w:pPr>
                    <w:pStyle w:val="47"/>
                    <w:bidi w:val="0"/>
                    <w:rPr>
                      <w:rFonts w:hint="eastAsia"/>
                      <w:sz w:val="21"/>
                      <w:szCs w:val="21"/>
                    </w:rPr>
                  </w:pPr>
                  <w:r>
                    <w:rPr>
                      <w:rFonts w:hint="eastAsia"/>
                      <w:sz w:val="21"/>
                      <w:szCs w:val="21"/>
                      <w:lang w:val="en-US" w:eastAsia="zh-CN"/>
                    </w:rPr>
                    <w:t>EPP汽车零配件生产线</w:t>
                  </w:r>
                </w:p>
              </w:tc>
              <w:tc>
                <w:tcPr>
                  <w:tcW w:w="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95832">
                  <w:pPr>
                    <w:pStyle w:val="47"/>
                    <w:bidi w:val="0"/>
                    <w:rPr>
                      <w:rFonts w:hint="eastAsia"/>
                      <w:sz w:val="21"/>
                      <w:szCs w:val="21"/>
                    </w:rPr>
                  </w:pPr>
                  <w:r>
                    <w:rPr>
                      <w:rFonts w:hint="eastAsia"/>
                      <w:sz w:val="21"/>
                      <w:szCs w:val="21"/>
                      <w:lang w:val="en-US" w:eastAsia="zh-CN"/>
                    </w:rPr>
                    <w:t>成型</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830A0">
                  <w:pPr>
                    <w:pStyle w:val="47"/>
                    <w:bidi w:val="0"/>
                    <w:rPr>
                      <w:rFonts w:hint="eastAsia"/>
                      <w:sz w:val="21"/>
                      <w:szCs w:val="21"/>
                    </w:rPr>
                  </w:pPr>
                  <w:r>
                    <w:rPr>
                      <w:rFonts w:hint="eastAsia"/>
                      <w:sz w:val="21"/>
                      <w:szCs w:val="21"/>
                      <w:lang w:val="en-US" w:eastAsia="zh-CN"/>
                    </w:rPr>
                    <w:t>非甲烷总烃</w:t>
                  </w:r>
                </w:p>
              </w:tc>
              <w:tc>
                <w:tcPr>
                  <w:tcW w:w="2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4C1025">
                  <w:pPr>
                    <w:pStyle w:val="47"/>
                    <w:bidi w:val="0"/>
                    <w:rPr>
                      <w:rFonts w:hint="eastAsia"/>
                      <w:sz w:val="21"/>
                      <w:szCs w:val="21"/>
                    </w:rPr>
                  </w:pPr>
                  <w:r>
                    <w:rPr>
                      <w:rFonts w:hint="eastAsia"/>
                      <w:sz w:val="21"/>
                      <w:szCs w:val="21"/>
                      <w:lang w:val="en-US" w:eastAsia="zh-CN"/>
                    </w:rPr>
                    <w:t>产污系数法</w:t>
                  </w:r>
                </w:p>
              </w:tc>
              <w:tc>
                <w:tcPr>
                  <w:tcW w:w="26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0E47A">
                  <w:pPr>
                    <w:pStyle w:val="47"/>
                    <w:bidi w:val="0"/>
                    <w:rPr>
                      <w:rFonts w:hint="eastAsia"/>
                      <w:sz w:val="21"/>
                      <w:szCs w:val="21"/>
                    </w:rPr>
                  </w:pPr>
                  <w:r>
                    <w:rPr>
                      <w:rFonts w:hint="eastAsia"/>
                      <w:sz w:val="21"/>
                      <w:szCs w:val="21"/>
                      <w:lang w:val="en-US" w:eastAsia="zh-CN"/>
                    </w:rPr>
                    <w:t>8800</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434BF">
                  <w:pPr>
                    <w:pStyle w:val="47"/>
                    <w:bidi w:val="0"/>
                    <w:rPr>
                      <w:rFonts w:hint="eastAsia"/>
                      <w:sz w:val="21"/>
                      <w:szCs w:val="21"/>
                    </w:rPr>
                  </w:pPr>
                  <w:r>
                    <w:rPr>
                      <w:rFonts w:hint="eastAsia"/>
                      <w:sz w:val="21"/>
                      <w:szCs w:val="21"/>
                      <w:lang w:val="en-US" w:eastAsia="zh-CN"/>
                    </w:rPr>
                    <w:t>1.755</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E010C">
                  <w:pPr>
                    <w:pStyle w:val="47"/>
                    <w:bidi w:val="0"/>
                    <w:rPr>
                      <w:rFonts w:hint="eastAsia"/>
                      <w:sz w:val="21"/>
                      <w:szCs w:val="21"/>
                    </w:rPr>
                  </w:pPr>
                  <w:r>
                    <w:rPr>
                      <w:rFonts w:hint="eastAsia"/>
                      <w:sz w:val="21"/>
                      <w:szCs w:val="21"/>
                      <w:lang w:val="en-US" w:eastAsia="zh-CN"/>
                    </w:rPr>
                    <w:t>0.2438</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9B532">
                  <w:pPr>
                    <w:pStyle w:val="47"/>
                    <w:bidi w:val="0"/>
                    <w:rPr>
                      <w:rFonts w:hint="eastAsia"/>
                      <w:sz w:val="21"/>
                      <w:szCs w:val="21"/>
                    </w:rPr>
                  </w:pPr>
                  <w:r>
                    <w:rPr>
                      <w:rFonts w:hint="eastAsia"/>
                      <w:sz w:val="21"/>
                      <w:szCs w:val="21"/>
                      <w:lang w:val="en-US" w:eastAsia="zh-CN"/>
                    </w:rPr>
                    <w:t xml:space="preserve">27.705 </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BAF93">
                  <w:pPr>
                    <w:pStyle w:val="47"/>
                    <w:bidi w:val="0"/>
                    <w:rPr>
                      <w:rFonts w:hint="eastAsia"/>
                      <w:sz w:val="21"/>
                      <w:szCs w:val="21"/>
                    </w:rPr>
                  </w:pPr>
                  <w:r>
                    <w:rPr>
                      <w:rFonts w:hint="eastAsia"/>
                      <w:sz w:val="21"/>
                      <w:szCs w:val="21"/>
                      <w:lang w:val="en-US" w:eastAsia="zh-CN"/>
                    </w:rPr>
                    <w:t>85</w:t>
                  </w:r>
                </w:p>
              </w:tc>
              <w:tc>
                <w:tcPr>
                  <w:tcW w:w="160" w:type="pct"/>
                  <w:vMerge w:val="restart"/>
                  <w:tcBorders>
                    <w:top w:val="single" w:color="000000" w:sz="4" w:space="0"/>
                    <w:left w:val="single" w:color="000000" w:sz="4" w:space="0"/>
                    <w:right w:val="single" w:color="000000" w:sz="4" w:space="0"/>
                  </w:tcBorders>
                  <w:shd w:val="clear" w:color="auto" w:fill="auto"/>
                  <w:vAlign w:val="center"/>
                </w:tcPr>
                <w:p w14:paraId="43AD8F3B">
                  <w:pPr>
                    <w:pStyle w:val="47"/>
                    <w:bidi w:val="0"/>
                    <w:rPr>
                      <w:rFonts w:hint="eastAsia"/>
                      <w:sz w:val="21"/>
                      <w:szCs w:val="21"/>
                    </w:rPr>
                  </w:pPr>
                  <w:r>
                    <w:rPr>
                      <w:rFonts w:hint="eastAsia"/>
                      <w:sz w:val="21"/>
                      <w:szCs w:val="21"/>
                      <w:lang w:val="en-US" w:eastAsia="zh-CN"/>
                    </w:rPr>
                    <w:t>冷凝+二级活性炭</w:t>
                  </w:r>
                </w:p>
              </w:tc>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D656D">
                  <w:pPr>
                    <w:pStyle w:val="47"/>
                    <w:bidi w:val="0"/>
                    <w:rPr>
                      <w:rFonts w:hint="eastAsia"/>
                      <w:sz w:val="21"/>
                      <w:szCs w:val="21"/>
                    </w:rPr>
                  </w:pPr>
                </w:p>
              </w:tc>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DE99B">
                  <w:pPr>
                    <w:pStyle w:val="47"/>
                    <w:bidi w:val="0"/>
                    <w:rPr>
                      <w:rFonts w:hint="eastAsia"/>
                      <w:sz w:val="21"/>
                      <w:szCs w:val="21"/>
                    </w:rPr>
                  </w:pPr>
                </w:p>
              </w:tc>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F5775">
                  <w:pPr>
                    <w:pStyle w:val="47"/>
                    <w:bidi w:val="0"/>
                    <w:rPr>
                      <w:rFonts w:hint="eastAsia"/>
                      <w:sz w:val="21"/>
                      <w:szCs w:val="21"/>
                    </w:rPr>
                  </w:pPr>
                  <w:r>
                    <w:rPr>
                      <w:rFonts w:hint="eastAsia"/>
                      <w:sz w:val="21"/>
                      <w:szCs w:val="21"/>
                      <w:lang w:val="en-US" w:eastAsia="zh-CN"/>
                    </w:rPr>
                    <w:t>非甲烷总烃</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A6CEF">
                  <w:pPr>
                    <w:pStyle w:val="47"/>
                    <w:bidi w:val="0"/>
                    <w:rPr>
                      <w:rFonts w:hint="eastAsia"/>
                      <w:sz w:val="21"/>
                      <w:szCs w:val="21"/>
                    </w:rPr>
                  </w:pPr>
                  <w:r>
                    <w:rPr>
                      <w:rFonts w:hint="eastAsia"/>
                      <w:sz w:val="21"/>
                      <w:szCs w:val="21"/>
                      <w:lang w:val="en-US" w:eastAsia="zh-CN"/>
                    </w:rPr>
                    <w:t>0.0586</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C9B72">
                  <w:pPr>
                    <w:pStyle w:val="47"/>
                    <w:bidi w:val="0"/>
                    <w:rPr>
                      <w:rFonts w:hint="eastAsia"/>
                      <w:sz w:val="21"/>
                      <w:szCs w:val="21"/>
                    </w:rPr>
                  </w:pPr>
                  <w:r>
                    <w:rPr>
                      <w:rFonts w:hint="eastAsia"/>
                      <w:sz w:val="21"/>
                      <w:szCs w:val="21"/>
                      <w:lang w:val="en-US" w:eastAsia="zh-CN"/>
                    </w:rPr>
                    <w:t>0.0081</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920F9">
                  <w:pPr>
                    <w:pStyle w:val="47"/>
                    <w:bidi w:val="0"/>
                    <w:rPr>
                      <w:rFonts w:hint="eastAsia"/>
                      <w:sz w:val="21"/>
                      <w:szCs w:val="21"/>
                    </w:rPr>
                  </w:pPr>
                  <w:r>
                    <w:rPr>
                      <w:rFonts w:hint="eastAsia"/>
                      <w:sz w:val="21"/>
                      <w:szCs w:val="21"/>
                      <w:lang w:val="en-US" w:eastAsia="zh-CN"/>
                    </w:rPr>
                    <w:t xml:space="preserve">0.920 </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E9A23">
                  <w:pPr>
                    <w:pStyle w:val="47"/>
                    <w:bidi w:val="0"/>
                    <w:rPr>
                      <w:rFonts w:hint="eastAsia"/>
                      <w:sz w:val="21"/>
                      <w:szCs w:val="21"/>
                    </w:rPr>
                  </w:pPr>
                  <w:r>
                    <w:rPr>
                      <w:rFonts w:hint="eastAsia"/>
                      <w:sz w:val="21"/>
                      <w:szCs w:val="21"/>
                      <w:lang w:val="en-US" w:eastAsia="zh-CN"/>
                    </w:rPr>
                    <w:t>一般</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1A96B">
                  <w:pPr>
                    <w:pStyle w:val="47"/>
                    <w:bidi w:val="0"/>
                    <w:rPr>
                      <w:rFonts w:hint="eastAsia"/>
                      <w:sz w:val="21"/>
                      <w:szCs w:val="21"/>
                    </w:rPr>
                  </w:pPr>
                  <w:r>
                    <w:rPr>
                      <w:rFonts w:hint="eastAsia"/>
                      <w:sz w:val="21"/>
                      <w:szCs w:val="21"/>
                      <w:lang w:val="en-US" w:eastAsia="zh-CN"/>
                    </w:rPr>
                    <w:t>0.4051</w:t>
                  </w:r>
                </w:p>
              </w:tc>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38E6F">
                  <w:pPr>
                    <w:pStyle w:val="47"/>
                    <w:bidi w:val="0"/>
                    <w:rPr>
                      <w:rFonts w:hint="eastAsia"/>
                      <w:sz w:val="21"/>
                      <w:szCs w:val="21"/>
                    </w:rPr>
                  </w:pPr>
                  <w:r>
                    <w:rPr>
                      <w:rFonts w:hint="eastAsia"/>
                      <w:sz w:val="21"/>
                      <w:szCs w:val="21"/>
                      <w:lang w:val="en-US" w:eastAsia="zh-CN"/>
                    </w:rPr>
                    <w:t>0.0563</w:t>
                  </w:r>
                </w:p>
              </w:tc>
              <w:tc>
                <w:tcPr>
                  <w:tcW w:w="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EFAC3">
                  <w:pPr>
                    <w:pStyle w:val="47"/>
                    <w:bidi w:val="0"/>
                    <w:rPr>
                      <w:rFonts w:hint="eastAsia"/>
                      <w:sz w:val="21"/>
                      <w:szCs w:val="21"/>
                    </w:rPr>
                  </w:pPr>
                </w:p>
              </w:tc>
            </w:tr>
            <w:tr w14:paraId="0961F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161A6">
                  <w:pPr>
                    <w:pStyle w:val="47"/>
                    <w:bidi w:val="0"/>
                    <w:rPr>
                      <w:rFonts w:hint="eastAsia"/>
                      <w:sz w:val="21"/>
                      <w:szCs w:val="21"/>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68082">
                  <w:pPr>
                    <w:pStyle w:val="47"/>
                    <w:bidi w:val="0"/>
                    <w:rPr>
                      <w:rFonts w:hint="eastAsia"/>
                      <w:sz w:val="21"/>
                      <w:szCs w:val="21"/>
                    </w:rPr>
                  </w:pPr>
                  <w:r>
                    <w:rPr>
                      <w:rFonts w:hint="eastAsia"/>
                      <w:sz w:val="21"/>
                      <w:szCs w:val="21"/>
                      <w:lang w:val="en-US" w:eastAsia="zh-CN"/>
                    </w:rPr>
                    <w:t>烘干</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904D8">
                  <w:pPr>
                    <w:pStyle w:val="47"/>
                    <w:bidi w:val="0"/>
                    <w:rPr>
                      <w:rFonts w:hint="eastAsia"/>
                      <w:sz w:val="21"/>
                      <w:szCs w:val="21"/>
                    </w:rPr>
                  </w:pPr>
                  <w:r>
                    <w:rPr>
                      <w:rFonts w:hint="eastAsia"/>
                      <w:sz w:val="21"/>
                      <w:szCs w:val="21"/>
                      <w:lang w:val="en-US" w:eastAsia="zh-CN"/>
                    </w:rPr>
                    <w:t>非甲烷总烃</w:t>
                  </w:r>
                </w:p>
              </w:tc>
              <w:tc>
                <w:tcPr>
                  <w:tcW w:w="2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115A4">
                  <w:pPr>
                    <w:pStyle w:val="47"/>
                    <w:bidi w:val="0"/>
                    <w:rPr>
                      <w:rFonts w:hint="eastAsia"/>
                      <w:sz w:val="21"/>
                      <w:szCs w:val="21"/>
                    </w:rPr>
                  </w:pPr>
                </w:p>
              </w:tc>
              <w:tc>
                <w:tcPr>
                  <w:tcW w:w="2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4EEA3">
                  <w:pPr>
                    <w:pStyle w:val="47"/>
                    <w:bidi w:val="0"/>
                    <w:rPr>
                      <w:rFonts w:hint="eastAsia"/>
                      <w:sz w:val="21"/>
                      <w:szCs w:val="21"/>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E37CF">
                  <w:pPr>
                    <w:pStyle w:val="47"/>
                    <w:bidi w:val="0"/>
                    <w:rPr>
                      <w:rFonts w:hint="eastAsia"/>
                      <w:sz w:val="21"/>
                      <w:szCs w:val="21"/>
                    </w:rPr>
                  </w:pPr>
                  <w:r>
                    <w:rPr>
                      <w:rFonts w:hint="eastAsia"/>
                      <w:sz w:val="21"/>
                      <w:szCs w:val="21"/>
                      <w:lang w:val="en-US" w:eastAsia="zh-CN"/>
                    </w:rPr>
                    <w:t>0.945</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EA396">
                  <w:pPr>
                    <w:pStyle w:val="47"/>
                    <w:bidi w:val="0"/>
                    <w:rPr>
                      <w:rFonts w:hint="eastAsia"/>
                      <w:sz w:val="21"/>
                      <w:szCs w:val="21"/>
                    </w:rPr>
                  </w:pPr>
                  <w:r>
                    <w:rPr>
                      <w:rFonts w:hint="eastAsia"/>
                      <w:sz w:val="21"/>
                      <w:szCs w:val="21"/>
                      <w:lang w:val="en-US" w:eastAsia="zh-CN"/>
                    </w:rPr>
                    <w:t>0.1313</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22915">
                  <w:pPr>
                    <w:pStyle w:val="47"/>
                    <w:bidi w:val="0"/>
                    <w:rPr>
                      <w:rFonts w:hint="eastAsia"/>
                      <w:sz w:val="21"/>
                      <w:szCs w:val="21"/>
                    </w:rPr>
                  </w:pPr>
                  <w:r>
                    <w:rPr>
                      <w:rFonts w:hint="eastAsia"/>
                      <w:sz w:val="21"/>
                      <w:szCs w:val="21"/>
                      <w:lang w:val="en-US" w:eastAsia="zh-CN"/>
                    </w:rPr>
                    <w:t xml:space="preserve">14.920 </w:t>
                  </w:r>
                </w:p>
              </w:tc>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A3980">
                  <w:pPr>
                    <w:pStyle w:val="47"/>
                    <w:bidi w:val="0"/>
                    <w:rPr>
                      <w:rFonts w:hint="eastAsia"/>
                      <w:sz w:val="21"/>
                      <w:szCs w:val="21"/>
                    </w:rPr>
                  </w:pPr>
                  <w:r>
                    <w:rPr>
                      <w:rFonts w:hint="eastAsia"/>
                      <w:sz w:val="21"/>
                      <w:szCs w:val="21"/>
                      <w:lang w:val="en-US" w:eastAsia="zh-CN"/>
                    </w:rPr>
                    <w:t>90</w:t>
                  </w:r>
                </w:p>
              </w:tc>
              <w:tc>
                <w:tcPr>
                  <w:tcW w:w="160" w:type="pct"/>
                  <w:vMerge w:val="continue"/>
                  <w:tcBorders>
                    <w:left w:val="single" w:color="000000" w:sz="4" w:space="0"/>
                    <w:bottom w:val="single" w:color="000000" w:sz="4" w:space="0"/>
                    <w:right w:val="single" w:color="000000" w:sz="4" w:space="0"/>
                  </w:tcBorders>
                  <w:shd w:val="clear" w:color="auto" w:fill="auto"/>
                  <w:vAlign w:val="center"/>
                </w:tcPr>
                <w:p w14:paraId="613F0920">
                  <w:pPr>
                    <w:pStyle w:val="47"/>
                    <w:bidi w:val="0"/>
                    <w:rPr>
                      <w:rFonts w:hint="eastAsia"/>
                      <w:sz w:val="21"/>
                      <w:szCs w:val="21"/>
                    </w:rPr>
                  </w:pPr>
                </w:p>
              </w:tc>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ECC30">
                  <w:pPr>
                    <w:pStyle w:val="47"/>
                    <w:bidi w:val="0"/>
                    <w:rPr>
                      <w:rFonts w:hint="eastAsia"/>
                      <w:sz w:val="21"/>
                      <w:szCs w:val="21"/>
                    </w:rPr>
                  </w:pPr>
                </w:p>
              </w:tc>
              <w:tc>
                <w:tcPr>
                  <w:tcW w:w="1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61314">
                  <w:pPr>
                    <w:pStyle w:val="47"/>
                    <w:bidi w:val="0"/>
                    <w:rPr>
                      <w:rFonts w:hint="eastAsia"/>
                      <w:sz w:val="21"/>
                      <w:szCs w:val="21"/>
                    </w:rPr>
                  </w:pPr>
                </w:p>
              </w:tc>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96BFC">
                  <w:pPr>
                    <w:pStyle w:val="47"/>
                    <w:bidi w:val="0"/>
                    <w:rPr>
                      <w:rFonts w:hint="eastAsia"/>
                      <w:sz w:val="21"/>
                      <w:szCs w:val="21"/>
                    </w:rPr>
                  </w:pPr>
                  <w:r>
                    <w:rPr>
                      <w:rFonts w:hint="eastAsia"/>
                      <w:sz w:val="21"/>
                      <w:szCs w:val="21"/>
                      <w:lang w:val="en-US" w:eastAsia="zh-CN"/>
                    </w:rPr>
                    <w:t>/</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9F919">
                  <w:pPr>
                    <w:pStyle w:val="47"/>
                    <w:bidi w:val="0"/>
                    <w:rPr>
                      <w:rFonts w:hint="eastAsia"/>
                      <w:sz w:val="21"/>
                      <w:szCs w:val="21"/>
                    </w:rPr>
                  </w:pPr>
                  <w:r>
                    <w:rPr>
                      <w:rFonts w:hint="eastAsia"/>
                      <w:sz w:val="21"/>
                      <w:szCs w:val="21"/>
                      <w:lang w:val="en-US" w:eastAsia="zh-CN"/>
                    </w:rPr>
                    <w:t>/</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53D7D">
                  <w:pPr>
                    <w:pStyle w:val="47"/>
                    <w:bidi w:val="0"/>
                    <w:rPr>
                      <w:rFonts w:hint="eastAsia"/>
                      <w:sz w:val="21"/>
                      <w:szCs w:val="21"/>
                    </w:rPr>
                  </w:pPr>
                  <w:r>
                    <w:rPr>
                      <w:rFonts w:hint="eastAsia"/>
                      <w:sz w:val="21"/>
                      <w:szCs w:val="21"/>
                      <w:lang w:val="en-US" w:eastAsia="zh-CN"/>
                    </w:rPr>
                    <w:t>/</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60388">
                  <w:pPr>
                    <w:pStyle w:val="47"/>
                    <w:bidi w:val="0"/>
                    <w:rPr>
                      <w:rFonts w:hint="eastAsia"/>
                      <w:sz w:val="21"/>
                      <w:szCs w:val="21"/>
                    </w:rPr>
                  </w:pPr>
                  <w:r>
                    <w:rPr>
                      <w:rFonts w:hint="eastAsia"/>
                      <w:sz w:val="21"/>
                      <w:szCs w:val="21"/>
                      <w:lang w:val="en-US" w:eastAsia="zh-CN"/>
                    </w:rPr>
                    <w:t>/</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79EAB">
                  <w:pPr>
                    <w:pStyle w:val="47"/>
                    <w:bidi w:val="0"/>
                    <w:rPr>
                      <w:rFonts w:hint="eastAsia"/>
                      <w:sz w:val="21"/>
                      <w:szCs w:val="21"/>
                    </w:rPr>
                  </w:pPr>
                  <w:r>
                    <w:rPr>
                      <w:rFonts w:hint="eastAsia"/>
                      <w:sz w:val="21"/>
                      <w:szCs w:val="21"/>
                      <w:lang w:val="en-US" w:eastAsia="zh-CN"/>
                    </w:rPr>
                    <w:t>/</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3D76B">
                  <w:pPr>
                    <w:pStyle w:val="47"/>
                    <w:bidi w:val="0"/>
                    <w:rPr>
                      <w:rFonts w:hint="eastAsia"/>
                      <w:sz w:val="21"/>
                      <w:szCs w:val="21"/>
                    </w:rPr>
                  </w:pPr>
                  <w:r>
                    <w:rPr>
                      <w:rFonts w:hint="eastAsia"/>
                      <w:sz w:val="21"/>
                      <w:szCs w:val="21"/>
                      <w:lang w:val="en-US" w:eastAsia="zh-CN"/>
                    </w:rPr>
                    <w:t>/</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487D4">
                  <w:pPr>
                    <w:pStyle w:val="47"/>
                    <w:bidi w:val="0"/>
                    <w:rPr>
                      <w:rFonts w:hint="eastAsia"/>
                      <w:sz w:val="21"/>
                      <w:szCs w:val="21"/>
                    </w:rPr>
                  </w:pPr>
                  <w:r>
                    <w:rPr>
                      <w:rFonts w:hint="eastAsia"/>
                      <w:sz w:val="21"/>
                      <w:szCs w:val="21"/>
                      <w:lang w:val="en-US" w:eastAsia="zh-CN"/>
                    </w:rPr>
                    <w:t>/</w:t>
                  </w:r>
                </w:p>
              </w:tc>
              <w:tc>
                <w:tcPr>
                  <w:tcW w:w="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DC9B3">
                  <w:pPr>
                    <w:pStyle w:val="47"/>
                    <w:bidi w:val="0"/>
                    <w:rPr>
                      <w:rFonts w:hint="eastAsia"/>
                      <w:sz w:val="21"/>
                      <w:szCs w:val="21"/>
                    </w:rPr>
                  </w:pPr>
                </w:p>
              </w:tc>
            </w:tr>
            <w:tr w14:paraId="239ED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00" w:type="pct"/>
                  <w:gridSpan w:val="20"/>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58FD3">
                  <w:pPr>
                    <w:pStyle w:val="47"/>
                    <w:bidi w:val="0"/>
                    <w:jc w:val="left"/>
                    <w:rPr>
                      <w:rFonts w:hint="eastAsia"/>
                      <w:sz w:val="21"/>
                      <w:szCs w:val="21"/>
                      <w:lang w:val="en-US" w:eastAsia="zh-CN"/>
                    </w:rPr>
                  </w:pPr>
                  <w:r>
                    <w:rPr>
                      <w:rFonts w:hint="eastAsia"/>
                      <w:sz w:val="21"/>
                      <w:szCs w:val="21"/>
                      <w:lang w:val="en-US" w:eastAsia="zh-CN"/>
                    </w:rPr>
                    <w:t>根据《排污许可证申请与核发技术规范 橡胶和塑料制品工业》(HJ1122-2020)，吸附法处理非甲烷总烃、臭气浓度为可行技术；</w:t>
                  </w:r>
                </w:p>
                <w:p w14:paraId="1AD04951">
                  <w:pPr>
                    <w:pStyle w:val="47"/>
                    <w:bidi w:val="0"/>
                    <w:jc w:val="left"/>
                    <w:rPr>
                      <w:rFonts w:hint="eastAsia"/>
                      <w:sz w:val="21"/>
                      <w:szCs w:val="21"/>
                    </w:rPr>
                  </w:pPr>
                  <w:r>
                    <w:rPr>
                      <w:rFonts w:hint="eastAsia"/>
                      <w:sz w:val="21"/>
                      <w:szCs w:val="21"/>
                      <w:lang w:val="en-US" w:eastAsia="zh-CN"/>
                    </w:rPr>
                    <w:t>冷凝法治理效率以75%计，二级活性炭吸附效率以90%计，有机废气综合治理效率为97.5%</w:t>
                  </w:r>
                </w:p>
              </w:tc>
            </w:tr>
            <w:tr w14:paraId="600F2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00" w:type="pct"/>
                  <w:gridSpan w:val="20"/>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A4358">
                  <w:pPr>
                    <w:pStyle w:val="47"/>
                    <w:bidi w:val="0"/>
                    <w:rPr>
                      <w:rFonts w:hint="eastAsia"/>
                      <w:sz w:val="21"/>
                      <w:szCs w:val="21"/>
                    </w:rPr>
                  </w:pPr>
                </w:p>
              </w:tc>
            </w:tr>
          </w:tbl>
          <w:p w14:paraId="0265180F">
            <w:pPr>
              <w:pStyle w:val="44"/>
              <w:bidi w:val="0"/>
              <w:jc w:val="center"/>
            </w:pPr>
            <w:r>
              <w:rPr>
                <w:rFonts w:hint="eastAsia"/>
              </w:rPr>
              <w:t>表4-2</w:t>
            </w:r>
            <w:r>
              <w:t xml:space="preserve"> </w:t>
            </w:r>
            <w:r>
              <w:rPr>
                <w:rFonts w:hint="eastAsia"/>
              </w:rPr>
              <w:t>本项目大气污染物排口信息及排放标准汇总表</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5"/>
              <w:gridCol w:w="1043"/>
              <w:gridCol w:w="1382"/>
              <w:gridCol w:w="1144"/>
              <w:gridCol w:w="1433"/>
              <w:gridCol w:w="1360"/>
              <w:gridCol w:w="1019"/>
              <w:gridCol w:w="1144"/>
              <w:gridCol w:w="767"/>
              <w:gridCol w:w="1060"/>
              <w:gridCol w:w="1461"/>
              <w:gridCol w:w="1171"/>
            </w:tblGrid>
            <w:tr w14:paraId="74B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09" w:type="pct"/>
                  <w:vMerge w:val="restart"/>
                  <w:noWrap w:val="0"/>
                  <w:vAlign w:val="center"/>
                </w:tcPr>
                <w:p w14:paraId="30C67174">
                  <w:pPr>
                    <w:pStyle w:val="51"/>
                    <w:bidi w:val="0"/>
                    <w:rPr>
                      <w:lang w:val="en-US" w:eastAsia="zh-CN"/>
                    </w:rPr>
                  </w:pPr>
                  <w:r>
                    <w:rPr>
                      <w:lang w:val="en-US" w:eastAsia="zh-CN"/>
                    </w:rPr>
                    <w:t>序号</w:t>
                  </w:r>
                </w:p>
              </w:tc>
              <w:tc>
                <w:tcPr>
                  <w:tcW w:w="385" w:type="pct"/>
                  <w:vMerge w:val="restart"/>
                  <w:noWrap w:val="0"/>
                  <w:vAlign w:val="center"/>
                </w:tcPr>
                <w:p w14:paraId="0ECEC2AB">
                  <w:pPr>
                    <w:pStyle w:val="51"/>
                    <w:bidi w:val="0"/>
                    <w:rPr>
                      <w:lang w:val="en-US" w:eastAsia="zh-CN"/>
                    </w:rPr>
                  </w:pPr>
                  <w:r>
                    <w:rPr>
                      <w:lang w:val="en-US" w:eastAsia="zh-CN"/>
                    </w:rPr>
                    <w:t>排放口编号</w:t>
                  </w:r>
                </w:p>
              </w:tc>
              <w:tc>
                <w:tcPr>
                  <w:tcW w:w="510" w:type="pct"/>
                  <w:vMerge w:val="restart"/>
                  <w:noWrap w:val="0"/>
                  <w:vAlign w:val="center"/>
                </w:tcPr>
                <w:p w14:paraId="49DF422E">
                  <w:pPr>
                    <w:pStyle w:val="51"/>
                    <w:bidi w:val="0"/>
                    <w:rPr>
                      <w:lang w:val="en-US" w:eastAsia="zh-CN"/>
                    </w:rPr>
                  </w:pPr>
                  <w:r>
                    <w:rPr>
                      <w:lang w:val="en-US" w:eastAsia="zh-CN"/>
                    </w:rPr>
                    <w:t>排放口名称</w:t>
                  </w:r>
                </w:p>
              </w:tc>
              <w:tc>
                <w:tcPr>
                  <w:tcW w:w="422" w:type="pct"/>
                  <w:vMerge w:val="restart"/>
                  <w:noWrap w:val="0"/>
                  <w:vAlign w:val="center"/>
                </w:tcPr>
                <w:p w14:paraId="0E39ED28">
                  <w:pPr>
                    <w:pStyle w:val="51"/>
                    <w:bidi w:val="0"/>
                    <w:rPr>
                      <w:lang w:val="en-US" w:eastAsia="zh-CN"/>
                    </w:rPr>
                  </w:pPr>
                  <w:r>
                    <w:rPr>
                      <w:lang w:val="en-US" w:eastAsia="zh-CN"/>
                    </w:rPr>
                    <w:t>污染物种类</w:t>
                  </w:r>
                </w:p>
              </w:tc>
              <w:tc>
                <w:tcPr>
                  <w:tcW w:w="1031" w:type="pct"/>
                  <w:gridSpan w:val="2"/>
                  <w:noWrap w:val="0"/>
                  <w:vAlign w:val="center"/>
                </w:tcPr>
                <w:p w14:paraId="25D886F9">
                  <w:pPr>
                    <w:pStyle w:val="51"/>
                    <w:bidi w:val="0"/>
                    <w:rPr>
                      <w:lang w:val="en-US" w:eastAsia="zh-CN"/>
                    </w:rPr>
                  </w:pPr>
                  <w:r>
                    <w:rPr>
                      <w:lang w:val="en-US" w:eastAsia="zh-CN"/>
                    </w:rPr>
                    <w:t>排放口地理坐标</w:t>
                  </w:r>
                </w:p>
              </w:tc>
              <w:tc>
                <w:tcPr>
                  <w:tcW w:w="376" w:type="pct"/>
                  <w:vMerge w:val="restart"/>
                  <w:noWrap w:val="0"/>
                  <w:vAlign w:val="center"/>
                </w:tcPr>
                <w:p w14:paraId="5D4499EF">
                  <w:pPr>
                    <w:pStyle w:val="51"/>
                    <w:bidi w:val="0"/>
                    <w:rPr>
                      <w:lang w:val="en-US" w:eastAsia="zh-CN"/>
                    </w:rPr>
                  </w:pPr>
                  <w:r>
                    <w:rPr>
                      <w:lang w:val="en-US" w:eastAsia="zh-CN"/>
                    </w:rPr>
                    <w:t>排气筒高度（m）</w:t>
                  </w:r>
                </w:p>
              </w:tc>
              <w:tc>
                <w:tcPr>
                  <w:tcW w:w="422" w:type="pct"/>
                  <w:vMerge w:val="restart"/>
                  <w:noWrap w:val="0"/>
                  <w:vAlign w:val="center"/>
                </w:tcPr>
                <w:p w14:paraId="2F81C0B6">
                  <w:pPr>
                    <w:pStyle w:val="51"/>
                    <w:bidi w:val="0"/>
                    <w:rPr>
                      <w:lang w:val="en-US" w:eastAsia="zh-CN"/>
                    </w:rPr>
                  </w:pPr>
                  <w:r>
                    <w:rPr>
                      <w:lang w:val="en-US" w:eastAsia="zh-CN"/>
                    </w:rPr>
                    <w:t>排气筒出口内径（m）</w:t>
                  </w:r>
                </w:p>
              </w:tc>
              <w:tc>
                <w:tcPr>
                  <w:tcW w:w="283" w:type="pct"/>
                  <w:vMerge w:val="restart"/>
                  <w:noWrap w:val="0"/>
                  <w:vAlign w:val="center"/>
                </w:tcPr>
                <w:p w14:paraId="6FD925B0">
                  <w:pPr>
                    <w:pStyle w:val="51"/>
                    <w:bidi w:val="0"/>
                    <w:rPr>
                      <w:lang w:val="en-US" w:eastAsia="zh-CN"/>
                    </w:rPr>
                  </w:pPr>
                  <w:r>
                    <w:rPr>
                      <w:lang w:val="en-US" w:eastAsia="zh-CN"/>
                    </w:rPr>
                    <w:t>排气温度（℃）</w:t>
                  </w:r>
                </w:p>
              </w:tc>
              <w:tc>
                <w:tcPr>
                  <w:tcW w:w="391" w:type="pct"/>
                  <w:vMerge w:val="restart"/>
                  <w:noWrap w:val="0"/>
                  <w:vAlign w:val="center"/>
                </w:tcPr>
                <w:p w14:paraId="649AD072">
                  <w:pPr>
                    <w:pStyle w:val="51"/>
                    <w:bidi w:val="0"/>
                    <w:rPr>
                      <w:lang w:val="en-US" w:eastAsia="zh-CN"/>
                    </w:rPr>
                  </w:pPr>
                  <w:r>
                    <w:rPr>
                      <w:lang w:val="en-US" w:eastAsia="zh-CN"/>
                    </w:rPr>
                    <w:t>排放口类型</w:t>
                  </w:r>
                </w:p>
              </w:tc>
              <w:tc>
                <w:tcPr>
                  <w:tcW w:w="539" w:type="pct"/>
                  <w:vMerge w:val="restart"/>
                  <w:noWrap w:val="0"/>
                  <w:vAlign w:val="center"/>
                </w:tcPr>
                <w:p w14:paraId="145FBBEA">
                  <w:pPr>
                    <w:pStyle w:val="51"/>
                    <w:bidi w:val="0"/>
                    <w:rPr>
                      <w:lang w:val="en-US" w:eastAsia="zh-CN"/>
                    </w:rPr>
                  </w:pPr>
                  <w:r>
                    <w:rPr>
                      <w:lang w:val="en-US" w:eastAsia="zh-CN"/>
                    </w:rPr>
                    <w:t>执行标准</w:t>
                  </w:r>
                </w:p>
              </w:tc>
              <w:tc>
                <w:tcPr>
                  <w:tcW w:w="427" w:type="pct"/>
                  <w:vMerge w:val="restart"/>
                  <w:noWrap w:val="0"/>
                  <w:vAlign w:val="center"/>
                </w:tcPr>
                <w:p w14:paraId="463530C3">
                  <w:pPr>
                    <w:pStyle w:val="51"/>
                    <w:bidi w:val="0"/>
                    <w:rPr>
                      <w:lang w:val="en-US" w:eastAsia="zh-CN"/>
                    </w:rPr>
                  </w:pPr>
                  <w:r>
                    <w:rPr>
                      <w:lang w:val="en-US" w:eastAsia="zh-CN"/>
                    </w:rPr>
                    <w:t>限值</w:t>
                  </w:r>
                </w:p>
              </w:tc>
            </w:tr>
            <w:tr w14:paraId="1D3EB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09" w:type="pct"/>
                  <w:vMerge w:val="continue"/>
                  <w:noWrap w:val="0"/>
                  <w:vAlign w:val="center"/>
                </w:tcPr>
                <w:p w14:paraId="7460A0A0">
                  <w:pPr>
                    <w:pStyle w:val="51"/>
                    <w:bidi w:val="0"/>
                    <w:rPr>
                      <w:lang w:val="en-US" w:eastAsia="zh-CN"/>
                    </w:rPr>
                  </w:pPr>
                </w:p>
              </w:tc>
              <w:tc>
                <w:tcPr>
                  <w:tcW w:w="385" w:type="pct"/>
                  <w:vMerge w:val="continue"/>
                  <w:noWrap w:val="0"/>
                  <w:vAlign w:val="center"/>
                </w:tcPr>
                <w:p w14:paraId="2C652BB8">
                  <w:pPr>
                    <w:pStyle w:val="51"/>
                    <w:bidi w:val="0"/>
                    <w:rPr>
                      <w:lang w:val="en-US" w:eastAsia="zh-CN"/>
                    </w:rPr>
                  </w:pPr>
                </w:p>
              </w:tc>
              <w:tc>
                <w:tcPr>
                  <w:tcW w:w="510" w:type="pct"/>
                  <w:vMerge w:val="continue"/>
                  <w:noWrap w:val="0"/>
                  <w:vAlign w:val="center"/>
                </w:tcPr>
                <w:p w14:paraId="50E894AD">
                  <w:pPr>
                    <w:pStyle w:val="51"/>
                    <w:bidi w:val="0"/>
                    <w:rPr>
                      <w:lang w:val="en-US" w:eastAsia="zh-CN"/>
                    </w:rPr>
                  </w:pPr>
                </w:p>
              </w:tc>
              <w:tc>
                <w:tcPr>
                  <w:tcW w:w="422" w:type="pct"/>
                  <w:vMerge w:val="continue"/>
                  <w:noWrap w:val="0"/>
                  <w:vAlign w:val="center"/>
                </w:tcPr>
                <w:p w14:paraId="3173DA09">
                  <w:pPr>
                    <w:pStyle w:val="51"/>
                    <w:bidi w:val="0"/>
                    <w:rPr>
                      <w:lang w:val="en-US" w:eastAsia="zh-CN"/>
                    </w:rPr>
                  </w:pPr>
                </w:p>
              </w:tc>
              <w:tc>
                <w:tcPr>
                  <w:tcW w:w="529" w:type="pct"/>
                  <w:noWrap w:val="0"/>
                  <w:vAlign w:val="center"/>
                </w:tcPr>
                <w:p w14:paraId="5C08A65B">
                  <w:pPr>
                    <w:pStyle w:val="51"/>
                    <w:bidi w:val="0"/>
                    <w:rPr>
                      <w:lang w:val="en-US" w:eastAsia="zh-CN"/>
                    </w:rPr>
                  </w:pPr>
                  <w:r>
                    <w:rPr>
                      <w:lang w:val="en-US" w:eastAsia="zh-CN"/>
                    </w:rPr>
                    <w:t>经度</w:t>
                  </w:r>
                </w:p>
              </w:tc>
              <w:tc>
                <w:tcPr>
                  <w:tcW w:w="502" w:type="pct"/>
                  <w:noWrap w:val="0"/>
                  <w:vAlign w:val="center"/>
                </w:tcPr>
                <w:p w14:paraId="54D89332">
                  <w:pPr>
                    <w:pStyle w:val="51"/>
                    <w:bidi w:val="0"/>
                    <w:rPr>
                      <w:lang w:val="en-US" w:eastAsia="zh-CN"/>
                    </w:rPr>
                  </w:pPr>
                  <w:r>
                    <w:rPr>
                      <w:lang w:val="en-US" w:eastAsia="zh-CN"/>
                    </w:rPr>
                    <w:t>纬度</w:t>
                  </w:r>
                </w:p>
              </w:tc>
              <w:tc>
                <w:tcPr>
                  <w:tcW w:w="376" w:type="pct"/>
                  <w:vMerge w:val="continue"/>
                  <w:noWrap w:val="0"/>
                  <w:vAlign w:val="center"/>
                </w:tcPr>
                <w:p w14:paraId="3BE91BD6">
                  <w:pPr>
                    <w:pStyle w:val="51"/>
                    <w:bidi w:val="0"/>
                    <w:rPr>
                      <w:lang w:val="en-US" w:eastAsia="zh-CN"/>
                    </w:rPr>
                  </w:pPr>
                </w:p>
              </w:tc>
              <w:tc>
                <w:tcPr>
                  <w:tcW w:w="422" w:type="pct"/>
                  <w:vMerge w:val="continue"/>
                  <w:noWrap w:val="0"/>
                  <w:vAlign w:val="center"/>
                </w:tcPr>
                <w:p w14:paraId="79718834">
                  <w:pPr>
                    <w:pStyle w:val="51"/>
                    <w:bidi w:val="0"/>
                    <w:rPr>
                      <w:lang w:val="en-US" w:eastAsia="zh-CN"/>
                    </w:rPr>
                  </w:pPr>
                </w:p>
              </w:tc>
              <w:tc>
                <w:tcPr>
                  <w:tcW w:w="283" w:type="pct"/>
                  <w:vMerge w:val="continue"/>
                  <w:noWrap w:val="0"/>
                  <w:vAlign w:val="center"/>
                </w:tcPr>
                <w:p w14:paraId="6386504D">
                  <w:pPr>
                    <w:pStyle w:val="51"/>
                    <w:bidi w:val="0"/>
                    <w:rPr>
                      <w:lang w:val="en-US" w:eastAsia="zh-CN"/>
                    </w:rPr>
                  </w:pPr>
                </w:p>
              </w:tc>
              <w:tc>
                <w:tcPr>
                  <w:tcW w:w="391" w:type="pct"/>
                  <w:vMerge w:val="continue"/>
                  <w:noWrap w:val="0"/>
                  <w:vAlign w:val="center"/>
                </w:tcPr>
                <w:p w14:paraId="1799FA13">
                  <w:pPr>
                    <w:pStyle w:val="51"/>
                    <w:bidi w:val="0"/>
                    <w:rPr>
                      <w:lang w:val="en-US" w:eastAsia="zh-CN"/>
                    </w:rPr>
                  </w:pPr>
                </w:p>
              </w:tc>
              <w:tc>
                <w:tcPr>
                  <w:tcW w:w="539" w:type="pct"/>
                  <w:vMerge w:val="continue"/>
                  <w:noWrap w:val="0"/>
                  <w:vAlign w:val="center"/>
                </w:tcPr>
                <w:p w14:paraId="3A418284">
                  <w:pPr>
                    <w:pStyle w:val="51"/>
                    <w:bidi w:val="0"/>
                    <w:rPr>
                      <w:lang w:val="en-US" w:eastAsia="zh-CN"/>
                    </w:rPr>
                  </w:pPr>
                </w:p>
              </w:tc>
              <w:tc>
                <w:tcPr>
                  <w:tcW w:w="427" w:type="pct"/>
                  <w:vMerge w:val="continue"/>
                  <w:noWrap w:val="0"/>
                  <w:vAlign w:val="center"/>
                </w:tcPr>
                <w:p w14:paraId="72935C2F">
                  <w:pPr>
                    <w:pStyle w:val="51"/>
                    <w:bidi w:val="0"/>
                    <w:rPr>
                      <w:lang w:val="en-US" w:eastAsia="zh-CN"/>
                    </w:rPr>
                  </w:pPr>
                </w:p>
              </w:tc>
            </w:tr>
            <w:tr w14:paraId="4E80C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09" w:type="pct"/>
                  <w:noWrap w:val="0"/>
                  <w:vAlign w:val="center"/>
                </w:tcPr>
                <w:p w14:paraId="4EA0BFBE">
                  <w:pPr>
                    <w:pStyle w:val="51"/>
                    <w:bidi w:val="0"/>
                    <w:rPr>
                      <w:lang w:val="en-US" w:eastAsia="zh-CN"/>
                    </w:rPr>
                  </w:pPr>
                  <w:r>
                    <w:rPr>
                      <w:lang w:val="en-US" w:eastAsia="zh-CN"/>
                    </w:rPr>
                    <w:t>1</w:t>
                  </w:r>
                </w:p>
              </w:tc>
              <w:tc>
                <w:tcPr>
                  <w:tcW w:w="385" w:type="pct"/>
                  <w:vMerge w:val="restart"/>
                  <w:noWrap w:val="0"/>
                  <w:vAlign w:val="center"/>
                </w:tcPr>
                <w:p w14:paraId="3100CC2B">
                  <w:pPr>
                    <w:pStyle w:val="51"/>
                    <w:bidi w:val="0"/>
                    <w:rPr>
                      <w:rFonts w:hint="default"/>
                      <w:lang w:val="en-US" w:eastAsia="zh-CN"/>
                    </w:rPr>
                  </w:pPr>
                  <w:r>
                    <w:rPr>
                      <w:lang w:val="en-US" w:eastAsia="zh-CN"/>
                    </w:rPr>
                    <w:t>DA00</w:t>
                  </w:r>
                  <w:r>
                    <w:rPr>
                      <w:rFonts w:hint="eastAsia"/>
                      <w:lang w:val="en-US" w:eastAsia="zh-CN"/>
                    </w:rPr>
                    <w:t>1</w:t>
                  </w:r>
                </w:p>
              </w:tc>
              <w:tc>
                <w:tcPr>
                  <w:tcW w:w="510" w:type="pct"/>
                  <w:vMerge w:val="restart"/>
                  <w:noWrap w:val="0"/>
                  <w:vAlign w:val="center"/>
                </w:tcPr>
                <w:p w14:paraId="05FA6EA1">
                  <w:pPr>
                    <w:pStyle w:val="51"/>
                    <w:bidi w:val="0"/>
                    <w:rPr>
                      <w:rFonts w:hint="default"/>
                      <w:lang w:val="en-US" w:eastAsia="zh-CN"/>
                    </w:rPr>
                  </w:pPr>
                  <w:r>
                    <w:rPr>
                      <w:rFonts w:hint="eastAsia"/>
                      <w:lang w:val="en-US" w:eastAsia="zh-CN"/>
                    </w:rPr>
                    <w:t>1#排气筒</w:t>
                  </w:r>
                </w:p>
              </w:tc>
              <w:tc>
                <w:tcPr>
                  <w:tcW w:w="422" w:type="pct"/>
                  <w:noWrap w:val="0"/>
                  <w:vAlign w:val="center"/>
                </w:tcPr>
                <w:p w14:paraId="225D0696">
                  <w:pPr>
                    <w:pStyle w:val="51"/>
                    <w:bidi w:val="0"/>
                    <w:rPr>
                      <w:lang w:val="en-US" w:eastAsia="zh-CN"/>
                    </w:rPr>
                  </w:pPr>
                  <w:r>
                    <w:rPr>
                      <w:rFonts w:hint="eastAsia"/>
                      <w:lang w:val="en-US" w:eastAsia="zh-CN"/>
                    </w:rPr>
                    <w:t>非甲烷总烃</w:t>
                  </w:r>
                </w:p>
              </w:tc>
              <w:tc>
                <w:tcPr>
                  <w:tcW w:w="529" w:type="pct"/>
                  <w:vMerge w:val="restart"/>
                  <w:noWrap w:val="0"/>
                  <w:vAlign w:val="center"/>
                </w:tcPr>
                <w:p w14:paraId="537FABDC">
                  <w:pPr>
                    <w:pStyle w:val="51"/>
                    <w:bidi w:val="0"/>
                    <w:rPr>
                      <w:lang w:val="en-US" w:eastAsia="zh-CN"/>
                    </w:rPr>
                  </w:pPr>
                  <w:r>
                    <w:rPr>
                      <w:rFonts w:hint="eastAsia"/>
                      <w:lang w:val="en-US" w:eastAsia="zh-CN"/>
                    </w:rPr>
                    <w:t>117.082575</w:t>
                  </w:r>
                </w:p>
              </w:tc>
              <w:tc>
                <w:tcPr>
                  <w:tcW w:w="502" w:type="pct"/>
                  <w:vMerge w:val="restart"/>
                  <w:noWrap w:val="0"/>
                  <w:vAlign w:val="center"/>
                </w:tcPr>
                <w:p w14:paraId="20747867">
                  <w:pPr>
                    <w:pStyle w:val="51"/>
                    <w:bidi w:val="0"/>
                    <w:rPr>
                      <w:rFonts w:hint="default"/>
                      <w:lang w:val="en-US" w:eastAsia="zh-CN"/>
                    </w:rPr>
                  </w:pPr>
                  <w:r>
                    <w:rPr>
                      <w:rFonts w:hint="eastAsia"/>
                      <w:lang w:val="en-US" w:eastAsia="zh-CN"/>
                    </w:rPr>
                    <w:t>32.63971</w:t>
                  </w:r>
                </w:p>
              </w:tc>
              <w:tc>
                <w:tcPr>
                  <w:tcW w:w="376" w:type="pct"/>
                  <w:vMerge w:val="restart"/>
                  <w:noWrap w:val="0"/>
                  <w:vAlign w:val="center"/>
                </w:tcPr>
                <w:p w14:paraId="3AC74E4F">
                  <w:pPr>
                    <w:pStyle w:val="51"/>
                    <w:bidi w:val="0"/>
                    <w:rPr>
                      <w:rFonts w:hint="default"/>
                      <w:lang w:val="en-US" w:eastAsia="zh-CN"/>
                    </w:rPr>
                  </w:pPr>
                  <w:r>
                    <w:rPr>
                      <w:rFonts w:hint="eastAsia"/>
                      <w:lang w:val="en-US" w:eastAsia="zh-CN"/>
                    </w:rPr>
                    <w:t>21</w:t>
                  </w:r>
                </w:p>
              </w:tc>
              <w:tc>
                <w:tcPr>
                  <w:tcW w:w="422" w:type="pct"/>
                  <w:vMerge w:val="restart"/>
                  <w:noWrap w:val="0"/>
                  <w:vAlign w:val="center"/>
                </w:tcPr>
                <w:p w14:paraId="640409A4">
                  <w:pPr>
                    <w:pStyle w:val="51"/>
                    <w:bidi w:val="0"/>
                    <w:rPr>
                      <w:lang w:val="en-US" w:eastAsia="zh-CN"/>
                    </w:rPr>
                  </w:pPr>
                  <w:r>
                    <w:rPr>
                      <w:lang w:val="en-US" w:eastAsia="zh-CN"/>
                    </w:rPr>
                    <w:t>0.</w:t>
                  </w:r>
                  <w:r>
                    <w:rPr>
                      <w:rFonts w:hint="eastAsia"/>
                      <w:lang w:val="en-US" w:eastAsia="zh-CN"/>
                    </w:rPr>
                    <w:t>6</w:t>
                  </w:r>
                </w:p>
              </w:tc>
              <w:tc>
                <w:tcPr>
                  <w:tcW w:w="283" w:type="pct"/>
                  <w:vMerge w:val="restart"/>
                  <w:noWrap w:val="0"/>
                  <w:vAlign w:val="center"/>
                </w:tcPr>
                <w:p w14:paraId="58D19346">
                  <w:pPr>
                    <w:pStyle w:val="51"/>
                    <w:bidi w:val="0"/>
                    <w:rPr>
                      <w:rFonts w:hint="default"/>
                      <w:lang w:val="en-US" w:eastAsia="zh-CN"/>
                    </w:rPr>
                  </w:pPr>
                  <w:r>
                    <w:rPr>
                      <w:rFonts w:hint="eastAsia"/>
                      <w:lang w:val="en-US" w:eastAsia="zh-CN"/>
                    </w:rPr>
                    <w:t>15</w:t>
                  </w:r>
                </w:p>
              </w:tc>
              <w:tc>
                <w:tcPr>
                  <w:tcW w:w="391" w:type="pct"/>
                  <w:vMerge w:val="restart"/>
                  <w:noWrap w:val="0"/>
                  <w:vAlign w:val="center"/>
                </w:tcPr>
                <w:p w14:paraId="3EB79D3F">
                  <w:pPr>
                    <w:pStyle w:val="51"/>
                    <w:bidi w:val="0"/>
                    <w:rPr>
                      <w:lang w:val="en-US" w:eastAsia="zh-CN"/>
                    </w:rPr>
                  </w:pPr>
                  <w:r>
                    <w:rPr>
                      <w:lang w:val="en-US" w:eastAsia="zh-CN"/>
                    </w:rPr>
                    <w:t>一般排口</w:t>
                  </w:r>
                </w:p>
              </w:tc>
              <w:tc>
                <w:tcPr>
                  <w:tcW w:w="539" w:type="pct"/>
                  <w:vMerge w:val="restart"/>
                  <w:noWrap w:val="0"/>
                  <w:vAlign w:val="center"/>
                </w:tcPr>
                <w:p w14:paraId="56402FE4">
                  <w:pPr>
                    <w:pStyle w:val="91"/>
                    <w:ind w:firstLine="0" w:firstLineChars="0"/>
                    <w:rPr>
                      <w:lang w:val="en-US" w:eastAsia="zh-CN"/>
                    </w:rPr>
                  </w:pPr>
                  <w:r>
                    <w:rPr>
                      <w:rStyle w:val="50"/>
                      <w:rFonts w:hint="eastAsia"/>
                      <w:b w:val="0"/>
                      <w:bCs/>
                      <w:lang w:val="en-US" w:eastAsia="zh-CN"/>
                    </w:rPr>
                    <w:t>（DB34 4812.6-2024 ）</w:t>
                  </w:r>
                </w:p>
              </w:tc>
              <w:tc>
                <w:tcPr>
                  <w:tcW w:w="427" w:type="pct"/>
                  <w:noWrap w:val="0"/>
                  <w:vAlign w:val="center"/>
                </w:tcPr>
                <w:p w14:paraId="030E3132">
                  <w:pPr>
                    <w:pStyle w:val="51"/>
                    <w:spacing w:before="33" w:after="33"/>
                    <w:ind w:left="24" w:leftChars="10" w:right="24" w:rightChars="10" w:firstLine="0" w:firstLineChars="0"/>
                    <w:rPr>
                      <w:lang w:val="en-US" w:eastAsia="zh-CN"/>
                    </w:rPr>
                  </w:pPr>
                  <w:r>
                    <w:rPr>
                      <w:rFonts w:hint="eastAsia"/>
                      <w:lang w:val="en-US" w:eastAsia="zh-CN"/>
                    </w:rPr>
                    <w:t>40</w:t>
                  </w:r>
                  <w:r>
                    <w:t>mg/m</w:t>
                  </w:r>
                  <w:r>
                    <w:rPr>
                      <w:vertAlign w:val="superscript"/>
                    </w:rPr>
                    <w:t>3</w:t>
                  </w:r>
                </w:p>
              </w:tc>
            </w:tr>
            <w:tr w14:paraId="2776F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09" w:type="pct"/>
                  <w:noWrap w:val="0"/>
                  <w:vAlign w:val="center"/>
                </w:tcPr>
                <w:p w14:paraId="5152B838">
                  <w:pPr>
                    <w:pStyle w:val="51"/>
                    <w:bidi w:val="0"/>
                    <w:rPr>
                      <w:rFonts w:hint="default"/>
                      <w:lang w:val="en-US" w:eastAsia="zh-CN"/>
                    </w:rPr>
                  </w:pPr>
                  <w:r>
                    <w:rPr>
                      <w:rFonts w:hint="eastAsia"/>
                      <w:lang w:val="en-US" w:eastAsia="zh-CN"/>
                    </w:rPr>
                    <w:t>2</w:t>
                  </w:r>
                </w:p>
              </w:tc>
              <w:tc>
                <w:tcPr>
                  <w:tcW w:w="385" w:type="pct"/>
                  <w:vMerge w:val="continue"/>
                  <w:noWrap w:val="0"/>
                  <w:vAlign w:val="center"/>
                </w:tcPr>
                <w:p w14:paraId="59CFFBD7">
                  <w:pPr>
                    <w:pStyle w:val="51"/>
                    <w:bidi w:val="0"/>
                    <w:rPr>
                      <w:lang w:val="en-US" w:eastAsia="zh-CN"/>
                    </w:rPr>
                  </w:pPr>
                </w:p>
              </w:tc>
              <w:tc>
                <w:tcPr>
                  <w:tcW w:w="510" w:type="pct"/>
                  <w:vMerge w:val="continue"/>
                  <w:noWrap w:val="0"/>
                  <w:vAlign w:val="center"/>
                </w:tcPr>
                <w:p w14:paraId="3432496D">
                  <w:pPr>
                    <w:pStyle w:val="51"/>
                    <w:bidi w:val="0"/>
                    <w:rPr>
                      <w:rFonts w:hint="eastAsia"/>
                      <w:lang w:val="en-US" w:eastAsia="zh-CN"/>
                    </w:rPr>
                  </w:pPr>
                </w:p>
              </w:tc>
              <w:tc>
                <w:tcPr>
                  <w:tcW w:w="422" w:type="pct"/>
                  <w:noWrap w:val="0"/>
                  <w:vAlign w:val="center"/>
                </w:tcPr>
                <w:p w14:paraId="7920BFB5">
                  <w:pPr>
                    <w:pStyle w:val="51"/>
                    <w:bidi w:val="0"/>
                    <w:rPr>
                      <w:rFonts w:hint="default"/>
                      <w:lang w:val="en-US" w:eastAsia="zh-CN"/>
                    </w:rPr>
                  </w:pPr>
                  <w:r>
                    <w:rPr>
                      <w:rFonts w:hint="eastAsia"/>
                      <w:lang w:val="en-US" w:eastAsia="zh-CN"/>
                    </w:rPr>
                    <w:t>苯乙烯</w:t>
                  </w:r>
                </w:p>
              </w:tc>
              <w:tc>
                <w:tcPr>
                  <w:tcW w:w="529" w:type="pct"/>
                  <w:vMerge w:val="continue"/>
                  <w:noWrap w:val="0"/>
                  <w:vAlign w:val="center"/>
                </w:tcPr>
                <w:p w14:paraId="1315262F">
                  <w:pPr>
                    <w:pStyle w:val="51"/>
                    <w:bidi w:val="0"/>
                    <w:rPr>
                      <w:rFonts w:hint="eastAsia"/>
                      <w:lang w:val="en-US" w:eastAsia="zh-CN"/>
                    </w:rPr>
                  </w:pPr>
                </w:p>
              </w:tc>
              <w:tc>
                <w:tcPr>
                  <w:tcW w:w="502" w:type="pct"/>
                  <w:vMerge w:val="continue"/>
                  <w:noWrap w:val="0"/>
                  <w:vAlign w:val="center"/>
                </w:tcPr>
                <w:p w14:paraId="15C313EB">
                  <w:pPr>
                    <w:pStyle w:val="51"/>
                    <w:bidi w:val="0"/>
                    <w:rPr>
                      <w:rFonts w:hint="eastAsia"/>
                      <w:lang w:val="en-US" w:eastAsia="zh-CN"/>
                    </w:rPr>
                  </w:pPr>
                </w:p>
              </w:tc>
              <w:tc>
                <w:tcPr>
                  <w:tcW w:w="376" w:type="pct"/>
                  <w:vMerge w:val="continue"/>
                  <w:noWrap w:val="0"/>
                  <w:vAlign w:val="center"/>
                </w:tcPr>
                <w:p w14:paraId="5DFDAAE9">
                  <w:pPr>
                    <w:pStyle w:val="51"/>
                    <w:bidi w:val="0"/>
                    <w:rPr>
                      <w:lang w:val="en-US" w:eastAsia="zh-CN"/>
                    </w:rPr>
                  </w:pPr>
                </w:p>
              </w:tc>
              <w:tc>
                <w:tcPr>
                  <w:tcW w:w="422" w:type="pct"/>
                  <w:vMerge w:val="continue"/>
                  <w:noWrap w:val="0"/>
                  <w:vAlign w:val="center"/>
                </w:tcPr>
                <w:p w14:paraId="626292A3">
                  <w:pPr>
                    <w:pStyle w:val="51"/>
                    <w:bidi w:val="0"/>
                    <w:rPr>
                      <w:lang w:val="en-US" w:eastAsia="zh-CN"/>
                    </w:rPr>
                  </w:pPr>
                </w:p>
              </w:tc>
              <w:tc>
                <w:tcPr>
                  <w:tcW w:w="283" w:type="pct"/>
                  <w:vMerge w:val="continue"/>
                  <w:noWrap w:val="0"/>
                  <w:vAlign w:val="center"/>
                </w:tcPr>
                <w:p w14:paraId="6FAD5A02">
                  <w:pPr>
                    <w:pStyle w:val="51"/>
                    <w:bidi w:val="0"/>
                    <w:rPr>
                      <w:lang w:val="en-US" w:eastAsia="zh-CN"/>
                    </w:rPr>
                  </w:pPr>
                </w:p>
              </w:tc>
              <w:tc>
                <w:tcPr>
                  <w:tcW w:w="391" w:type="pct"/>
                  <w:vMerge w:val="continue"/>
                  <w:noWrap w:val="0"/>
                  <w:vAlign w:val="center"/>
                </w:tcPr>
                <w:p w14:paraId="27B5AA54">
                  <w:pPr>
                    <w:pStyle w:val="51"/>
                    <w:bidi w:val="0"/>
                    <w:rPr>
                      <w:lang w:val="en-US" w:eastAsia="zh-CN"/>
                    </w:rPr>
                  </w:pPr>
                </w:p>
              </w:tc>
              <w:tc>
                <w:tcPr>
                  <w:tcW w:w="539" w:type="pct"/>
                  <w:vMerge w:val="continue"/>
                  <w:noWrap w:val="0"/>
                  <w:vAlign w:val="center"/>
                </w:tcPr>
                <w:p w14:paraId="0EE1E534">
                  <w:pPr>
                    <w:pStyle w:val="51"/>
                    <w:bidi w:val="0"/>
                    <w:rPr>
                      <w:rFonts w:hint="eastAsia"/>
                    </w:rPr>
                  </w:pPr>
                </w:p>
              </w:tc>
              <w:tc>
                <w:tcPr>
                  <w:tcW w:w="427" w:type="pct"/>
                  <w:noWrap w:val="0"/>
                  <w:vAlign w:val="center"/>
                </w:tcPr>
                <w:p w14:paraId="3E9AA2FE">
                  <w:pPr>
                    <w:pStyle w:val="51"/>
                    <w:bidi w:val="0"/>
                    <w:rPr>
                      <w:rFonts w:hint="default"/>
                      <w:lang w:val="en-US" w:eastAsia="zh-CN"/>
                    </w:rPr>
                  </w:pPr>
                  <w:r>
                    <w:rPr>
                      <w:rFonts w:hint="eastAsia"/>
                      <w:lang w:val="en-US" w:eastAsia="zh-CN"/>
                    </w:rPr>
                    <w:t>20</w:t>
                  </w:r>
                  <w:r>
                    <w:t>mg/m</w:t>
                  </w:r>
                  <w:r>
                    <w:rPr>
                      <w:vertAlign w:val="superscript"/>
                    </w:rPr>
                    <w:t>3</w:t>
                  </w:r>
                </w:p>
              </w:tc>
            </w:tr>
            <w:tr w14:paraId="4FE90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09" w:type="pct"/>
                  <w:noWrap w:val="0"/>
                  <w:vAlign w:val="center"/>
                </w:tcPr>
                <w:p w14:paraId="36B571D5">
                  <w:pPr>
                    <w:pStyle w:val="51"/>
                    <w:bidi w:val="0"/>
                    <w:rPr>
                      <w:rFonts w:hint="default"/>
                      <w:lang w:val="en-US" w:eastAsia="zh-CN"/>
                    </w:rPr>
                  </w:pPr>
                  <w:r>
                    <w:rPr>
                      <w:rFonts w:hint="eastAsia"/>
                      <w:lang w:val="en-US" w:eastAsia="zh-CN"/>
                    </w:rPr>
                    <w:t>3</w:t>
                  </w:r>
                </w:p>
              </w:tc>
              <w:tc>
                <w:tcPr>
                  <w:tcW w:w="385" w:type="pct"/>
                  <w:vMerge w:val="continue"/>
                  <w:noWrap w:val="0"/>
                  <w:vAlign w:val="center"/>
                </w:tcPr>
                <w:p w14:paraId="60118338">
                  <w:pPr>
                    <w:pStyle w:val="51"/>
                    <w:bidi w:val="0"/>
                    <w:rPr>
                      <w:lang w:val="en-US" w:eastAsia="zh-CN"/>
                    </w:rPr>
                  </w:pPr>
                </w:p>
              </w:tc>
              <w:tc>
                <w:tcPr>
                  <w:tcW w:w="510" w:type="pct"/>
                  <w:vMerge w:val="continue"/>
                  <w:noWrap w:val="0"/>
                  <w:vAlign w:val="center"/>
                </w:tcPr>
                <w:p w14:paraId="1894E80D">
                  <w:pPr>
                    <w:pStyle w:val="51"/>
                    <w:bidi w:val="0"/>
                    <w:rPr>
                      <w:rFonts w:hint="eastAsia"/>
                      <w:lang w:val="en-US" w:eastAsia="zh-CN"/>
                    </w:rPr>
                  </w:pPr>
                </w:p>
              </w:tc>
              <w:tc>
                <w:tcPr>
                  <w:tcW w:w="422" w:type="pct"/>
                  <w:noWrap w:val="0"/>
                  <w:vAlign w:val="center"/>
                </w:tcPr>
                <w:p w14:paraId="4D8BED68">
                  <w:pPr>
                    <w:pStyle w:val="51"/>
                    <w:bidi w:val="0"/>
                    <w:rPr>
                      <w:rFonts w:hint="default"/>
                      <w:lang w:val="en-US" w:eastAsia="zh-CN"/>
                    </w:rPr>
                  </w:pPr>
                  <w:r>
                    <w:rPr>
                      <w:rFonts w:hint="eastAsia"/>
                      <w:lang w:val="en-US" w:eastAsia="zh-CN"/>
                    </w:rPr>
                    <w:t>臭气浓度</w:t>
                  </w:r>
                </w:p>
              </w:tc>
              <w:tc>
                <w:tcPr>
                  <w:tcW w:w="529" w:type="pct"/>
                  <w:vMerge w:val="continue"/>
                  <w:noWrap w:val="0"/>
                  <w:vAlign w:val="center"/>
                </w:tcPr>
                <w:p w14:paraId="21E2D9AC">
                  <w:pPr>
                    <w:pStyle w:val="51"/>
                    <w:bidi w:val="0"/>
                    <w:rPr>
                      <w:lang w:val="en-US" w:eastAsia="zh-CN"/>
                    </w:rPr>
                  </w:pPr>
                </w:p>
              </w:tc>
              <w:tc>
                <w:tcPr>
                  <w:tcW w:w="502" w:type="pct"/>
                  <w:vMerge w:val="continue"/>
                  <w:noWrap w:val="0"/>
                  <w:vAlign w:val="center"/>
                </w:tcPr>
                <w:p w14:paraId="1DD97131">
                  <w:pPr>
                    <w:pStyle w:val="51"/>
                    <w:bidi w:val="0"/>
                    <w:rPr>
                      <w:lang w:val="en-US" w:eastAsia="zh-CN"/>
                    </w:rPr>
                  </w:pPr>
                </w:p>
              </w:tc>
              <w:tc>
                <w:tcPr>
                  <w:tcW w:w="376" w:type="pct"/>
                  <w:vMerge w:val="continue"/>
                  <w:noWrap w:val="0"/>
                  <w:vAlign w:val="center"/>
                </w:tcPr>
                <w:p w14:paraId="6348D8A0">
                  <w:pPr>
                    <w:pStyle w:val="51"/>
                    <w:bidi w:val="0"/>
                    <w:rPr>
                      <w:lang w:val="en-US" w:eastAsia="zh-CN"/>
                    </w:rPr>
                  </w:pPr>
                </w:p>
              </w:tc>
              <w:tc>
                <w:tcPr>
                  <w:tcW w:w="422" w:type="pct"/>
                  <w:vMerge w:val="continue"/>
                  <w:noWrap w:val="0"/>
                  <w:vAlign w:val="center"/>
                </w:tcPr>
                <w:p w14:paraId="05D4CC5C">
                  <w:pPr>
                    <w:pStyle w:val="51"/>
                    <w:bidi w:val="0"/>
                    <w:rPr>
                      <w:lang w:val="en-US" w:eastAsia="zh-CN"/>
                    </w:rPr>
                  </w:pPr>
                </w:p>
              </w:tc>
              <w:tc>
                <w:tcPr>
                  <w:tcW w:w="283" w:type="pct"/>
                  <w:vMerge w:val="continue"/>
                  <w:noWrap w:val="0"/>
                  <w:vAlign w:val="center"/>
                </w:tcPr>
                <w:p w14:paraId="08C877BB">
                  <w:pPr>
                    <w:pStyle w:val="51"/>
                    <w:bidi w:val="0"/>
                    <w:rPr>
                      <w:lang w:val="en-US" w:eastAsia="zh-CN"/>
                    </w:rPr>
                  </w:pPr>
                </w:p>
              </w:tc>
              <w:tc>
                <w:tcPr>
                  <w:tcW w:w="391" w:type="pct"/>
                  <w:vMerge w:val="continue"/>
                  <w:noWrap w:val="0"/>
                  <w:vAlign w:val="center"/>
                </w:tcPr>
                <w:p w14:paraId="3E7AD8B8">
                  <w:pPr>
                    <w:pStyle w:val="51"/>
                    <w:bidi w:val="0"/>
                    <w:rPr>
                      <w:lang w:val="en-US" w:eastAsia="zh-CN"/>
                    </w:rPr>
                  </w:pPr>
                </w:p>
              </w:tc>
              <w:tc>
                <w:tcPr>
                  <w:tcW w:w="539" w:type="pct"/>
                  <w:noWrap w:val="0"/>
                  <w:vAlign w:val="center"/>
                </w:tcPr>
                <w:p w14:paraId="34C67D7B">
                  <w:pPr>
                    <w:pStyle w:val="51"/>
                    <w:bidi w:val="0"/>
                    <w:rPr>
                      <w:rFonts w:hint="eastAsia"/>
                    </w:rPr>
                  </w:pPr>
                  <w:r>
                    <w:rPr>
                      <w:rFonts w:hint="eastAsia"/>
                    </w:rPr>
                    <w:t>（</w:t>
                  </w:r>
                  <w:r>
                    <w:t>GB14554-93</w:t>
                  </w:r>
                  <w:r>
                    <w:rPr>
                      <w:rFonts w:hint="eastAsia"/>
                    </w:rPr>
                    <w:t>）</w:t>
                  </w:r>
                </w:p>
              </w:tc>
              <w:tc>
                <w:tcPr>
                  <w:tcW w:w="427" w:type="pct"/>
                  <w:noWrap w:val="0"/>
                  <w:vAlign w:val="center"/>
                </w:tcPr>
                <w:p w14:paraId="6294EEF0">
                  <w:pPr>
                    <w:pStyle w:val="51"/>
                    <w:bidi w:val="0"/>
                    <w:rPr>
                      <w:rFonts w:hint="default"/>
                      <w:lang w:val="en-US" w:eastAsia="zh-CN"/>
                    </w:rPr>
                  </w:pPr>
                  <w:r>
                    <w:rPr>
                      <w:rFonts w:hint="eastAsia"/>
                      <w:lang w:val="en-US" w:eastAsia="zh-CN"/>
                    </w:rPr>
                    <w:t>2000</w:t>
                  </w:r>
                  <w:r>
                    <w:rPr>
                      <w:color w:val="auto"/>
                    </w:rPr>
                    <w:t>（无量纲）</w:t>
                  </w:r>
                </w:p>
              </w:tc>
            </w:tr>
            <w:tr w14:paraId="3AE2F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09" w:type="pct"/>
                  <w:noWrap w:val="0"/>
                  <w:vAlign w:val="center"/>
                </w:tcPr>
                <w:p w14:paraId="37BC0136">
                  <w:pPr>
                    <w:pStyle w:val="51"/>
                    <w:bidi w:val="0"/>
                    <w:rPr>
                      <w:rFonts w:hint="default"/>
                      <w:lang w:val="en-US" w:eastAsia="zh-CN"/>
                    </w:rPr>
                  </w:pPr>
                  <w:r>
                    <w:rPr>
                      <w:rFonts w:hint="eastAsia"/>
                      <w:lang w:val="en-US" w:eastAsia="zh-CN"/>
                    </w:rPr>
                    <w:t>4</w:t>
                  </w:r>
                </w:p>
              </w:tc>
              <w:tc>
                <w:tcPr>
                  <w:tcW w:w="385" w:type="pct"/>
                  <w:shd w:val="clear" w:color="auto" w:fill="auto"/>
                  <w:noWrap w:val="0"/>
                  <w:vAlign w:val="center"/>
                </w:tcPr>
                <w:p w14:paraId="3FE95218">
                  <w:pPr>
                    <w:pStyle w:val="51"/>
                    <w:bidi w:val="0"/>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lang w:val="en-US" w:eastAsia="zh-CN"/>
                    </w:rPr>
                    <w:t>DA00</w:t>
                  </w:r>
                  <w:r>
                    <w:rPr>
                      <w:rFonts w:hint="eastAsia"/>
                      <w:lang w:val="en-US" w:eastAsia="zh-CN"/>
                    </w:rPr>
                    <w:t>2</w:t>
                  </w:r>
                </w:p>
              </w:tc>
              <w:tc>
                <w:tcPr>
                  <w:tcW w:w="510" w:type="pct"/>
                  <w:shd w:val="clear" w:color="auto" w:fill="auto"/>
                  <w:noWrap w:val="0"/>
                  <w:vAlign w:val="center"/>
                </w:tcPr>
                <w:p w14:paraId="657FDF70">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2#排气筒</w:t>
                  </w:r>
                </w:p>
              </w:tc>
              <w:tc>
                <w:tcPr>
                  <w:tcW w:w="422" w:type="pct"/>
                  <w:shd w:val="clear" w:color="auto" w:fill="auto"/>
                  <w:noWrap w:val="0"/>
                  <w:vAlign w:val="center"/>
                </w:tcPr>
                <w:p w14:paraId="7491E487">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非甲烷总烃</w:t>
                  </w:r>
                </w:p>
              </w:tc>
              <w:tc>
                <w:tcPr>
                  <w:tcW w:w="529" w:type="pct"/>
                  <w:noWrap w:val="0"/>
                  <w:vAlign w:val="center"/>
                </w:tcPr>
                <w:p w14:paraId="471BFBB8">
                  <w:pPr>
                    <w:pStyle w:val="51"/>
                    <w:bidi w:val="0"/>
                    <w:rPr>
                      <w:lang w:val="en-US" w:eastAsia="zh-CN"/>
                    </w:rPr>
                  </w:pPr>
                  <w:r>
                    <w:rPr>
                      <w:rFonts w:hint="eastAsia"/>
                      <w:lang w:val="en-US" w:eastAsia="zh-CN"/>
                    </w:rPr>
                    <w:t>117.082693</w:t>
                  </w:r>
                </w:p>
              </w:tc>
              <w:tc>
                <w:tcPr>
                  <w:tcW w:w="502" w:type="pct"/>
                  <w:noWrap w:val="0"/>
                  <w:vAlign w:val="center"/>
                </w:tcPr>
                <w:p w14:paraId="324A8264">
                  <w:pPr>
                    <w:pStyle w:val="51"/>
                    <w:bidi w:val="0"/>
                    <w:rPr>
                      <w:rFonts w:hint="default"/>
                      <w:lang w:val="en-US" w:eastAsia="zh-CN"/>
                    </w:rPr>
                  </w:pPr>
                  <w:r>
                    <w:rPr>
                      <w:rFonts w:hint="eastAsia"/>
                      <w:lang w:val="en-US" w:eastAsia="zh-CN"/>
                    </w:rPr>
                    <w:t>32.640226</w:t>
                  </w:r>
                </w:p>
              </w:tc>
              <w:tc>
                <w:tcPr>
                  <w:tcW w:w="376" w:type="pct"/>
                  <w:shd w:val="clear" w:color="auto" w:fill="auto"/>
                  <w:noWrap w:val="0"/>
                  <w:vAlign w:val="center"/>
                </w:tcPr>
                <w:p w14:paraId="5FC36155">
                  <w:pPr>
                    <w:pStyle w:val="51"/>
                    <w:bidi w:val="0"/>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lang w:val="en-US" w:eastAsia="zh-CN"/>
                    </w:rPr>
                    <w:t>21</w:t>
                  </w:r>
                </w:p>
              </w:tc>
              <w:tc>
                <w:tcPr>
                  <w:tcW w:w="422" w:type="pct"/>
                  <w:shd w:val="clear" w:color="auto" w:fill="auto"/>
                  <w:noWrap w:val="0"/>
                  <w:vAlign w:val="center"/>
                </w:tcPr>
                <w:p w14:paraId="324D3E6B">
                  <w:pPr>
                    <w:pStyle w:val="51"/>
                    <w:bidi w:val="0"/>
                    <w:ind w:left="24" w:leftChars="10" w:right="24" w:rightChars="10" w:firstLine="0" w:firstLineChars="0"/>
                    <w:rPr>
                      <w:rFonts w:ascii="Times New Roman" w:hAnsi="Times New Roman" w:eastAsia="宋体" w:cs="Times New Roman"/>
                      <w:spacing w:val="-2"/>
                      <w:kern w:val="2"/>
                      <w:sz w:val="21"/>
                      <w:szCs w:val="18"/>
                      <w:lang w:val="en-US" w:eastAsia="zh-CN" w:bidi="ar-SA"/>
                    </w:rPr>
                  </w:pPr>
                  <w:r>
                    <w:rPr>
                      <w:lang w:val="en-US" w:eastAsia="zh-CN"/>
                    </w:rPr>
                    <w:t>0.</w:t>
                  </w:r>
                  <w:r>
                    <w:rPr>
                      <w:rFonts w:hint="eastAsia"/>
                      <w:lang w:val="en-US" w:eastAsia="zh-CN"/>
                    </w:rPr>
                    <w:t>6</w:t>
                  </w:r>
                </w:p>
              </w:tc>
              <w:tc>
                <w:tcPr>
                  <w:tcW w:w="283" w:type="pct"/>
                  <w:shd w:val="clear" w:color="auto" w:fill="auto"/>
                  <w:noWrap w:val="0"/>
                  <w:vAlign w:val="center"/>
                </w:tcPr>
                <w:p w14:paraId="20B0D42D">
                  <w:pPr>
                    <w:pStyle w:val="51"/>
                    <w:bidi w:val="0"/>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lang w:val="en-US" w:eastAsia="zh-CN"/>
                    </w:rPr>
                    <w:t>15</w:t>
                  </w:r>
                </w:p>
              </w:tc>
              <w:tc>
                <w:tcPr>
                  <w:tcW w:w="391" w:type="pct"/>
                  <w:shd w:val="clear" w:color="auto" w:fill="auto"/>
                  <w:noWrap w:val="0"/>
                  <w:vAlign w:val="center"/>
                </w:tcPr>
                <w:p w14:paraId="641F4379">
                  <w:pPr>
                    <w:pStyle w:val="51"/>
                    <w:bidi w:val="0"/>
                    <w:ind w:left="24" w:leftChars="10" w:right="24" w:rightChars="10" w:firstLine="0" w:firstLineChars="0"/>
                    <w:rPr>
                      <w:rFonts w:ascii="Times New Roman" w:hAnsi="Times New Roman" w:eastAsia="宋体" w:cs="Times New Roman"/>
                      <w:spacing w:val="-2"/>
                      <w:kern w:val="2"/>
                      <w:sz w:val="21"/>
                      <w:szCs w:val="18"/>
                      <w:lang w:val="en-US" w:eastAsia="zh-CN" w:bidi="ar-SA"/>
                    </w:rPr>
                  </w:pPr>
                  <w:r>
                    <w:rPr>
                      <w:lang w:val="en-US" w:eastAsia="zh-CN"/>
                    </w:rPr>
                    <w:t>一般排口</w:t>
                  </w:r>
                </w:p>
              </w:tc>
              <w:tc>
                <w:tcPr>
                  <w:tcW w:w="539" w:type="pct"/>
                  <w:shd w:val="clear" w:color="auto" w:fill="auto"/>
                  <w:noWrap w:val="0"/>
                  <w:vAlign w:val="center"/>
                </w:tcPr>
                <w:p w14:paraId="46D1E07F">
                  <w:pPr>
                    <w:pStyle w:val="91"/>
                    <w:ind w:firstLine="0" w:firstLineChars="0"/>
                    <w:rPr>
                      <w:rFonts w:hint="eastAsia" w:ascii="Times New Roman" w:hAnsi="Times New Roman" w:eastAsia="宋体" w:cs="Times New Roman"/>
                      <w:b/>
                      <w:kern w:val="0"/>
                      <w:sz w:val="21"/>
                      <w:szCs w:val="21"/>
                      <w:lang w:val="en-US" w:eastAsia="zh-CN" w:bidi="ar-SA"/>
                    </w:rPr>
                  </w:pPr>
                  <w:r>
                    <w:rPr>
                      <w:rStyle w:val="50"/>
                      <w:rFonts w:hint="eastAsia"/>
                      <w:b w:val="0"/>
                      <w:bCs/>
                      <w:lang w:val="en-US" w:eastAsia="zh-CN"/>
                    </w:rPr>
                    <w:t>（DB34 4812.6-2024 ）</w:t>
                  </w:r>
                </w:p>
              </w:tc>
              <w:tc>
                <w:tcPr>
                  <w:tcW w:w="427" w:type="pct"/>
                  <w:shd w:val="clear" w:color="auto" w:fill="auto"/>
                  <w:noWrap w:val="0"/>
                  <w:vAlign w:val="center"/>
                </w:tcPr>
                <w:p w14:paraId="5C1D63CC">
                  <w:pPr>
                    <w:pStyle w:val="51"/>
                    <w:spacing w:before="33" w:after="33"/>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40</w:t>
                  </w:r>
                  <w:r>
                    <w:t>mg/m</w:t>
                  </w:r>
                  <w:r>
                    <w:rPr>
                      <w:vertAlign w:val="superscript"/>
                    </w:rPr>
                    <w:t>3</w:t>
                  </w:r>
                </w:p>
              </w:tc>
            </w:tr>
            <w:tr w14:paraId="2F05C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5000" w:type="pct"/>
                  <w:gridSpan w:val="12"/>
                  <w:noWrap w:val="0"/>
                  <w:vAlign w:val="center"/>
                </w:tcPr>
                <w:p w14:paraId="6C73D8F9">
                  <w:pPr>
                    <w:pStyle w:val="51"/>
                    <w:bidi w:val="0"/>
                    <w:jc w:val="left"/>
                    <w:rPr>
                      <w:rFonts w:hint="eastAsia"/>
                      <w:lang w:val="en-US" w:eastAsia="zh-CN"/>
                    </w:rPr>
                  </w:pPr>
                  <w:r>
                    <w:rPr>
                      <w:rFonts w:hint="eastAsia"/>
                      <w:sz w:val="18"/>
                      <w:szCs w:val="18"/>
                      <w:lang w:val="en-US" w:eastAsia="zh-CN"/>
                    </w:rPr>
                    <w:t>注；本项目不涉及锅炉，根据《排污许可证申诸与核发技术规范 橡胶和塑料制品工业》(HJ1122-2020)，项目无主要排放口</w:t>
                  </w:r>
                </w:p>
              </w:tc>
            </w:tr>
          </w:tbl>
          <w:p w14:paraId="6EE1CC3C">
            <w:pPr>
              <w:pStyle w:val="86"/>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color w:val="auto"/>
              </w:rPr>
            </w:pPr>
          </w:p>
          <w:p w14:paraId="65FA02FE">
            <w:pPr>
              <w:pStyle w:val="86"/>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color w:val="auto"/>
              </w:rPr>
            </w:pPr>
          </w:p>
          <w:p w14:paraId="76175DE6">
            <w:pPr>
              <w:pStyle w:val="86"/>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color w:val="auto"/>
              </w:rPr>
            </w:pPr>
          </w:p>
          <w:p w14:paraId="27191737">
            <w:pPr>
              <w:pStyle w:val="86"/>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color w:val="auto"/>
              </w:rPr>
            </w:pPr>
          </w:p>
          <w:p w14:paraId="1D34A334">
            <w:pPr>
              <w:pStyle w:val="86"/>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color w:val="auto"/>
              </w:rPr>
            </w:pPr>
          </w:p>
          <w:p w14:paraId="5B954A22">
            <w:pPr>
              <w:widowControl/>
              <w:ind w:firstLine="480"/>
              <w:rPr>
                <w:rFonts w:hint="eastAsia"/>
                <w:color w:val="auto"/>
                <w:highlight w:val="none"/>
              </w:rPr>
            </w:pPr>
          </w:p>
          <w:p w14:paraId="7A184843">
            <w:pPr>
              <w:widowControl/>
              <w:ind w:left="0" w:leftChars="0" w:firstLine="0" w:firstLineChars="0"/>
              <w:rPr>
                <w:rFonts w:hint="eastAsia"/>
                <w:color w:val="auto"/>
                <w:highlight w:val="none"/>
              </w:rPr>
            </w:pPr>
          </w:p>
        </w:tc>
      </w:tr>
    </w:tbl>
    <w:p w14:paraId="6B6B6DF3">
      <w:pPr>
        <w:ind w:left="0" w:leftChars="0" w:firstLine="0" w:firstLineChars="0"/>
        <w:rPr>
          <w:rFonts w:hint="eastAsia"/>
          <w:color w:val="auto"/>
          <w:highlight w:val="none"/>
        </w:rPr>
        <w:sectPr>
          <w:pgSz w:w="16838" w:h="11906" w:orient="landscape"/>
          <w:pgMar w:top="1417" w:right="1417" w:bottom="1417" w:left="1417" w:header="737" w:footer="850" w:gutter="0"/>
          <w:pgBorders>
            <w:top w:val="none" w:sz="0" w:space="0"/>
            <w:left w:val="none" w:sz="0" w:space="0"/>
            <w:bottom w:val="none" w:sz="0" w:space="0"/>
            <w:right w:val="none" w:sz="0" w:space="0"/>
          </w:pgBorders>
          <w:pgNumType w:start="1"/>
          <w:cols w:space="0" w:num="1"/>
          <w:rtlGutter w:val="0"/>
          <w:docGrid w:type="lines" w:linePitch="336" w:charSpace="0"/>
        </w:sectPr>
      </w:pP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8809"/>
      </w:tblGrid>
      <w:tr w14:paraId="7D7A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5" w:hRule="atLeast"/>
          <w:jc w:val="center"/>
        </w:trPr>
        <w:tc>
          <w:tcPr>
            <w:tcW w:w="258" w:type="pct"/>
            <w:tcBorders>
              <w:tl2br w:val="nil"/>
              <w:tr2bl w:val="nil"/>
            </w:tcBorders>
            <w:vAlign w:val="center"/>
          </w:tcPr>
          <w:p w14:paraId="23EDC4FA">
            <w:pPr>
              <w:spacing w:after="312" w:afterLines="100"/>
              <w:ind w:firstLine="0" w:firstLineChars="0"/>
              <w:jc w:val="center"/>
              <w:rPr>
                <w:color w:val="auto"/>
                <w:sz w:val="28"/>
                <w:szCs w:val="28"/>
                <w:highlight w:val="none"/>
              </w:rPr>
            </w:pPr>
            <w:r>
              <w:rPr>
                <w:rFonts w:hint="eastAsia" w:ascii="宋体"/>
                <w:color w:val="auto"/>
                <w:highlight w:val="none"/>
              </w:rPr>
              <w:t>运营期环境影响和保护措施</w:t>
            </w:r>
          </w:p>
        </w:tc>
        <w:tc>
          <w:tcPr>
            <w:tcW w:w="4741" w:type="pct"/>
            <w:tcBorders>
              <w:tl2br w:val="nil"/>
              <w:tr2bl w:val="nil"/>
            </w:tcBorders>
          </w:tcPr>
          <w:p w14:paraId="0DD79117">
            <w:pPr>
              <w:bidi w:val="0"/>
              <w:rPr>
                <w:rFonts w:hint="default"/>
                <w:b/>
                <w:bCs/>
                <w:lang w:val="en-US" w:eastAsia="zh-CN"/>
              </w:rPr>
            </w:pPr>
            <w:r>
              <w:rPr>
                <w:rFonts w:hint="eastAsia"/>
                <w:b/>
                <w:bCs/>
                <w:lang w:val="en-US" w:eastAsia="zh-CN"/>
              </w:rPr>
              <w:t>2、废气污染源源强核算及达标分析</w:t>
            </w:r>
          </w:p>
          <w:p w14:paraId="331BCB8E">
            <w:pPr>
              <w:keepNext w:val="0"/>
              <w:keepLines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default" w:ascii="Times New Roman" w:hAnsi="Times New Roman" w:eastAsia="宋体" w:cs="宋体"/>
                <w:b/>
                <w:bCs/>
                <w:color w:val="auto"/>
                <w:sz w:val="24"/>
                <w:szCs w:val="24"/>
                <w:lang w:val="en-US" w:eastAsia="zh-CN"/>
              </w:rPr>
            </w:pPr>
            <w:r>
              <w:rPr>
                <w:rFonts w:hint="eastAsia" w:ascii="Times New Roman" w:hAnsi="Times New Roman" w:eastAsia="Times New Roman" w:cs="宋体"/>
                <w:b/>
                <w:bCs/>
                <w:color w:val="auto"/>
                <w:sz w:val="24"/>
                <w:szCs w:val="24"/>
                <w:lang w:eastAsia="zh-CN"/>
              </w:rPr>
              <w:t>（</w:t>
            </w:r>
            <w:r>
              <w:rPr>
                <w:rFonts w:hint="eastAsia" w:ascii="Times New Roman" w:hAnsi="Times New Roman" w:eastAsia="Times New Roman" w:cs="宋体"/>
                <w:b/>
                <w:bCs/>
                <w:color w:val="auto"/>
                <w:sz w:val="24"/>
                <w:szCs w:val="24"/>
                <w:lang w:val="en-US" w:eastAsia="zh-CN"/>
              </w:rPr>
              <w:t>1</w:t>
            </w:r>
            <w:r>
              <w:rPr>
                <w:rFonts w:hint="eastAsia" w:ascii="Times New Roman" w:hAnsi="Times New Roman" w:eastAsia="Times New Roman" w:cs="宋体"/>
                <w:b/>
                <w:bCs/>
                <w:color w:val="auto"/>
                <w:sz w:val="24"/>
                <w:szCs w:val="24"/>
                <w:lang w:eastAsia="zh-CN"/>
              </w:rPr>
              <w:t>）</w:t>
            </w:r>
            <w:r>
              <w:rPr>
                <w:rFonts w:hint="eastAsia" w:ascii="Times New Roman" w:hAnsi="Times New Roman" w:eastAsia="宋体" w:cs="宋体"/>
                <w:b/>
                <w:bCs/>
                <w:color w:val="auto"/>
                <w:sz w:val="24"/>
                <w:szCs w:val="24"/>
                <w:lang w:val="en-US" w:eastAsia="zh-CN"/>
              </w:rPr>
              <w:t>废气源强</w:t>
            </w:r>
          </w:p>
          <w:p w14:paraId="2C3EE6DD">
            <w:pPr>
              <w:keepNext w:val="0"/>
              <w:keepLines w:val="0"/>
              <w:pageBreakBefore w:val="0"/>
              <w:widowControl w:val="0"/>
              <w:kinsoku/>
              <w:wordWrap w:val="0"/>
              <w:overflowPunct/>
              <w:topLinePunct/>
              <w:autoSpaceDE/>
              <w:autoSpaceDN/>
              <w:bidi w:val="0"/>
              <w:adjustRightInd/>
              <w:snapToGrid/>
              <w:spacing w:line="360" w:lineRule="auto"/>
              <w:ind w:firstLine="482" w:firstLineChars="200"/>
              <w:textAlignment w:val="auto"/>
              <w:rPr>
                <w:rFonts w:hint="eastAsia" w:ascii="Times New Roman" w:hAnsi="Times New Roman" w:eastAsia="宋体" w:cs="宋体"/>
                <w:b/>
                <w:bCs/>
                <w:color w:val="auto"/>
                <w:sz w:val="24"/>
                <w:szCs w:val="24"/>
                <w:lang w:val="en-US" w:eastAsia="zh-CN"/>
              </w:rPr>
            </w:pPr>
            <w:r>
              <w:rPr>
                <w:rFonts w:hint="eastAsia" w:ascii="Times New Roman" w:hAnsi="Times New Roman" w:eastAsia="宋体" w:cs="宋体"/>
                <w:b/>
                <w:bCs/>
                <w:color w:val="auto"/>
                <w:sz w:val="24"/>
                <w:szCs w:val="24"/>
                <w:lang w:val="en-US" w:eastAsia="zh-CN"/>
              </w:rPr>
              <w:t>1）</w:t>
            </w:r>
            <w:r>
              <w:rPr>
                <w:rFonts w:hint="eastAsia" w:cs="宋体"/>
                <w:b/>
                <w:bCs/>
                <w:color w:val="auto"/>
                <w:szCs w:val="24"/>
                <w:lang w:val="en-US" w:eastAsia="zh-CN"/>
              </w:rPr>
              <w:t>EPS包装材料生产线</w:t>
            </w:r>
          </w:p>
          <w:p w14:paraId="575BFC90">
            <w:pPr>
              <w:bidi w:val="0"/>
              <w:rPr>
                <w:rFonts w:hint="default"/>
                <w:lang w:val="en-US" w:eastAsia="zh-CN"/>
              </w:rPr>
            </w:pPr>
            <w:r>
              <w:rPr>
                <w:rFonts w:hint="eastAsia"/>
                <w:lang w:val="en-US" w:eastAsia="zh-CN"/>
              </w:rPr>
              <w:t>本项目EPS包装材料生产线大气污染源主要为发泡、成型、烘干过程中产生的有机废气（非甲烷总烃）以及少量的苯乙烯。</w:t>
            </w:r>
          </w:p>
          <w:p w14:paraId="4BD0D602">
            <w:pPr>
              <w:bidi w:val="0"/>
              <w:rPr>
                <w:rFonts w:hint="eastAsia"/>
                <w:spacing w:val="-2"/>
                <w:lang w:eastAsia="zh-CN"/>
              </w:rPr>
            </w:pPr>
            <w:r>
              <w:rPr>
                <w:rFonts w:hint="eastAsia"/>
                <w:lang w:val="en-US" w:eastAsia="zh-CN"/>
              </w:rPr>
              <w:t>本次评价类比安徽省潘集区“</w:t>
            </w:r>
            <w:r>
              <w:rPr>
                <w:rFonts w:hint="eastAsia" w:ascii="Times New Roman" w:hAnsi="Times New Roman" w:eastAsia="宋体" w:cs="Times New Roman"/>
                <w:lang w:val="en-US" w:eastAsia="zh-CN"/>
              </w:rPr>
              <w:t>安徽中益包装有限公司EPS建设项目</w:t>
            </w:r>
            <w:r>
              <w:rPr>
                <w:rFonts w:hint="eastAsia"/>
                <w:lang w:val="en-US" w:eastAsia="zh-CN"/>
              </w:rPr>
              <w:t>”，</w:t>
            </w:r>
            <w:r>
              <w:rPr>
                <w:spacing w:val="-3"/>
              </w:rPr>
              <w:t>类比项</w:t>
            </w:r>
            <w:r>
              <w:rPr>
                <w:spacing w:val="-2"/>
              </w:rPr>
              <w:t>目主要是进行泡沫箱等泡沫制品生产，与本项目类比情况如下表</w:t>
            </w:r>
            <w:r>
              <w:rPr>
                <w:spacing w:val="-47"/>
              </w:rPr>
              <w:t xml:space="preserve"> </w:t>
            </w:r>
            <w:r>
              <w:rPr>
                <w:spacing w:val="-2"/>
              </w:rPr>
              <w:t>所示</w:t>
            </w:r>
            <w:r>
              <w:rPr>
                <w:rFonts w:hint="eastAsia"/>
                <w:spacing w:val="-2"/>
                <w:lang w:eastAsia="zh-CN"/>
              </w:rPr>
              <w:t>。</w:t>
            </w:r>
          </w:p>
          <w:p w14:paraId="1BB08C12">
            <w:pPr>
              <w:pStyle w:val="44"/>
              <w:bidi w:val="0"/>
            </w:pPr>
            <w:r>
              <w:rPr>
                <w:rFonts w:hint="eastAsia"/>
                <w:lang w:val="en-US" w:eastAsia="zh-CN"/>
              </w:rPr>
              <w:t xml:space="preserve">表4-3 </w:t>
            </w:r>
            <w:r>
              <w:t>类比项目与本项目类比可行性分析表</w:t>
            </w:r>
          </w:p>
          <w:tbl>
            <w:tblPr>
              <w:tblStyle w:val="27"/>
              <w:tblW w:w="84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3765"/>
              <w:gridCol w:w="3491"/>
            </w:tblGrid>
            <w:tr w14:paraId="02704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0E55FFD0">
                  <w:pPr>
                    <w:pStyle w:val="47"/>
                    <w:bidi w:val="0"/>
                    <w:jc w:val="center"/>
                    <w:rPr>
                      <w:rFonts w:hint="default"/>
                      <w:lang w:val="en-US" w:eastAsia="zh-CN"/>
                    </w:rPr>
                  </w:pPr>
                  <w:r>
                    <w:rPr>
                      <w:rFonts w:hint="eastAsia"/>
                      <w:lang w:val="en-US" w:eastAsia="zh-CN"/>
                    </w:rPr>
                    <w:t>项目</w:t>
                  </w:r>
                </w:p>
              </w:tc>
              <w:tc>
                <w:tcPr>
                  <w:tcW w:w="3765" w:type="dxa"/>
                  <w:vAlign w:val="center"/>
                </w:tcPr>
                <w:p w14:paraId="50C67D66">
                  <w:pPr>
                    <w:pStyle w:val="47"/>
                    <w:bidi w:val="0"/>
                    <w:jc w:val="center"/>
                    <w:rPr>
                      <w:rFonts w:hint="default"/>
                      <w:lang w:val="en-US" w:eastAsia="zh-CN"/>
                    </w:rPr>
                  </w:pPr>
                  <w:r>
                    <w:rPr>
                      <w:rFonts w:hint="eastAsia"/>
                      <w:lang w:val="en-US" w:eastAsia="zh-CN"/>
                    </w:rPr>
                    <w:t>类比项目情况</w:t>
                  </w:r>
                </w:p>
              </w:tc>
              <w:tc>
                <w:tcPr>
                  <w:tcW w:w="3491" w:type="dxa"/>
                  <w:vAlign w:val="center"/>
                </w:tcPr>
                <w:p w14:paraId="636300F3">
                  <w:pPr>
                    <w:pStyle w:val="47"/>
                    <w:bidi w:val="0"/>
                    <w:jc w:val="center"/>
                    <w:rPr>
                      <w:rFonts w:hint="default"/>
                      <w:lang w:val="en-US" w:eastAsia="zh-CN"/>
                    </w:rPr>
                  </w:pPr>
                  <w:r>
                    <w:rPr>
                      <w:rFonts w:hint="eastAsia"/>
                      <w:lang w:val="en-US" w:eastAsia="zh-CN"/>
                    </w:rPr>
                    <w:t>本项目建设情况</w:t>
                  </w:r>
                </w:p>
              </w:tc>
            </w:tr>
            <w:tr w14:paraId="2A7C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398FD8D1">
                  <w:pPr>
                    <w:pStyle w:val="47"/>
                    <w:bidi w:val="0"/>
                    <w:jc w:val="center"/>
                    <w:rPr>
                      <w:rFonts w:hint="default"/>
                      <w:lang w:val="en-US" w:eastAsia="zh-CN"/>
                    </w:rPr>
                  </w:pPr>
                  <w:r>
                    <w:rPr>
                      <w:rFonts w:hint="eastAsia"/>
                      <w:lang w:val="en-US" w:eastAsia="zh-CN"/>
                    </w:rPr>
                    <w:t>项目名称</w:t>
                  </w:r>
                </w:p>
              </w:tc>
              <w:tc>
                <w:tcPr>
                  <w:tcW w:w="3765" w:type="dxa"/>
                  <w:vAlign w:val="center"/>
                </w:tcPr>
                <w:p w14:paraId="17BA0EFE">
                  <w:pPr>
                    <w:pStyle w:val="47"/>
                    <w:bidi w:val="0"/>
                    <w:jc w:val="center"/>
                    <w:rPr>
                      <w:rFonts w:hint="default"/>
                      <w:lang w:val="en-US" w:eastAsia="zh-CN"/>
                    </w:rPr>
                  </w:pPr>
                  <w:r>
                    <w:rPr>
                      <w:rFonts w:hint="eastAsia"/>
                      <w:lang w:val="en-US" w:eastAsia="zh-CN"/>
                    </w:rPr>
                    <w:t>安徽中益包装有限公司EPS建设项目</w:t>
                  </w:r>
                </w:p>
              </w:tc>
              <w:tc>
                <w:tcPr>
                  <w:tcW w:w="3491" w:type="dxa"/>
                  <w:vAlign w:val="center"/>
                </w:tcPr>
                <w:p w14:paraId="7D5AECAD">
                  <w:pPr>
                    <w:pStyle w:val="47"/>
                    <w:bidi w:val="0"/>
                    <w:jc w:val="center"/>
                    <w:rPr>
                      <w:rFonts w:hint="default"/>
                      <w:lang w:val="en-US" w:eastAsia="zh-CN"/>
                    </w:rPr>
                  </w:pPr>
                  <w:r>
                    <w:rPr>
                      <w:rFonts w:hint="eastAsia"/>
                      <w:color w:val="auto"/>
                      <w:highlight w:val="none"/>
                      <w:lang w:eastAsia="zh-CN"/>
                    </w:rPr>
                    <w:t>EPP汽车零配件和EPS包装材料生产基地项目</w:t>
                  </w:r>
                </w:p>
              </w:tc>
            </w:tr>
            <w:tr w14:paraId="275D0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3A6B9149">
                  <w:pPr>
                    <w:pStyle w:val="47"/>
                    <w:bidi w:val="0"/>
                    <w:jc w:val="center"/>
                    <w:rPr>
                      <w:rFonts w:hint="default"/>
                      <w:lang w:val="en-US" w:eastAsia="zh-CN"/>
                    </w:rPr>
                  </w:pPr>
                  <w:r>
                    <w:rPr>
                      <w:rFonts w:hint="eastAsia"/>
                      <w:lang w:val="en-US" w:eastAsia="zh-CN"/>
                    </w:rPr>
                    <w:t>建设地址</w:t>
                  </w:r>
                </w:p>
              </w:tc>
              <w:tc>
                <w:tcPr>
                  <w:tcW w:w="3765" w:type="dxa"/>
                  <w:vAlign w:val="center"/>
                </w:tcPr>
                <w:p w14:paraId="294BBBCD">
                  <w:pPr>
                    <w:pStyle w:val="47"/>
                    <w:bidi w:val="0"/>
                    <w:jc w:val="center"/>
                    <w:rPr>
                      <w:rFonts w:hint="default"/>
                      <w:lang w:val="en-US" w:eastAsia="zh-CN"/>
                    </w:rPr>
                  </w:pPr>
                  <w:r>
                    <w:rPr>
                      <w:rFonts w:hint="eastAsia" w:ascii="宋体" w:hAnsi="宋体" w:cs="宋体"/>
                      <w:color w:val="auto"/>
                      <w:szCs w:val="21"/>
                    </w:rPr>
                    <w:t>安徽省淮南市</w:t>
                  </w:r>
                  <w:r>
                    <w:rPr>
                      <w:rFonts w:hint="eastAsia"/>
                      <w:color w:val="auto"/>
                    </w:rPr>
                    <w:t>潘集经济开发区（北区）</w:t>
                  </w:r>
                  <w:r>
                    <w:rPr>
                      <w:rFonts w:hint="eastAsia" w:ascii="宋体" w:hAnsi="宋体" w:cs="宋体"/>
                      <w:color w:val="auto"/>
                      <w:szCs w:val="21"/>
                    </w:rPr>
                    <w:t>纬五路</w:t>
                  </w:r>
                </w:p>
              </w:tc>
              <w:tc>
                <w:tcPr>
                  <w:tcW w:w="3491" w:type="dxa"/>
                  <w:vAlign w:val="center"/>
                </w:tcPr>
                <w:p w14:paraId="0EDF2D6A">
                  <w:pPr>
                    <w:pStyle w:val="47"/>
                    <w:bidi w:val="0"/>
                    <w:jc w:val="center"/>
                    <w:rPr>
                      <w:rFonts w:hint="default" w:eastAsia="宋体"/>
                      <w:lang w:val="en-US" w:eastAsia="zh-CN"/>
                    </w:rPr>
                  </w:pPr>
                  <w:r>
                    <w:rPr>
                      <w:rFonts w:hint="eastAsia" w:ascii="宋体" w:hAnsi="宋体" w:cs="宋体"/>
                      <w:color w:val="auto"/>
                      <w:szCs w:val="21"/>
                    </w:rPr>
                    <w:t>安徽省淮南市</w:t>
                  </w:r>
                  <w:r>
                    <w:rPr>
                      <w:rFonts w:hint="eastAsia"/>
                      <w:color w:val="auto"/>
                    </w:rPr>
                    <w:t>经济开发区</w:t>
                  </w:r>
                  <w:r>
                    <w:rPr>
                      <w:rFonts w:hint="eastAsia"/>
                      <w:color w:val="auto"/>
                      <w:lang w:val="en-US" w:eastAsia="zh-CN"/>
                    </w:rPr>
                    <w:t>吉兴路西侧</w:t>
                  </w:r>
                </w:p>
              </w:tc>
            </w:tr>
            <w:tr w14:paraId="600DA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30619956">
                  <w:pPr>
                    <w:pStyle w:val="47"/>
                    <w:bidi w:val="0"/>
                    <w:jc w:val="center"/>
                    <w:rPr>
                      <w:rFonts w:hint="default"/>
                      <w:lang w:val="en-US" w:eastAsia="zh-CN"/>
                    </w:rPr>
                  </w:pPr>
                  <w:r>
                    <w:rPr>
                      <w:rFonts w:hint="eastAsia"/>
                      <w:lang w:val="en-US" w:eastAsia="zh-CN"/>
                    </w:rPr>
                    <w:t>设计产能</w:t>
                  </w:r>
                </w:p>
              </w:tc>
              <w:tc>
                <w:tcPr>
                  <w:tcW w:w="3765" w:type="dxa"/>
                  <w:vAlign w:val="center"/>
                </w:tcPr>
                <w:p w14:paraId="4AE68167">
                  <w:pPr>
                    <w:pStyle w:val="47"/>
                    <w:bidi w:val="0"/>
                    <w:jc w:val="center"/>
                    <w:rPr>
                      <w:rFonts w:hint="eastAsia"/>
                      <w:lang w:val="en-US" w:eastAsia="zh-CN"/>
                    </w:rPr>
                  </w:pPr>
                  <w:r>
                    <w:rPr>
                      <w:rFonts w:hint="eastAsia"/>
                      <w:lang w:val="en-US" w:eastAsia="zh-CN"/>
                    </w:rPr>
                    <w:t>年生产</w:t>
                  </w:r>
                  <w:r>
                    <w:t xml:space="preserve">年生产泡沫制品 </w:t>
                  </w:r>
                  <w:r>
                    <w:rPr>
                      <w:rFonts w:hint="eastAsia"/>
                      <w:lang w:val="en-US" w:eastAsia="zh-CN"/>
                    </w:rPr>
                    <w:t>5500</w:t>
                  </w:r>
                  <w:r>
                    <w:t>吨/年</w:t>
                  </w:r>
                </w:p>
              </w:tc>
              <w:tc>
                <w:tcPr>
                  <w:tcW w:w="3491" w:type="dxa"/>
                  <w:vAlign w:val="center"/>
                </w:tcPr>
                <w:p w14:paraId="37DC8CA0">
                  <w:pPr>
                    <w:pStyle w:val="47"/>
                    <w:bidi w:val="0"/>
                    <w:jc w:val="center"/>
                    <w:rPr>
                      <w:rFonts w:hint="eastAsia"/>
                    </w:rPr>
                  </w:pPr>
                  <w:r>
                    <w:t>年生产泡沫制品</w:t>
                  </w:r>
                  <w:r>
                    <w:rPr>
                      <w:rFonts w:hint="eastAsia"/>
                      <w:lang w:val="en-US" w:eastAsia="zh-CN"/>
                    </w:rPr>
                    <w:t>6000</w:t>
                  </w:r>
                  <w:r>
                    <w:t>吨/年</w:t>
                  </w:r>
                </w:p>
              </w:tc>
            </w:tr>
            <w:tr w14:paraId="54EB0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1A0769A4">
                  <w:pPr>
                    <w:pStyle w:val="47"/>
                    <w:bidi w:val="0"/>
                    <w:jc w:val="center"/>
                    <w:rPr>
                      <w:rFonts w:hint="default"/>
                      <w:lang w:val="en-US" w:eastAsia="zh-CN"/>
                    </w:rPr>
                  </w:pPr>
                  <w:r>
                    <w:rPr>
                      <w:rFonts w:hint="eastAsia"/>
                      <w:lang w:val="en-US" w:eastAsia="zh-CN"/>
                    </w:rPr>
                    <w:t>生产原料</w:t>
                  </w:r>
                </w:p>
              </w:tc>
              <w:tc>
                <w:tcPr>
                  <w:tcW w:w="3765" w:type="dxa"/>
                  <w:vAlign w:val="center"/>
                </w:tcPr>
                <w:p w14:paraId="7703AF13">
                  <w:pPr>
                    <w:pStyle w:val="47"/>
                    <w:bidi w:val="0"/>
                    <w:jc w:val="center"/>
                    <w:rPr>
                      <w:rFonts w:hint="eastAsia"/>
                      <w:lang w:val="en-US" w:eastAsia="zh-CN"/>
                    </w:rPr>
                  </w:pPr>
                  <w:r>
                    <w:rPr>
                      <w:rFonts w:hint="eastAsia"/>
                    </w:rPr>
                    <w:t>可发性聚苯乙烯（EPS）</w:t>
                  </w:r>
                </w:p>
              </w:tc>
              <w:tc>
                <w:tcPr>
                  <w:tcW w:w="3491" w:type="dxa"/>
                  <w:vAlign w:val="center"/>
                </w:tcPr>
                <w:p w14:paraId="7ECC4F7B">
                  <w:pPr>
                    <w:pStyle w:val="47"/>
                    <w:bidi w:val="0"/>
                    <w:jc w:val="center"/>
                  </w:pPr>
                  <w:r>
                    <w:rPr>
                      <w:rFonts w:hint="eastAsia"/>
                    </w:rPr>
                    <w:t>可发性聚苯乙烯（EPS）</w:t>
                  </w:r>
                </w:p>
              </w:tc>
            </w:tr>
            <w:tr w14:paraId="551F5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107BBBA1">
                  <w:pPr>
                    <w:pStyle w:val="47"/>
                    <w:bidi w:val="0"/>
                    <w:jc w:val="center"/>
                    <w:rPr>
                      <w:rFonts w:hint="default"/>
                      <w:lang w:val="en-US" w:eastAsia="zh-CN"/>
                    </w:rPr>
                  </w:pPr>
                  <w:r>
                    <w:rPr>
                      <w:rFonts w:hint="eastAsia"/>
                      <w:lang w:val="en-US" w:eastAsia="zh-CN"/>
                    </w:rPr>
                    <w:t>生产工艺</w:t>
                  </w:r>
                </w:p>
              </w:tc>
              <w:tc>
                <w:tcPr>
                  <w:tcW w:w="3765" w:type="dxa"/>
                  <w:vAlign w:val="center"/>
                </w:tcPr>
                <w:p w14:paraId="6E2678B2">
                  <w:pPr>
                    <w:pStyle w:val="47"/>
                    <w:bidi w:val="0"/>
                    <w:jc w:val="center"/>
                    <w:rPr>
                      <w:rFonts w:hint="eastAsia"/>
                      <w:lang w:val="en-US" w:eastAsia="zh-CN"/>
                    </w:rPr>
                  </w:pPr>
                  <w:r>
                    <w:t>可发性聚丙乙烯原料→发泡→熟化→成型→冷却脱模→烘干→产品</w:t>
                  </w:r>
                </w:p>
              </w:tc>
              <w:tc>
                <w:tcPr>
                  <w:tcW w:w="3491" w:type="dxa"/>
                  <w:vAlign w:val="center"/>
                </w:tcPr>
                <w:p w14:paraId="425FC7F2">
                  <w:pPr>
                    <w:pStyle w:val="47"/>
                    <w:bidi w:val="0"/>
                    <w:jc w:val="center"/>
                  </w:pPr>
                  <w:r>
                    <w:t>可发性聚丙乙烯原料→发泡→熟化→成型→冷却脱模→烘干→产品</w:t>
                  </w:r>
                </w:p>
              </w:tc>
            </w:tr>
            <w:tr w14:paraId="6A53B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0296DDE4">
                  <w:pPr>
                    <w:pStyle w:val="47"/>
                    <w:bidi w:val="0"/>
                    <w:jc w:val="center"/>
                    <w:rPr>
                      <w:rFonts w:hint="eastAsia"/>
                      <w:lang w:val="en-US" w:eastAsia="zh-CN"/>
                    </w:rPr>
                  </w:pPr>
                  <w:r>
                    <w:t>主要生产设备</w:t>
                  </w:r>
                </w:p>
              </w:tc>
              <w:tc>
                <w:tcPr>
                  <w:tcW w:w="3765" w:type="dxa"/>
                  <w:vAlign w:val="center"/>
                </w:tcPr>
                <w:p w14:paraId="66B13964">
                  <w:pPr>
                    <w:pStyle w:val="47"/>
                    <w:bidi w:val="0"/>
                    <w:jc w:val="center"/>
                  </w:pPr>
                  <w:r>
                    <w:t>发泡机、成型机、烘干房</w:t>
                  </w:r>
                </w:p>
              </w:tc>
              <w:tc>
                <w:tcPr>
                  <w:tcW w:w="3491" w:type="dxa"/>
                  <w:vAlign w:val="center"/>
                </w:tcPr>
                <w:p w14:paraId="77F51084">
                  <w:pPr>
                    <w:pStyle w:val="47"/>
                    <w:bidi w:val="0"/>
                    <w:jc w:val="center"/>
                  </w:pPr>
                  <w:r>
                    <w:t>发泡机、成型机、烘干房</w:t>
                  </w:r>
                </w:p>
              </w:tc>
            </w:tr>
            <w:tr w14:paraId="22327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53D98018">
                  <w:pPr>
                    <w:pStyle w:val="47"/>
                    <w:bidi w:val="0"/>
                    <w:jc w:val="center"/>
                    <w:rPr>
                      <w:rFonts w:hint="default"/>
                      <w:lang w:val="en-US" w:eastAsia="zh-CN"/>
                    </w:rPr>
                  </w:pPr>
                  <w:r>
                    <w:rPr>
                      <w:rFonts w:hint="eastAsia"/>
                      <w:lang w:val="en-US" w:eastAsia="zh-CN"/>
                    </w:rPr>
                    <w:t>环保设施情况</w:t>
                  </w:r>
                </w:p>
              </w:tc>
              <w:tc>
                <w:tcPr>
                  <w:tcW w:w="3765" w:type="dxa"/>
                  <w:vAlign w:val="center"/>
                </w:tcPr>
                <w:p w14:paraId="09160EEE">
                  <w:pPr>
                    <w:pStyle w:val="47"/>
                    <w:bidi w:val="0"/>
                    <w:jc w:val="center"/>
                    <w:rPr>
                      <w:rFonts w:hint="default"/>
                      <w:lang w:val="en-US" w:eastAsia="zh-CN"/>
                    </w:rPr>
                  </w:pPr>
                  <w:r>
                    <w:t>发泡机设置集气罩</w:t>
                  </w:r>
                  <w:r>
                    <w:rPr>
                      <w:rFonts w:hint="eastAsia"/>
                      <w:lang w:val="en-US" w:eastAsia="zh-CN"/>
                    </w:rPr>
                    <w:t>收集</w:t>
                  </w:r>
                  <w:r>
                    <w:rPr>
                      <w:rFonts w:hint="eastAsia"/>
                      <w:lang w:eastAsia="zh-CN"/>
                    </w:rPr>
                    <w:t>，</w:t>
                  </w:r>
                  <w:r>
                    <w:rPr>
                      <w:rFonts w:hint="eastAsia"/>
                      <w:lang w:val="en-US" w:eastAsia="zh-CN"/>
                    </w:rPr>
                    <w:t>成型、烘干废气经集气管道</w:t>
                  </w:r>
                  <w:r>
                    <w:t>收集废气送至</w:t>
                  </w:r>
                  <w:r>
                    <w:rPr>
                      <w:rFonts w:hint="eastAsia"/>
                      <w:lang w:eastAsia="zh-CN"/>
                    </w:rPr>
                    <w:t>“</w:t>
                  </w:r>
                  <w:r>
                    <w:t>二级活性炭设备</w:t>
                  </w:r>
                  <w:r>
                    <w:rPr>
                      <w:rFonts w:hint="eastAsia"/>
                      <w:lang w:eastAsia="zh-CN"/>
                    </w:rPr>
                    <w:t>”</w:t>
                  </w:r>
                  <w:r>
                    <w:t>处理后由15m排气筒排放</w:t>
                  </w:r>
                </w:p>
              </w:tc>
              <w:tc>
                <w:tcPr>
                  <w:tcW w:w="3491" w:type="dxa"/>
                  <w:vAlign w:val="center"/>
                </w:tcPr>
                <w:p w14:paraId="3BAFE4C4">
                  <w:pPr>
                    <w:pStyle w:val="47"/>
                    <w:bidi w:val="0"/>
                    <w:jc w:val="center"/>
                    <w:rPr>
                      <w:rFonts w:hint="default"/>
                      <w:lang w:val="en-US"/>
                    </w:rPr>
                  </w:pPr>
                  <w:r>
                    <w:t>发泡机设置集气罩</w:t>
                  </w:r>
                  <w:r>
                    <w:rPr>
                      <w:rFonts w:hint="eastAsia"/>
                      <w:lang w:val="en-US" w:eastAsia="zh-CN"/>
                    </w:rPr>
                    <w:t>收集</w:t>
                  </w:r>
                  <w:r>
                    <w:rPr>
                      <w:rFonts w:hint="eastAsia"/>
                      <w:lang w:eastAsia="zh-CN"/>
                    </w:rPr>
                    <w:t>，</w:t>
                  </w:r>
                  <w:r>
                    <w:rPr>
                      <w:rFonts w:hint="eastAsia"/>
                      <w:lang w:val="en-US" w:eastAsia="zh-CN"/>
                    </w:rPr>
                    <w:t>成型、烘干废气经集气管道</w:t>
                  </w:r>
                  <w:r>
                    <w:t>收集废气送至</w:t>
                  </w:r>
                  <w:r>
                    <w:rPr>
                      <w:rFonts w:hint="eastAsia"/>
                      <w:lang w:eastAsia="zh-CN"/>
                    </w:rPr>
                    <w:t>“</w:t>
                  </w:r>
                  <w:r>
                    <w:t>二级活性炭设备</w:t>
                  </w:r>
                  <w:r>
                    <w:rPr>
                      <w:rFonts w:hint="eastAsia"/>
                      <w:lang w:eastAsia="zh-CN"/>
                    </w:rPr>
                    <w:t>”</w:t>
                  </w:r>
                  <w:r>
                    <w:t>处理后由15m排气筒排放</w:t>
                  </w:r>
                </w:p>
              </w:tc>
            </w:tr>
            <w:tr w14:paraId="2081F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7CDF8877">
                  <w:pPr>
                    <w:pStyle w:val="47"/>
                    <w:bidi w:val="0"/>
                    <w:jc w:val="center"/>
                    <w:rPr>
                      <w:rFonts w:hint="default"/>
                      <w:lang w:val="en-US" w:eastAsia="zh-CN"/>
                    </w:rPr>
                  </w:pPr>
                  <w:r>
                    <w:rPr>
                      <w:rFonts w:hint="eastAsia"/>
                      <w:lang w:val="en-US" w:eastAsia="zh-CN"/>
                    </w:rPr>
                    <w:t>工作时长</w:t>
                  </w:r>
                </w:p>
              </w:tc>
              <w:tc>
                <w:tcPr>
                  <w:tcW w:w="3765" w:type="dxa"/>
                  <w:vAlign w:val="center"/>
                </w:tcPr>
                <w:p w14:paraId="5E06CD01">
                  <w:pPr>
                    <w:pStyle w:val="47"/>
                    <w:bidi w:val="0"/>
                    <w:jc w:val="center"/>
                    <w:rPr>
                      <w:rFonts w:hint="default" w:eastAsia="宋体"/>
                      <w:lang w:val="en-US" w:eastAsia="zh-CN"/>
                    </w:rPr>
                  </w:pPr>
                  <w:r>
                    <w:rPr>
                      <w:rFonts w:hint="eastAsia"/>
                      <w:lang w:val="en-US" w:eastAsia="zh-CN"/>
                    </w:rPr>
                    <w:t>7200h</w:t>
                  </w:r>
                </w:p>
              </w:tc>
              <w:tc>
                <w:tcPr>
                  <w:tcW w:w="3491" w:type="dxa"/>
                  <w:vAlign w:val="center"/>
                </w:tcPr>
                <w:p w14:paraId="247A1B90">
                  <w:pPr>
                    <w:pStyle w:val="47"/>
                    <w:bidi w:val="0"/>
                    <w:jc w:val="center"/>
                    <w:rPr>
                      <w:rFonts w:hint="default" w:eastAsia="宋体"/>
                      <w:lang w:val="en-US" w:eastAsia="zh-CN"/>
                    </w:rPr>
                  </w:pPr>
                  <w:r>
                    <w:rPr>
                      <w:rFonts w:hint="eastAsia"/>
                      <w:lang w:val="en-US" w:eastAsia="zh-CN"/>
                    </w:rPr>
                    <w:t>7200h</w:t>
                  </w:r>
                </w:p>
              </w:tc>
            </w:tr>
          </w:tbl>
          <w:p w14:paraId="1A21DA72">
            <w:pPr>
              <w:bidi w:val="0"/>
            </w:pPr>
            <w:r>
              <w:t>根据上表，本项目生产规模虽大于类比项目，但是类比项目与本项目生产原料、工艺、主要生产设备及环保设施基本一致，类比可行。</w:t>
            </w:r>
          </w:p>
          <w:p w14:paraId="5AC5589D">
            <w:pPr>
              <w:bidi w:val="0"/>
            </w:pPr>
            <w:r>
              <w:t>查阅类比项目</w:t>
            </w:r>
            <w:r>
              <w:rPr>
                <w:rFonts w:hint="eastAsia"/>
                <w:lang w:eastAsia="zh-CN"/>
              </w:rPr>
              <w:t>“</w:t>
            </w:r>
            <w:r>
              <w:rPr>
                <w:rFonts w:hint="eastAsia"/>
                <w:lang w:val="en-US" w:eastAsia="zh-CN"/>
              </w:rPr>
              <w:t>安徽中益包装有限公司EPS建设项目</w:t>
            </w:r>
            <w:r>
              <w:rPr>
                <w:rFonts w:hint="eastAsia"/>
                <w:lang w:eastAsia="zh-CN"/>
              </w:rPr>
              <w:t>”</w:t>
            </w:r>
            <w:r>
              <w:rPr>
                <w:rFonts w:hint="eastAsia"/>
                <w:lang w:val="en-US" w:eastAsia="zh-CN"/>
              </w:rPr>
              <w:t>2023</w:t>
            </w:r>
            <w:r>
              <w:t>年环保竣工验收报告，类比项目于20</w:t>
            </w:r>
            <w:r>
              <w:rPr>
                <w:rFonts w:hint="eastAsia"/>
                <w:lang w:val="en-US" w:eastAsia="zh-CN"/>
              </w:rPr>
              <w:t>23</w:t>
            </w:r>
            <w:r>
              <w:t>年</w:t>
            </w:r>
            <w:r>
              <w:rPr>
                <w:rFonts w:hint="eastAsia"/>
                <w:lang w:val="en-US" w:eastAsia="zh-CN"/>
              </w:rPr>
              <w:t>6</w:t>
            </w:r>
            <w:r>
              <w:t>月</w:t>
            </w:r>
            <w:r>
              <w:rPr>
                <w:rFonts w:hint="eastAsia"/>
                <w:lang w:val="en-US" w:eastAsia="zh-CN"/>
              </w:rPr>
              <w:t>12</w:t>
            </w:r>
            <w:r>
              <w:t>日和</w:t>
            </w:r>
            <w:r>
              <w:rPr>
                <w:rFonts w:hint="eastAsia"/>
                <w:lang w:val="en-US" w:eastAsia="zh-CN"/>
              </w:rPr>
              <w:t>6</w:t>
            </w:r>
            <w:r>
              <w:t>月</w:t>
            </w:r>
            <w:r>
              <w:rPr>
                <w:rFonts w:hint="eastAsia"/>
                <w:lang w:val="en-US" w:eastAsia="zh-CN"/>
              </w:rPr>
              <w:t>13</w:t>
            </w:r>
            <w:r>
              <w:t>日进行环保竣工验收监测，监测结果如下表所示。</w:t>
            </w:r>
          </w:p>
          <w:p w14:paraId="3B8DDDAF">
            <w:pPr>
              <w:pStyle w:val="74"/>
              <w:bidi w:val="0"/>
              <w:rPr>
                <w:rFonts w:hint="default" w:eastAsia="宋体"/>
                <w:lang w:val="en-US" w:eastAsia="zh-CN"/>
              </w:rPr>
            </w:pPr>
            <w:r>
              <w:rPr>
                <w:rFonts w:hint="eastAsia"/>
                <w:lang w:val="en-US" w:eastAsia="zh-CN"/>
              </w:rPr>
              <w:t xml:space="preserve">表4-4 </w:t>
            </w:r>
            <w:r>
              <w:t>类比项目</w:t>
            </w:r>
            <w:r>
              <w:rPr>
                <w:rFonts w:hint="eastAsia"/>
                <w:lang w:val="en-US" w:eastAsia="zh-CN"/>
              </w:rPr>
              <w:t>环保竣工验收废气监测结果表</w:t>
            </w:r>
          </w:p>
          <w:tbl>
            <w:tblPr>
              <w:tblStyle w:val="102"/>
              <w:tblW w:w="496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10"/>
              <w:gridCol w:w="1095"/>
              <w:gridCol w:w="1248"/>
              <w:gridCol w:w="1095"/>
              <w:gridCol w:w="1294"/>
              <w:gridCol w:w="1295"/>
              <w:gridCol w:w="1171"/>
            </w:tblGrid>
            <w:tr w14:paraId="50B7B1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6" w:hRule="atLeast"/>
                <w:jc w:val="center"/>
              </w:trPr>
              <w:tc>
                <w:tcPr>
                  <w:tcW w:w="769" w:type="pct"/>
                  <w:vMerge w:val="restart"/>
                  <w:shd w:val="clear" w:color="auto" w:fill="auto"/>
                  <w:vAlign w:val="center"/>
                </w:tcPr>
                <w:p w14:paraId="0A817644">
                  <w:pPr>
                    <w:pStyle w:val="47"/>
                    <w:bidi w:val="0"/>
                  </w:pPr>
                  <w:r>
                    <w:rPr>
                      <w:rFonts w:hint="eastAsia"/>
                    </w:rPr>
                    <w:t>采样日期</w:t>
                  </w:r>
                </w:p>
              </w:tc>
              <w:tc>
                <w:tcPr>
                  <w:tcW w:w="643" w:type="pct"/>
                  <w:vMerge w:val="restart"/>
                  <w:shd w:val="clear" w:color="auto" w:fill="auto"/>
                  <w:vAlign w:val="center"/>
                </w:tcPr>
                <w:p w14:paraId="1D999938">
                  <w:pPr>
                    <w:pStyle w:val="47"/>
                    <w:bidi w:val="0"/>
                  </w:pPr>
                  <w:r>
                    <w:rPr>
                      <w:rFonts w:hint="eastAsia"/>
                    </w:rPr>
                    <w:t>采样频次</w:t>
                  </w:r>
                </w:p>
              </w:tc>
              <w:tc>
                <w:tcPr>
                  <w:tcW w:w="2898" w:type="pct"/>
                  <w:gridSpan w:val="4"/>
                  <w:shd w:val="clear" w:color="auto" w:fill="auto"/>
                  <w:vAlign w:val="center"/>
                </w:tcPr>
                <w:p w14:paraId="1F9908A2">
                  <w:pPr>
                    <w:pStyle w:val="47"/>
                    <w:bidi w:val="0"/>
                  </w:pPr>
                  <w:r>
                    <w:rPr>
                      <w:rFonts w:hint="eastAsia"/>
                      <w:lang w:val="en-US" w:eastAsia="zh-CN"/>
                    </w:rPr>
                    <w:t>DA001排气筒</w:t>
                  </w:r>
                </w:p>
              </w:tc>
              <w:tc>
                <w:tcPr>
                  <w:tcW w:w="688" w:type="pct"/>
                  <w:vMerge w:val="restart"/>
                  <w:shd w:val="clear" w:color="auto" w:fill="auto"/>
                  <w:vAlign w:val="center"/>
                </w:tcPr>
                <w:p w14:paraId="4E1A5511">
                  <w:pPr>
                    <w:pStyle w:val="47"/>
                    <w:bidi w:val="0"/>
                    <w:rPr>
                      <w:rFonts w:hint="default"/>
                      <w:lang w:val="en-US" w:eastAsia="zh-CN"/>
                    </w:rPr>
                  </w:pPr>
                  <w:r>
                    <w:rPr>
                      <w:rFonts w:hint="eastAsia"/>
                      <w:lang w:val="en-US" w:eastAsia="zh-CN"/>
                    </w:rPr>
                    <w:t>生产负荷</w:t>
                  </w:r>
                </w:p>
              </w:tc>
            </w:tr>
            <w:tr w14:paraId="2A7526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6" w:hRule="atLeast"/>
                <w:jc w:val="center"/>
              </w:trPr>
              <w:tc>
                <w:tcPr>
                  <w:tcW w:w="769" w:type="pct"/>
                  <w:vMerge w:val="continue"/>
                  <w:shd w:val="clear" w:color="auto" w:fill="auto"/>
                  <w:vAlign w:val="center"/>
                </w:tcPr>
                <w:p w14:paraId="38B944EE">
                  <w:pPr>
                    <w:pStyle w:val="47"/>
                    <w:bidi w:val="0"/>
                  </w:pPr>
                </w:p>
              </w:tc>
              <w:tc>
                <w:tcPr>
                  <w:tcW w:w="643" w:type="pct"/>
                  <w:vMerge w:val="continue"/>
                  <w:shd w:val="clear" w:color="auto" w:fill="auto"/>
                  <w:vAlign w:val="center"/>
                </w:tcPr>
                <w:p w14:paraId="5AFE6613">
                  <w:pPr>
                    <w:pStyle w:val="47"/>
                    <w:bidi w:val="0"/>
                  </w:pPr>
                </w:p>
              </w:tc>
              <w:tc>
                <w:tcPr>
                  <w:tcW w:w="1376" w:type="pct"/>
                  <w:gridSpan w:val="2"/>
                  <w:shd w:val="clear" w:color="auto" w:fill="auto"/>
                  <w:vAlign w:val="center"/>
                </w:tcPr>
                <w:p w14:paraId="250CD909">
                  <w:pPr>
                    <w:pStyle w:val="47"/>
                    <w:bidi w:val="0"/>
                    <w:rPr>
                      <w:rFonts w:hint="eastAsia" w:eastAsia="宋体"/>
                      <w:lang w:val="en-US" w:eastAsia="zh-CN"/>
                    </w:rPr>
                  </w:pPr>
                  <w:r>
                    <w:rPr>
                      <w:rFonts w:hint="eastAsia"/>
                    </w:rPr>
                    <w:t>非甲烷总烃</w:t>
                  </w:r>
                </w:p>
              </w:tc>
              <w:tc>
                <w:tcPr>
                  <w:tcW w:w="1521" w:type="pct"/>
                  <w:gridSpan w:val="2"/>
                  <w:shd w:val="clear" w:color="auto" w:fill="auto"/>
                  <w:vAlign w:val="center"/>
                </w:tcPr>
                <w:p w14:paraId="15FC2933">
                  <w:pPr>
                    <w:pStyle w:val="47"/>
                    <w:bidi w:val="0"/>
                    <w:rPr>
                      <w:rFonts w:hint="default"/>
                      <w:lang w:val="en-US" w:eastAsia="zh-CN"/>
                    </w:rPr>
                  </w:pPr>
                  <w:r>
                    <w:rPr>
                      <w:rFonts w:hint="eastAsia"/>
                      <w:lang w:val="en-US" w:eastAsia="zh-CN"/>
                    </w:rPr>
                    <w:t>苯乙烯</w:t>
                  </w:r>
                </w:p>
              </w:tc>
              <w:tc>
                <w:tcPr>
                  <w:tcW w:w="688" w:type="pct"/>
                  <w:vMerge w:val="continue"/>
                  <w:shd w:val="clear" w:color="auto" w:fill="auto"/>
                  <w:vAlign w:val="center"/>
                </w:tcPr>
                <w:p w14:paraId="330973CB">
                  <w:pPr>
                    <w:pStyle w:val="47"/>
                    <w:bidi w:val="0"/>
                    <w:rPr>
                      <w:rFonts w:hint="eastAsia"/>
                      <w:lang w:val="en-US" w:eastAsia="zh-CN"/>
                    </w:rPr>
                  </w:pPr>
                </w:p>
              </w:tc>
            </w:tr>
            <w:tr w14:paraId="2AA691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6" w:hRule="atLeast"/>
                <w:jc w:val="center"/>
              </w:trPr>
              <w:tc>
                <w:tcPr>
                  <w:tcW w:w="769" w:type="pct"/>
                  <w:vMerge w:val="continue"/>
                  <w:shd w:val="clear" w:color="auto" w:fill="auto"/>
                  <w:vAlign w:val="center"/>
                </w:tcPr>
                <w:p w14:paraId="24E71F68">
                  <w:pPr>
                    <w:pStyle w:val="47"/>
                    <w:bidi w:val="0"/>
                  </w:pPr>
                </w:p>
              </w:tc>
              <w:tc>
                <w:tcPr>
                  <w:tcW w:w="643" w:type="pct"/>
                  <w:vMerge w:val="continue"/>
                  <w:shd w:val="clear" w:color="auto" w:fill="auto"/>
                  <w:vAlign w:val="center"/>
                </w:tcPr>
                <w:p w14:paraId="03B16707">
                  <w:pPr>
                    <w:pStyle w:val="47"/>
                    <w:bidi w:val="0"/>
                  </w:pPr>
                </w:p>
              </w:tc>
              <w:tc>
                <w:tcPr>
                  <w:tcW w:w="733" w:type="pct"/>
                  <w:shd w:val="clear" w:color="auto" w:fill="auto"/>
                  <w:vAlign w:val="center"/>
                </w:tcPr>
                <w:p w14:paraId="3396ED9B">
                  <w:pPr>
                    <w:pStyle w:val="47"/>
                    <w:bidi w:val="0"/>
                    <w:ind w:left="24" w:leftChars="10" w:right="24" w:rightChars="1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排放浓度</w:t>
                  </w:r>
                  <w:r>
                    <w:rPr>
                      <w:rFonts w:hint="eastAsia"/>
                      <w:lang w:eastAsia="zh-CN"/>
                    </w:rPr>
                    <w:t>（</w:t>
                  </w:r>
                  <w:r>
                    <w:rPr>
                      <w:rFonts w:hint="eastAsia"/>
                      <w:lang w:val="en-US" w:eastAsia="zh-CN"/>
                    </w:rPr>
                    <w:t>mg/m³</w:t>
                  </w:r>
                  <w:r>
                    <w:rPr>
                      <w:rFonts w:hint="eastAsia"/>
                      <w:lang w:eastAsia="zh-CN"/>
                    </w:rPr>
                    <w:t>）</w:t>
                  </w:r>
                </w:p>
              </w:tc>
              <w:tc>
                <w:tcPr>
                  <w:tcW w:w="643" w:type="pct"/>
                  <w:shd w:val="clear" w:color="auto" w:fill="auto"/>
                  <w:vAlign w:val="center"/>
                </w:tcPr>
                <w:p w14:paraId="35677374">
                  <w:pPr>
                    <w:pStyle w:val="47"/>
                    <w:bidi w:val="0"/>
                    <w:ind w:left="24" w:leftChars="10" w:right="24" w:rightChars="1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排放速率（kg/h）</w:t>
                  </w:r>
                </w:p>
              </w:tc>
              <w:tc>
                <w:tcPr>
                  <w:tcW w:w="760" w:type="pct"/>
                  <w:shd w:val="clear" w:color="auto" w:fill="auto"/>
                  <w:vAlign w:val="center"/>
                </w:tcPr>
                <w:p w14:paraId="783BA6C3">
                  <w:pPr>
                    <w:pStyle w:val="47"/>
                    <w:bidi w:val="0"/>
                    <w:ind w:left="24" w:leftChars="10" w:right="24" w:rightChars="1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排放浓度</w:t>
                  </w:r>
                  <w:r>
                    <w:rPr>
                      <w:rFonts w:hint="eastAsia"/>
                      <w:lang w:eastAsia="zh-CN"/>
                    </w:rPr>
                    <w:t>（</w:t>
                  </w:r>
                  <w:r>
                    <w:rPr>
                      <w:rFonts w:hint="eastAsia"/>
                      <w:lang w:val="en-US" w:eastAsia="zh-CN"/>
                    </w:rPr>
                    <w:t>mg/m³</w:t>
                  </w:r>
                  <w:r>
                    <w:rPr>
                      <w:rFonts w:hint="eastAsia"/>
                      <w:lang w:eastAsia="zh-CN"/>
                    </w:rPr>
                    <w:t>）</w:t>
                  </w:r>
                </w:p>
              </w:tc>
              <w:tc>
                <w:tcPr>
                  <w:tcW w:w="761" w:type="pct"/>
                  <w:shd w:val="clear" w:color="auto" w:fill="auto"/>
                  <w:vAlign w:val="center"/>
                </w:tcPr>
                <w:p w14:paraId="17E2DE92">
                  <w:pPr>
                    <w:pStyle w:val="47"/>
                    <w:bidi w:val="0"/>
                    <w:ind w:left="24" w:leftChars="10" w:right="24" w:rightChars="1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排放速率（kg/h）</w:t>
                  </w:r>
                </w:p>
              </w:tc>
              <w:tc>
                <w:tcPr>
                  <w:tcW w:w="688" w:type="pct"/>
                  <w:vMerge w:val="continue"/>
                  <w:shd w:val="clear" w:color="auto" w:fill="auto"/>
                  <w:vAlign w:val="center"/>
                </w:tcPr>
                <w:p w14:paraId="776D56EB">
                  <w:pPr>
                    <w:pStyle w:val="47"/>
                    <w:bidi w:val="0"/>
                    <w:rPr>
                      <w:rFonts w:hint="eastAsia"/>
                      <w:lang w:val="en-US" w:eastAsia="zh-CN"/>
                    </w:rPr>
                  </w:pPr>
                </w:p>
              </w:tc>
            </w:tr>
            <w:tr w14:paraId="431071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6" w:hRule="atLeast"/>
                <w:jc w:val="center"/>
              </w:trPr>
              <w:tc>
                <w:tcPr>
                  <w:tcW w:w="769" w:type="pct"/>
                  <w:vMerge w:val="restart"/>
                  <w:shd w:val="clear" w:color="auto" w:fill="auto"/>
                  <w:vAlign w:val="center"/>
                </w:tcPr>
                <w:p w14:paraId="4EEFEAA9">
                  <w:pPr>
                    <w:pStyle w:val="47"/>
                    <w:bidi w:val="0"/>
                  </w:pPr>
                  <w:r>
                    <w:rPr>
                      <w:rFonts w:hint="eastAsia"/>
                      <w:lang w:val="en-US" w:eastAsia="zh-CN"/>
                    </w:rPr>
                    <w:t>2023年06月12日</w:t>
                  </w:r>
                </w:p>
              </w:tc>
              <w:tc>
                <w:tcPr>
                  <w:tcW w:w="643" w:type="pct"/>
                  <w:shd w:val="clear" w:color="auto" w:fill="auto"/>
                  <w:vAlign w:val="center"/>
                </w:tcPr>
                <w:p w14:paraId="4E71F82F">
                  <w:pPr>
                    <w:pStyle w:val="47"/>
                    <w:bidi w:val="0"/>
                  </w:pPr>
                  <w:r>
                    <w:rPr>
                      <w:rFonts w:hint="eastAsia"/>
                    </w:rPr>
                    <w:t>第一次</w:t>
                  </w:r>
                </w:p>
              </w:tc>
              <w:tc>
                <w:tcPr>
                  <w:tcW w:w="733" w:type="pct"/>
                  <w:shd w:val="clear" w:color="auto" w:fill="auto"/>
                  <w:vAlign w:val="center"/>
                </w:tcPr>
                <w:p w14:paraId="6576D4F9">
                  <w:pPr>
                    <w:pStyle w:val="47"/>
                    <w:bidi w:val="0"/>
                    <w:rPr>
                      <w:rFonts w:hint="default"/>
                      <w:lang w:val="en-US" w:eastAsia="zh-CN"/>
                    </w:rPr>
                  </w:pPr>
                  <w:r>
                    <w:rPr>
                      <w:rFonts w:hint="eastAsia"/>
                      <w:lang w:val="en-US" w:eastAsia="zh-CN"/>
                    </w:rPr>
                    <w:t>3.94</w:t>
                  </w:r>
                </w:p>
              </w:tc>
              <w:tc>
                <w:tcPr>
                  <w:tcW w:w="643" w:type="pct"/>
                  <w:shd w:val="clear" w:color="auto" w:fill="auto"/>
                  <w:vAlign w:val="center"/>
                </w:tcPr>
                <w:p w14:paraId="303CDB49">
                  <w:pPr>
                    <w:pStyle w:val="47"/>
                    <w:bidi w:val="0"/>
                    <w:rPr>
                      <w:rFonts w:hint="default"/>
                      <w:lang w:val="en-US" w:eastAsia="zh-CN"/>
                    </w:rPr>
                  </w:pPr>
                  <w:r>
                    <w:rPr>
                      <w:rFonts w:hint="eastAsia"/>
                      <w:lang w:val="en-US" w:eastAsia="zh-CN"/>
                    </w:rPr>
                    <w:t>0.032</w:t>
                  </w:r>
                </w:p>
              </w:tc>
              <w:tc>
                <w:tcPr>
                  <w:tcW w:w="760" w:type="pct"/>
                  <w:shd w:val="clear" w:color="auto" w:fill="auto"/>
                  <w:vAlign w:val="center"/>
                </w:tcPr>
                <w:p w14:paraId="4FBDBAB9">
                  <w:pPr>
                    <w:pStyle w:val="101"/>
                    <w:bidi w:val="0"/>
                    <w:ind w:firstLine="0" w:firstLineChars="0"/>
                    <w:rPr>
                      <w:rFonts w:hint="eastAsia" w:ascii="Times New Roman" w:hAnsi="Times New Roman" w:cs="Times New Roman" w:eastAsiaTheme="minorEastAsia"/>
                      <w:kern w:val="2"/>
                      <w:sz w:val="21"/>
                      <w:szCs w:val="21"/>
                      <w:lang w:val="en-US" w:eastAsia="zh-CN" w:bidi="ar-SA"/>
                    </w:rPr>
                  </w:pPr>
                  <w:r>
                    <w:rPr>
                      <w:rFonts w:hint="eastAsia"/>
                      <w:lang w:val="en-US" w:eastAsia="zh-CN"/>
                    </w:rPr>
                    <w:t>0.414</w:t>
                  </w:r>
                </w:p>
              </w:tc>
              <w:tc>
                <w:tcPr>
                  <w:tcW w:w="761" w:type="pct"/>
                  <w:shd w:val="clear" w:color="auto" w:fill="auto"/>
                  <w:vAlign w:val="center"/>
                </w:tcPr>
                <w:p w14:paraId="3CD66D93">
                  <w:pPr>
                    <w:pStyle w:val="101"/>
                    <w:bidi w:val="0"/>
                    <w:ind w:firstLine="0" w:firstLineChars="0"/>
                    <w:rPr>
                      <w:rFonts w:hint="default"/>
                      <w:lang w:val="en-US" w:eastAsia="zh-CN"/>
                    </w:rPr>
                  </w:pPr>
                  <w:r>
                    <w:rPr>
                      <w:rFonts w:hint="eastAsia"/>
                      <w:lang w:val="en-US" w:eastAsia="zh-CN"/>
                    </w:rPr>
                    <w:t>3.39×10</w:t>
                  </w:r>
                  <w:r>
                    <w:rPr>
                      <w:rFonts w:hint="eastAsia"/>
                      <w:vertAlign w:val="superscript"/>
                      <w:lang w:val="en-US" w:eastAsia="zh-CN"/>
                    </w:rPr>
                    <w:t>-3</w:t>
                  </w:r>
                </w:p>
              </w:tc>
              <w:tc>
                <w:tcPr>
                  <w:tcW w:w="688" w:type="pct"/>
                  <w:vMerge w:val="restart"/>
                  <w:shd w:val="clear" w:color="auto" w:fill="auto"/>
                  <w:vAlign w:val="center"/>
                </w:tcPr>
                <w:p w14:paraId="7F30288C">
                  <w:pPr>
                    <w:pStyle w:val="101"/>
                    <w:bidi w:val="0"/>
                    <w:ind w:firstLine="0" w:firstLineChars="0"/>
                    <w:rPr>
                      <w:rFonts w:hint="default"/>
                      <w:lang w:val="en-US" w:eastAsia="zh-CN"/>
                    </w:rPr>
                  </w:pPr>
                  <w:r>
                    <w:rPr>
                      <w:rFonts w:hint="eastAsia"/>
                      <w:lang w:val="en-US" w:eastAsia="zh-CN"/>
                    </w:rPr>
                    <w:t>76%</w:t>
                  </w:r>
                </w:p>
              </w:tc>
            </w:tr>
            <w:tr w14:paraId="392EF0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6" w:hRule="atLeast"/>
                <w:jc w:val="center"/>
              </w:trPr>
              <w:tc>
                <w:tcPr>
                  <w:tcW w:w="769" w:type="pct"/>
                  <w:vMerge w:val="continue"/>
                  <w:shd w:val="clear" w:color="auto" w:fill="auto"/>
                  <w:vAlign w:val="center"/>
                </w:tcPr>
                <w:p w14:paraId="52D0A8B0">
                  <w:pPr>
                    <w:pStyle w:val="47"/>
                    <w:bidi w:val="0"/>
                  </w:pPr>
                </w:p>
              </w:tc>
              <w:tc>
                <w:tcPr>
                  <w:tcW w:w="643" w:type="pct"/>
                  <w:shd w:val="clear" w:color="auto" w:fill="auto"/>
                  <w:vAlign w:val="center"/>
                </w:tcPr>
                <w:p w14:paraId="2AEAC6EE">
                  <w:pPr>
                    <w:pStyle w:val="47"/>
                    <w:bidi w:val="0"/>
                  </w:pPr>
                  <w:r>
                    <w:rPr>
                      <w:rFonts w:hint="eastAsia"/>
                    </w:rPr>
                    <w:t>第二次</w:t>
                  </w:r>
                </w:p>
              </w:tc>
              <w:tc>
                <w:tcPr>
                  <w:tcW w:w="733" w:type="pct"/>
                  <w:shd w:val="clear" w:color="auto" w:fill="auto"/>
                  <w:vAlign w:val="center"/>
                </w:tcPr>
                <w:p w14:paraId="4B12CC55">
                  <w:pPr>
                    <w:pStyle w:val="47"/>
                    <w:bidi w:val="0"/>
                    <w:rPr>
                      <w:rFonts w:hint="default"/>
                      <w:lang w:val="en-US" w:eastAsia="zh-CN"/>
                    </w:rPr>
                  </w:pPr>
                  <w:r>
                    <w:rPr>
                      <w:rFonts w:hint="eastAsia"/>
                      <w:lang w:val="en-US" w:eastAsia="zh-CN"/>
                    </w:rPr>
                    <w:t>3.91</w:t>
                  </w:r>
                </w:p>
              </w:tc>
              <w:tc>
                <w:tcPr>
                  <w:tcW w:w="643" w:type="pct"/>
                  <w:shd w:val="clear" w:color="auto" w:fill="auto"/>
                  <w:vAlign w:val="center"/>
                </w:tcPr>
                <w:p w14:paraId="78CB7325">
                  <w:pPr>
                    <w:pStyle w:val="47"/>
                    <w:bidi w:val="0"/>
                    <w:rPr>
                      <w:rFonts w:hint="default"/>
                      <w:lang w:val="en-US" w:eastAsia="zh-CN"/>
                    </w:rPr>
                  </w:pPr>
                  <w:r>
                    <w:rPr>
                      <w:rFonts w:hint="eastAsia"/>
                      <w:lang w:val="en-US" w:eastAsia="zh-CN"/>
                    </w:rPr>
                    <w:t>0.038</w:t>
                  </w:r>
                </w:p>
              </w:tc>
              <w:tc>
                <w:tcPr>
                  <w:tcW w:w="760" w:type="pct"/>
                  <w:shd w:val="clear" w:color="auto" w:fill="auto"/>
                  <w:vAlign w:val="center"/>
                </w:tcPr>
                <w:p w14:paraId="7DC906BB">
                  <w:pPr>
                    <w:pStyle w:val="101"/>
                    <w:bidi w:val="0"/>
                    <w:ind w:firstLine="0" w:firstLineChars="0"/>
                    <w:rPr>
                      <w:rFonts w:hint="eastAsia" w:ascii="Times New Roman" w:hAnsi="Times New Roman" w:cs="Times New Roman" w:eastAsiaTheme="minorEastAsia"/>
                      <w:kern w:val="2"/>
                      <w:sz w:val="21"/>
                      <w:szCs w:val="21"/>
                      <w:lang w:val="en-US" w:eastAsia="zh-CN" w:bidi="ar-SA"/>
                    </w:rPr>
                  </w:pPr>
                  <w:r>
                    <w:rPr>
                      <w:rFonts w:hint="eastAsia"/>
                      <w:lang w:val="en-US" w:eastAsia="zh-CN"/>
                    </w:rPr>
                    <w:t>0.397</w:t>
                  </w:r>
                </w:p>
              </w:tc>
              <w:tc>
                <w:tcPr>
                  <w:tcW w:w="761" w:type="pct"/>
                  <w:shd w:val="clear" w:color="auto" w:fill="auto"/>
                  <w:vAlign w:val="center"/>
                </w:tcPr>
                <w:p w14:paraId="62DFA8DF">
                  <w:pPr>
                    <w:pStyle w:val="47"/>
                    <w:bidi w:val="0"/>
                    <w:rPr>
                      <w:rFonts w:hint="eastAsia"/>
                      <w:lang w:val="en-US" w:eastAsia="zh-CN"/>
                    </w:rPr>
                  </w:pPr>
                  <w:r>
                    <w:rPr>
                      <w:rFonts w:hint="eastAsia"/>
                      <w:lang w:val="en-US" w:eastAsia="zh-CN"/>
                    </w:rPr>
                    <w:t>3.83×10</w:t>
                  </w:r>
                  <w:r>
                    <w:rPr>
                      <w:rFonts w:hint="eastAsia"/>
                      <w:vertAlign w:val="superscript"/>
                      <w:lang w:val="en-US" w:eastAsia="zh-CN"/>
                    </w:rPr>
                    <w:t>-3</w:t>
                  </w:r>
                </w:p>
              </w:tc>
              <w:tc>
                <w:tcPr>
                  <w:tcW w:w="688" w:type="pct"/>
                  <w:vMerge w:val="continue"/>
                  <w:shd w:val="clear" w:color="auto" w:fill="auto"/>
                  <w:vAlign w:val="center"/>
                </w:tcPr>
                <w:p w14:paraId="713C1D62">
                  <w:pPr>
                    <w:pStyle w:val="101"/>
                    <w:bidi w:val="0"/>
                    <w:ind w:firstLine="0" w:firstLineChars="0"/>
                    <w:rPr>
                      <w:rFonts w:hint="eastAsia"/>
                      <w:lang w:val="en-US" w:eastAsia="zh-CN"/>
                    </w:rPr>
                  </w:pPr>
                </w:p>
              </w:tc>
            </w:tr>
            <w:tr w14:paraId="7C2D42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9" w:type="pct"/>
                  <w:vMerge w:val="continue"/>
                  <w:shd w:val="clear" w:color="auto" w:fill="auto"/>
                  <w:vAlign w:val="center"/>
                </w:tcPr>
                <w:p w14:paraId="5C51E477">
                  <w:pPr>
                    <w:pStyle w:val="47"/>
                    <w:bidi w:val="0"/>
                  </w:pPr>
                </w:p>
              </w:tc>
              <w:tc>
                <w:tcPr>
                  <w:tcW w:w="643" w:type="pct"/>
                  <w:shd w:val="clear" w:color="auto" w:fill="auto"/>
                  <w:vAlign w:val="center"/>
                </w:tcPr>
                <w:p w14:paraId="1043449B">
                  <w:pPr>
                    <w:pStyle w:val="47"/>
                    <w:bidi w:val="0"/>
                  </w:pPr>
                  <w:r>
                    <w:rPr>
                      <w:rFonts w:hint="eastAsia"/>
                    </w:rPr>
                    <w:t>第三次</w:t>
                  </w:r>
                </w:p>
              </w:tc>
              <w:tc>
                <w:tcPr>
                  <w:tcW w:w="733" w:type="pct"/>
                  <w:shd w:val="clear" w:color="auto" w:fill="auto"/>
                  <w:vAlign w:val="center"/>
                </w:tcPr>
                <w:p w14:paraId="334582C3">
                  <w:pPr>
                    <w:pStyle w:val="47"/>
                    <w:bidi w:val="0"/>
                    <w:rPr>
                      <w:rFonts w:hint="default"/>
                      <w:lang w:val="en-US" w:eastAsia="zh-CN"/>
                    </w:rPr>
                  </w:pPr>
                  <w:r>
                    <w:rPr>
                      <w:rFonts w:hint="eastAsia"/>
                      <w:lang w:val="en-US" w:eastAsia="zh-CN"/>
                    </w:rPr>
                    <w:t>4.02</w:t>
                  </w:r>
                </w:p>
              </w:tc>
              <w:tc>
                <w:tcPr>
                  <w:tcW w:w="643" w:type="pct"/>
                  <w:shd w:val="clear" w:color="auto" w:fill="auto"/>
                  <w:vAlign w:val="center"/>
                </w:tcPr>
                <w:p w14:paraId="2C0977A3">
                  <w:pPr>
                    <w:pStyle w:val="47"/>
                    <w:bidi w:val="0"/>
                    <w:rPr>
                      <w:rFonts w:hint="default"/>
                      <w:lang w:val="en-US" w:eastAsia="zh-CN"/>
                    </w:rPr>
                  </w:pPr>
                  <w:r>
                    <w:rPr>
                      <w:rFonts w:hint="eastAsia"/>
                      <w:lang w:val="en-US" w:eastAsia="zh-CN"/>
                    </w:rPr>
                    <w:t>0.034</w:t>
                  </w:r>
                </w:p>
              </w:tc>
              <w:tc>
                <w:tcPr>
                  <w:tcW w:w="760" w:type="pct"/>
                  <w:shd w:val="clear" w:color="auto" w:fill="auto"/>
                  <w:vAlign w:val="center"/>
                </w:tcPr>
                <w:p w14:paraId="02D9AC53">
                  <w:pPr>
                    <w:pStyle w:val="101"/>
                    <w:bidi w:val="0"/>
                    <w:ind w:firstLine="0" w:firstLineChars="0"/>
                    <w:rPr>
                      <w:rFonts w:hint="eastAsia" w:ascii="Times New Roman" w:hAnsi="Times New Roman" w:cs="Times New Roman" w:eastAsiaTheme="minorEastAsia"/>
                      <w:kern w:val="2"/>
                      <w:sz w:val="21"/>
                      <w:szCs w:val="21"/>
                      <w:lang w:val="en-US" w:eastAsia="zh-CN" w:bidi="ar-SA"/>
                    </w:rPr>
                  </w:pPr>
                  <w:r>
                    <w:rPr>
                      <w:rFonts w:hint="eastAsia"/>
                      <w:lang w:val="en-US" w:eastAsia="zh-CN"/>
                    </w:rPr>
                    <w:t>0.325</w:t>
                  </w:r>
                </w:p>
              </w:tc>
              <w:tc>
                <w:tcPr>
                  <w:tcW w:w="761" w:type="pct"/>
                  <w:shd w:val="clear" w:color="auto" w:fill="auto"/>
                  <w:vAlign w:val="center"/>
                </w:tcPr>
                <w:p w14:paraId="675AB1D5">
                  <w:pPr>
                    <w:pStyle w:val="47"/>
                    <w:bidi w:val="0"/>
                    <w:rPr>
                      <w:rFonts w:hint="eastAsia"/>
                      <w:lang w:val="en-US" w:eastAsia="zh-CN"/>
                    </w:rPr>
                  </w:pPr>
                  <w:r>
                    <w:rPr>
                      <w:rFonts w:hint="eastAsia"/>
                      <w:lang w:val="en-US" w:eastAsia="zh-CN"/>
                    </w:rPr>
                    <w:t>2.74×10</w:t>
                  </w:r>
                  <w:r>
                    <w:rPr>
                      <w:rFonts w:hint="eastAsia"/>
                      <w:vertAlign w:val="superscript"/>
                      <w:lang w:val="en-US" w:eastAsia="zh-CN"/>
                    </w:rPr>
                    <w:t>-3</w:t>
                  </w:r>
                </w:p>
              </w:tc>
              <w:tc>
                <w:tcPr>
                  <w:tcW w:w="688" w:type="pct"/>
                  <w:vMerge w:val="continue"/>
                  <w:shd w:val="clear" w:color="auto" w:fill="auto"/>
                  <w:vAlign w:val="center"/>
                </w:tcPr>
                <w:p w14:paraId="59AC01E8">
                  <w:pPr>
                    <w:pStyle w:val="101"/>
                    <w:bidi w:val="0"/>
                    <w:ind w:firstLine="0" w:firstLineChars="0"/>
                    <w:rPr>
                      <w:rFonts w:hint="eastAsia"/>
                      <w:lang w:val="en-US" w:eastAsia="zh-CN"/>
                    </w:rPr>
                  </w:pPr>
                </w:p>
              </w:tc>
            </w:tr>
            <w:tr w14:paraId="4B10A5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9" w:type="pct"/>
                  <w:vMerge w:val="restart"/>
                  <w:shd w:val="clear" w:color="auto" w:fill="auto"/>
                  <w:vAlign w:val="center"/>
                </w:tcPr>
                <w:p w14:paraId="16C3D249">
                  <w:pPr>
                    <w:pStyle w:val="47"/>
                    <w:bidi w:val="0"/>
                  </w:pPr>
                  <w:r>
                    <w:rPr>
                      <w:rFonts w:hint="eastAsia"/>
                    </w:rPr>
                    <w:t>202</w:t>
                  </w:r>
                  <w:r>
                    <w:rPr>
                      <w:rFonts w:hint="eastAsia"/>
                      <w:lang w:val="en-US" w:eastAsia="zh-CN"/>
                    </w:rPr>
                    <w:t>3</w:t>
                  </w:r>
                  <w:r>
                    <w:rPr>
                      <w:rFonts w:hint="eastAsia"/>
                    </w:rPr>
                    <w:t>年</w:t>
                  </w:r>
                  <w:r>
                    <w:rPr>
                      <w:rFonts w:hint="eastAsia"/>
                      <w:lang w:val="en-US" w:eastAsia="zh-CN"/>
                    </w:rPr>
                    <w:t>06</w:t>
                  </w:r>
                  <w:r>
                    <w:rPr>
                      <w:rFonts w:hint="eastAsia"/>
                    </w:rPr>
                    <w:t>月</w:t>
                  </w:r>
                  <w:r>
                    <w:rPr>
                      <w:rFonts w:hint="eastAsia"/>
                      <w:lang w:val="en-US" w:eastAsia="zh-CN"/>
                    </w:rPr>
                    <w:t>13日</w:t>
                  </w:r>
                </w:p>
              </w:tc>
              <w:tc>
                <w:tcPr>
                  <w:tcW w:w="643" w:type="pct"/>
                  <w:shd w:val="clear" w:color="auto" w:fill="auto"/>
                  <w:vAlign w:val="center"/>
                </w:tcPr>
                <w:p w14:paraId="580D812D">
                  <w:pPr>
                    <w:pStyle w:val="47"/>
                    <w:bidi w:val="0"/>
                  </w:pPr>
                  <w:r>
                    <w:rPr>
                      <w:rFonts w:hint="eastAsia"/>
                    </w:rPr>
                    <w:t>第一次</w:t>
                  </w:r>
                </w:p>
              </w:tc>
              <w:tc>
                <w:tcPr>
                  <w:tcW w:w="733" w:type="pct"/>
                  <w:shd w:val="clear" w:color="auto" w:fill="auto"/>
                  <w:vAlign w:val="center"/>
                </w:tcPr>
                <w:p w14:paraId="04341D13">
                  <w:pPr>
                    <w:pStyle w:val="47"/>
                    <w:bidi w:val="0"/>
                    <w:rPr>
                      <w:rFonts w:hint="default"/>
                      <w:lang w:val="en-US" w:eastAsia="zh-CN"/>
                    </w:rPr>
                  </w:pPr>
                  <w:r>
                    <w:rPr>
                      <w:rFonts w:hint="eastAsia"/>
                      <w:lang w:val="en-US" w:eastAsia="zh-CN"/>
                    </w:rPr>
                    <w:t>4.3</w:t>
                  </w:r>
                </w:p>
              </w:tc>
              <w:tc>
                <w:tcPr>
                  <w:tcW w:w="643" w:type="pct"/>
                  <w:shd w:val="clear" w:color="auto" w:fill="auto"/>
                  <w:vAlign w:val="center"/>
                </w:tcPr>
                <w:p w14:paraId="57A89F33">
                  <w:pPr>
                    <w:pStyle w:val="47"/>
                    <w:bidi w:val="0"/>
                    <w:rPr>
                      <w:rFonts w:hint="default"/>
                      <w:lang w:val="en-US" w:eastAsia="zh-CN"/>
                    </w:rPr>
                  </w:pPr>
                  <w:r>
                    <w:rPr>
                      <w:rFonts w:hint="eastAsia"/>
                      <w:lang w:val="en-US" w:eastAsia="zh-CN"/>
                    </w:rPr>
                    <w:t>0.036</w:t>
                  </w:r>
                </w:p>
              </w:tc>
              <w:tc>
                <w:tcPr>
                  <w:tcW w:w="760" w:type="pct"/>
                  <w:shd w:val="clear" w:color="auto" w:fill="auto"/>
                  <w:vAlign w:val="center"/>
                </w:tcPr>
                <w:p w14:paraId="4080235C">
                  <w:pPr>
                    <w:pStyle w:val="101"/>
                    <w:bidi w:val="0"/>
                    <w:ind w:firstLine="0" w:firstLineChars="0"/>
                    <w:rPr>
                      <w:rFonts w:hint="eastAsia" w:ascii="Times New Roman" w:hAnsi="Times New Roman" w:cs="Times New Roman" w:eastAsiaTheme="minorEastAsia"/>
                      <w:kern w:val="2"/>
                      <w:sz w:val="21"/>
                      <w:szCs w:val="21"/>
                      <w:lang w:val="en-US" w:eastAsia="zh-CN" w:bidi="ar-SA"/>
                    </w:rPr>
                  </w:pPr>
                  <w:r>
                    <w:rPr>
                      <w:rFonts w:hint="eastAsia"/>
                      <w:lang w:val="en-US" w:eastAsia="zh-CN"/>
                    </w:rPr>
                    <w:t>0.567</w:t>
                  </w:r>
                </w:p>
              </w:tc>
              <w:tc>
                <w:tcPr>
                  <w:tcW w:w="761" w:type="pct"/>
                  <w:shd w:val="clear" w:color="auto" w:fill="auto"/>
                  <w:vAlign w:val="center"/>
                </w:tcPr>
                <w:p w14:paraId="4A2CDCE1">
                  <w:pPr>
                    <w:pStyle w:val="47"/>
                    <w:bidi w:val="0"/>
                    <w:rPr>
                      <w:rFonts w:hint="eastAsia"/>
                      <w:lang w:val="en-US" w:eastAsia="zh-CN"/>
                    </w:rPr>
                  </w:pPr>
                  <w:r>
                    <w:rPr>
                      <w:rFonts w:hint="eastAsia"/>
                      <w:lang w:val="en-US" w:eastAsia="zh-CN"/>
                    </w:rPr>
                    <w:t>4.76×10</w:t>
                  </w:r>
                  <w:r>
                    <w:rPr>
                      <w:rFonts w:hint="eastAsia"/>
                      <w:vertAlign w:val="superscript"/>
                      <w:lang w:val="en-US" w:eastAsia="zh-CN"/>
                    </w:rPr>
                    <w:t>-3</w:t>
                  </w:r>
                </w:p>
              </w:tc>
              <w:tc>
                <w:tcPr>
                  <w:tcW w:w="688" w:type="pct"/>
                  <w:vMerge w:val="restart"/>
                  <w:shd w:val="clear" w:color="auto" w:fill="auto"/>
                  <w:vAlign w:val="center"/>
                </w:tcPr>
                <w:p w14:paraId="33A8831C">
                  <w:pPr>
                    <w:pStyle w:val="101"/>
                    <w:bidi w:val="0"/>
                    <w:ind w:firstLine="0" w:firstLineChars="0"/>
                    <w:rPr>
                      <w:rFonts w:hint="default"/>
                      <w:lang w:val="en-US" w:eastAsia="zh-CN"/>
                    </w:rPr>
                  </w:pPr>
                  <w:r>
                    <w:rPr>
                      <w:rFonts w:hint="eastAsia"/>
                      <w:lang w:val="en-US" w:eastAsia="zh-CN"/>
                    </w:rPr>
                    <w:t>76%</w:t>
                  </w:r>
                </w:p>
              </w:tc>
            </w:tr>
            <w:tr w14:paraId="6F8C6E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6" w:hRule="atLeast"/>
                <w:jc w:val="center"/>
              </w:trPr>
              <w:tc>
                <w:tcPr>
                  <w:tcW w:w="769" w:type="pct"/>
                  <w:vMerge w:val="continue"/>
                  <w:shd w:val="clear" w:color="auto" w:fill="auto"/>
                  <w:vAlign w:val="center"/>
                </w:tcPr>
                <w:p w14:paraId="3D09FA83">
                  <w:pPr>
                    <w:pStyle w:val="47"/>
                    <w:bidi w:val="0"/>
                  </w:pPr>
                </w:p>
              </w:tc>
              <w:tc>
                <w:tcPr>
                  <w:tcW w:w="643" w:type="pct"/>
                  <w:shd w:val="clear" w:color="auto" w:fill="auto"/>
                  <w:vAlign w:val="center"/>
                </w:tcPr>
                <w:p w14:paraId="33497877">
                  <w:pPr>
                    <w:pStyle w:val="47"/>
                    <w:bidi w:val="0"/>
                  </w:pPr>
                  <w:r>
                    <w:rPr>
                      <w:rFonts w:hint="eastAsia"/>
                    </w:rPr>
                    <w:t>第二次</w:t>
                  </w:r>
                </w:p>
              </w:tc>
              <w:tc>
                <w:tcPr>
                  <w:tcW w:w="733" w:type="pct"/>
                  <w:shd w:val="clear" w:color="auto" w:fill="auto"/>
                  <w:vAlign w:val="center"/>
                </w:tcPr>
                <w:p w14:paraId="527789EC">
                  <w:pPr>
                    <w:pStyle w:val="47"/>
                    <w:bidi w:val="0"/>
                    <w:rPr>
                      <w:rFonts w:hint="default"/>
                      <w:lang w:val="en-US" w:eastAsia="zh-CN"/>
                    </w:rPr>
                  </w:pPr>
                  <w:r>
                    <w:rPr>
                      <w:rFonts w:hint="eastAsia"/>
                      <w:lang w:val="en-US" w:eastAsia="zh-CN"/>
                    </w:rPr>
                    <w:t>4.36</w:t>
                  </w:r>
                </w:p>
              </w:tc>
              <w:tc>
                <w:tcPr>
                  <w:tcW w:w="643" w:type="pct"/>
                  <w:shd w:val="clear" w:color="auto" w:fill="auto"/>
                  <w:vAlign w:val="center"/>
                </w:tcPr>
                <w:p w14:paraId="711D8A8C">
                  <w:pPr>
                    <w:pStyle w:val="47"/>
                    <w:bidi w:val="0"/>
                    <w:rPr>
                      <w:rFonts w:hint="default"/>
                      <w:lang w:val="en-US" w:eastAsia="zh-CN"/>
                    </w:rPr>
                  </w:pPr>
                  <w:r>
                    <w:rPr>
                      <w:rFonts w:hint="eastAsia"/>
                      <w:lang w:val="en-US" w:eastAsia="zh-CN"/>
                    </w:rPr>
                    <w:t>0.039</w:t>
                  </w:r>
                </w:p>
              </w:tc>
              <w:tc>
                <w:tcPr>
                  <w:tcW w:w="760" w:type="pct"/>
                  <w:shd w:val="clear" w:color="auto" w:fill="auto"/>
                  <w:vAlign w:val="center"/>
                </w:tcPr>
                <w:p w14:paraId="0AEED791">
                  <w:pPr>
                    <w:pStyle w:val="101"/>
                    <w:bidi w:val="0"/>
                    <w:ind w:firstLine="0" w:firstLineChars="0"/>
                    <w:rPr>
                      <w:rFonts w:hint="eastAsia" w:ascii="Times New Roman" w:hAnsi="Times New Roman" w:cs="Times New Roman" w:eastAsiaTheme="minorEastAsia"/>
                      <w:kern w:val="2"/>
                      <w:sz w:val="21"/>
                      <w:szCs w:val="21"/>
                      <w:lang w:val="en-US" w:eastAsia="zh-CN" w:bidi="ar-SA"/>
                    </w:rPr>
                  </w:pPr>
                  <w:r>
                    <w:rPr>
                      <w:rFonts w:hint="eastAsia"/>
                      <w:lang w:val="en-US" w:eastAsia="zh-CN"/>
                    </w:rPr>
                    <w:t>0.728</w:t>
                  </w:r>
                </w:p>
              </w:tc>
              <w:tc>
                <w:tcPr>
                  <w:tcW w:w="761" w:type="pct"/>
                  <w:shd w:val="clear" w:color="auto" w:fill="auto"/>
                  <w:vAlign w:val="center"/>
                </w:tcPr>
                <w:p w14:paraId="1AAA13DD">
                  <w:pPr>
                    <w:pStyle w:val="47"/>
                    <w:bidi w:val="0"/>
                    <w:rPr>
                      <w:rFonts w:hint="eastAsia"/>
                      <w:lang w:val="en-US" w:eastAsia="zh-CN"/>
                    </w:rPr>
                  </w:pPr>
                  <w:r>
                    <w:rPr>
                      <w:rFonts w:hint="eastAsia"/>
                      <w:lang w:val="en-US" w:eastAsia="zh-CN"/>
                    </w:rPr>
                    <w:t>6.44×10</w:t>
                  </w:r>
                  <w:r>
                    <w:rPr>
                      <w:rFonts w:hint="eastAsia"/>
                      <w:vertAlign w:val="superscript"/>
                      <w:lang w:val="en-US" w:eastAsia="zh-CN"/>
                    </w:rPr>
                    <w:t>-3</w:t>
                  </w:r>
                </w:p>
              </w:tc>
              <w:tc>
                <w:tcPr>
                  <w:tcW w:w="688" w:type="pct"/>
                  <w:vMerge w:val="continue"/>
                  <w:shd w:val="clear" w:color="auto" w:fill="auto"/>
                  <w:vAlign w:val="center"/>
                </w:tcPr>
                <w:p w14:paraId="1301F627">
                  <w:pPr>
                    <w:pStyle w:val="101"/>
                    <w:bidi w:val="0"/>
                    <w:ind w:firstLine="0" w:firstLineChars="0"/>
                    <w:rPr>
                      <w:rFonts w:hint="eastAsia"/>
                      <w:lang w:val="en-US" w:eastAsia="zh-CN"/>
                    </w:rPr>
                  </w:pPr>
                </w:p>
              </w:tc>
            </w:tr>
            <w:tr w14:paraId="13DB67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6" w:hRule="atLeast"/>
                <w:jc w:val="center"/>
              </w:trPr>
              <w:tc>
                <w:tcPr>
                  <w:tcW w:w="769" w:type="pct"/>
                  <w:vMerge w:val="continue"/>
                  <w:shd w:val="clear" w:color="auto" w:fill="auto"/>
                  <w:vAlign w:val="center"/>
                </w:tcPr>
                <w:p w14:paraId="09748676">
                  <w:pPr>
                    <w:pStyle w:val="47"/>
                    <w:bidi w:val="0"/>
                  </w:pPr>
                </w:p>
              </w:tc>
              <w:tc>
                <w:tcPr>
                  <w:tcW w:w="643" w:type="pct"/>
                  <w:shd w:val="clear" w:color="auto" w:fill="auto"/>
                  <w:vAlign w:val="center"/>
                </w:tcPr>
                <w:p w14:paraId="2C6AC2B3">
                  <w:pPr>
                    <w:pStyle w:val="47"/>
                    <w:bidi w:val="0"/>
                  </w:pPr>
                  <w:r>
                    <w:rPr>
                      <w:rFonts w:hint="eastAsia"/>
                    </w:rPr>
                    <w:t>第三次</w:t>
                  </w:r>
                </w:p>
              </w:tc>
              <w:tc>
                <w:tcPr>
                  <w:tcW w:w="733" w:type="pct"/>
                  <w:shd w:val="clear" w:color="auto" w:fill="auto"/>
                  <w:vAlign w:val="center"/>
                </w:tcPr>
                <w:p w14:paraId="66E4385A">
                  <w:pPr>
                    <w:pStyle w:val="47"/>
                    <w:bidi w:val="0"/>
                    <w:rPr>
                      <w:rFonts w:hint="default"/>
                      <w:lang w:val="en-US" w:eastAsia="zh-CN"/>
                    </w:rPr>
                  </w:pPr>
                  <w:r>
                    <w:rPr>
                      <w:rFonts w:hint="eastAsia"/>
                      <w:lang w:val="en-US" w:eastAsia="zh-CN"/>
                    </w:rPr>
                    <w:t>4.22</w:t>
                  </w:r>
                </w:p>
              </w:tc>
              <w:tc>
                <w:tcPr>
                  <w:tcW w:w="643" w:type="pct"/>
                  <w:shd w:val="clear" w:color="auto" w:fill="auto"/>
                  <w:vAlign w:val="center"/>
                </w:tcPr>
                <w:p w14:paraId="270CB46B">
                  <w:pPr>
                    <w:pStyle w:val="47"/>
                    <w:bidi w:val="0"/>
                    <w:rPr>
                      <w:rFonts w:hint="default"/>
                      <w:lang w:val="en-US" w:eastAsia="zh-CN"/>
                    </w:rPr>
                  </w:pPr>
                  <w:r>
                    <w:rPr>
                      <w:rFonts w:hint="eastAsia"/>
                      <w:lang w:val="en-US" w:eastAsia="zh-CN"/>
                    </w:rPr>
                    <w:t>0.038</w:t>
                  </w:r>
                </w:p>
              </w:tc>
              <w:tc>
                <w:tcPr>
                  <w:tcW w:w="760" w:type="pct"/>
                  <w:shd w:val="clear" w:color="auto" w:fill="auto"/>
                  <w:vAlign w:val="center"/>
                </w:tcPr>
                <w:p w14:paraId="1D722A93">
                  <w:pPr>
                    <w:pStyle w:val="101"/>
                    <w:bidi w:val="0"/>
                    <w:ind w:firstLine="0" w:firstLineChars="0"/>
                    <w:rPr>
                      <w:rFonts w:hint="eastAsia" w:ascii="Times New Roman" w:hAnsi="Times New Roman" w:cs="Times New Roman" w:eastAsiaTheme="minorEastAsia"/>
                      <w:kern w:val="2"/>
                      <w:sz w:val="21"/>
                      <w:szCs w:val="21"/>
                      <w:lang w:val="en-US" w:eastAsia="zh-CN" w:bidi="ar-SA"/>
                    </w:rPr>
                  </w:pPr>
                  <w:r>
                    <w:rPr>
                      <w:rFonts w:hint="eastAsia"/>
                      <w:lang w:val="en-US" w:eastAsia="zh-CN"/>
                    </w:rPr>
                    <w:t>0.782</w:t>
                  </w:r>
                </w:p>
              </w:tc>
              <w:tc>
                <w:tcPr>
                  <w:tcW w:w="761" w:type="pct"/>
                  <w:shd w:val="clear" w:color="auto" w:fill="auto"/>
                  <w:vAlign w:val="center"/>
                </w:tcPr>
                <w:p w14:paraId="538BA2B3">
                  <w:pPr>
                    <w:pStyle w:val="47"/>
                    <w:bidi w:val="0"/>
                    <w:rPr>
                      <w:rFonts w:hint="eastAsia"/>
                      <w:lang w:val="en-US" w:eastAsia="zh-CN"/>
                    </w:rPr>
                  </w:pPr>
                  <w:r>
                    <w:rPr>
                      <w:rFonts w:hint="eastAsia"/>
                      <w:lang w:val="en-US" w:eastAsia="zh-CN"/>
                    </w:rPr>
                    <w:t>6.99×10</w:t>
                  </w:r>
                  <w:r>
                    <w:rPr>
                      <w:rFonts w:hint="eastAsia"/>
                      <w:vertAlign w:val="superscript"/>
                      <w:lang w:val="en-US" w:eastAsia="zh-CN"/>
                    </w:rPr>
                    <w:t>-3</w:t>
                  </w:r>
                </w:p>
              </w:tc>
              <w:tc>
                <w:tcPr>
                  <w:tcW w:w="688" w:type="pct"/>
                  <w:vMerge w:val="continue"/>
                  <w:shd w:val="clear" w:color="auto" w:fill="auto"/>
                  <w:vAlign w:val="center"/>
                </w:tcPr>
                <w:p w14:paraId="1D942A83">
                  <w:pPr>
                    <w:pStyle w:val="101"/>
                    <w:bidi w:val="0"/>
                    <w:ind w:firstLine="0" w:firstLineChars="0"/>
                    <w:rPr>
                      <w:rFonts w:hint="eastAsia"/>
                      <w:lang w:val="en-US" w:eastAsia="zh-CN"/>
                    </w:rPr>
                  </w:pPr>
                </w:p>
              </w:tc>
            </w:tr>
            <w:tr w14:paraId="45F460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13" w:type="pct"/>
                  <w:gridSpan w:val="2"/>
                  <w:shd w:val="clear" w:color="auto" w:fill="auto"/>
                  <w:vAlign w:val="center"/>
                </w:tcPr>
                <w:p w14:paraId="59A651B2">
                  <w:pPr>
                    <w:pStyle w:val="47"/>
                    <w:bidi w:val="0"/>
                    <w:rPr>
                      <w:rFonts w:hint="eastAsia" w:eastAsia="宋体"/>
                      <w:lang w:val="en-US" w:eastAsia="zh-CN"/>
                    </w:rPr>
                  </w:pPr>
                  <w:r>
                    <w:rPr>
                      <w:rFonts w:hint="eastAsia"/>
                      <w:lang w:val="en-US" w:eastAsia="zh-CN"/>
                    </w:rPr>
                    <w:t>平均值</w:t>
                  </w:r>
                </w:p>
              </w:tc>
              <w:tc>
                <w:tcPr>
                  <w:tcW w:w="733" w:type="pct"/>
                  <w:shd w:val="clear" w:color="auto" w:fill="auto"/>
                  <w:vAlign w:val="center"/>
                </w:tcPr>
                <w:p w14:paraId="77F471B7">
                  <w:pPr>
                    <w:pStyle w:val="47"/>
                    <w:bidi w:val="0"/>
                    <w:rPr>
                      <w:rFonts w:hint="default"/>
                      <w:lang w:val="en-US" w:eastAsia="zh-CN"/>
                    </w:rPr>
                  </w:pPr>
                  <w:r>
                    <w:rPr>
                      <w:rFonts w:hint="eastAsia"/>
                      <w:lang w:val="en-US" w:eastAsia="zh-CN"/>
                    </w:rPr>
                    <w:t>/</w:t>
                  </w:r>
                </w:p>
              </w:tc>
              <w:tc>
                <w:tcPr>
                  <w:tcW w:w="643" w:type="pct"/>
                  <w:shd w:val="clear" w:color="auto" w:fill="auto"/>
                  <w:vAlign w:val="center"/>
                </w:tcPr>
                <w:p w14:paraId="1EF9F1E0">
                  <w:pPr>
                    <w:pStyle w:val="47"/>
                    <w:bidi w:val="0"/>
                    <w:rPr>
                      <w:rFonts w:hint="default"/>
                      <w:lang w:val="en-US" w:eastAsia="zh-CN"/>
                    </w:rPr>
                  </w:pPr>
                  <w:r>
                    <w:rPr>
                      <w:rFonts w:hint="eastAsia"/>
                      <w:lang w:val="en-US" w:eastAsia="zh-CN"/>
                    </w:rPr>
                    <w:t>0.036</w:t>
                  </w:r>
                </w:p>
              </w:tc>
              <w:tc>
                <w:tcPr>
                  <w:tcW w:w="760" w:type="pct"/>
                  <w:shd w:val="clear" w:color="auto" w:fill="auto"/>
                  <w:vAlign w:val="center"/>
                </w:tcPr>
                <w:p w14:paraId="1222F4A7">
                  <w:pPr>
                    <w:pStyle w:val="101"/>
                    <w:bidi w:val="0"/>
                    <w:ind w:firstLine="0" w:firstLineChars="0"/>
                    <w:rPr>
                      <w:rFonts w:hint="default"/>
                      <w:lang w:val="en-US" w:eastAsia="zh-CN"/>
                    </w:rPr>
                  </w:pPr>
                  <w:r>
                    <w:rPr>
                      <w:rFonts w:hint="eastAsia"/>
                      <w:lang w:val="en-US" w:eastAsia="zh-CN"/>
                    </w:rPr>
                    <w:t>/</w:t>
                  </w:r>
                </w:p>
              </w:tc>
              <w:tc>
                <w:tcPr>
                  <w:tcW w:w="761" w:type="pct"/>
                  <w:shd w:val="clear" w:color="auto" w:fill="auto"/>
                  <w:vAlign w:val="center"/>
                </w:tcPr>
                <w:p w14:paraId="33CDC162">
                  <w:pPr>
                    <w:pStyle w:val="47"/>
                    <w:bidi w:val="0"/>
                    <w:rPr>
                      <w:rFonts w:hint="eastAsia"/>
                      <w:lang w:val="en-US" w:eastAsia="zh-CN"/>
                    </w:rPr>
                  </w:pPr>
                  <w:r>
                    <w:rPr>
                      <w:rFonts w:hint="eastAsia"/>
                      <w:lang w:val="en-US" w:eastAsia="zh-CN"/>
                    </w:rPr>
                    <w:t>4.69×10</w:t>
                  </w:r>
                  <w:r>
                    <w:rPr>
                      <w:rFonts w:hint="eastAsia"/>
                      <w:vertAlign w:val="superscript"/>
                      <w:lang w:val="en-US" w:eastAsia="zh-CN"/>
                    </w:rPr>
                    <w:t>-3</w:t>
                  </w:r>
                </w:p>
              </w:tc>
              <w:tc>
                <w:tcPr>
                  <w:tcW w:w="688" w:type="pct"/>
                  <w:shd w:val="clear" w:color="auto" w:fill="auto"/>
                  <w:vAlign w:val="center"/>
                </w:tcPr>
                <w:p w14:paraId="2E665C99">
                  <w:pPr>
                    <w:pStyle w:val="101"/>
                    <w:bidi w:val="0"/>
                    <w:ind w:firstLine="0" w:firstLineChars="0"/>
                    <w:rPr>
                      <w:rFonts w:hint="default"/>
                      <w:lang w:val="en-US" w:eastAsia="zh-CN"/>
                    </w:rPr>
                  </w:pPr>
                  <w:r>
                    <w:rPr>
                      <w:rFonts w:hint="eastAsia"/>
                      <w:lang w:val="en-US" w:eastAsia="zh-CN"/>
                    </w:rPr>
                    <w:t>76%</w:t>
                  </w:r>
                </w:p>
              </w:tc>
            </w:tr>
          </w:tbl>
          <w:p w14:paraId="4580CCCA">
            <w:pPr>
              <w:bidi w:val="0"/>
            </w:pPr>
            <w:r>
              <w:rPr>
                <w:spacing w:val="-3"/>
              </w:rPr>
              <w:t>通过验收监测结果进行折算，排气筒处单位产品泡沫制品废气</w:t>
            </w:r>
            <w:r>
              <w:rPr>
                <w:rFonts w:hint="eastAsia"/>
                <w:spacing w:val="-3"/>
                <w:lang w:val="en-US" w:eastAsia="zh-CN"/>
              </w:rPr>
              <w:t>排放量</w:t>
            </w:r>
            <w:r>
              <w:rPr>
                <w:spacing w:val="-4"/>
              </w:rPr>
              <w:t>平均值</w:t>
            </w:r>
            <w:r>
              <w:t xml:space="preserve"> </w:t>
            </w:r>
            <w:r>
              <w:rPr>
                <w:spacing w:val="-1"/>
              </w:rPr>
              <w:t>为：非甲烷总烃</w:t>
            </w:r>
            <w:r>
              <w:rPr>
                <w:rFonts w:hint="eastAsia"/>
                <w:spacing w:val="-1"/>
                <w:lang w:val="en-US" w:eastAsia="zh-CN"/>
              </w:rPr>
              <w:t>0.061</w:t>
            </w:r>
            <w:r>
              <w:rPr>
                <w:rFonts w:ascii="Times New Roman" w:hAnsi="Times New Roman" w:eastAsia="Times New Roman" w:cs="Times New Roman"/>
                <w:spacing w:val="-1"/>
              </w:rPr>
              <w:t>kg/t·</w:t>
            </w:r>
            <w:r>
              <w:rPr>
                <w:spacing w:val="-1"/>
              </w:rPr>
              <w:t>产品，苯乙烯</w:t>
            </w:r>
            <w:r>
              <w:rPr>
                <w:rFonts w:hint="eastAsia" w:ascii="Times New Roman" w:hAnsi="Times New Roman" w:eastAsia="宋体" w:cs="Times New Roman"/>
                <w:spacing w:val="-1"/>
                <w:lang w:val="en-US" w:eastAsia="zh-CN"/>
              </w:rPr>
              <w:t>0.0</w:t>
            </w:r>
            <w:r>
              <w:rPr>
                <w:rFonts w:hint="eastAsia" w:cs="Times New Roman"/>
                <w:spacing w:val="-1"/>
                <w:lang w:val="en-US" w:eastAsia="zh-CN"/>
              </w:rPr>
              <w:t>080</w:t>
            </w:r>
            <w:r>
              <w:rPr>
                <w:rFonts w:ascii="Times New Roman" w:hAnsi="Times New Roman" w:eastAsia="Times New Roman" w:cs="Times New Roman"/>
                <w:spacing w:val="-1"/>
              </w:rPr>
              <w:t>kg/t·</w:t>
            </w:r>
            <w:r>
              <w:rPr>
                <w:spacing w:val="-1"/>
              </w:rPr>
              <w:t>产品。</w:t>
            </w:r>
            <w:r>
              <w:rPr>
                <w:rFonts w:hint="eastAsia"/>
                <w:spacing w:val="-1"/>
                <w:lang w:val="en-US" w:eastAsia="zh-CN"/>
              </w:rPr>
              <w:t>参考类比项目环评</w:t>
            </w:r>
            <w:r>
              <w:rPr>
                <w:spacing w:val="-1"/>
              </w:rPr>
              <w:t>集气</w:t>
            </w:r>
            <w:r>
              <w:rPr>
                <w:spacing w:val="-2"/>
              </w:rPr>
              <w:t>罩集气效率取值</w:t>
            </w:r>
            <w:r>
              <w:rPr>
                <w:rFonts w:hint="eastAsia" w:ascii="Times New Roman" w:hAnsi="Times New Roman" w:eastAsia="宋体" w:cs="Times New Roman"/>
                <w:spacing w:val="-2"/>
                <w:lang w:val="en-US" w:eastAsia="zh-CN"/>
              </w:rPr>
              <w:t>90</w:t>
            </w:r>
            <w:r>
              <w:rPr>
                <w:rFonts w:ascii="Times New Roman" w:hAnsi="Times New Roman" w:eastAsia="Times New Roman" w:cs="Times New Roman"/>
                <w:spacing w:val="-2"/>
              </w:rPr>
              <w:t>%</w:t>
            </w:r>
            <w:r>
              <w:rPr>
                <w:spacing w:val="-2"/>
              </w:rPr>
              <w:t>，</w:t>
            </w:r>
            <w:r>
              <w:rPr>
                <w:rFonts w:hint="eastAsia"/>
                <w:spacing w:val="-2"/>
                <w:lang w:eastAsia="zh-CN"/>
              </w:rPr>
              <w:t>，</w:t>
            </w:r>
            <w:r>
              <w:rPr>
                <w:rFonts w:hint="eastAsia"/>
                <w:spacing w:val="-2"/>
                <w:lang w:val="en-US" w:eastAsia="zh-CN"/>
              </w:rPr>
              <w:t>二级活性炭有机废气去除率取值90%，则</w:t>
            </w:r>
            <w:r>
              <w:rPr>
                <w:spacing w:val="-2"/>
              </w:rPr>
              <w:t>废气</w:t>
            </w:r>
            <w:r>
              <w:rPr>
                <w:rFonts w:hint="eastAsia"/>
                <w:spacing w:val="-2"/>
                <w:lang w:val="en-US" w:eastAsia="zh-CN"/>
              </w:rPr>
              <w:t>产污系数为</w:t>
            </w:r>
            <w:r>
              <w:rPr>
                <w:spacing w:val="-1"/>
              </w:rPr>
              <w:t>：非甲烷总烃</w:t>
            </w:r>
            <w:r>
              <w:rPr>
                <w:rFonts w:hint="eastAsia"/>
                <w:spacing w:val="-1"/>
                <w:lang w:val="en-US" w:eastAsia="zh-CN"/>
              </w:rPr>
              <w:t>0.68</w:t>
            </w:r>
            <w:r>
              <w:rPr>
                <w:rFonts w:ascii="Times New Roman" w:hAnsi="Times New Roman" w:eastAsia="Times New Roman" w:cs="Times New Roman"/>
                <w:spacing w:val="-1"/>
              </w:rPr>
              <w:t>kg/t·</w:t>
            </w:r>
            <w:r>
              <w:rPr>
                <w:spacing w:val="-1"/>
              </w:rPr>
              <w:t>产品，苯乙烯</w:t>
            </w:r>
            <w:r>
              <w:rPr>
                <w:rFonts w:hint="eastAsia" w:cs="Times New Roman"/>
                <w:spacing w:val="-1"/>
                <w:lang w:val="en-US" w:eastAsia="zh-CN"/>
              </w:rPr>
              <w:t>0.09</w:t>
            </w:r>
            <w:r>
              <w:rPr>
                <w:rFonts w:ascii="Times New Roman" w:hAnsi="Times New Roman" w:eastAsia="Times New Roman" w:cs="Times New Roman"/>
                <w:spacing w:val="-2"/>
              </w:rPr>
              <w:t>kg/t·</w:t>
            </w:r>
            <w:r>
              <w:rPr>
                <w:spacing w:val="-2"/>
              </w:rPr>
              <w:t>产品</w:t>
            </w:r>
          </w:p>
          <w:p w14:paraId="34B463A6">
            <w:pPr>
              <w:bidi w:val="0"/>
              <w:rPr>
                <w:rFonts w:hint="default"/>
                <w:b/>
                <w:bCs/>
                <w:lang w:val="en-US" w:eastAsia="zh-CN"/>
              </w:rPr>
            </w:pPr>
            <w:r>
              <w:rPr>
                <w:rFonts w:hint="eastAsia"/>
                <w:b/>
                <w:bCs/>
                <w:lang w:val="en-US" w:eastAsia="zh-CN"/>
              </w:rPr>
              <w:t>②有机废气源强</w:t>
            </w:r>
          </w:p>
          <w:p w14:paraId="144A01DE">
            <w:pPr>
              <w:bidi w:val="0"/>
              <w:rPr>
                <w:rFonts w:hint="eastAsia"/>
                <w:lang w:val="en-US" w:eastAsia="zh-CN"/>
              </w:rPr>
            </w:pPr>
            <w:r>
              <w:rPr>
                <w:rFonts w:hint="eastAsia"/>
                <w:lang w:val="en-US" w:eastAsia="zh-CN"/>
              </w:rPr>
              <w:t>本项目EPS包装材料生产线年生产EPS包装材料6000t，则有机废气（以非甲烷总烃计）产生量为4.08t/a，苯乙烯0.54t/a。</w:t>
            </w:r>
          </w:p>
          <w:p w14:paraId="3D25B774">
            <w:pPr>
              <w:bidi w:val="0"/>
            </w:pPr>
            <w:r>
              <w:t>根据企业</w:t>
            </w:r>
            <w:r>
              <w:rPr>
                <w:rFonts w:hint="eastAsia"/>
                <w:lang w:val="en-US" w:eastAsia="zh-CN"/>
              </w:rPr>
              <w:t>提供资料</w:t>
            </w:r>
            <w:r>
              <w:t>，泡沫箱制品生产过程有机废气约 8</w:t>
            </w:r>
            <w:r>
              <w:rPr>
                <w:rFonts w:hint="eastAsia"/>
                <w:lang w:val="en-US" w:eastAsia="zh-CN"/>
              </w:rPr>
              <w:t>5</w:t>
            </w:r>
            <w:r>
              <w:t>%在预发泡过程中产生，约1</w:t>
            </w:r>
            <w:r>
              <w:rPr>
                <w:rFonts w:hint="eastAsia"/>
                <w:lang w:val="en-US" w:eastAsia="zh-CN"/>
              </w:rPr>
              <w:t>3</w:t>
            </w:r>
            <w:r>
              <w:t>%在成型过程中产生，约</w:t>
            </w:r>
            <w:r>
              <w:rPr>
                <w:rFonts w:hint="eastAsia"/>
                <w:lang w:val="en-US" w:eastAsia="zh-CN"/>
              </w:rPr>
              <w:t>2</w:t>
            </w:r>
            <w:r>
              <w:t>%在烘干过程中产生。则本项目生产工艺各工序</w:t>
            </w:r>
            <w:r>
              <w:rPr>
                <w:rFonts w:hint="eastAsia"/>
                <w:lang w:val="en-US" w:eastAsia="zh-CN"/>
              </w:rPr>
              <w:t>非甲烷总烃</w:t>
            </w:r>
            <w:r>
              <w:t>挥发产生情况如下表所示。</w:t>
            </w:r>
          </w:p>
          <w:p w14:paraId="4F6B508D">
            <w:pPr>
              <w:pStyle w:val="74"/>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表 4-</w:t>
            </w:r>
            <w:r>
              <w:rPr>
                <w:rFonts w:hint="eastAsia" w:cs="Times New Roman"/>
                <w:lang w:val="en-US" w:eastAsia="zh-CN"/>
              </w:rPr>
              <w:t>5</w:t>
            </w:r>
            <w:r>
              <w:rPr>
                <w:rFonts w:hint="eastAsia" w:ascii="Times New Roman" w:hAnsi="Times New Roman" w:eastAsia="宋体" w:cs="Times New Roman"/>
                <w:lang w:val="en-US" w:eastAsia="zh-CN"/>
              </w:rPr>
              <w:t xml:space="preserve"> </w:t>
            </w:r>
            <w:r>
              <w:rPr>
                <w:rFonts w:hint="eastAsia"/>
                <w:color w:val="000000" w:themeColor="text1"/>
                <w:lang w:val="en-US" w:eastAsia="zh-CN"/>
                <w14:textFill>
                  <w14:solidFill>
                    <w14:schemeClr w14:val="tx1"/>
                  </w14:solidFill>
                </w14:textFill>
              </w:rPr>
              <w:t>EPS包装材料生产线</w:t>
            </w:r>
            <w:r>
              <w:rPr>
                <w:rFonts w:hint="eastAsia" w:ascii="Times New Roman" w:hAnsi="Times New Roman" w:eastAsia="宋体" w:cs="Times New Roman"/>
                <w:lang w:val="en-US" w:eastAsia="zh-CN"/>
              </w:rPr>
              <w:t>非甲烷总烃、苯乙烯产生情况</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718"/>
              <w:gridCol w:w="1305"/>
              <w:gridCol w:w="1140"/>
              <w:gridCol w:w="1440"/>
              <w:gridCol w:w="1680"/>
            </w:tblGrid>
            <w:tr w14:paraId="1A5D0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71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228451">
                  <w:pPr>
                    <w:pStyle w:val="47"/>
                    <w:bidi w:val="0"/>
                    <w:jc w:val="center"/>
                    <w:rPr>
                      <w:rFonts w:hint="eastAsia"/>
                    </w:rPr>
                  </w:pPr>
                  <w:r>
                    <w:rPr>
                      <w:rFonts w:hint="eastAsia"/>
                      <w:lang w:val="en-US" w:eastAsia="zh-CN"/>
                    </w:rPr>
                    <w:t>工序</w:t>
                  </w:r>
                </w:p>
              </w:tc>
              <w:tc>
                <w:tcPr>
                  <w:tcW w:w="13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76294F">
                  <w:pPr>
                    <w:pStyle w:val="47"/>
                    <w:bidi w:val="0"/>
                    <w:jc w:val="center"/>
                    <w:rPr>
                      <w:rFonts w:hint="eastAsia"/>
                    </w:rPr>
                  </w:pPr>
                  <w:r>
                    <w:rPr>
                      <w:rFonts w:hint="eastAsia"/>
                      <w:lang w:val="en-US" w:eastAsia="zh-CN"/>
                    </w:rPr>
                    <w:t>发泡</w:t>
                  </w:r>
                </w:p>
              </w:tc>
              <w:tc>
                <w:tcPr>
                  <w:tcW w:w="11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5856C5">
                  <w:pPr>
                    <w:pStyle w:val="47"/>
                    <w:bidi w:val="0"/>
                    <w:jc w:val="center"/>
                    <w:rPr>
                      <w:rFonts w:hint="eastAsia"/>
                    </w:rPr>
                  </w:pPr>
                  <w:r>
                    <w:rPr>
                      <w:rFonts w:hint="eastAsia"/>
                      <w:lang w:val="en-US" w:eastAsia="zh-CN"/>
                    </w:rPr>
                    <w:t>成型</w:t>
                  </w:r>
                </w:p>
              </w:tc>
              <w:tc>
                <w:tcPr>
                  <w:tcW w:w="14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3C15C1">
                  <w:pPr>
                    <w:pStyle w:val="47"/>
                    <w:bidi w:val="0"/>
                    <w:jc w:val="center"/>
                    <w:rPr>
                      <w:rFonts w:hint="eastAsia"/>
                    </w:rPr>
                  </w:pPr>
                  <w:r>
                    <w:rPr>
                      <w:rFonts w:hint="eastAsia"/>
                      <w:lang w:val="en-US" w:eastAsia="zh-CN"/>
                    </w:rPr>
                    <w:t>烘干</w:t>
                  </w:r>
                </w:p>
              </w:tc>
              <w:tc>
                <w:tcPr>
                  <w:tcW w:w="16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3CFF82">
                  <w:pPr>
                    <w:pStyle w:val="47"/>
                    <w:bidi w:val="0"/>
                    <w:jc w:val="center"/>
                    <w:rPr>
                      <w:rFonts w:hint="eastAsia"/>
                    </w:rPr>
                  </w:pPr>
                  <w:r>
                    <w:rPr>
                      <w:rFonts w:hint="eastAsia"/>
                      <w:lang w:val="en-US" w:eastAsia="zh-CN"/>
                    </w:rPr>
                    <w:t>合计</w:t>
                  </w:r>
                </w:p>
              </w:tc>
            </w:tr>
            <w:tr w14:paraId="3A57A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18" w:type="dxa"/>
                  <w:tcBorders>
                    <w:top w:val="nil"/>
                    <w:left w:val="single" w:color="000000" w:sz="8" w:space="0"/>
                    <w:bottom w:val="single" w:color="000000" w:sz="8" w:space="0"/>
                    <w:right w:val="single" w:color="000000" w:sz="8" w:space="0"/>
                  </w:tcBorders>
                  <w:shd w:val="clear" w:color="auto" w:fill="auto"/>
                  <w:vAlign w:val="center"/>
                </w:tcPr>
                <w:p w14:paraId="5308DC52">
                  <w:pPr>
                    <w:pStyle w:val="47"/>
                    <w:bidi w:val="0"/>
                    <w:jc w:val="center"/>
                    <w:rPr>
                      <w:rFonts w:hint="eastAsia"/>
                    </w:rPr>
                  </w:pPr>
                  <w:r>
                    <w:rPr>
                      <w:rFonts w:hint="eastAsia"/>
                      <w:lang w:val="en-US" w:eastAsia="zh-CN"/>
                    </w:rPr>
                    <w:t>比例（</w:t>
                  </w:r>
                  <w:r>
                    <w:rPr>
                      <w:rFonts w:hint="default"/>
                      <w:lang w:val="en-US" w:eastAsia="zh-CN"/>
                    </w:rPr>
                    <w:t>%</w:t>
                  </w:r>
                  <w:r>
                    <w:rPr>
                      <w:rFonts w:hint="eastAsia"/>
                      <w:lang w:val="en-US" w:eastAsia="zh-CN"/>
                    </w:rPr>
                    <w:t>）</w:t>
                  </w:r>
                </w:p>
              </w:tc>
              <w:tc>
                <w:tcPr>
                  <w:tcW w:w="1305" w:type="dxa"/>
                  <w:tcBorders>
                    <w:top w:val="nil"/>
                    <w:left w:val="single" w:color="000000" w:sz="8" w:space="0"/>
                    <w:bottom w:val="single" w:color="000000" w:sz="8" w:space="0"/>
                    <w:right w:val="single" w:color="000000" w:sz="8" w:space="0"/>
                  </w:tcBorders>
                  <w:shd w:val="clear" w:color="auto" w:fill="auto"/>
                  <w:vAlign w:val="center"/>
                </w:tcPr>
                <w:p w14:paraId="29555BD9">
                  <w:pPr>
                    <w:pStyle w:val="47"/>
                    <w:bidi w:val="0"/>
                    <w:jc w:val="center"/>
                    <w:rPr>
                      <w:rFonts w:hint="default"/>
                    </w:rPr>
                  </w:pPr>
                  <w:r>
                    <w:rPr>
                      <w:rFonts w:hint="default"/>
                      <w:lang w:val="en-US" w:eastAsia="zh-CN"/>
                    </w:rPr>
                    <w:t>85</w:t>
                  </w:r>
                </w:p>
              </w:tc>
              <w:tc>
                <w:tcPr>
                  <w:tcW w:w="1140" w:type="dxa"/>
                  <w:tcBorders>
                    <w:top w:val="nil"/>
                    <w:left w:val="single" w:color="000000" w:sz="8" w:space="0"/>
                    <w:bottom w:val="single" w:color="000000" w:sz="8" w:space="0"/>
                    <w:right w:val="single" w:color="000000" w:sz="8" w:space="0"/>
                  </w:tcBorders>
                  <w:shd w:val="clear" w:color="auto" w:fill="auto"/>
                  <w:vAlign w:val="center"/>
                </w:tcPr>
                <w:p w14:paraId="6E74F8A5">
                  <w:pPr>
                    <w:pStyle w:val="47"/>
                    <w:bidi w:val="0"/>
                    <w:jc w:val="center"/>
                    <w:rPr>
                      <w:rFonts w:hint="default"/>
                    </w:rPr>
                  </w:pPr>
                  <w:r>
                    <w:rPr>
                      <w:rFonts w:hint="default"/>
                      <w:lang w:val="en-US" w:eastAsia="zh-CN"/>
                    </w:rPr>
                    <w:t>13</w:t>
                  </w:r>
                </w:p>
              </w:tc>
              <w:tc>
                <w:tcPr>
                  <w:tcW w:w="1440" w:type="dxa"/>
                  <w:tcBorders>
                    <w:top w:val="nil"/>
                    <w:left w:val="single" w:color="000000" w:sz="8" w:space="0"/>
                    <w:bottom w:val="single" w:color="000000" w:sz="8" w:space="0"/>
                    <w:right w:val="single" w:color="000000" w:sz="8" w:space="0"/>
                  </w:tcBorders>
                  <w:shd w:val="clear" w:color="auto" w:fill="auto"/>
                  <w:vAlign w:val="center"/>
                </w:tcPr>
                <w:p w14:paraId="00055D2A">
                  <w:pPr>
                    <w:pStyle w:val="47"/>
                    <w:bidi w:val="0"/>
                    <w:jc w:val="center"/>
                    <w:rPr>
                      <w:rFonts w:hint="default"/>
                    </w:rPr>
                  </w:pPr>
                  <w:r>
                    <w:rPr>
                      <w:rFonts w:hint="default"/>
                      <w:lang w:val="en-US" w:eastAsia="zh-CN"/>
                    </w:rPr>
                    <w:t>2</w:t>
                  </w:r>
                </w:p>
              </w:tc>
              <w:tc>
                <w:tcPr>
                  <w:tcW w:w="1680" w:type="dxa"/>
                  <w:tcBorders>
                    <w:top w:val="nil"/>
                    <w:left w:val="single" w:color="000000" w:sz="8" w:space="0"/>
                    <w:bottom w:val="single" w:color="000000" w:sz="8" w:space="0"/>
                    <w:right w:val="single" w:color="000000" w:sz="8" w:space="0"/>
                  </w:tcBorders>
                  <w:shd w:val="clear" w:color="auto" w:fill="auto"/>
                  <w:vAlign w:val="center"/>
                </w:tcPr>
                <w:p w14:paraId="1C3D3E58">
                  <w:pPr>
                    <w:pStyle w:val="47"/>
                    <w:bidi w:val="0"/>
                    <w:jc w:val="center"/>
                    <w:rPr>
                      <w:rFonts w:hint="default"/>
                    </w:rPr>
                  </w:pPr>
                  <w:r>
                    <w:rPr>
                      <w:rFonts w:hint="default"/>
                      <w:lang w:val="en-US" w:eastAsia="zh-CN"/>
                    </w:rPr>
                    <w:t>100</w:t>
                  </w:r>
                </w:p>
              </w:tc>
            </w:tr>
            <w:tr w14:paraId="6FB1C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18" w:type="dxa"/>
                  <w:tcBorders>
                    <w:top w:val="nil"/>
                    <w:left w:val="single" w:color="000000" w:sz="8" w:space="0"/>
                    <w:bottom w:val="single" w:color="000000" w:sz="8" w:space="0"/>
                    <w:right w:val="single" w:color="000000" w:sz="8" w:space="0"/>
                  </w:tcBorders>
                  <w:shd w:val="clear" w:color="auto" w:fill="auto"/>
                  <w:vAlign w:val="center"/>
                </w:tcPr>
                <w:p w14:paraId="521A873F">
                  <w:pPr>
                    <w:pStyle w:val="47"/>
                    <w:bidi w:val="0"/>
                    <w:jc w:val="center"/>
                    <w:rPr>
                      <w:rFonts w:hint="eastAsia"/>
                    </w:rPr>
                  </w:pPr>
                  <w:r>
                    <w:rPr>
                      <w:rFonts w:hint="eastAsia"/>
                      <w:lang w:val="en-US" w:eastAsia="zh-CN"/>
                    </w:rPr>
                    <w:t>非甲烷总烃产生量（</w:t>
                  </w:r>
                  <w:r>
                    <w:rPr>
                      <w:rFonts w:hint="default"/>
                      <w:lang w:val="en-US" w:eastAsia="zh-CN"/>
                    </w:rPr>
                    <w:t>t/a</w:t>
                  </w:r>
                  <w:r>
                    <w:rPr>
                      <w:rFonts w:hint="eastAsia"/>
                      <w:lang w:val="en-US" w:eastAsia="zh-CN"/>
                    </w:rPr>
                    <w:t>）</w:t>
                  </w:r>
                </w:p>
              </w:tc>
              <w:tc>
                <w:tcPr>
                  <w:tcW w:w="1305" w:type="dxa"/>
                  <w:tcBorders>
                    <w:top w:val="nil"/>
                    <w:left w:val="single" w:color="000000" w:sz="8" w:space="0"/>
                    <w:bottom w:val="single" w:color="000000" w:sz="8" w:space="0"/>
                    <w:right w:val="single" w:color="000000" w:sz="8" w:space="0"/>
                  </w:tcBorders>
                  <w:shd w:val="clear" w:color="auto" w:fill="auto"/>
                  <w:vAlign w:val="center"/>
                </w:tcPr>
                <w:p w14:paraId="27D27948">
                  <w:pPr>
                    <w:pStyle w:val="47"/>
                    <w:bidi w:val="0"/>
                    <w:jc w:val="center"/>
                    <w:rPr>
                      <w:rFonts w:hint="default"/>
                      <w:lang w:val="en-US"/>
                    </w:rPr>
                  </w:pPr>
                  <w:r>
                    <w:rPr>
                      <w:rFonts w:hint="eastAsia"/>
                      <w:lang w:val="en-US" w:eastAsia="zh-CN"/>
                    </w:rPr>
                    <w:t>3.468</w:t>
                  </w:r>
                </w:p>
              </w:tc>
              <w:tc>
                <w:tcPr>
                  <w:tcW w:w="1140" w:type="dxa"/>
                  <w:tcBorders>
                    <w:top w:val="nil"/>
                    <w:left w:val="single" w:color="000000" w:sz="8" w:space="0"/>
                    <w:bottom w:val="single" w:color="000000" w:sz="8" w:space="0"/>
                    <w:right w:val="single" w:color="000000" w:sz="8" w:space="0"/>
                  </w:tcBorders>
                  <w:shd w:val="clear" w:color="auto" w:fill="auto"/>
                  <w:vAlign w:val="center"/>
                </w:tcPr>
                <w:p w14:paraId="1E95B954">
                  <w:pPr>
                    <w:pStyle w:val="47"/>
                    <w:bidi w:val="0"/>
                    <w:jc w:val="center"/>
                    <w:rPr>
                      <w:rFonts w:hint="default"/>
                      <w:lang w:val="en-US"/>
                    </w:rPr>
                  </w:pPr>
                  <w:r>
                    <w:rPr>
                      <w:rFonts w:hint="eastAsia"/>
                      <w:lang w:val="en-US" w:eastAsia="zh-CN"/>
                    </w:rPr>
                    <w:t>0.5304</w:t>
                  </w:r>
                </w:p>
              </w:tc>
              <w:tc>
                <w:tcPr>
                  <w:tcW w:w="1440" w:type="dxa"/>
                  <w:tcBorders>
                    <w:top w:val="nil"/>
                    <w:left w:val="single" w:color="000000" w:sz="8" w:space="0"/>
                    <w:bottom w:val="single" w:color="000000" w:sz="8" w:space="0"/>
                    <w:right w:val="single" w:color="000000" w:sz="8" w:space="0"/>
                  </w:tcBorders>
                  <w:shd w:val="clear" w:color="auto" w:fill="auto"/>
                  <w:vAlign w:val="center"/>
                </w:tcPr>
                <w:p w14:paraId="3E08981C">
                  <w:pPr>
                    <w:pStyle w:val="47"/>
                    <w:bidi w:val="0"/>
                    <w:jc w:val="center"/>
                    <w:rPr>
                      <w:rFonts w:hint="default"/>
                      <w:lang w:val="en-US"/>
                    </w:rPr>
                  </w:pPr>
                  <w:r>
                    <w:rPr>
                      <w:rFonts w:hint="eastAsia"/>
                      <w:lang w:val="en-US" w:eastAsia="zh-CN"/>
                    </w:rPr>
                    <w:t>0.0816</w:t>
                  </w:r>
                </w:p>
              </w:tc>
              <w:tc>
                <w:tcPr>
                  <w:tcW w:w="1680" w:type="dxa"/>
                  <w:tcBorders>
                    <w:top w:val="nil"/>
                    <w:left w:val="single" w:color="000000" w:sz="8" w:space="0"/>
                    <w:bottom w:val="single" w:color="000000" w:sz="8" w:space="0"/>
                    <w:right w:val="single" w:color="000000" w:sz="8" w:space="0"/>
                  </w:tcBorders>
                  <w:shd w:val="clear" w:color="auto" w:fill="auto"/>
                  <w:vAlign w:val="center"/>
                </w:tcPr>
                <w:p w14:paraId="5C55B293">
                  <w:pPr>
                    <w:pStyle w:val="47"/>
                    <w:bidi w:val="0"/>
                    <w:jc w:val="center"/>
                    <w:rPr>
                      <w:rFonts w:hint="default"/>
                      <w:lang w:val="en-US"/>
                    </w:rPr>
                  </w:pPr>
                  <w:r>
                    <w:rPr>
                      <w:rFonts w:hint="eastAsia"/>
                      <w:lang w:val="en-US" w:eastAsia="zh-CN"/>
                    </w:rPr>
                    <w:t>4.08</w:t>
                  </w:r>
                </w:p>
              </w:tc>
            </w:tr>
            <w:tr w14:paraId="7F74B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 w:hRule="atLeast"/>
              </w:trPr>
              <w:tc>
                <w:tcPr>
                  <w:tcW w:w="2718" w:type="dxa"/>
                  <w:tcBorders>
                    <w:top w:val="nil"/>
                    <w:left w:val="single" w:color="000000" w:sz="8" w:space="0"/>
                    <w:bottom w:val="single" w:color="000000" w:sz="8" w:space="0"/>
                    <w:right w:val="single" w:color="000000" w:sz="8" w:space="0"/>
                  </w:tcBorders>
                  <w:shd w:val="clear" w:color="auto" w:fill="auto"/>
                  <w:vAlign w:val="center"/>
                </w:tcPr>
                <w:p w14:paraId="14E70ECA">
                  <w:pPr>
                    <w:pStyle w:val="47"/>
                    <w:bidi w:val="0"/>
                    <w:jc w:val="center"/>
                    <w:rPr>
                      <w:rFonts w:hint="eastAsia"/>
                    </w:rPr>
                  </w:pPr>
                  <w:r>
                    <w:rPr>
                      <w:rFonts w:hint="eastAsia"/>
                      <w:lang w:val="en-US" w:eastAsia="zh-CN"/>
                    </w:rPr>
                    <w:t>苯乙烯产生量（</w:t>
                  </w:r>
                  <w:r>
                    <w:rPr>
                      <w:rFonts w:hint="default"/>
                      <w:lang w:val="en-US" w:eastAsia="zh-CN"/>
                    </w:rPr>
                    <w:t>t/a</w:t>
                  </w:r>
                  <w:r>
                    <w:rPr>
                      <w:rFonts w:hint="eastAsia"/>
                      <w:lang w:val="en-US" w:eastAsia="zh-CN"/>
                    </w:rPr>
                    <w:t>）</w:t>
                  </w:r>
                </w:p>
              </w:tc>
              <w:tc>
                <w:tcPr>
                  <w:tcW w:w="1305" w:type="dxa"/>
                  <w:tcBorders>
                    <w:top w:val="nil"/>
                    <w:left w:val="single" w:color="000000" w:sz="8" w:space="0"/>
                    <w:bottom w:val="single" w:color="000000" w:sz="8" w:space="0"/>
                    <w:right w:val="single" w:color="000000" w:sz="8" w:space="0"/>
                  </w:tcBorders>
                  <w:shd w:val="clear" w:color="auto" w:fill="auto"/>
                  <w:vAlign w:val="center"/>
                </w:tcPr>
                <w:p w14:paraId="437298F5">
                  <w:pPr>
                    <w:pStyle w:val="47"/>
                    <w:bidi w:val="0"/>
                    <w:jc w:val="center"/>
                    <w:rPr>
                      <w:rFonts w:hint="default"/>
                      <w:lang w:val="en-US"/>
                    </w:rPr>
                  </w:pPr>
                  <w:r>
                    <w:rPr>
                      <w:rFonts w:hint="eastAsia"/>
                      <w:lang w:val="en-US" w:eastAsia="zh-CN"/>
                    </w:rPr>
                    <w:t>0.459</w:t>
                  </w:r>
                </w:p>
              </w:tc>
              <w:tc>
                <w:tcPr>
                  <w:tcW w:w="1140" w:type="dxa"/>
                  <w:tcBorders>
                    <w:top w:val="nil"/>
                    <w:left w:val="single" w:color="000000" w:sz="8" w:space="0"/>
                    <w:bottom w:val="single" w:color="000000" w:sz="8" w:space="0"/>
                    <w:right w:val="single" w:color="000000" w:sz="8" w:space="0"/>
                  </w:tcBorders>
                  <w:shd w:val="clear" w:color="auto" w:fill="auto"/>
                  <w:vAlign w:val="center"/>
                </w:tcPr>
                <w:p w14:paraId="17BB57F2">
                  <w:pPr>
                    <w:pStyle w:val="47"/>
                    <w:bidi w:val="0"/>
                    <w:jc w:val="center"/>
                    <w:rPr>
                      <w:rFonts w:hint="default"/>
                      <w:lang w:val="en-US"/>
                    </w:rPr>
                  </w:pPr>
                  <w:r>
                    <w:rPr>
                      <w:rFonts w:hint="eastAsia"/>
                      <w:lang w:val="en-US" w:eastAsia="zh-CN"/>
                    </w:rPr>
                    <w:t>0.0702</w:t>
                  </w:r>
                </w:p>
              </w:tc>
              <w:tc>
                <w:tcPr>
                  <w:tcW w:w="1440" w:type="dxa"/>
                  <w:tcBorders>
                    <w:top w:val="nil"/>
                    <w:left w:val="single" w:color="000000" w:sz="8" w:space="0"/>
                    <w:bottom w:val="single" w:color="000000" w:sz="8" w:space="0"/>
                    <w:right w:val="single" w:color="000000" w:sz="8" w:space="0"/>
                  </w:tcBorders>
                  <w:shd w:val="clear" w:color="auto" w:fill="auto"/>
                  <w:vAlign w:val="center"/>
                </w:tcPr>
                <w:p w14:paraId="3FAE94F2">
                  <w:pPr>
                    <w:pStyle w:val="47"/>
                    <w:bidi w:val="0"/>
                    <w:jc w:val="center"/>
                    <w:rPr>
                      <w:rFonts w:hint="default"/>
                      <w:lang w:val="en-US"/>
                    </w:rPr>
                  </w:pPr>
                  <w:r>
                    <w:rPr>
                      <w:rFonts w:hint="eastAsia"/>
                      <w:lang w:val="en-US" w:eastAsia="zh-CN"/>
                    </w:rPr>
                    <w:t>0.0108</w:t>
                  </w:r>
                </w:p>
              </w:tc>
              <w:tc>
                <w:tcPr>
                  <w:tcW w:w="1680" w:type="dxa"/>
                  <w:tcBorders>
                    <w:top w:val="nil"/>
                    <w:left w:val="single" w:color="000000" w:sz="8" w:space="0"/>
                    <w:bottom w:val="single" w:color="000000" w:sz="8" w:space="0"/>
                    <w:right w:val="single" w:color="000000" w:sz="8" w:space="0"/>
                  </w:tcBorders>
                  <w:shd w:val="clear" w:color="auto" w:fill="auto"/>
                  <w:vAlign w:val="center"/>
                </w:tcPr>
                <w:p w14:paraId="718D483F">
                  <w:pPr>
                    <w:pStyle w:val="47"/>
                    <w:bidi w:val="0"/>
                    <w:jc w:val="center"/>
                    <w:rPr>
                      <w:rFonts w:hint="default"/>
                      <w:lang w:val="en-US"/>
                    </w:rPr>
                  </w:pPr>
                  <w:r>
                    <w:rPr>
                      <w:rFonts w:hint="eastAsia"/>
                      <w:lang w:val="en-US" w:eastAsia="zh-CN"/>
                    </w:rPr>
                    <w:t>0.54</w:t>
                  </w:r>
                </w:p>
              </w:tc>
            </w:tr>
          </w:tbl>
          <w:p w14:paraId="0644FABB">
            <w:pPr>
              <w:bidi w:val="0"/>
              <w:rPr>
                <w:rFonts w:hint="eastAsia"/>
                <w:b/>
                <w:bCs/>
                <w:lang w:val="en-US" w:eastAsia="zh-CN"/>
              </w:rPr>
            </w:pPr>
            <w:r>
              <w:rPr>
                <w:rFonts w:hint="eastAsia"/>
                <w:b/>
                <w:bCs/>
                <w:lang w:val="en-US" w:eastAsia="zh-CN"/>
              </w:rPr>
              <w:t>③臭气浓度</w:t>
            </w:r>
          </w:p>
          <w:p w14:paraId="7317C6C2">
            <w:pPr>
              <w:bidi w:val="0"/>
              <w:rPr>
                <w:rFonts w:hint="eastAsia"/>
                <w:lang w:val="en-US" w:eastAsia="zh-CN"/>
              </w:rPr>
            </w:pPr>
            <w:r>
              <w:rPr>
                <w:spacing w:val="2"/>
              </w:rPr>
              <w:t>苯乙烯属于臭气的一种。项目生产过程加热使得</w:t>
            </w:r>
            <w:r>
              <w:rPr>
                <w:spacing w:val="-45"/>
              </w:rPr>
              <w:t xml:space="preserve"> </w:t>
            </w:r>
            <w:r>
              <w:rPr>
                <w:rFonts w:ascii="Times New Roman" w:hAnsi="Times New Roman" w:eastAsia="Times New Roman" w:cs="Times New Roman"/>
              </w:rPr>
              <w:t>EPS</w:t>
            </w:r>
            <w:r>
              <w:rPr>
                <w:rFonts w:ascii="Times New Roman" w:hAnsi="Times New Roman" w:eastAsia="Times New Roman" w:cs="Times New Roman"/>
                <w:spacing w:val="2"/>
              </w:rPr>
              <w:t xml:space="preserve"> </w:t>
            </w:r>
            <w:r>
              <w:rPr>
                <w:spacing w:val="2"/>
              </w:rPr>
              <w:t>树脂颗粒中的苯乙烯</w:t>
            </w:r>
            <w:r>
              <w:t xml:space="preserve"> </w:t>
            </w:r>
            <w:r>
              <w:rPr>
                <w:spacing w:val="-1"/>
              </w:rPr>
              <w:t>部分挥发伴随产生难闻气味，即臭气，臭气属</w:t>
            </w:r>
            <w:r>
              <w:rPr>
                <w:spacing w:val="-2"/>
              </w:rPr>
              <w:t>于无量纲污染物，难以定量分析</w:t>
            </w:r>
            <w:r>
              <w:rPr>
                <w:rFonts w:hint="eastAsia"/>
                <w:spacing w:val="-2"/>
                <w:lang w:eastAsia="zh-CN"/>
              </w:rPr>
              <w:t>。</w:t>
            </w:r>
            <w:r>
              <w:rPr>
                <w:rFonts w:hint="eastAsia"/>
                <w:lang w:val="en-US" w:eastAsia="zh-CN"/>
              </w:rPr>
              <w:t>本次评价仅作定性分析。</w:t>
            </w:r>
          </w:p>
          <w:p w14:paraId="77913845">
            <w:pPr>
              <w:bidi w:val="0"/>
              <w:rPr>
                <w:rFonts w:hint="eastAsia"/>
                <w:b/>
                <w:bCs/>
                <w:lang w:val="en-US" w:eastAsia="zh-CN"/>
              </w:rPr>
            </w:pPr>
            <w:r>
              <w:rPr>
                <w:rFonts w:hint="eastAsia"/>
                <w:b/>
                <w:bCs/>
                <w:lang w:val="en-US" w:eastAsia="zh-CN"/>
              </w:rPr>
              <w:t>④收集</w:t>
            </w:r>
          </w:p>
          <w:p w14:paraId="49DB6B9F">
            <w:pPr>
              <w:bidi w:val="0"/>
              <w:rPr>
                <w:rFonts w:hint="eastAsia"/>
                <w:lang w:eastAsia="zh-CN"/>
              </w:rPr>
            </w:pPr>
            <w:r>
              <w:rPr>
                <w:rFonts w:hint="eastAsia"/>
                <w:lang w:val="en-US" w:eastAsia="zh-CN"/>
              </w:rPr>
              <w:t>项目拟在</w:t>
            </w:r>
            <w:r>
              <w:t>发泡机设置集气罩</w:t>
            </w:r>
            <w:r>
              <w:rPr>
                <w:rFonts w:hint="eastAsia"/>
                <w:lang w:val="en-US" w:eastAsia="zh-CN"/>
              </w:rPr>
              <w:t>收集</w:t>
            </w:r>
            <w:r>
              <w:rPr>
                <w:rFonts w:hint="eastAsia"/>
                <w:lang w:eastAsia="zh-CN"/>
              </w:rPr>
              <w:t>，</w:t>
            </w:r>
            <w:r>
              <w:rPr>
                <w:rFonts w:hint="eastAsia"/>
                <w:lang w:val="en-US" w:eastAsia="zh-CN"/>
              </w:rPr>
              <w:t>成型、烘干废气经集气管道</w:t>
            </w:r>
            <w:r>
              <w:t>收集废气送至</w:t>
            </w:r>
            <w:r>
              <w:rPr>
                <w:rFonts w:hint="eastAsia"/>
                <w:lang w:eastAsia="zh-CN"/>
              </w:rPr>
              <w:t>“</w:t>
            </w:r>
            <w:r>
              <w:rPr>
                <w:rFonts w:hint="eastAsia"/>
                <w:lang w:val="en-US" w:eastAsia="zh-CN"/>
              </w:rPr>
              <w:t>冷凝+</w:t>
            </w:r>
            <w:r>
              <w:t>二级活性炭设备</w:t>
            </w:r>
            <w:r>
              <w:rPr>
                <w:rFonts w:hint="eastAsia"/>
                <w:lang w:eastAsia="zh-CN"/>
              </w:rPr>
              <w:t>”</w:t>
            </w:r>
            <w:r>
              <w:t>处理后由</w:t>
            </w:r>
            <w:r>
              <w:rPr>
                <w:rFonts w:hint="eastAsia"/>
                <w:lang w:val="en-US" w:eastAsia="zh-CN"/>
              </w:rPr>
              <w:t>21</w:t>
            </w:r>
            <w:r>
              <w:t>m排气筒排放</w:t>
            </w:r>
            <w:r>
              <w:rPr>
                <w:rFonts w:hint="eastAsia"/>
                <w:lang w:eastAsia="zh-CN"/>
              </w:rPr>
              <w:t>。</w:t>
            </w:r>
          </w:p>
          <w:p w14:paraId="6B9C25A0">
            <w:pPr>
              <w:bidi w:val="0"/>
              <w:rPr>
                <w:rFonts w:hint="eastAsia"/>
                <w:lang w:val="en-US" w:eastAsia="zh-CN"/>
              </w:rPr>
            </w:pPr>
            <w:r>
              <w:rPr>
                <w:rFonts w:hint="eastAsia"/>
                <w:lang w:val="en-US" w:eastAsia="zh-CN"/>
              </w:rPr>
              <w:t>项目集气罩及管道设置情况见下表</w:t>
            </w:r>
          </w:p>
          <w:p w14:paraId="4B97E7D4">
            <w:pPr>
              <w:pStyle w:val="74"/>
              <w:bidi w:val="0"/>
            </w:pPr>
            <w:r>
              <w:t>表4-</w:t>
            </w:r>
            <w:r>
              <w:rPr>
                <w:rFonts w:hint="eastAsia"/>
                <w:lang w:val="en-US" w:eastAsia="zh-CN"/>
              </w:rPr>
              <w:t>6</w:t>
            </w:r>
            <w:r>
              <w:t xml:space="preserve"> 项目</w:t>
            </w:r>
            <w:r>
              <w:rPr>
                <w:rFonts w:hint="eastAsia"/>
                <w:color w:val="000000" w:themeColor="text1"/>
                <w:lang w:val="en-US" w:eastAsia="zh-CN"/>
                <w14:textFill>
                  <w14:solidFill>
                    <w14:schemeClr w14:val="tx1"/>
                  </w14:solidFill>
                </w14:textFill>
              </w:rPr>
              <w:t>EPS包装材料生产线</w:t>
            </w:r>
            <w:r>
              <w:t>集气罩</w:t>
            </w:r>
            <w:r>
              <w:rPr>
                <w:rFonts w:hint="eastAsia"/>
                <w:lang w:eastAsia="zh-CN"/>
              </w:rPr>
              <w:t>、</w:t>
            </w:r>
            <w:r>
              <w:rPr>
                <w:rFonts w:hint="eastAsia"/>
                <w:lang w:val="en-US" w:eastAsia="zh-CN"/>
              </w:rPr>
              <w:t>管道</w:t>
            </w:r>
            <w:r>
              <w:t>情况一览表</w:t>
            </w:r>
          </w:p>
          <w:tbl>
            <w:tblPr>
              <w:tblStyle w:val="27"/>
              <w:tblW w:w="8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1469"/>
              <w:gridCol w:w="1260"/>
              <w:gridCol w:w="1183"/>
              <w:gridCol w:w="1113"/>
              <w:gridCol w:w="908"/>
              <w:gridCol w:w="921"/>
              <w:gridCol w:w="1335"/>
            </w:tblGrid>
            <w:tr w14:paraId="5ACBE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shd w:val="clear" w:color="auto" w:fill="auto"/>
                  <w:vAlign w:val="center"/>
                </w:tcPr>
                <w:p w14:paraId="44C8D1F5">
                  <w:pPr>
                    <w:pStyle w:val="47"/>
                    <w:bidi w:val="0"/>
                    <w:jc w:val="center"/>
                    <w:rPr>
                      <w:rFonts w:hint="default"/>
                      <w:lang w:val="en-US" w:eastAsia="zh-CN"/>
                    </w:rPr>
                  </w:pPr>
                  <w:r>
                    <w:t>工艺</w:t>
                  </w:r>
                </w:p>
              </w:tc>
              <w:tc>
                <w:tcPr>
                  <w:tcW w:w="1469" w:type="dxa"/>
                  <w:shd w:val="clear" w:color="auto" w:fill="auto"/>
                  <w:vAlign w:val="center"/>
                </w:tcPr>
                <w:p w14:paraId="5C57990B">
                  <w:pPr>
                    <w:pStyle w:val="47"/>
                    <w:bidi w:val="0"/>
                    <w:jc w:val="center"/>
                    <w:rPr>
                      <w:rFonts w:hint="default"/>
                      <w:lang w:val="en-US" w:eastAsia="zh-CN"/>
                    </w:rPr>
                  </w:pPr>
                  <w:r>
                    <w:t>集气罩</w:t>
                  </w:r>
                  <w:r>
                    <w:rPr>
                      <w:rFonts w:hint="eastAsia"/>
                      <w:lang w:val="en-US" w:eastAsia="zh-CN"/>
                    </w:rPr>
                    <w:t>/管道</w:t>
                  </w:r>
                  <w:r>
                    <w:t>数量（个）</w:t>
                  </w:r>
                </w:p>
              </w:tc>
              <w:tc>
                <w:tcPr>
                  <w:tcW w:w="1260" w:type="dxa"/>
                  <w:shd w:val="clear" w:color="auto" w:fill="auto"/>
                  <w:vAlign w:val="center"/>
                </w:tcPr>
                <w:p w14:paraId="7F413AEE">
                  <w:pPr>
                    <w:pStyle w:val="47"/>
                    <w:bidi w:val="0"/>
                    <w:jc w:val="center"/>
                    <w:rPr>
                      <w:rFonts w:hint="eastAsia"/>
                      <w:lang w:val="en-US" w:eastAsia="zh-CN"/>
                    </w:rPr>
                  </w:pPr>
                  <w:r>
                    <w:t>集气罩</w:t>
                  </w:r>
                  <w:r>
                    <w:rPr>
                      <w:rFonts w:hint="eastAsia"/>
                      <w:lang w:val="en-US" w:eastAsia="zh-CN"/>
                    </w:rPr>
                    <w:t>/管道尺寸</w:t>
                  </w:r>
                </w:p>
                <w:p w14:paraId="58A52547">
                  <w:pPr>
                    <w:pStyle w:val="47"/>
                    <w:bidi w:val="0"/>
                    <w:jc w:val="center"/>
                    <w:rPr>
                      <w:rFonts w:hint="default"/>
                      <w:lang w:val="en-US" w:eastAsia="zh-CN"/>
                    </w:rPr>
                  </w:pPr>
                  <w:r>
                    <w:t>（m）</w:t>
                  </w:r>
                </w:p>
              </w:tc>
              <w:tc>
                <w:tcPr>
                  <w:tcW w:w="1183" w:type="dxa"/>
                  <w:shd w:val="clear" w:color="auto" w:fill="auto"/>
                  <w:vAlign w:val="center"/>
                </w:tcPr>
                <w:p w14:paraId="475A2D38">
                  <w:pPr>
                    <w:pStyle w:val="47"/>
                    <w:bidi w:val="0"/>
                    <w:jc w:val="center"/>
                    <w:rPr>
                      <w:rFonts w:hint="default"/>
                      <w:lang w:val="en-US" w:eastAsia="zh-CN"/>
                    </w:rPr>
                  </w:pPr>
                  <w:r>
                    <w:t>集气距离（m）</w:t>
                  </w:r>
                </w:p>
              </w:tc>
              <w:tc>
                <w:tcPr>
                  <w:tcW w:w="1113" w:type="dxa"/>
                  <w:shd w:val="clear" w:color="auto" w:fill="auto"/>
                  <w:vAlign w:val="center"/>
                </w:tcPr>
                <w:p w14:paraId="6E02B5DB">
                  <w:pPr>
                    <w:pStyle w:val="47"/>
                    <w:bidi w:val="0"/>
                    <w:jc w:val="center"/>
                    <w:rPr>
                      <w:rFonts w:hint="default"/>
                      <w:lang w:val="en-US" w:eastAsia="zh-CN"/>
                    </w:rPr>
                  </w:pPr>
                  <w:r>
                    <w:t>集气风速（m/s）</w:t>
                  </w:r>
                </w:p>
              </w:tc>
              <w:tc>
                <w:tcPr>
                  <w:tcW w:w="908" w:type="dxa"/>
                  <w:shd w:val="clear" w:color="auto" w:fill="auto"/>
                  <w:vAlign w:val="center"/>
                </w:tcPr>
                <w:p w14:paraId="67718AEC">
                  <w:pPr>
                    <w:pStyle w:val="47"/>
                    <w:bidi w:val="0"/>
                    <w:jc w:val="center"/>
                  </w:pPr>
                  <w:r>
                    <w:t>设计</w:t>
                  </w:r>
                  <w:r>
                    <w:rPr>
                      <w:rFonts w:hint="eastAsia"/>
                      <w:lang w:val="en-US" w:eastAsia="zh-CN"/>
                    </w:rPr>
                    <w:t>总</w:t>
                  </w:r>
                  <w:r>
                    <w:t>风量</w:t>
                  </w:r>
                </w:p>
                <w:p w14:paraId="4329A041">
                  <w:pPr>
                    <w:pStyle w:val="47"/>
                    <w:bidi w:val="0"/>
                    <w:jc w:val="center"/>
                    <w:rPr>
                      <w:rFonts w:hint="default"/>
                      <w:lang w:val="en-US" w:eastAsia="zh-CN"/>
                    </w:rPr>
                  </w:pPr>
                  <w:r>
                    <w:t>（</w:t>
                  </w:r>
                  <w:r>
                    <w:rPr>
                      <w:rFonts w:hint="eastAsia"/>
                      <w:lang w:val="en-US" w:eastAsia="zh-CN"/>
                    </w:rPr>
                    <w:t>m³</w:t>
                  </w:r>
                  <w:r>
                    <w:t>/h）</w:t>
                  </w:r>
                </w:p>
              </w:tc>
              <w:tc>
                <w:tcPr>
                  <w:tcW w:w="921" w:type="dxa"/>
                  <w:shd w:val="clear" w:color="auto" w:fill="auto"/>
                  <w:vAlign w:val="center"/>
                </w:tcPr>
                <w:p w14:paraId="73F9AFE3">
                  <w:pPr>
                    <w:pStyle w:val="47"/>
                    <w:bidi w:val="0"/>
                    <w:jc w:val="center"/>
                    <w:rPr>
                      <w:rFonts w:hint="default"/>
                      <w:lang w:val="en-US" w:eastAsia="zh-CN"/>
                    </w:rPr>
                  </w:pPr>
                  <w:r>
                    <w:t>集气效率（%）</w:t>
                  </w:r>
                </w:p>
              </w:tc>
              <w:tc>
                <w:tcPr>
                  <w:tcW w:w="1335" w:type="dxa"/>
                  <w:shd w:val="clear" w:color="auto" w:fill="auto"/>
                  <w:vAlign w:val="center"/>
                </w:tcPr>
                <w:p w14:paraId="3028E382">
                  <w:pPr>
                    <w:pStyle w:val="47"/>
                    <w:bidi w:val="0"/>
                    <w:jc w:val="center"/>
                    <w:rPr>
                      <w:rFonts w:hint="default"/>
                      <w:lang w:val="en-US" w:eastAsia="zh-CN"/>
                    </w:rPr>
                  </w:pPr>
                  <w:r>
                    <w:t>备注</w:t>
                  </w:r>
                </w:p>
              </w:tc>
            </w:tr>
            <w:tr w14:paraId="285B8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Align w:val="center"/>
                </w:tcPr>
                <w:p w14:paraId="01DD8485">
                  <w:pPr>
                    <w:pStyle w:val="47"/>
                    <w:bidi w:val="0"/>
                    <w:jc w:val="center"/>
                    <w:rPr>
                      <w:rFonts w:hint="default"/>
                      <w:lang w:val="en-US" w:eastAsia="zh-CN"/>
                    </w:rPr>
                  </w:pPr>
                  <w:r>
                    <w:rPr>
                      <w:rFonts w:hint="eastAsia"/>
                      <w:lang w:val="en-US" w:eastAsia="zh-CN"/>
                    </w:rPr>
                    <w:t>发泡</w:t>
                  </w:r>
                </w:p>
              </w:tc>
              <w:tc>
                <w:tcPr>
                  <w:tcW w:w="1469" w:type="dxa"/>
                  <w:vAlign w:val="center"/>
                </w:tcPr>
                <w:p w14:paraId="12487349">
                  <w:pPr>
                    <w:pStyle w:val="47"/>
                    <w:bidi w:val="0"/>
                    <w:jc w:val="center"/>
                    <w:rPr>
                      <w:rFonts w:hint="default"/>
                      <w:lang w:val="en-US" w:eastAsia="zh-CN"/>
                    </w:rPr>
                  </w:pPr>
                  <w:r>
                    <w:rPr>
                      <w:rFonts w:hint="eastAsia"/>
                      <w:lang w:val="en-US" w:eastAsia="zh-CN"/>
                    </w:rPr>
                    <w:t>2</w:t>
                  </w:r>
                </w:p>
              </w:tc>
              <w:tc>
                <w:tcPr>
                  <w:tcW w:w="1260" w:type="dxa"/>
                  <w:shd w:val="clear" w:color="auto" w:fill="auto"/>
                  <w:vAlign w:val="center"/>
                </w:tcPr>
                <w:p w14:paraId="5DE91B63">
                  <w:pPr>
                    <w:pStyle w:val="47"/>
                    <w:bidi w:val="0"/>
                    <w:jc w:val="center"/>
                    <w:rPr>
                      <w:rFonts w:hint="default"/>
                      <w:highlight w:val="none"/>
                      <w:lang w:val="en-US" w:eastAsia="zh-CN"/>
                    </w:rPr>
                  </w:pPr>
                  <w:r>
                    <w:rPr>
                      <w:rFonts w:hint="eastAsia"/>
                      <w:highlight w:val="none"/>
                      <w:lang w:val="en-US" w:eastAsia="zh-CN"/>
                    </w:rPr>
                    <w:t>2×2</w:t>
                  </w:r>
                </w:p>
              </w:tc>
              <w:tc>
                <w:tcPr>
                  <w:tcW w:w="1183" w:type="dxa"/>
                  <w:shd w:val="clear" w:color="auto" w:fill="auto"/>
                  <w:vAlign w:val="center"/>
                </w:tcPr>
                <w:p w14:paraId="345CF9D4">
                  <w:pPr>
                    <w:pStyle w:val="47"/>
                    <w:bidi w:val="0"/>
                    <w:jc w:val="center"/>
                    <w:rPr>
                      <w:rFonts w:hint="default"/>
                      <w:highlight w:val="none"/>
                      <w:lang w:val="en-US" w:eastAsia="zh-CN"/>
                    </w:rPr>
                  </w:pPr>
                  <w:r>
                    <w:rPr>
                      <w:rFonts w:hint="eastAsia"/>
                      <w:highlight w:val="none"/>
                      <w:lang w:val="en-US" w:eastAsia="zh-CN"/>
                    </w:rPr>
                    <w:t>0.5</w:t>
                  </w:r>
                </w:p>
              </w:tc>
              <w:tc>
                <w:tcPr>
                  <w:tcW w:w="1113" w:type="dxa"/>
                  <w:shd w:val="clear" w:color="auto" w:fill="auto"/>
                  <w:vAlign w:val="center"/>
                </w:tcPr>
                <w:p w14:paraId="2C9774CA">
                  <w:pPr>
                    <w:pStyle w:val="47"/>
                    <w:bidi w:val="0"/>
                    <w:jc w:val="center"/>
                    <w:rPr>
                      <w:rFonts w:hint="default"/>
                      <w:highlight w:val="none"/>
                      <w:lang w:val="en-US" w:eastAsia="zh-CN"/>
                    </w:rPr>
                  </w:pPr>
                  <w:r>
                    <w:rPr>
                      <w:rFonts w:hint="eastAsia"/>
                      <w:highlight w:val="none"/>
                      <w:lang w:val="en-US" w:eastAsia="zh-CN"/>
                    </w:rPr>
                    <w:t>1.0</w:t>
                  </w:r>
                </w:p>
              </w:tc>
              <w:tc>
                <w:tcPr>
                  <w:tcW w:w="908" w:type="dxa"/>
                  <w:vAlign w:val="center"/>
                </w:tcPr>
                <w:p w14:paraId="0BF4E5AD">
                  <w:pPr>
                    <w:pStyle w:val="47"/>
                    <w:bidi w:val="0"/>
                    <w:jc w:val="center"/>
                    <w:rPr>
                      <w:rFonts w:hint="default"/>
                      <w:lang w:val="en-US" w:eastAsia="zh-CN"/>
                    </w:rPr>
                  </w:pPr>
                  <w:r>
                    <w:rPr>
                      <w:rFonts w:hint="eastAsia"/>
                      <w:lang w:val="en-US" w:eastAsia="zh-CN"/>
                    </w:rPr>
                    <w:t>20160</w:t>
                  </w:r>
                </w:p>
              </w:tc>
              <w:tc>
                <w:tcPr>
                  <w:tcW w:w="921" w:type="dxa"/>
                  <w:vAlign w:val="center"/>
                </w:tcPr>
                <w:p w14:paraId="2B68B25F">
                  <w:pPr>
                    <w:pStyle w:val="47"/>
                    <w:bidi w:val="0"/>
                    <w:jc w:val="center"/>
                    <w:rPr>
                      <w:rFonts w:hint="default"/>
                      <w:lang w:val="en-US" w:eastAsia="zh-CN"/>
                    </w:rPr>
                  </w:pPr>
                  <w:r>
                    <w:rPr>
                      <w:rFonts w:hint="eastAsia"/>
                      <w:lang w:val="en-US" w:eastAsia="zh-CN"/>
                    </w:rPr>
                    <w:t>85</w:t>
                  </w:r>
                </w:p>
              </w:tc>
              <w:tc>
                <w:tcPr>
                  <w:tcW w:w="1335" w:type="dxa"/>
                  <w:vAlign w:val="center"/>
                </w:tcPr>
                <w:p w14:paraId="189AB177">
                  <w:pPr>
                    <w:pStyle w:val="47"/>
                    <w:bidi w:val="0"/>
                    <w:jc w:val="center"/>
                    <w:rPr>
                      <w:rFonts w:hint="default"/>
                      <w:lang w:val="en-US" w:eastAsia="zh-CN"/>
                    </w:rPr>
                  </w:pPr>
                  <w:r>
                    <w:rPr>
                      <w:rFonts w:hint="eastAsia"/>
                      <w:lang w:val="en-US" w:eastAsia="zh-CN"/>
                    </w:rPr>
                    <w:t>集气罩</w:t>
                  </w:r>
                </w:p>
              </w:tc>
            </w:tr>
            <w:tr w14:paraId="3623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Align w:val="center"/>
                </w:tcPr>
                <w:p w14:paraId="3A0740CD">
                  <w:pPr>
                    <w:pStyle w:val="47"/>
                    <w:bidi w:val="0"/>
                    <w:jc w:val="center"/>
                    <w:rPr>
                      <w:rFonts w:hint="default"/>
                      <w:lang w:val="en-US" w:eastAsia="zh-CN"/>
                    </w:rPr>
                  </w:pPr>
                  <w:r>
                    <w:rPr>
                      <w:rFonts w:hint="eastAsia"/>
                      <w:lang w:val="en-US" w:eastAsia="zh-CN"/>
                    </w:rPr>
                    <w:t>成型</w:t>
                  </w:r>
                </w:p>
              </w:tc>
              <w:tc>
                <w:tcPr>
                  <w:tcW w:w="1469" w:type="dxa"/>
                  <w:vAlign w:val="center"/>
                </w:tcPr>
                <w:p w14:paraId="78689D91">
                  <w:pPr>
                    <w:pStyle w:val="47"/>
                    <w:bidi w:val="0"/>
                    <w:jc w:val="center"/>
                    <w:rPr>
                      <w:rFonts w:hint="default"/>
                      <w:lang w:val="en-US" w:eastAsia="zh-CN"/>
                    </w:rPr>
                  </w:pPr>
                  <w:r>
                    <w:rPr>
                      <w:rFonts w:hint="eastAsia"/>
                      <w:lang w:val="en-US" w:eastAsia="zh-CN"/>
                    </w:rPr>
                    <w:t>20</w:t>
                  </w:r>
                </w:p>
              </w:tc>
              <w:tc>
                <w:tcPr>
                  <w:tcW w:w="1260" w:type="dxa"/>
                  <w:shd w:val="clear" w:color="auto" w:fill="auto"/>
                  <w:vAlign w:val="center"/>
                </w:tcPr>
                <w:p w14:paraId="47A48B7F">
                  <w:pPr>
                    <w:pStyle w:val="47"/>
                    <w:bidi w:val="0"/>
                    <w:jc w:val="center"/>
                    <w:rPr>
                      <w:rFonts w:hint="default"/>
                      <w:highlight w:val="none"/>
                      <w:lang w:val="en-US" w:eastAsia="zh-CN"/>
                    </w:rPr>
                  </w:pPr>
                  <w:r>
                    <w:rPr>
                      <w:highlight w:val="none"/>
                    </w:rPr>
                    <w:t>Φ</w:t>
                  </w:r>
                  <w:r>
                    <w:rPr>
                      <w:rFonts w:hint="eastAsia"/>
                      <w:highlight w:val="none"/>
                      <w:lang w:val="en-US" w:eastAsia="zh-CN"/>
                    </w:rPr>
                    <w:t>0.1</w:t>
                  </w:r>
                </w:p>
              </w:tc>
              <w:tc>
                <w:tcPr>
                  <w:tcW w:w="1183" w:type="dxa"/>
                  <w:shd w:val="clear" w:color="auto" w:fill="auto"/>
                  <w:vAlign w:val="center"/>
                </w:tcPr>
                <w:p w14:paraId="3255F453">
                  <w:pPr>
                    <w:pStyle w:val="47"/>
                    <w:bidi w:val="0"/>
                    <w:jc w:val="center"/>
                    <w:rPr>
                      <w:rFonts w:hint="default"/>
                      <w:highlight w:val="none"/>
                      <w:lang w:val="en-US" w:eastAsia="zh-CN"/>
                    </w:rPr>
                  </w:pPr>
                  <w:r>
                    <w:rPr>
                      <w:rFonts w:hint="eastAsia"/>
                      <w:highlight w:val="none"/>
                      <w:lang w:val="en-US" w:eastAsia="zh-CN"/>
                    </w:rPr>
                    <w:t>/</w:t>
                  </w:r>
                </w:p>
              </w:tc>
              <w:tc>
                <w:tcPr>
                  <w:tcW w:w="1113" w:type="dxa"/>
                  <w:shd w:val="clear" w:color="auto" w:fill="auto"/>
                  <w:vAlign w:val="center"/>
                </w:tcPr>
                <w:p w14:paraId="4E9547CE">
                  <w:pPr>
                    <w:pStyle w:val="47"/>
                    <w:bidi w:val="0"/>
                    <w:jc w:val="center"/>
                    <w:rPr>
                      <w:rFonts w:hint="default"/>
                      <w:highlight w:val="none"/>
                      <w:lang w:val="en-US" w:eastAsia="zh-CN"/>
                    </w:rPr>
                  </w:pPr>
                  <w:r>
                    <w:rPr>
                      <w:rFonts w:hint="eastAsia"/>
                      <w:highlight w:val="none"/>
                      <w:lang w:val="en-US" w:eastAsia="zh-CN"/>
                    </w:rPr>
                    <w:t>5.0</w:t>
                  </w:r>
                </w:p>
              </w:tc>
              <w:tc>
                <w:tcPr>
                  <w:tcW w:w="908" w:type="dxa"/>
                  <w:vAlign w:val="center"/>
                </w:tcPr>
                <w:p w14:paraId="6B3C8EA7">
                  <w:pPr>
                    <w:pStyle w:val="47"/>
                    <w:bidi w:val="0"/>
                    <w:jc w:val="center"/>
                    <w:rPr>
                      <w:rFonts w:hint="default"/>
                      <w:lang w:val="en-US" w:eastAsia="zh-CN"/>
                    </w:rPr>
                  </w:pPr>
                  <w:r>
                    <w:rPr>
                      <w:rFonts w:hint="eastAsia"/>
                      <w:lang w:val="en-US" w:eastAsia="zh-CN"/>
                    </w:rPr>
                    <w:t>2826</w:t>
                  </w:r>
                </w:p>
              </w:tc>
              <w:tc>
                <w:tcPr>
                  <w:tcW w:w="921" w:type="dxa"/>
                  <w:vAlign w:val="center"/>
                </w:tcPr>
                <w:p w14:paraId="2E29884D">
                  <w:pPr>
                    <w:pStyle w:val="47"/>
                    <w:bidi w:val="0"/>
                    <w:jc w:val="center"/>
                    <w:rPr>
                      <w:rFonts w:hint="default"/>
                      <w:lang w:val="en-US" w:eastAsia="zh-CN"/>
                    </w:rPr>
                  </w:pPr>
                  <w:r>
                    <w:rPr>
                      <w:rFonts w:hint="eastAsia"/>
                      <w:lang w:val="en-US" w:eastAsia="zh-CN"/>
                    </w:rPr>
                    <w:t>85</w:t>
                  </w:r>
                </w:p>
              </w:tc>
              <w:tc>
                <w:tcPr>
                  <w:tcW w:w="1335" w:type="dxa"/>
                  <w:vAlign w:val="center"/>
                </w:tcPr>
                <w:p w14:paraId="79103E46">
                  <w:pPr>
                    <w:pStyle w:val="47"/>
                    <w:bidi w:val="0"/>
                    <w:jc w:val="center"/>
                    <w:rPr>
                      <w:rFonts w:hint="default"/>
                      <w:lang w:val="en-US" w:eastAsia="zh-CN"/>
                    </w:rPr>
                  </w:pPr>
                  <w:r>
                    <w:t>四周加装 软帘</w:t>
                  </w:r>
                </w:p>
              </w:tc>
            </w:tr>
            <w:tr w14:paraId="4396D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Align w:val="center"/>
                </w:tcPr>
                <w:p w14:paraId="448C8F72">
                  <w:pPr>
                    <w:pStyle w:val="47"/>
                    <w:bidi w:val="0"/>
                    <w:jc w:val="center"/>
                    <w:rPr>
                      <w:rFonts w:hint="default"/>
                      <w:lang w:val="en-US" w:eastAsia="zh-CN"/>
                    </w:rPr>
                  </w:pPr>
                  <w:r>
                    <w:rPr>
                      <w:rFonts w:hint="eastAsia"/>
                      <w:lang w:val="en-US" w:eastAsia="zh-CN"/>
                    </w:rPr>
                    <w:t>烘干</w:t>
                  </w:r>
                </w:p>
              </w:tc>
              <w:tc>
                <w:tcPr>
                  <w:tcW w:w="1469" w:type="dxa"/>
                  <w:vAlign w:val="center"/>
                </w:tcPr>
                <w:p w14:paraId="0EAAB87C">
                  <w:pPr>
                    <w:pStyle w:val="47"/>
                    <w:bidi w:val="0"/>
                    <w:jc w:val="center"/>
                    <w:rPr>
                      <w:rFonts w:hint="default"/>
                      <w:lang w:val="en-US" w:eastAsia="zh-CN"/>
                    </w:rPr>
                  </w:pPr>
                  <w:r>
                    <w:rPr>
                      <w:rFonts w:hint="eastAsia"/>
                      <w:lang w:val="en-US" w:eastAsia="zh-CN"/>
                    </w:rPr>
                    <w:t>3</w:t>
                  </w:r>
                </w:p>
              </w:tc>
              <w:tc>
                <w:tcPr>
                  <w:tcW w:w="1260" w:type="dxa"/>
                  <w:shd w:val="clear" w:color="auto" w:fill="auto"/>
                  <w:vAlign w:val="center"/>
                </w:tcPr>
                <w:p w14:paraId="633DEF80">
                  <w:pPr>
                    <w:pStyle w:val="47"/>
                    <w:bidi w:val="0"/>
                    <w:jc w:val="center"/>
                    <w:rPr>
                      <w:rFonts w:hint="default"/>
                      <w:highlight w:val="none"/>
                      <w:lang w:val="en-US" w:eastAsia="zh-CN"/>
                    </w:rPr>
                  </w:pPr>
                  <w:r>
                    <w:rPr>
                      <w:highlight w:val="none"/>
                    </w:rPr>
                    <w:t>Φ</w:t>
                  </w:r>
                  <w:r>
                    <w:rPr>
                      <w:rFonts w:hint="eastAsia"/>
                      <w:highlight w:val="none"/>
                      <w:lang w:val="en-US" w:eastAsia="zh-CN"/>
                    </w:rPr>
                    <w:t>0.1</w:t>
                  </w:r>
                </w:p>
              </w:tc>
              <w:tc>
                <w:tcPr>
                  <w:tcW w:w="1183" w:type="dxa"/>
                  <w:shd w:val="clear" w:color="auto" w:fill="auto"/>
                  <w:vAlign w:val="center"/>
                </w:tcPr>
                <w:p w14:paraId="102EBF62">
                  <w:pPr>
                    <w:pStyle w:val="47"/>
                    <w:bidi w:val="0"/>
                    <w:jc w:val="center"/>
                    <w:rPr>
                      <w:rFonts w:hint="default"/>
                      <w:highlight w:val="none"/>
                      <w:lang w:val="en-US" w:eastAsia="zh-CN"/>
                    </w:rPr>
                  </w:pPr>
                  <w:r>
                    <w:rPr>
                      <w:rFonts w:hint="eastAsia"/>
                      <w:highlight w:val="none"/>
                      <w:lang w:val="en-US" w:eastAsia="zh-CN"/>
                    </w:rPr>
                    <w:t>/</w:t>
                  </w:r>
                </w:p>
              </w:tc>
              <w:tc>
                <w:tcPr>
                  <w:tcW w:w="1113" w:type="dxa"/>
                  <w:shd w:val="clear" w:color="auto" w:fill="auto"/>
                  <w:vAlign w:val="center"/>
                </w:tcPr>
                <w:p w14:paraId="63A5217F">
                  <w:pPr>
                    <w:pStyle w:val="47"/>
                    <w:bidi w:val="0"/>
                    <w:jc w:val="center"/>
                    <w:rPr>
                      <w:rFonts w:hint="default"/>
                      <w:highlight w:val="none"/>
                      <w:lang w:val="en-US" w:eastAsia="zh-CN"/>
                    </w:rPr>
                  </w:pPr>
                  <w:r>
                    <w:rPr>
                      <w:rFonts w:hint="eastAsia"/>
                      <w:highlight w:val="none"/>
                      <w:lang w:val="en-US" w:eastAsia="zh-CN"/>
                    </w:rPr>
                    <w:t>5.0</w:t>
                  </w:r>
                </w:p>
              </w:tc>
              <w:tc>
                <w:tcPr>
                  <w:tcW w:w="908" w:type="dxa"/>
                  <w:vAlign w:val="center"/>
                </w:tcPr>
                <w:p w14:paraId="566D51E3">
                  <w:pPr>
                    <w:pStyle w:val="47"/>
                    <w:bidi w:val="0"/>
                    <w:jc w:val="center"/>
                    <w:rPr>
                      <w:rFonts w:hint="default"/>
                      <w:lang w:val="en-US" w:eastAsia="zh-CN"/>
                    </w:rPr>
                  </w:pPr>
                  <w:r>
                    <w:rPr>
                      <w:rFonts w:hint="eastAsia"/>
                      <w:lang w:val="en-US" w:eastAsia="zh-CN"/>
                    </w:rPr>
                    <w:t>423</w:t>
                  </w:r>
                </w:p>
              </w:tc>
              <w:tc>
                <w:tcPr>
                  <w:tcW w:w="921" w:type="dxa"/>
                  <w:vAlign w:val="center"/>
                </w:tcPr>
                <w:p w14:paraId="691D508F">
                  <w:pPr>
                    <w:pStyle w:val="47"/>
                    <w:bidi w:val="0"/>
                    <w:jc w:val="center"/>
                    <w:rPr>
                      <w:rFonts w:hint="default"/>
                      <w:lang w:val="en-US" w:eastAsia="zh-CN"/>
                    </w:rPr>
                  </w:pPr>
                  <w:r>
                    <w:rPr>
                      <w:rFonts w:hint="eastAsia"/>
                      <w:lang w:val="en-US" w:eastAsia="zh-CN"/>
                    </w:rPr>
                    <w:t>85</w:t>
                  </w:r>
                </w:p>
              </w:tc>
              <w:tc>
                <w:tcPr>
                  <w:tcW w:w="1335" w:type="dxa"/>
                  <w:vAlign w:val="center"/>
                </w:tcPr>
                <w:p w14:paraId="13C5F147">
                  <w:pPr>
                    <w:pStyle w:val="47"/>
                    <w:bidi w:val="0"/>
                    <w:jc w:val="center"/>
                  </w:pPr>
                  <w:r>
                    <w:t>烘干房处仅留物件</w:t>
                  </w:r>
                </w:p>
                <w:p w14:paraId="2A2B28B8">
                  <w:pPr>
                    <w:pStyle w:val="47"/>
                    <w:bidi w:val="0"/>
                    <w:jc w:val="center"/>
                    <w:rPr>
                      <w:rFonts w:hint="default"/>
                      <w:lang w:val="en-US" w:eastAsia="zh-CN"/>
                    </w:rPr>
                  </w:pPr>
                  <w:r>
                    <w:t>进出口</w:t>
                  </w:r>
                </w:p>
              </w:tc>
            </w:tr>
            <w:tr w14:paraId="32489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3" w:type="dxa"/>
                  <w:gridSpan w:val="5"/>
                  <w:vAlign w:val="center"/>
                </w:tcPr>
                <w:p w14:paraId="6222B3F0">
                  <w:pPr>
                    <w:pStyle w:val="47"/>
                    <w:bidi w:val="0"/>
                    <w:jc w:val="center"/>
                    <w:rPr>
                      <w:rFonts w:hint="default"/>
                      <w:lang w:val="en-US" w:eastAsia="zh-CN"/>
                    </w:rPr>
                  </w:pPr>
                  <w:r>
                    <w:rPr>
                      <w:rFonts w:hint="eastAsia"/>
                      <w:lang w:val="en-US" w:eastAsia="zh-CN"/>
                    </w:rPr>
                    <w:t>合计</w:t>
                  </w:r>
                </w:p>
              </w:tc>
              <w:tc>
                <w:tcPr>
                  <w:tcW w:w="908" w:type="dxa"/>
                  <w:vAlign w:val="center"/>
                </w:tcPr>
                <w:p w14:paraId="2A907CA4">
                  <w:pPr>
                    <w:pStyle w:val="47"/>
                    <w:bidi w:val="0"/>
                    <w:jc w:val="center"/>
                    <w:rPr>
                      <w:rFonts w:hint="default"/>
                      <w:lang w:val="en-US" w:eastAsia="zh-CN"/>
                    </w:rPr>
                  </w:pPr>
                  <w:r>
                    <w:rPr>
                      <w:rFonts w:hint="eastAsia"/>
                      <w:lang w:val="en-US" w:eastAsia="zh-CN"/>
                    </w:rPr>
                    <w:t>23409</w:t>
                  </w:r>
                </w:p>
              </w:tc>
              <w:tc>
                <w:tcPr>
                  <w:tcW w:w="921" w:type="dxa"/>
                  <w:vAlign w:val="center"/>
                </w:tcPr>
                <w:p w14:paraId="67B69252">
                  <w:pPr>
                    <w:pStyle w:val="47"/>
                    <w:bidi w:val="0"/>
                    <w:jc w:val="center"/>
                    <w:rPr>
                      <w:rFonts w:hint="default"/>
                      <w:lang w:val="en-US" w:eastAsia="zh-CN"/>
                    </w:rPr>
                  </w:pPr>
                  <w:r>
                    <w:rPr>
                      <w:rFonts w:hint="eastAsia"/>
                      <w:lang w:val="en-US" w:eastAsia="zh-CN"/>
                    </w:rPr>
                    <w:t>/</w:t>
                  </w:r>
                </w:p>
              </w:tc>
              <w:tc>
                <w:tcPr>
                  <w:tcW w:w="1335" w:type="dxa"/>
                  <w:vAlign w:val="center"/>
                </w:tcPr>
                <w:p w14:paraId="1A1A0548">
                  <w:pPr>
                    <w:pStyle w:val="47"/>
                    <w:bidi w:val="0"/>
                    <w:jc w:val="center"/>
                    <w:rPr>
                      <w:rFonts w:hint="eastAsia" w:eastAsia="宋体"/>
                      <w:lang w:val="en-US" w:eastAsia="zh-CN"/>
                    </w:rPr>
                  </w:pPr>
                  <w:r>
                    <w:rPr>
                      <w:rFonts w:hint="eastAsia"/>
                      <w:lang w:val="en-US" w:eastAsia="zh-CN"/>
                    </w:rPr>
                    <w:t>/</w:t>
                  </w:r>
                </w:p>
              </w:tc>
            </w:tr>
            <w:tr w14:paraId="341D2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7" w:type="dxa"/>
                  <w:gridSpan w:val="8"/>
                  <w:vAlign w:val="center"/>
                </w:tcPr>
                <w:p w14:paraId="2192CC8A">
                  <w:pPr>
                    <w:pStyle w:val="47"/>
                    <w:bidi w:val="0"/>
                    <w:rPr>
                      <w:rFonts w:hint="eastAsia"/>
                      <w:lang w:val="en-US" w:eastAsia="zh-CN"/>
                    </w:rPr>
                  </w:pPr>
                  <w:r>
                    <w:rPr>
                      <w:rFonts w:hint="eastAsia"/>
                      <w:lang w:val="en-US" w:eastAsia="zh-CN"/>
                    </w:rPr>
                    <w:t>备注：①根据</w:t>
                  </w:r>
                  <w:r>
                    <w:rPr>
                      <w:color w:val="000000" w:themeColor="text1"/>
                      <w:szCs w:val="28"/>
                      <w14:textFill>
                        <w14:solidFill>
                          <w14:schemeClr w14:val="tx1"/>
                        </w14:solidFill>
                      </w14:textFill>
                    </w:rPr>
                    <w:t>《简明通风设计手册》</w:t>
                  </w:r>
                  <w:r>
                    <w:rPr>
                      <w:rFonts w:hint="eastAsia"/>
                      <w:color w:val="000000" w:themeColor="text1"/>
                      <w:szCs w:val="28"/>
                      <w:lang w:eastAsia="zh-CN"/>
                      <w14:textFill>
                        <w14:solidFill>
                          <w14:schemeClr w14:val="tx1"/>
                        </w14:solidFill>
                      </w14:textFill>
                    </w:rPr>
                    <w:t>，</w:t>
                  </w:r>
                  <w:r>
                    <w:t>单个集气罩集气风量计算公式</w:t>
                  </w:r>
                  <w:r>
                    <w:rPr>
                      <w:lang w:val="pt-BR"/>
                    </w:rPr>
                    <w:t>Q=K（a＋b）×h×V0×3600</w:t>
                  </w:r>
                  <w:r>
                    <w:rPr>
                      <w:rFonts w:hint="eastAsia"/>
                      <w:lang w:val="pt-BR" w:eastAsia="zh-CN"/>
                    </w:rPr>
                    <w:t>，</w:t>
                  </w:r>
                  <w:r>
                    <w:rPr>
                      <w:rFonts w:hint="eastAsia"/>
                      <w:lang w:val="en-US" w:eastAsia="zh-CN"/>
                    </w:rPr>
                    <w:t>式中K取1.4，h取0.5m，V0取1.0m/s；</w:t>
                  </w:r>
                </w:p>
                <w:p w14:paraId="47B29CD3">
                  <w:pPr>
                    <w:pStyle w:val="47"/>
                    <w:bidi w:val="0"/>
                    <w:rPr>
                      <w:rFonts w:hint="eastAsia"/>
                      <w:lang w:val="en-US" w:eastAsia="zh-CN"/>
                    </w:rPr>
                  </w:pPr>
                  <w:r>
                    <w:rPr>
                      <w:rFonts w:hint="eastAsia"/>
                      <w:lang w:val="en-US" w:eastAsia="zh-CN"/>
                    </w:rPr>
                    <w:t>②根据《环境工程设计手册》中圆形风管内的风量计算公式：L=3600×(π/4)×D²×V，式中V取5.0m/s；</w:t>
                  </w:r>
                </w:p>
                <w:p w14:paraId="7099E208">
                  <w:pPr>
                    <w:pStyle w:val="47"/>
                    <w:bidi w:val="0"/>
                    <w:rPr>
                      <w:rFonts w:hint="eastAsia"/>
                      <w:lang w:val="en-US" w:eastAsia="zh-CN"/>
                    </w:rPr>
                  </w:pPr>
                  <w:r>
                    <w:rPr>
                      <w:rFonts w:hint="eastAsia"/>
                      <w:lang w:val="en-US" w:eastAsia="zh-CN"/>
                    </w:rPr>
                    <w:t>③集气罩风速参考《局部排风设施控制风速检测与评估技术规范》（AQ/T 4274-2016 ）表1上吸式排风罩，有毒气体控制风速为1.0m/s；</w:t>
                  </w:r>
                </w:p>
                <w:p w14:paraId="499A4707">
                  <w:pPr>
                    <w:pStyle w:val="47"/>
                    <w:bidi w:val="0"/>
                    <w:rPr>
                      <w:rFonts w:hint="default" w:eastAsia="宋体"/>
                      <w:lang w:val="en-US" w:eastAsia="zh-CN"/>
                    </w:rPr>
                  </w:pPr>
                  <w:r>
                    <w:rPr>
                      <w:rFonts w:hint="eastAsia"/>
                      <w:lang w:val="en-US" w:eastAsia="zh-CN"/>
                    </w:rPr>
                    <w:t>④</w:t>
                  </w:r>
                  <w:r>
                    <w:t>VOCs收集风管的断面风速推荐值如下：不含尘风管：支</w:t>
                  </w:r>
                  <w:r>
                    <w:rPr>
                      <w:rFonts w:hint="default"/>
                    </w:rPr>
                    <w:t>管风速5～6m/s，主管风速8～12m/s</w:t>
                  </w:r>
                  <w:r>
                    <w:rPr>
                      <w:rFonts w:hint="eastAsia"/>
                      <w:lang w:eastAsia="zh-CN"/>
                    </w:rPr>
                    <w:t>，</w:t>
                  </w:r>
                  <w:r>
                    <w:rPr>
                      <w:rFonts w:hint="eastAsia"/>
                      <w:lang w:val="en-US" w:eastAsia="zh-CN"/>
                    </w:rPr>
                    <w:t>本项目成型及烘干废气集气风速取5m/s。</w:t>
                  </w:r>
                </w:p>
              </w:tc>
            </w:tr>
          </w:tbl>
          <w:p w14:paraId="55CB5788">
            <w:pPr>
              <w:bidi w:val="0"/>
              <w:rPr>
                <w:rFonts w:hint="default" w:eastAsia="宋体"/>
                <w:lang w:val="en-US" w:eastAsia="zh-CN"/>
              </w:rPr>
            </w:pPr>
            <w:r>
              <w:t>根据《浙江省重点行业 VOCs 污染排放源排放量计算方法》，</w:t>
            </w:r>
            <w:r>
              <w:rPr>
                <w:rFonts w:hint="eastAsia"/>
              </w:rPr>
              <w:t>半密闭罩或通风橱方式收集(</w:t>
            </w:r>
            <w:r>
              <w:rPr>
                <w:rFonts w:hint="eastAsia"/>
                <w:lang w:val="en-US" w:eastAsia="zh-CN"/>
              </w:rPr>
              <w:t>罩内</w:t>
            </w:r>
            <w:r>
              <w:rPr>
                <w:rFonts w:hint="eastAsia"/>
              </w:rPr>
              <w:t>或</w:t>
            </w:r>
            <w:r>
              <w:rPr>
                <w:rFonts w:hint="eastAsia"/>
                <w:lang w:val="en-US" w:eastAsia="zh-CN"/>
              </w:rPr>
              <w:t>橱</w:t>
            </w:r>
            <w:r>
              <w:rPr>
                <w:rFonts w:hint="eastAsia"/>
              </w:rPr>
              <w:t>内操作)</w:t>
            </w:r>
            <w:r>
              <w:rPr>
                <w:rFonts w:hint="eastAsia"/>
                <w:lang w:eastAsia="zh-CN"/>
              </w:rPr>
              <w:t>，</w:t>
            </w:r>
            <w:r>
              <w:rPr>
                <w:rFonts w:hint="eastAsia"/>
              </w:rPr>
              <w:t>污染物产生点(面)处，往吸入口方向的控制风速不小于 0.5m</w:t>
            </w:r>
            <w:r>
              <w:rPr>
                <w:rFonts w:hint="eastAsia"/>
                <w:lang w:val="en-US" w:eastAsia="zh-CN"/>
              </w:rPr>
              <w:t>/</w:t>
            </w:r>
            <w:r>
              <w:rPr>
                <w:rFonts w:hint="eastAsia"/>
              </w:rPr>
              <w:t>s</w:t>
            </w:r>
            <w:r>
              <w:t xml:space="preserve">进行收集的收集效率为 </w:t>
            </w:r>
            <w:r>
              <w:rPr>
                <w:rFonts w:hint="eastAsia"/>
                <w:lang w:val="en-US" w:eastAsia="zh-CN"/>
              </w:rPr>
              <w:t>65</w:t>
            </w:r>
            <w:r>
              <w:t>--</w:t>
            </w:r>
            <w:r>
              <w:rPr>
                <w:rFonts w:hint="eastAsia"/>
                <w:lang w:val="en-US" w:eastAsia="zh-CN"/>
              </w:rPr>
              <w:t>85</w:t>
            </w:r>
            <w:r>
              <w:t>%</w:t>
            </w:r>
            <w:r>
              <w:rPr>
                <w:rFonts w:hint="eastAsia"/>
                <w:lang w:eastAsia="zh-CN"/>
              </w:rPr>
              <w:t>；设备有固定排放管(或口)直接与风管连接，设备整体密闭只留产品进出口，且进出口处有废气收集措施，收集系统运行时周边基本无 VOCs 散发，</w:t>
            </w:r>
            <w:r>
              <w:t xml:space="preserve">收集效率为 </w:t>
            </w:r>
            <w:r>
              <w:rPr>
                <w:rFonts w:hint="eastAsia"/>
                <w:lang w:val="en-US" w:eastAsia="zh-CN"/>
              </w:rPr>
              <w:t>80</w:t>
            </w:r>
            <w:r>
              <w:t>--</w:t>
            </w:r>
            <w:r>
              <w:rPr>
                <w:rFonts w:hint="eastAsia"/>
                <w:lang w:val="en-US" w:eastAsia="zh-CN"/>
              </w:rPr>
              <w:t>98</w:t>
            </w:r>
            <w:r>
              <w:t>%</w:t>
            </w:r>
            <w:r>
              <w:rPr>
                <w:rFonts w:hint="eastAsia"/>
                <w:lang w:eastAsia="zh-CN"/>
              </w:rPr>
              <w:t>。</w:t>
            </w:r>
            <w:r>
              <w:rPr>
                <w:rFonts w:hint="eastAsia"/>
                <w:lang w:val="en-US" w:eastAsia="zh-CN"/>
              </w:rPr>
              <w:t>项目发泡机上方设置集气罩</w:t>
            </w:r>
            <w:r>
              <w:t>，且控制风速不小于 0.5m</w:t>
            </w:r>
            <w:r>
              <w:rPr>
                <w:rFonts w:hint="eastAsia"/>
                <w:lang w:val="en-US" w:eastAsia="zh-CN"/>
              </w:rPr>
              <w:t>/</w:t>
            </w:r>
            <w:r>
              <w:t>s，可有效减少有机废气扩散，故本项目</w:t>
            </w:r>
            <w:r>
              <w:rPr>
                <w:rFonts w:hint="eastAsia"/>
                <w:lang w:val="en-US" w:eastAsia="zh-CN"/>
              </w:rPr>
              <w:t>发泡工序集气罩</w:t>
            </w:r>
            <w:r>
              <w:t xml:space="preserve">收集效率按 </w:t>
            </w:r>
            <w:r>
              <w:rPr>
                <w:rFonts w:hint="eastAsia"/>
                <w:lang w:val="en-US" w:eastAsia="zh-CN"/>
              </w:rPr>
              <w:t>85</w:t>
            </w:r>
            <w:r>
              <w:t>%</w:t>
            </w:r>
            <w:r>
              <w:rPr>
                <w:rFonts w:hint="eastAsia"/>
              </w:rPr>
              <w:t>计</w:t>
            </w:r>
            <w:r>
              <w:rPr>
                <w:rFonts w:hint="eastAsia"/>
                <w:lang w:eastAsia="zh-CN"/>
              </w:rPr>
              <w:t>；</w:t>
            </w:r>
            <w:r>
              <w:rPr>
                <w:rFonts w:hint="eastAsia"/>
                <w:lang w:val="en-US" w:eastAsia="zh-CN"/>
              </w:rPr>
              <w:t>项目成型机北侧区域四周加装软帘，废气经管道收集，有机废气收集效率取90%；项目烘干房密闭，设置管道收集有机废气，</w:t>
            </w:r>
            <w:r>
              <w:t>仅留物件进出口</w:t>
            </w:r>
            <w:r>
              <w:rPr>
                <w:rFonts w:hint="eastAsia"/>
                <w:lang w:eastAsia="zh-CN"/>
              </w:rPr>
              <w:t>，</w:t>
            </w:r>
            <w:r>
              <w:rPr>
                <w:rFonts w:hint="eastAsia"/>
                <w:lang w:val="en-US" w:eastAsia="zh-CN"/>
              </w:rPr>
              <w:t>故本项目烘干房有机废气收集效率取90%。考虑到风量损失，本项目EPS包装材料生产线风机总风量为23500m³/h。</w:t>
            </w:r>
          </w:p>
          <w:p w14:paraId="0F917D2D">
            <w:pPr>
              <w:bidi w:val="0"/>
              <w:rPr>
                <w:rFonts w:hint="default"/>
                <w:b/>
                <w:bCs/>
                <w:lang w:val="en-US" w:eastAsia="zh-CN"/>
              </w:rPr>
            </w:pPr>
            <w:r>
              <w:rPr>
                <w:rFonts w:hint="eastAsia"/>
                <w:b/>
                <w:bCs/>
                <w:lang w:val="en-US" w:eastAsia="zh-CN"/>
              </w:rPr>
              <w:t>⑤废气治理</w:t>
            </w:r>
          </w:p>
          <w:p w14:paraId="44718AAC">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本项目废气收集后进入冷凝+二级活性炭装置处理后</w:t>
            </w:r>
            <w:r>
              <w:rPr>
                <w:rFonts w:hint="eastAsia"/>
                <w:color w:val="000000" w:themeColor="text1"/>
                <w:highlight w:val="none"/>
                <w:lang w:val="en-US" w:eastAsia="zh-CN"/>
                <w14:textFill>
                  <w14:solidFill>
                    <w14:schemeClr w14:val="tx1"/>
                  </w14:solidFill>
                </w14:textFill>
              </w:rPr>
              <w:t>经21m高排</w:t>
            </w:r>
            <w:r>
              <w:rPr>
                <w:rFonts w:hint="eastAsia"/>
                <w:color w:val="000000" w:themeColor="text1"/>
                <w:lang w:val="en-US" w:eastAsia="zh-CN"/>
                <w14:textFill>
                  <w14:solidFill>
                    <w14:schemeClr w14:val="tx1"/>
                  </w14:solidFill>
                </w14:textFill>
              </w:rPr>
              <w:t>气筒达标排放。</w:t>
            </w:r>
          </w:p>
          <w:p w14:paraId="7373AAAF">
            <w:pP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根据《排污许可证申请与核发技术规范 橡胶和塑料制品工业》(HJ</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1122-2020)附录A</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废气和废水污染防治可行技术参考-表A.2塑料制品工业排污单位废气污染防治可行技术参考表</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确定本项目废气防治设施可行性如下所示：</w:t>
            </w:r>
          </w:p>
          <w:p w14:paraId="4B13B283">
            <w:pPr>
              <w:pStyle w:val="44"/>
              <w:bidi w:val="0"/>
              <w:rPr>
                <w:rFonts w:hint="eastAsia"/>
                <w:lang w:val="en-US" w:eastAsia="zh-CN"/>
              </w:rPr>
            </w:pPr>
            <w:r>
              <w:rPr>
                <w:rFonts w:hint="eastAsia"/>
                <w:lang w:val="en-US" w:eastAsia="zh-CN"/>
              </w:rPr>
              <w:t xml:space="preserve">表4-7 </w:t>
            </w:r>
            <w:r>
              <w:rPr>
                <w:rFonts w:hint="eastAsia"/>
                <w:color w:val="000000" w:themeColor="text1"/>
                <w14:textFill>
                  <w14:solidFill>
                    <w14:schemeClr w14:val="tx1"/>
                  </w14:solidFill>
                </w14:textFill>
              </w:rPr>
              <w:t>塑料制品工业排污单位废气污染防治可行技术参考表</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摘录</w:t>
            </w:r>
            <w:r>
              <w:rPr>
                <w:rFonts w:hint="eastAsia"/>
                <w:color w:val="000000" w:themeColor="text1"/>
                <w:lang w:eastAsia="zh-CN"/>
                <w14:textFill>
                  <w14:solidFill>
                    <w14:schemeClr w14:val="tx1"/>
                  </w14:solidFill>
                </w14:textFill>
              </w:rPr>
              <w:t>）</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1400"/>
              <w:gridCol w:w="1417"/>
              <w:gridCol w:w="1208"/>
              <w:gridCol w:w="1208"/>
              <w:gridCol w:w="1209"/>
              <w:gridCol w:w="1209"/>
            </w:tblGrid>
            <w:tr w14:paraId="7A7B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09" w:type="dxa"/>
                  <w:vMerge w:val="restart"/>
                  <w:vAlign w:val="center"/>
                </w:tcPr>
                <w:p w14:paraId="29B51205">
                  <w:pPr>
                    <w:pStyle w:val="51"/>
                    <w:bidi w:val="0"/>
                    <w:jc w:val="center"/>
                    <w:rPr>
                      <w:rFonts w:hint="default"/>
                      <w:lang w:val="en-US" w:eastAsia="zh-CN"/>
                    </w:rPr>
                  </w:pPr>
                  <w:r>
                    <w:rPr>
                      <w:rFonts w:hint="eastAsia"/>
                      <w:lang w:val="en-US" w:eastAsia="zh-CN"/>
                    </w:rPr>
                    <w:t>产排污环节</w:t>
                  </w:r>
                </w:p>
              </w:tc>
              <w:tc>
                <w:tcPr>
                  <w:tcW w:w="1400" w:type="dxa"/>
                  <w:vMerge w:val="restart"/>
                  <w:vAlign w:val="center"/>
                </w:tcPr>
                <w:p w14:paraId="4DEE69C8">
                  <w:pPr>
                    <w:pStyle w:val="51"/>
                    <w:bidi w:val="0"/>
                    <w:jc w:val="center"/>
                    <w:rPr>
                      <w:rFonts w:hint="default"/>
                      <w:lang w:val="en-US" w:eastAsia="zh-CN"/>
                    </w:rPr>
                  </w:pPr>
                  <w:r>
                    <w:rPr>
                      <w:rFonts w:hint="eastAsia"/>
                      <w:lang w:val="en-US" w:eastAsia="zh-CN"/>
                    </w:rPr>
                    <w:t>污染物种类</w:t>
                  </w:r>
                </w:p>
              </w:tc>
              <w:tc>
                <w:tcPr>
                  <w:tcW w:w="2625" w:type="dxa"/>
                  <w:gridSpan w:val="2"/>
                  <w:vAlign w:val="center"/>
                </w:tcPr>
                <w:p w14:paraId="39F12157">
                  <w:pPr>
                    <w:pStyle w:val="51"/>
                    <w:bidi w:val="0"/>
                    <w:jc w:val="center"/>
                    <w:rPr>
                      <w:rFonts w:hint="default"/>
                      <w:lang w:val="en-US" w:eastAsia="zh-CN"/>
                    </w:rPr>
                  </w:pPr>
                  <w:r>
                    <w:rPr>
                      <w:rFonts w:hint="eastAsia"/>
                      <w:lang w:val="en-US" w:eastAsia="zh-CN"/>
                    </w:rPr>
                    <w:t>过程控制技术</w:t>
                  </w:r>
                </w:p>
              </w:tc>
              <w:tc>
                <w:tcPr>
                  <w:tcW w:w="2417" w:type="dxa"/>
                  <w:gridSpan w:val="2"/>
                  <w:vAlign w:val="center"/>
                </w:tcPr>
                <w:p w14:paraId="40030F12">
                  <w:pPr>
                    <w:pStyle w:val="51"/>
                    <w:bidi w:val="0"/>
                    <w:jc w:val="center"/>
                    <w:rPr>
                      <w:rFonts w:hint="default"/>
                      <w:lang w:val="en-US" w:eastAsia="zh-CN"/>
                    </w:rPr>
                  </w:pPr>
                  <w:r>
                    <w:rPr>
                      <w:rFonts w:hint="eastAsia"/>
                      <w:lang w:val="en-US" w:eastAsia="zh-CN"/>
                    </w:rPr>
                    <w:t>处理技术</w:t>
                  </w:r>
                </w:p>
              </w:tc>
              <w:tc>
                <w:tcPr>
                  <w:tcW w:w="1209" w:type="dxa"/>
                  <w:vMerge w:val="restart"/>
                  <w:vAlign w:val="center"/>
                </w:tcPr>
                <w:p w14:paraId="547E74DD">
                  <w:pPr>
                    <w:pStyle w:val="51"/>
                    <w:bidi w:val="0"/>
                    <w:jc w:val="center"/>
                    <w:rPr>
                      <w:rFonts w:hint="default"/>
                      <w:lang w:val="en-US" w:eastAsia="zh-CN"/>
                    </w:rPr>
                  </w:pPr>
                  <w:r>
                    <w:rPr>
                      <w:rFonts w:hint="eastAsia"/>
                      <w:lang w:val="en-US" w:eastAsia="zh-CN"/>
                    </w:rPr>
                    <w:t>可行性</w:t>
                  </w:r>
                </w:p>
              </w:tc>
            </w:tr>
            <w:tr w14:paraId="292D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09" w:type="dxa"/>
                  <w:vMerge w:val="continue"/>
                  <w:vAlign w:val="center"/>
                </w:tcPr>
                <w:p w14:paraId="6FE67E46">
                  <w:pPr>
                    <w:pStyle w:val="51"/>
                    <w:bidi w:val="0"/>
                    <w:jc w:val="center"/>
                  </w:pPr>
                </w:p>
              </w:tc>
              <w:tc>
                <w:tcPr>
                  <w:tcW w:w="1400" w:type="dxa"/>
                  <w:vMerge w:val="continue"/>
                  <w:vAlign w:val="center"/>
                </w:tcPr>
                <w:p w14:paraId="6988293C">
                  <w:pPr>
                    <w:pStyle w:val="51"/>
                    <w:bidi w:val="0"/>
                    <w:jc w:val="center"/>
                  </w:pPr>
                </w:p>
              </w:tc>
              <w:tc>
                <w:tcPr>
                  <w:tcW w:w="1417" w:type="dxa"/>
                  <w:vAlign w:val="center"/>
                </w:tcPr>
                <w:p w14:paraId="2FEE782A">
                  <w:pPr>
                    <w:pStyle w:val="51"/>
                    <w:bidi w:val="0"/>
                    <w:jc w:val="center"/>
                    <w:rPr>
                      <w:rFonts w:hint="default"/>
                      <w:lang w:val="en-US" w:eastAsia="zh-CN"/>
                    </w:rPr>
                  </w:pPr>
                  <w:r>
                    <w:rPr>
                      <w:rFonts w:hint="eastAsia"/>
                      <w:lang w:val="en-US" w:eastAsia="zh-CN"/>
                    </w:rPr>
                    <w:t>可行性技术</w:t>
                  </w:r>
                </w:p>
              </w:tc>
              <w:tc>
                <w:tcPr>
                  <w:tcW w:w="1208" w:type="dxa"/>
                  <w:vAlign w:val="center"/>
                </w:tcPr>
                <w:p w14:paraId="4AA7EBBD">
                  <w:pPr>
                    <w:pStyle w:val="51"/>
                    <w:bidi w:val="0"/>
                    <w:jc w:val="center"/>
                    <w:rPr>
                      <w:rFonts w:hint="default"/>
                      <w:lang w:val="en-US" w:eastAsia="zh-CN"/>
                    </w:rPr>
                  </w:pPr>
                  <w:r>
                    <w:rPr>
                      <w:rFonts w:hint="eastAsia"/>
                      <w:lang w:val="en-US" w:eastAsia="zh-CN"/>
                    </w:rPr>
                    <w:t>本项目</w:t>
                  </w:r>
                </w:p>
              </w:tc>
              <w:tc>
                <w:tcPr>
                  <w:tcW w:w="1208" w:type="dxa"/>
                  <w:vAlign w:val="center"/>
                </w:tcPr>
                <w:p w14:paraId="356A0881">
                  <w:pPr>
                    <w:pStyle w:val="51"/>
                    <w:bidi w:val="0"/>
                    <w:jc w:val="center"/>
                    <w:rPr>
                      <w:rFonts w:hint="default"/>
                      <w:lang w:val="en-US" w:eastAsia="zh-CN"/>
                    </w:rPr>
                  </w:pPr>
                  <w:r>
                    <w:rPr>
                      <w:rFonts w:hint="eastAsia"/>
                      <w:lang w:val="en-US" w:eastAsia="zh-CN"/>
                    </w:rPr>
                    <w:t>可行性技术</w:t>
                  </w:r>
                </w:p>
              </w:tc>
              <w:tc>
                <w:tcPr>
                  <w:tcW w:w="1209" w:type="dxa"/>
                  <w:vAlign w:val="center"/>
                </w:tcPr>
                <w:p w14:paraId="0F9755C2">
                  <w:pPr>
                    <w:pStyle w:val="51"/>
                    <w:bidi w:val="0"/>
                    <w:jc w:val="center"/>
                    <w:rPr>
                      <w:rFonts w:hint="default"/>
                      <w:lang w:val="en-US" w:eastAsia="zh-CN"/>
                    </w:rPr>
                  </w:pPr>
                  <w:r>
                    <w:rPr>
                      <w:rFonts w:hint="eastAsia"/>
                      <w:lang w:val="en-US" w:eastAsia="zh-CN"/>
                    </w:rPr>
                    <w:t>本项目</w:t>
                  </w:r>
                </w:p>
              </w:tc>
              <w:tc>
                <w:tcPr>
                  <w:tcW w:w="1209" w:type="dxa"/>
                  <w:vMerge w:val="continue"/>
                  <w:vAlign w:val="center"/>
                </w:tcPr>
                <w:p w14:paraId="508C8749">
                  <w:pPr>
                    <w:pStyle w:val="51"/>
                    <w:bidi w:val="0"/>
                    <w:jc w:val="center"/>
                    <w:rPr>
                      <w:rFonts w:hint="default"/>
                      <w:lang w:val="en-US" w:eastAsia="zh-CN"/>
                    </w:rPr>
                  </w:pPr>
                </w:p>
              </w:tc>
            </w:tr>
            <w:tr w14:paraId="670C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vMerge w:val="restart"/>
                  <w:vAlign w:val="center"/>
                </w:tcPr>
                <w:p w14:paraId="31E2F41E">
                  <w:pPr>
                    <w:pStyle w:val="51"/>
                    <w:bidi w:val="0"/>
                    <w:jc w:val="center"/>
                    <w:rPr>
                      <w:rFonts w:hint="default"/>
                      <w:lang w:val="en-US" w:eastAsia="zh-CN"/>
                    </w:rPr>
                  </w:pPr>
                  <w:r>
                    <w:rPr>
                      <w:rFonts w:hint="eastAsia"/>
                      <w:lang w:val="en-US" w:eastAsia="zh-CN"/>
                    </w:rPr>
                    <w:t>发泡、成型</w:t>
                  </w:r>
                </w:p>
              </w:tc>
              <w:tc>
                <w:tcPr>
                  <w:tcW w:w="1400" w:type="dxa"/>
                  <w:vAlign w:val="center"/>
                </w:tcPr>
                <w:p w14:paraId="4949C4FA">
                  <w:pPr>
                    <w:pStyle w:val="51"/>
                    <w:bidi w:val="0"/>
                    <w:jc w:val="center"/>
                    <w:rPr>
                      <w:rFonts w:hint="default"/>
                      <w:lang w:val="en-US" w:eastAsia="zh-CN"/>
                    </w:rPr>
                  </w:pPr>
                  <w:r>
                    <w:rPr>
                      <w:rFonts w:hint="eastAsia"/>
                      <w:lang w:val="en-US" w:eastAsia="zh-CN"/>
                    </w:rPr>
                    <w:t>非甲烷总烃</w:t>
                  </w:r>
                </w:p>
              </w:tc>
              <w:tc>
                <w:tcPr>
                  <w:tcW w:w="1417" w:type="dxa"/>
                  <w:vAlign w:val="center"/>
                </w:tcPr>
                <w:p w14:paraId="51018DCB">
                  <w:pPr>
                    <w:pStyle w:val="51"/>
                    <w:bidi w:val="0"/>
                    <w:jc w:val="center"/>
                    <w:rPr>
                      <w:rFonts w:hint="default"/>
                      <w:lang w:val="en-US" w:eastAsia="zh-CN"/>
                    </w:rPr>
                  </w:pPr>
                  <w:r>
                    <w:rPr>
                      <w:rFonts w:hint="default"/>
                      <w:lang w:val="en-US" w:eastAsia="zh-CN"/>
                    </w:rPr>
                    <w:t>溶剂替代</w:t>
                  </w:r>
                </w:p>
                <w:p w14:paraId="1C5503D4">
                  <w:pPr>
                    <w:pStyle w:val="51"/>
                    <w:bidi w:val="0"/>
                    <w:jc w:val="center"/>
                    <w:rPr>
                      <w:rFonts w:hint="default"/>
                      <w:lang w:val="en-US" w:eastAsia="zh-CN"/>
                    </w:rPr>
                  </w:pPr>
                  <w:r>
                    <w:rPr>
                      <w:rFonts w:hint="default"/>
                      <w:lang w:val="en-US" w:eastAsia="zh-CN"/>
                    </w:rPr>
                    <w:t>密闭过程</w:t>
                  </w:r>
                </w:p>
                <w:p w14:paraId="19EB6604">
                  <w:pPr>
                    <w:pStyle w:val="51"/>
                    <w:bidi w:val="0"/>
                    <w:jc w:val="center"/>
                    <w:rPr>
                      <w:rFonts w:hint="default"/>
                      <w:lang w:val="en-US" w:eastAsia="zh-CN"/>
                    </w:rPr>
                  </w:pPr>
                  <w:r>
                    <w:rPr>
                      <w:rFonts w:hint="default"/>
                      <w:lang w:val="en-US" w:eastAsia="zh-CN"/>
                    </w:rPr>
                    <w:t>密闭场所</w:t>
                  </w:r>
                </w:p>
                <w:p w14:paraId="70817AC3">
                  <w:pPr>
                    <w:pStyle w:val="51"/>
                    <w:bidi w:val="0"/>
                    <w:jc w:val="center"/>
                    <w:rPr>
                      <w:rFonts w:hint="default"/>
                      <w:lang w:val="en-US" w:eastAsia="zh-CN"/>
                    </w:rPr>
                  </w:pPr>
                  <w:r>
                    <w:rPr>
                      <w:rFonts w:hint="default"/>
                      <w:lang w:val="en-US" w:eastAsia="zh-CN"/>
                    </w:rPr>
                    <w:t>局部收集</w:t>
                  </w:r>
                </w:p>
              </w:tc>
              <w:tc>
                <w:tcPr>
                  <w:tcW w:w="1208" w:type="dxa"/>
                  <w:vMerge w:val="restart"/>
                  <w:vAlign w:val="center"/>
                </w:tcPr>
                <w:p w14:paraId="6146A6F0">
                  <w:pPr>
                    <w:pStyle w:val="51"/>
                    <w:bidi w:val="0"/>
                    <w:jc w:val="center"/>
                    <w:rPr>
                      <w:rFonts w:hint="default"/>
                      <w:lang w:val="en-US" w:eastAsia="zh-CN"/>
                    </w:rPr>
                  </w:pPr>
                  <w:r>
                    <w:rPr>
                      <w:rFonts w:hint="eastAsia"/>
                      <w:lang w:val="en-US" w:eastAsia="zh-CN"/>
                    </w:rPr>
                    <w:t>局部收集</w:t>
                  </w:r>
                </w:p>
              </w:tc>
              <w:tc>
                <w:tcPr>
                  <w:tcW w:w="1208" w:type="dxa"/>
                  <w:vAlign w:val="center"/>
                </w:tcPr>
                <w:p w14:paraId="054D7DCE">
                  <w:pPr>
                    <w:pStyle w:val="51"/>
                    <w:bidi w:val="0"/>
                    <w:jc w:val="center"/>
                    <w:rPr>
                      <w:rFonts w:hint="default"/>
                      <w:lang w:val="en-US" w:eastAsia="zh-CN"/>
                    </w:rPr>
                  </w:pPr>
                  <w:r>
                    <w:rPr>
                      <w:rFonts w:hint="default"/>
                      <w:lang w:val="en-US" w:eastAsia="zh-CN"/>
                    </w:rPr>
                    <w:t>喷淋</w:t>
                  </w:r>
                  <w:r>
                    <w:rPr>
                      <w:rFonts w:hint="eastAsia"/>
                      <w:lang w:val="en-US" w:eastAsia="zh-CN"/>
                    </w:rPr>
                    <w:t>；</w:t>
                  </w:r>
                  <w:r>
                    <w:rPr>
                      <w:rFonts w:hint="default"/>
                      <w:lang w:val="en-US" w:eastAsia="zh-CN"/>
                    </w:rPr>
                    <w:t>吸附</w:t>
                  </w:r>
                  <w:r>
                    <w:rPr>
                      <w:rFonts w:hint="eastAsia"/>
                      <w:lang w:val="en-US" w:eastAsia="zh-CN"/>
                    </w:rPr>
                    <w:t>；</w:t>
                  </w:r>
                  <w:r>
                    <w:rPr>
                      <w:rFonts w:hint="default"/>
                      <w:lang w:val="en-US" w:eastAsia="zh-CN"/>
                    </w:rPr>
                    <w:t>吸附缩+热力燃烧/催化</w:t>
                  </w:r>
                </w:p>
                <w:p w14:paraId="3F3916A8">
                  <w:pPr>
                    <w:pStyle w:val="51"/>
                    <w:bidi w:val="0"/>
                    <w:jc w:val="center"/>
                    <w:rPr>
                      <w:rFonts w:hint="default"/>
                      <w:lang w:val="en-US" w:eastAsia="zh-CN"/>
                    </w:rPr>
                  </w:pPr>
                  <w:r>
                    <w:rPr>
                      <w:rFonts w:hint="default"/>
                      <w:lang w:val="en-US" w:eastAsia="zh-CN"/>
                    </w:rPr>
                    <w:t>燃烧</w:t>
                  </w:r>
                </w:p>
              </w:tc>
              <w:tc>
                <w:tcPr>
                  <w:tcW w:w="1209" w:type="dxa"/>
                  <w:vMerge w:val="restart"/>
                  <w:vAlign w:val="center"/>
                </w:tcPr>
                <w:p w14:paraId="578A149F">
                  <w:pPr>
                    <w:pStyle w:val="51"/>
                    <w:bidi w:val="0"/>
                    <w:jc w:val="center"/>
                    <w:rPr>
                      <w:rFonts w:hint="default"/>
                      <w:lang w:val="en-US" w:eastAsia="zh-CN"/>
                    </w:rPr>
                  </w:pPr>
                  <w:r>
                    <w:rPr>
                      <w:rFonts w:hint="eastAsia"/>
                      <w:lang w:val="en-US" w:eastAsia="zh-CN"/>
                    </w:rPr>
                    <w:t>冷凝+二级活性炭</w:t>
                  </w:r>
                  <w:r>
                    <w:rPr>
                      <w:rFonts w:hint="default"/>
                      <w:lang w:val="en-US" w:eastAsia="zh-CN"/>
                    </w:rPr>
                    <w:t>装置</w:t>
                  </w:r>
                </w:p>
                <w:p w14:paraId="77BA6EBD">
                  <w:pPr>
                    <w:pStyle w:val="51"/>
                    <w:bidi w:val="0"/>
                    <w:jc w:val="center"/>
                    <w:rPr>
                      <w:rFonts w:hint="default"/>
                      <w:lang w:val="en-US" w:eastAsia="zh-CN"/>
                    </w:rPr>
                  </w:pPr>
                </w:p>
              </w:tc>
              <w:tc>
                <w:tcPr>
                  <w:tcW w:w="1209" w:type="dxa"/>
                  <w:vAlign w:val="center"/>
                </w:tcPr>
                <w:p w14:paraId="0CAF11F7">
                  <w:pPr>
                    <w:pStyle w:val="51"/>
                    <w:bidi w:val="0"/>
                    <w:jc w:val="center"/>
                    <w:rPr>
                      <w:rFonts w:hint="default"/>
                      <w:lang w:val="en-US" w:eastAsia="zh-CN"/>
                    </w:rPr>
                  </w:pPr>
                  <w:r>
                    <w:rPr>
                      <w:rFonts w:hint="eastAsia"/>
                      <w:lang w:val="en-US" w:eastAsia="zh-CN"/>
                    </w:rPr>
                    <w:t>可行</w:t>
                  </w:r>
                </w:p>
              </w:tc>
            </w:tr>
            <w:tr w14:paraId="5339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vMerge w:val="continue"/>
                  <w:vAlign w:val="center"/>
                </w:tcPr>
                <w:p w14:paraId="62E7BC53">
                  <w:pPr>
                    <w:pStyle w:val="51"/>
                    <w:bidi w:val="0"/>
                    <w:jc w:val="center"/>
                    <w:rPr>
                      <w:rFonts w:hint="default"/>
                      <w:lang w:val="en-US" w:eastAsia="zh-CN"/>
                    </w:rPr>
                  </w:pPr>
                </w:p>
              </w:tc>
              <w:tc>
                <w:tcPr>
                  <w:tcW w:w="1400" w:type="dxa"/>
                  <w:vAlign w:val="center"/>
                </w:tcPr>
                <w:p w14:paraId="044D56DF">
                  <w:pPr>
                    <w:pStyle w:val="51"/>
                    <w:bidi w:val="0"/>
                    <w:jc w:val="center"/>
                    <w:rPr>
                      <w:rFonts w:hint="default"/>
                      <w:lang w:val="en-US" w:eastAsia="zh-CN"/>
                    </w:rPr>
                  </w:pPr>
                  <w:r>
                    <w:rPr>
                      <w:rFonts w:hint="default"/>
                      <w:lang w:val="en-US" w:eastAsia="zh-CN"/>
                    </w:rPr>
                    <w:t>臭气浓度、恶臭特征物质</w:t>
                  </w:r>
                </w:p>
              </w:tc>
              <w:tc>
                <w:tcPr>
                  <w:tcW w:w="1417" w:type="dxa"/>
                  <w:vAlign w:val="center"/>
                </w:tcPr>
                <w:p w14:paraId="331EA15B">
                  <w:pPr>
                    <w:pStyle w:val="51"/>
                    <w:bidi w:val="0"/>
                    <w:jc w:val="center"/>
                    <w:rPr>
                      <w:rFonts w:hint="default"/>
                      <w:lang w:val="en-US" w:eastAsia="zh-CN"/>
                    </w:rPr>
                  </w:pPr>
                  <w:r>
                    <w:rPr>
                      <w:rFonts w:hint="default"/>
                      <w:lang w:val="en-US" w:eastAsia="zh-CN"/>
                    </w:rPr>
                    <w:t>溶剂替代</w:t>
                  </w:r>
                </w:p>
                <w:p w14:paraId="4D0855F2">
                  <w:pPr>
                    <w:pStyle w:val="51"/>
                    <w:bidi w:val="0"/>
                    <w:jc w:val="center"/>
                    <w:rPr>
                      <w:rFonts w:hint="default"/>
                      <w:lang w:val="en-US" w:eastAsia="zh-CN"/>
                    </w:rPr>
                  </w:pPr>
                  <w:r>
                    <w:rPr>
                      <w:rFonts w:hint="default"/>
                      <w:lang w:val="en-US" w:eastAsia="zh-CN"/>
                    </w:rPr>
                    <w:t>密闭过程</w:t>
                  </w:r>
                </w:p>
                <w:p w14:paraId="104CCCB9">
                  <w:pPr>
                    <w:pStyle w:val="51"/>
                    <w:bidi w:val="0"/>
                    <w:jc w:val="center"/>
                    <w:rPr>
                      <w:rFonts w:hint="default"/>
                      <w:lang w:val="en-US" w:eastAsia="zh-CN"/>
                    </w:rPr>
                  </w:pPr>
                  <w:r>
                    <w:rPr>
                      <w:rFonts w:hint="default"/>
                      <w:lang w:val="en-US" w:eastAsia="zh-CN"/>
                    </w:rPr>
                    <w:t>密闭场所</w:t>
                  </w:r>
                </w:p>
                <w:p w14:paraId="3DEEFF54">
                  <w:pPr>
                    <w:pStyle w:val="51"/>
                    <w:bidi w:val="0"/>
                    <w:jc w:val="center"/>
                    <w:rPr>
                      <w:rFonts w:hint="default"/>
                      <w:lang w:val="en-US" w:eastAsia="zh-CN"/>
                    </w:rPr>
                  </w:pPr>
                  <w:r>
                    <w:rPr>
                      <w:rFonts w:hint="default"/>
                      <w:lang w:val="en-US" w:eastAsia="zh-CN"/>
                    </w:rPr>
                    <w:t>局部收集</w:t>
                  </w:r>
                </w:p>
              </w:tc>
              <w:tc>
                <w:tcPr>
                  <w:tcW w:w="1208" w:type="dxa"/>
                  <w:vMerge w:val="continue"/>
                  <w:vAlign w:val="center"/>
                </w:tcPr>
                <w:p w14:paraId="40F20E3B">
                  <w:pPr>
                    <w:pStyle w:val="51"/>
                    <w:bidi w:val="0"/>
                    <w:jc w:val="center"/>
                    <w:rPr>
                      <w:rFonts w:hint="default"/>
                      <w:lang w:val="en-US" w:eastAsia="zh-CN"/>
                    </w:rPr>
                  </w:pPr>
                </w:p>
              </w:tc>
              <w:tc>
                <w:tcPr>
                  <w:tcW w:w="1208" w:type="dxa"/>
                  <w:vAlign w:val="center"/>
                </w:tcPr>
                <w:p w14:paraId="2D699998">
                  <w:pPr>
                    <w:pStyle w:val="51"/>
                    <w:bidi w:val="0"/>
                    <w:jc w:val="center"/>
                    <w:rPr>
                      <w:rFonts w:hint="default"/>
                      <w:lang w:val="en-US" w:eastAsia="zh-CN"/>
                    </w:rPr>
                  </w:pPr>
                  <w:r>
                    <w:rPr>
                      <w:rFonts w:hint="default"/>
                      <w:lang w:val="en-US" w:eastAsia="zh-CN"/>
                    </w:rPr>
                    <w:t>喷淋、吸附、低温等离子体、UV 光氧化/光催化、生物法两种及以上组合技术</w:t>
                  </w:r>
                </w:p>
              </w:tc>
              <w:tc>
                <w:tcPr>
                  <w:tcW w:w="1209" w:type="dxa"/>
                  <w:vMerge w:val="continue"/>
                  <w:vAlign w:val="center"/>
                </w:tcPr>
                <w:p w14:paraId="1BB9188A">
                  <w:pPr>
                    <w:pStyle w:val="51"/>
                    <w:bidi w:val="0"/>
                    <w:jc w:val="center"/>
                    <w:rPr>
                      <w:rFonts w:hint="default"/>
                      <w:lang w:val="en-US" w:eastAsia="zh-CN"/>
                    </w:rPr>
                  </w:pPr>
                </w:p>
              </w:tc>
              <w:tc>
                <w:tcPr>
                  <w:tcW w:w="1209" w:type="dxa"/>
                  <w:vAlign w:val="center"/>
                </w:tcPr>
                <w:p w14:paraId="36C76452">
                  <w:pPr>
                    <w:pStyle w:val="51"/>
                    <w:bidi w:val="0"/>
                    <w:jc w:val="center"/>
                    <w:rPr>
                      <w:rFonts w:hint="default"/>
                      <w:lang w:val="en-US" w:eastAsia="zh-CN"/>
                    </w:rPr>
                  </w:pPr>
                  <w:r>
                    <w:rPr>
                      <w:rFonts w:hint="eastAsia"/>
                      <w:lang w:val="en-US" w:eastAsia="zh-CN"/>
                    </w:rPr>
                    <w:t>可行</w:t>
                  </w:r>
                </w:p>
              </w:tc>
            </w:tr>
          </w:tbl>
          <w:p w14:paraId="70858D23">
            <w:pPr>
              <w:bidi w:val="0"/>
              <w:rPr>
                <w:rFonts w:hint="eastAsia"/>
                <w:lang w:val="en-US" w:eastAsia="zh-CN"/>
              </w:rPr>
            </w:pPr>
            <w:r>
              <w:rPr>
                <w:rFonts w:hint="eastAsia"/>
                <w:lang w:val="en-US" w:eastAsia="zh-CN"/>
              </w:rPr>
              <w:t>本项目废气中含有水蒸气不凝气及有机废气、苯乙烯，有机废气温度高，湿度大将影响二级活性炭处理效率，故采取冷凝+二级活性炭吸附装置处理。冷凝后有机废气温度可将至15℃以下排入二级活性炭吸附装置。</w:t>
            </w:r>
          </w:p>
          <w:p w14:paraId="37EEF5EC">
            <w:pPr>
              <w:bidi w:val="0"/>
            </w:pPr>
            <w:r>
              <w:rPr>
                <w:rFonts w:hint="default"/>
                <w:b/>
                <w:bCs/>
              </w:rPr>
              <w:t>冷凝法</w:t>
            </w:r>
            <w:r>
              <w:rPr>
                <w:rFonts w:hint="default"/>
              </w:rPr>
              <w:t>‌</w:t>
            </w:r>
          </w:p>
          <w:p w14:paraId="2612DD6F">
            <w:pPr>
              <w:bidi w:val="0"/>
              <w:rPr>
                <w:rFonts w:hint="default" w:eastAsia="宋体"/>
                <w:lang w:val="en-US" w:eastAsia="zh-CN"/>
              </w:rPr>
            </w:pPr>
            <w:r>
              <w:rPr>
                <w:rFonts w:hint="default"/>
              </w:rPr>
              <w:t>冷凝法的基本原理是利用气态污染物在不同温度和压力下具有不同的饱和蒸汽压。当系统温度降低或系统压力增加时，气态污染物的饱和蒸汽压降低，导致其冷凝并从废气中分离出来。冷凝温度一般在露点和泡点之间，冷凝温度越接近泡点，净化程度越高。‌‌冷凝法适用于回收浓度大于25g/m³的有机废气，尤其适合处理高浓度、中流量的VOCs。它常用于配合其他处理方式，作为净化高浓度废气的前处理，以降低有机负荷，回收有机物。</w:t>
            </w:r>
          </w:p>
          <w:p w14:paraId="1DD07423">
            <w:pPr>
              <w:ind w:firstLine="480"/>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活性炭吸附</w:t>
            </w:r>
          </w:p>
          <w:p w14:paraId="56D707E3">
            <w:pPr>
              <w:ind w:firstLine="480"/>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活性炭吸附法就是利用活性炭作为物理吸附剂，把生产过程中产生的有害物质成分，在固相表面进行浓缩，从而使废气得到净化治理。吸附过程是在固相一气相间界面发生的物理过程。活性炭主要是以含炭量较高的物质制成，具有较大的比表面积。</w:t>
            </w:r>
          </w:p>
          <w:p w14:paraId="5AC67F23">
            <w:pPr>
              <w:ind w:firstLine="480"/>
              <w:rPr>
                <w:rFonts w:hint="eastAsia"/>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根据</w:t>
            </w:r>
            <w:r>
              <w:rPr>
                <w:rFonts w:hint="eastAsia"/>
                <w:color w:val="000000" w:themeColor="text1"/>
                <w:highlight w:val="none"/>
                <w14:textFill>
                  <w14:solidFill>
                    <w14:schemeClr w14:val="tx1"/>
                  </w14:solidFill>
                </w14:textFill>
              </w:rPr>
              <w:t>《吸附法工业有机废气治理工程技术规范》</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HJ2026-2013</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吸附装置的净化效率不得低于90%，</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本项目以90%计</w:t>
            </w:r>
            <w:r>
              <w:rPr>
                <w:rFonts w:hint="eastAsia"/>
                <w:color w:val="000000" w:themeColor="text1"/>
                <w:highlight w:val="none"/>
                <w:lang w:val="en-US" w:eastAsia="zh-CN"/>
                <w14:textFill>
                  <w14:solidFill>
                    <w14:schemeClr w14:val="tx1"/>
                  </w14:solidFill>
                </w14:textFill>
              </w:rPr>
              <w:t>；</w:t>
            </w:r>
            <w:r>
              <w:rPr>
                <w:color w:val="auto"/>
              </w:rPr>
              <w:t>蜂窝状活性炭吸附装置废气流速宜低于1.2m/s</w:t>
            </w:r>
            <w:r>
              <w:rPr>
                <w:rFonts w:hint="eastAsia"/>
                <w:color w:val="auto"/>
                <w:lang w:eastAsia="zh-CN"/>
              </w:rPr>
              <w:t>，</w:t>
            </w:r>
            <w:r>
              <w:rPr>
                <w:color w:val="auto"/>
              </w:rPr>
              <w:t>本次评价取1.</w:t>
            </w:r>
            <w:r>
              <w:rPr>
                <w:rFonts w:hint="eastAsia"/>
                <w:color w:val="auto"/>
                <w:lang w:val="en-US" w:eastAsia="zh-CN"/>
              </w:rPr>
              <w:t>2</w:t>
            </w:r>
            <w:r>
              <w:rPr>
                <w:color w:val="auto"/>
              </w:rPr>
              <w:t>m/s。因此，本项目活性炭吸附箱体最低吸附过滤面积为</w:t>
            </w:r>
            <w:r>
              <w:rPr>
                <w:rFonts w:hint="eastAsia"/>
                <w:color w:val="auto"/>
                <w:lang w:val="en-US" w:eastAsia="zh-CN"/>
              </w:rPr>
              <w:t>23500</w:t>
            </w:r>
            <w:r>
              <w:rPr>
                <w:color w:val="auto"/>
              </w:rPr>
              <w:t>/3600/1.</w:t>
            </w:r>
            <w:r>
              <w:rPr>
                <w:rFonts w:hint="eastAsia"/>
                <w:color w:val="auto"/>
                <w:lang w:val="en-US" w:eastAsia="zh-CN"/>
              </w:rPr>
              <w:t>2</w:t>
            </w:r>
            <w:r>
              <w:rPr>
                <w:color w:val="auto"/>
              </w:rPr>
              <w:t>=</w:t>
            </w:r>
            <w:r>
              <w:rPr>
                <w:rFonts w:hint="eastAsia"/>
                <w:color w:val="auto"/>
                <w:lang w:val="en-US" w:eastAsia="zh-CN"/>
              </w:rPr>
              <w:t>5.44</w:t>
            </w:r>
            <w:r>
              <w:rPr>
                <w:color w:val="auto"/>
              </w:rPr>
              <w:t>m</w:t>
            </w:r>
            <w:r>
              <w:rPr>
                <w:color w:val="auto"/>
                <w:vertAlign w:val="superscript"/>
              </w:rPr>
              <w:t>2</w:t>
            </w:r>
            <w:r>
              <w:rPr>
                <w:rFonts w:hint="eastAsia"/>
                <w:color w:val="auto"/>
                <w:highlight w:val="none"/>
                <w:lang w:val="en-US" w:eastAsia="zh-CN"/>
              </w:rPr>
              <w:t>。本项目活性</w:t>
            </w:r>
            <w:r>
              <w:rPr>
                <w:rFonts w:hint="eastAsia"/>
                <w:color w:val="000000" w:themeColor="text1"/>
                <w:highlight w:val="none"/>
                <w:lang w:val="en-US" w:eastAsia="zh-CN"/>
                <w14:textFill>
                  <w14:solidFill>
                    <w14:schemeClr w14:val="tx1"/>
                  </w14:solidFill>
                </w14:textFill>
              </w:rPr>
              <w:t>炭采用 100mm×100mm×100mm蜂窝活性炭，活性炭碘值 800mg/g。</w:t>
            </w:r>
          </w:p>
          <w:p w14:paraId="2ABBA4CE">
            <w:pPr>
              <w:ind w:firstLine="480"/>
              <w:rPr>
                <w:b/>
                <w:bCs/>
                <w:color w:val="000000" w:themeColor="text1"/>
                <w14:textFill>
                  <w14:solidFill>
                    <w14:schemeClr w14:val="tx1"/>
                  </w14:solidFill>
                </w14:textFill>
              </w:rPr>
            </w:pPr>
            <w:r>
              <w:rPr>
                <w:b/>
                <w:bCs/>
                <w:color w:val="000000" w:themeColor="text1"/>
                <w14:textFill>
                  <w14:solidFill>
                    <w14:schemeClr w14:val="tx1"/>
                  </w14:solidFill>
                </w14:textFill>
              </w:rPr>
              <w:t>活性炭更换时间计算：</w:t>
            </w:r>
          </w:p>
          <w:p w14:paraId="07286A94">
            <w:pPr>
              <w:ind w:firstLine="480"/>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根据《简明通风设计手册》，活性炭：有机废气=1：0.3，即1kg的活性炭可以吸附0.3kg的有机废气</w:t>
            </w:r>
            <w:r>
              <w:rPr>
                <w:rFonts w:hint="eastAsia"/>
                <w:color w:val="000000" w:themeColor="text1"/>
                <w14:textFill>
                  <w14:solidFill>
                    <w14:schemeClr w14:val="tx1"/>
                  </w14:solidFill>
                </w14:textFill>
              </w:rPr>
              <w:t>。</w:t>
            </w:r>
          </w:p>
          <w:p w14:paraId="69016229">
            <w:pPr>
              <w:pStyle w:val="7"/>
              <w:rPr>
                <w:color w:val="000000" w:themeColor="text1"/>
                <w:highlight w:val="none"/>
                <w14:textFill>
                  <w14:solidFill>
                    <w14:schemeClr w14:val="tx1"/>
                  </w14:solidFill>
                </w14:textFill>
              </w:rPr>
            </w:pPr>
            <w:r>
              <w:rPr>
                <w:rFonts w:hint="default"/>
                <w:color w:val="000000" w:themeColor="text1"/>
                <w:kern w:val="0"/>
                <w14:textFill>
                  <w14:solidFill>
                    <w14:schemeClr w14:val="tx1"/>
                  </w14:solidFill>
                </w14:textFill>
              </w:rPr>
              <w:t>项目活性炭吸附装置采用的单台活性炭吸附装置过滤面积不低于</w:t>
            </w:r>
            <w:r>
              <w:rPr>
                <w:rFonts w:hint="eastAsia"/>
                <w:color w:val="000000" w:themeColor="text1"/>
                <w:kern w:val="0"/>
                <w:lang w:val="en-US" w:eastAsia="zh-CN"/>
                <w14:textFill>
                  <w14:solidFill>
                    <w14:schemeClr w14:val="tx1"/>
                  </w14:solidFill>
                </w14:textFill>
              </w:rPr>
              <w:t>5.44</w:t>
            </w:r>
            <w:r>
              <w:rPr>
                <w:rFonts w:hint="default"/>
                <w:color w:val="000000" w:themeColor="text1"/>
                <w:kern w:val="0"/>
                <w14:textFill>
                  <w14:solidFill>
                    <w14:schemeClr w14:val="tx1"/>
                  </w14:solidFill>
                </w14:textFill>
              </w:rPr>
              <w:t>m</w:t>
            </w:r>
            <w:r>
              <w:rPr>
                <w:rFonts w:hint="default"/>
                <w:color w:val="000000" w:themeColor="text1"/>
                <w:kern w:val="0"/>
                <w:vertAlign w:val="superscript"/>
                <w14:textFill>
                  <w14:solidFill>
                    <w14:schemeClr w14:val="tx1"/>
                  </w14:solidFill>
                </w14:textFill>
              </w:rPr>
              <w:t>2</w:t>
            </w:r>
            <w:r>
              <w:rPr>
                <w:rFonts w:hint="default"/>
                <w:color w:val="000000" w:themeColor="text1"/>
                <w:kern w:val="0"/>
                <w14:textFill>
                  <w14:solidFill>
                    <w14:schemeClr w14:val="tx1"/>
                  </w14:solidFill>
                </w14:textFill>
              </w:rPr>
              <w:t>，采用蜂窝状活性炭，单层蜂窝状活性炭厚度约</w:t>
            </w:r>
            <w:r>
              <w:rPr>
                <w:color w:val="000000" w:themeColor="text1"/>
                <w:kern w:val="0"/>
                <w14:textFill>
                  <w14:solidFill>
                    <w14:schemeClr w14:val="tx1"/>
                  </w14:solidFill>
                </w14:textFill>
              </w:rPr>
              <w:t>0.1</w:t>
            </w:r>
            <w:r>
              <w:rPr>
                <w:rFonts w:hint="default"/>
                <w:color w:val="000000" w:themeColor="text1"/>
                <w:kern w:val="0"/>
                <w14:textFill>
                  <w14:solidFill>
                    <w14:schemeClr w14:val="tx1"/>
                  </w14:solidFill>
                </w14:textFill>
              </w:rPr>
              <w:t>m，</w:t>
            </w:r>
            <w:r>
              <w:rPr>
                <w:color w:val="000000" w:themeColor="text1"/>
                <w14:textFill>
                  <w14:solidFill>
                    <w14:schemeClr w14:val="tx1"/>
                  </w14:solidFill>
                </w14:textFill>
              </w:rPr>
              <w:t>活性炭装填厚度为0.2m，</w:t>
            </w:r>
            <w:r>
              <w:rPr>
                <w:rFonts w:hint="default"/>
                <w:color w:val="000000" w:themeColor="text1"/>
                <w:kern w:val="0"/>
                <w14:textFill>
                  <w14:solidFill>
                    <w14:schemeClr w14:val="tx1"/>
                  </w14:solidFill>
                </w14:textFill>
              </w:rPr>
              <w:t>则活性炭充填量为</w:t>
            </w:r>
            <w:r>
              <w:rPr>
                <w:rFonts w:hint="eastAsia"/>
                <w:color w:val="000000" w:themeColor="text1"/>
                <w:kern w:val="0"/>
                <w:lang w:val="en-US" w:eastAsia="zh-CN"/>
                <w14:textFill>
                  <w14:solidFill>
                    <w14:schemeClr w14:val="tx1"/>
                  </w14:solidFill>
                </w14:textFill>
              </w:rPr>
              <w:t>1.088</w:t>
            </w:r>
            <w:r>
              <w:rPr>
                <w:rFonts w:hint="default"/>
                <w:color w:val="000000" w:themeColor="text1"/>
                <w:kern w:val="0"/>
                <w14:textFill>
                  <w14:solidFill>
                    <w14:schemeClr w14:val="tx1"/>
                  </w14:solidFill>
                </w14:textFill>
              </w:rPr>
              <w:t>m</w:t>
            </w:r>
            <w:r>
              <w:rPr>
                <w:rFonts w:hint="default"/>
                <w:color w:val="000000" w:themeColor="text1"/>
                <w:kern w:val="0"/>
                <w:vertAlign w:val="superscript"/>
                <w14:textFill>
                  <w14:solidFill>
                    <w14:schemeClr w14:val="tx1"/>
                  </w14:solidFill>
                </w14:textFill>
              </w:rPr>
              <w:t>3</w:t>
            </w:r>
            <w:r>
              <w:rPr>
                <w:rFonts w:hint="default"/>
                <w:color w:val="000000" w:themeColor="text1"/>
                <w:kern w:val="0"/>
                <w14:textFill>
                  <w14:solidFill>
                    <w14:schemeClr w14:val="tx1"/>
                  </w14:solidFill>
                </w14:textFill>
              </w:rPr>
              <w:t>，蜂窝活性炭的堆积密度取</w:t>
            </w:r>
            <w:r>
              <w:rPr>
                <w:color w:val="000000" w:themeColor="text1"/>
                <w:kern w:val="0"/>
                <w14:textFill>
                  <w14:solidFill>
                    <w14:schemeClr w14:val="tx1"/>
                  </w14:solidFill>
                </w14:textFill>
              </w:rPr>
              <w:t>450k</w:t>
            </w:r>
            <w:r>
              <w:rPr>
                <w:rFonts w:hint="default"/>
                <w:color w:val="000000" w:themeColor="text1"/>
                <w:kern w:val="0"/>
                <w14:textFill>
                  <w14:solidFill>
                    <w14:schemeClr w14:val="tx1"/>
                  </w14:solidFill>
                </w14:textFill>
              </w:rPr>
              <w:t>g/m</w:t>
            </w:r>
            <w:r>
              <w:rPr>
                <w:rFonts w:hint="default"/>
                <w:color w:val="000000" w:themeColor="text1"/>
                <w:kern w:val="0"/>
                <w:vertAlign w:val="superscript"/>
                <w14:textFill>
                  <w14:solidFill>
                    <w14:schemeClr w14:val="tx1"/>
                  </w14:solidFill>
                </w14:textFill>
              </w:rPr>
              <w:t>3</w:t>
            </w:r>
            <w:r>
              <w:rPr>
                <w:rFonts w:hint="default"/>
                <w:color w:val="000000" w:themeColor="text1"/>
                <w:kern w:val="0"/>
                <w14:textFill>
                  <w14:solidFill>
                    <w14:schemeClr w14:val="tx1"/>
                  </w14:solidFill>
                </w14:textFill>
              </w:rPr>
              <w:t>，单台活性炭吸附装置一次装填量约为</w:t>
            </w:r>
            <w:r>
              <w:rPr>
                <w:rFonts w:hint="eastAsia"/>
                <w:color w:val="000000" w:themeColor="text1"/>
                <w:kern w:val="0"/>
                <w:lang w:val="en-US" w:eastAsia="zh-CN"/>
                <w14:textFill>
                  <w14:solidFill>
                    <w14:schemeClr w14:val="tx1"/>
                  </w14:solidFill>
                </w14:textFill>
              </w:rPr>
              <w:t>489.6</w:t>
            </w:r>
            <w:r>
              <w:rPr>
                <w:rFonts w:hint="default"/>
                <w:color w:val="000000" w:themeColor="text1"/>
                <w:kern w:val="0"/>
                <w14:textFill>
                  <w14:solidFill>
                    <w14:schemeClr w14:val="tx1"/>
                  </w14:solidFill>
                </w14:textFill>
              </w:rPr>
              <w:t>kg，本项目有机废气采用</w:t>
            </w:r>
            <w:r>
              <w:rPr>
                <w:rFonts w:hint="eastAsia"/>
                <w:color w:val="000000" w:themeColor="text1"/>
                <w:kern w:val="0"/>
                <w:lang w:eastAsia="zh-CN"/>
                <w14:textFill>
                  <w14:solidFill>
                    <w14:schemeClr w14:val="tx1"/>
                  </w14:solidFill>
                </w14:textFill>
              </w:rPr>
              <w:t>冷凝+二级活性炭</w:t>
            </w:r>
            <w:r>
              <w:rPr>
                <w:rFonts w:hint="default"/>
                <w:color w:val="000000" w:themeColor="text1"/>
                <w:kern w:val="0"/>
                <w14:textFill>
                  <w14:solidFill>
                    <w14:schemeClr w14:val="tx1"/>
                  </w14:solidFill>
                </w14:textFill>
              </w:rPr>
              <w:t>装置，2台装置一次总装填活性炭量为</w:t>
            </w:r>
            <w:r>
              <w:rPr>
                <w:rFonts w:hint="eastAsia"/>
                <w:color w:val="000000" w:themeColor="text1"/>
                <w:kern w:val="0"/>
                <w:lang w:val="en-US" w:eastAsia="zh-CN"/>
                <w14:textFill>
                  <w14:solidFill>
                    <w14:schemeClr w14:val="tx1"/>
                  </w14:solidFill>
                </w14:textFill>
              </w:rPr>
              <w:t>979.2</w:t>
            </w:r>
            <w:r>
              <w:rPr>
                <w:rFonts w:hint="default"/>
                <w:color w:val="000000" w:themeColor="text1"/>
                <w:kern w:val="0"/>
                <w14:textFill>
                  <w14:solidFill>
                    <w14:schemeClr w14:val="tx1"/>
                  </w14:solidFill>
                </w14:textFill>
              </w:rPr>
              <w:t>kg</w:t>
            </w:r>
            <w:r>
              <w:rPr>
                <w:rFonts w:hint="default"/>
                <w:color w:val="000000" w:themeColor="text1"/>
                <w14:textFill>
                  <w14:solidFill>
                    <w14:schemeClr w14:val="tx1"/>
                  </w14:solidFill>
                </w14:textFill>
              </w:rPr>
              <w:t>，</w:t>
            </w:r>
            <w:r>
              <w:rPr>
                <w:color w:val="000000" w:themeColor="text1"/>
                <w14:textFill>
                  <w14:solidFill>
                    <w14:schemeClr w14:val="tx1"/>
                  </w14:solidFill>
                </w14:textFill>
              </w:rPr>
              <w:t>可以吸附的VOCs量为</w:t>
            </w:r>
            <w:r>
              <w:rPr>
                <w:rFonts w:hint="eastAsia"/>
                <w:color w:val="000000" w:themeColor="text1"/>
                <w:lang w:val="en-US" w:eastAsia="zh-CN"/>
                <w14:textFill>
                  <w14:solidFill>
                    <w14:schemeClr w14:val="tx1"/>
                  </w14:solidFill>
                </w14:textFill>
              </w:rPr>
              <w:t>293.76</w:t>
            </w:r>
            <w:r>
              <w:rPr>
                <w:color w:val="000000" w:themeColor="text1"/>
                <w14:textFill>
                  <w14:solidFill>
                    <w14:schemeClr w14:val="tx1"/>
                  </w14:solidFill>
                </w14:textFill>
              </w:rPr>
              <w:t>kg，吸附效率以</w:t>
            </w:r>
            <w:r>
              <w:rPr>
                <w:rFonts w:hint="eastAsia"/>
                <w:color w:val="000000" w:themeColor="text1"/>
                <w:lang w:val="en-US" w:eastAsia="zh-CN"/>
                <w14:textFill>
                  <w14:solidFill>
                    <w14:schemeClr w14:val="tx1"/>
                  </w14:solidFill>
                </w14:textFill>
              </w:rPr>
              <w:t>0.90</w:t>
            </w:r>
            <w:r>
              <w:rPr>
                <w:color w:val="000000" w:themeColor="text1"/>
                <w14:textFill>
                  <w14:solidFill>
                    <w14:schemeClr w14:val="tx1"/>
                  </w14:solidFill>
                </w14:textFill>
              </w:rPr>
              <w:t>计，吸附达到动态吸附饱和时间=</w:t>
            </w:r>
            <w:r>
              <w:rPr>
                <w:rFonts w:hint="eastAsia"/>
                <w:color w:val="000000" w:themeColor="text1"/>
                <w:lang w:val="en-US" w:eastAsia="zh-CN"/>
                <w14:textFill>
                  <w14:solidFill>
                    <w14:schemeClr w14:val="tx1"/>
                  </w14:solidFill>
                </w14:textFill>
              </w:rPr>
              <w:t>293.76</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6</w:t>
            </w:r>
            <w:r>
              <w:rPr>
                <w:color w:val="000000" w:themeColor="text1"/>
                <w14:textFill>
                  <w14:solidFill>
                    <w14:schemeClr w14:val="tx1"/>
                  </w14:solidFill>
                </w14:textFill>
              </w:rPr>
              <w:t>mg/（</w:t>
            </w:r>
            <w:r>
              <w:rPr>
                <w:rFonts w:hint="eastAsia"/>
                <w:color w:val="000000" w:themeColor="text1"/>
                <w:lang w:val="en-US" w:eastAsia="zh-CN"/>
                <w14:textFill>
                  <w14:solidFill>
                    <w14:schemeClr w14:val="tx1"/>
                  </w14:solidFill>
                </w14:textFill>
              </w:rPr>
              <w:t>23500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r>
              <w:rPr>
                <w:rFonts w:hint="eastAsia"/>
                <w:color w:val="000000" w:themeColor="text1"/>
                <w:lang w:val="en-US" w:eastAsia="zh-CN"/>
                <w14:textFill>
                  <w14:solidFill>
                    <w14:schemeClr w14:val="tx1"/>
                  </w14:solidFill>
                </w14:textFill>
              </w:rPr>
              <w:t>5.17</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×0.9）/</w:t>
            </w:r>
            <w:r>
              <w:rPr>
                <w:rFonts w:hint="eastAsia"/>
                <w:color w:val="000000" w:themeColor="text1"/>
                <w:lang w:val="en-US" w:eastAsia="zh-CN"/>
                <w14:textFill>
                  <w14:solidFill>
                    <w14:schemeClr w14:val="tx1"/>
                  </w14:solidFill>
                </w14:textFill>
              </w:rPr>
              <w:t>24</w:t>
            </w:r>
            <w:r>
              <w:rPr>
                <w:color w:val="000000" w:themeColor="text1"/>
                <w14:textFill>
                  <w14:solidFill>
                    <w14:schemeClr w14:val="tx1"/>
                  </w14:solidFill>
                </w14:textFill>
              </w:rPr>
              <w:t>h=</w:t>
            </w:r>
            <w:r>
              <w:rPr>
                <w:rFonts w:hint="eastAsia"/>
                <w:color w:val="000000" w:themeColor="text1"/>
                <w:lang w:val="en-US" w:eastAsia="zh-CN"/>
                <w14:textFill>
                  <w14:solidFill>
                    <w14:schemeClr w14:val="tx1"/>
                  </w14:solidFill>
                </w14:textFill>
              </w:rPr>
              <w:t>111.9</w:t>
            </w:r>
            <w:r>
              <w:rPr>
                <w:color w:val="000000" w:themeColor="text1"/>
                <w14:textFill>
                  <w14:solidFill>
                    <w14:schemeClr w14:val="tx1"/>
                  </w14:solidFill>
                </w14:textFill>
              </w:rPr>
              <w:t>天，本项目蜂窝活</w:t>
            </w:r>
            <w:r>
              <w:rPr>
                <w:color w:val="000000" w:themeColor="text1"/>
                <w:highlight w:val="none"/>
                <w14:textFill>
                  <w14:solidFill>
                    <w14:schemeClr w14:val="tx1"/>
                  </w14:solidFill>
                </w14:textFill>
              </w:rPr>
              <w:t>性炭每</w:t>
            </w:r>
            <w:r>
              <w:rPr>
                <w:rFonts w:hint="eastAsia"/>
                <w:color w:val="000000" w:themeColor="text1"/>
                <w:highlight w:val="none"/>
                <w:lang w:val="en-US" w:eastAsia="zh-CN"/>
                <w14:textFill>
                  <w14:solidFill>
                    <w14:schemeClr w14:val="tx1"/>
                  </w14:solidFill>
                </w14:textFill>
              </w:rPr>
              <w:t>111天更</w:t>
            </w:r>
            <w:r>
              <w:rPr>
                <w:color w:val="000000" w:themeColor="text1"/>
                <w:highlight w:val="none"/>
                <w14:textFill>
                  <w14:solidFill>
                    <w14:schemeClr w14:val="tx1"/>
                  </w14:solidFill>
                </w14:textFill>
              </w:rPr>
              <w:t>换一次，即1年换</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次，活性炭吸附工段主要参数设计如下。</w:t>
            </w:r>
            <w:r>
              <w:rPr>
                <w:rFonts w:hint="eastAsia"/>
                <w:lang w:val="en-US" w:eastAsia="zh-CN"/>
              </w:rPr>
              <w:t>考虑到苯乙烯易自聚的特性（自聚温度30℃），因此项目活性炭吸附进出口设压差计，达到设定值就更换。</w:t>
            </w:r>
          </w:p>
          <w:p w14:paraId="0F12E374">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表4-</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EPS包装材料生产线</w:t>
            </w:r>
            <w:r>
              <w:rPr>
                <w:rFonts w:hint="eastAsia"/>
                <w:color w:val="000000" w:themeColor="text1"/>
                <w14:textFill>
                  <w14:solidFill>
                    <w14:schemeClr w14:val="tx1"/>
                  </w14:solidFill>
                </w14:textFill>
              </w:rPr>
              <w:t>活性炭吸附工段主要参数</w:t>
            </w:r>
          </w:p>
          <w:tbl>
            <w:tblPr>
              <w:tblStyle w:val="26"/>
              <w:tblW w:w="5002" w:type="pct"/>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26"/>
              <w:gridCol w:w="4164"/>
            </w:tblGrid>
            <w:tr w14:paraId="30777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576" w:type="pct"/>
                  <w:noWrap w:val="0"/>
                  <w:vAlign w:val="top"/>
                </w:tcPr>
                <w:p w14:paraId="0EB2E7E8">
                  <w:pPr>
                    <w:pStyle w:val="43"/>
                    <w:rPr>
                      <w:rFonts w:hint="default"/>
                      <w:b w:val="0"/>
                      <w:bCs/>
                      <w:color w:val="000000" w:themeColor="text1"/>
                      <w14:textFill>
                        <w14:solidFill>
                          <w14:schemeClr w14:val="tx1"/>
                        </w14:solidFill>
                      </w14:textFill>
                    </w:rPr>
                  </w:pPr>
                  <w:r>
                    <w:rPr>
                      <w:b w:val="0"/>
                      <w:bCs/>
                      <w:color w:val="000000" w:themeColor="text1"/>
                      <w14:textFill>
                        <w14:solidFill>
                          <w14:schemeClr w14:val="tx1"/>
                        </w14:solidFill>
                      </w14:textFill>
                    </w:rPr>
                    <w:t>参数</w:t>
                  </w:r>
                </w:p>
              </w:tc>
              <w:tc>
                <w:tcPr>
                  <w:tcW w:w="2423" w:type="pct"/>
                  <w:noWrap w:val="0"/>
                  <w:vAlign w:val="top"/>
                </w:tcPr>
                <w:p w14:paraId="62D6B0E9">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活性炭吸附箱（单个）</w:t>
                  </w:r>
                </w:p>
              </w:tc>
            </w:tr>
            <w:tr w14:paraId="4916E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76" w:type="pct"/>
                  <w:noWrap w:val="0"/>
                  <w:vAlign w:val="top"/>
                </w:tcPr>
                <w:p w14:paraId="3A68C118">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活性炭装填量</w:t>
                  </w:r>
                </w:p>
              </w:tc>
              <w:tc>
                <w:tcPr>
                  <w:tcW w:w="2423" w:type="pct"/>
                  <w:noWrap w:val="0"/>
                  <w:vAlign w:val="top"/>
                </w:tcPr>
                <w:p w14:paraId="3152EC12">
                  <w:pPr>
                    <w:pStyle w:val="43"/>
                    <w:rPr>
                      <w:rFonts w:hint="default"/>
                      <w:b w:val="0"/>
                      <w:bCs/>
                      <w:color w:val="000000" w:themeColor="text1"/>
                      <w14:textFill>
                        <w14:solidFill>
                          <w14:schemeClr w14:val="tx1"/>
                        </w14:solidFill>
                      </w14:textFill>
                    </w:rPr>
                  </w:pPr>
                  <w:r>
                    <w:rPr>
                      <w:rFonts w:hint="eastAsia"/>
                      <w:b w:val="0"/>
                      <w:bCs/>
                      <w:color w:val="000000" w:themeColor="text1"/>
                      <w:lang w:val="en-US" w:eastAsia="zh-CN"/>
                      <w14:textFill>
                        <w14:solidFill>
                          <w14:schemeClr w14:val="tx1"/>
                        </w14:solidFill>
                      </w14:textFill>
                    </w:rPr>
                    <w:t>489.6</w:t>
                  </w:r>
                  <w:r>
                    <w:rPr>
                      <w:b w:val="0"/>
                      <w:bCs/>
                      <w:color w:val="000000" w:themeColor="text1"/>
                      <w14:textFill>
                        <w14:solidFill>
                          <w14:schemeClr w14:val="tx1"/>
                        </w14:solidFill>
                      </w14:textFill>
                    </w:rPr>
                    <w:t>kg</w:t>
                  </w:r>
                </w:p>
              </w:tc>
            </w:tr>
            <w:tr w14:paraId="76F69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76" w:type="pct"/>
                  <w:noWrap w:val="0"/>
                  <w:vAlign w:val="top"/>
                </w:tcPr>
                <w:p w14:paraId="3F1BD200">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活性炭密度</w:t>
                  </w:r>
                </w:p>
              </w:tc>
              <w:tc>
                <w:tcPr>
                  <w:tcW w:w="2423" w:type="pct"/>
                  <w:noWrap w:val="0"/>
                  <w:vAlign w:val="top"/>
                </w:tcPr>
                <w:p w14:paraId="564C402A">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450kg/m</w:t>
                  </w:r>
                  <w:r>
                    <w:rPr>
                      <w:b w:val="0"/>
                      <w:bCs/>
                      <w:color w:val="000000" w:themeColor="text1"/>
                      <w:vertAlign w:val="superscript"/>
                      <w14:textFill>
                        <w14:solidFill>
                          <w14:schemeClr w14:val="tx1"/>
                        </w14:solidFill>
                      </w14:textFill>
                    </w:rPr>
                    <w:t>3</w:t>
                  </w:r>
                </w:p>
              </w:tc>
            </w:tr>
            <w:tr w14:paraId="6B87B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76" w:type="pct"/>
                  <w:noWrap w:val="0"/>
                  <w:vAlign w:val="top"/>
                </w:tcPr>
                <w:p w14:paraId="3A27C55B">
                  <w:pPr>
                    <w:pStyle w:val="43"/>
                    <w:rPr>
                      <w:b w:val="0"/>
                      <w:bCs/>
                      <w:color w:val="000000" w:themeColor="text1"/>
                      <w14:textFill>
                        <w14:solidFill>
                          <w14:schemeClr w14:val="tx1"/>
                        </w14:solidFill>
                      </w14:textFill>
                    </w:rPr>
                  </w:pPr>
                  <w:r>
                    <w:rPr>
                      <w:rFonts w:hint="default"/>
                      <w:b w:val="0"/>
                      <w:bCs/>
                      <w:color w:val="000000" w:themeColor="text1"/>
                      <w14:textFill>
                        <w14:solidFill>
                          <w14:schemeClr w14:val="tx1"/>
                        </w14:solidFill>
                      </w14:textFill>
                    </w:rPr>
                    <w:t>活性炭形态</w:t>
                  </w:r>
                </w:p>
              </w:tc>
              <w:tc>
                <w:tcPr>
                  <w:tcW w:w="2423" w:type="pct"/>
                  <w:noWrap w:val="0"/>
                  <w:vAlign w:val="top"/>
                </w:tcPr>
                <w:p w14:paraId="28A961CF">
                  <w:pPr>
                    <w:pStyle w:val="43"/>
                    <w:rPr>
                      <w:b w:val="0"/>
                      <w:bCs/>
                      <w:color w:val="000000" w:themeColor="text1"/>
                      <w14:textFill>
                        <w14:solidFill>
                          <w14:schemeClr w14:val="tx1"/>
                        </w14:solidFill>
                      </w14:textFill>
                    </w:rPr>
                  </w:pPr>
                  <w:r>
                    <w:rPr>
                      <w:rFonts w:hint="default"/>
                      <w:b w:val="0"/>
                      <w:bCs/>
                      <w:color w:val="000000" w:themeColor="text1"/>
                      <w:szCs w:val="21"/>
                      <w14:textFill>
                        <w14:solidFill>
                          <w14:schemeClr w14:val="tx1"/>
                        </w14:solidFill>
                      </w14:textFill>
                    </w:rPr>
                    <w:t>蜂窝状，尺寸</w:t>
                  </w:r>
                  <w:r>
                    <w:rPr>
                      <w:rFonts w:hint="default"/>
                      <w:b w:val="0"/>
                      <w:bCs/>
                      <w:color w:val="000000" w:themeColor="text1"/>
                      <w:szCs w:val="21"/>
                      <w:lang w:val="pt-BR"/>
                      <w14:textFill>
                        <w14:solidFill>
                          <w14:schemeClr w14:val="tx1"/>
                        </w14:solidFill>
                      </w14:textFill>
                    </w:rPr>
                    <w:t>100mm×100mm×100mm</w:t>
                  </w:r>
                </w:p>
              </w:tc>
            </w:tr>
            <w:tr w14:paraId="2C9E6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76" w:type="pct"/>
                  <w:noWrap w:val="0"/>
                  <w:vAlign w:val="top"/>
                </w:tcPr>
                <w:p w14:paraId="6D7BC388">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活性炭体积</w:t>
                  </w:r>
                </w:p>
              </w:tc>
              <w:tc>
                <w:tcPr>
                  <w:tcW w:w="2423" w:type="pct"/>
                  <w:noWrap w:val="0"/>
                  <w:vAlign w:val="top"/>
                </w:tcPr>
                <w:p w14:paraId="239D78CF">
                  <w:pPr>
                    <w:pStyle w:val="43"/>
                    <w:rPr>
                      <w:rFonts w:hint="default"/>
                      <w:b w:val="0"/>
                      <w:bCs/>
                      <w:color w:val="000000" w:themeColor="text1"/>
                      <w14:textFill>
                        <w14:solidFill>
                          <w14:schemeClr w14:val="tx1"/>
                        </w14:solidFill>
                      </w14:textFill>
                    </w:rPr>
                  </w:pPr>
                  <w:r>
                    <w:rPr>
                      <w:rFonts w:hint="eastAsia"/>
                      <w:b w:val="0"/>
                      <w:bCs/>
                      <w:color w:val="000000" w:themeColor="text1"/>
                      <w:lang w:val="en-US" w:eastAsia="zh-CN"/>
                      <w14:textFill>
                        <w14:solidFill>
                          <w14:schemeClr w14:val="tx1"/>
                        </w14:solidFill>
                      </w14:textFill>
                    </w:rPr>
                    <w:t>1.088</w:t>
                  </w:r>
                  <w:r>
                    <w:rPr>
                      <w:b w:val="0"/>
                      <w:bCs/>
                      <w:color w:val="000000" w:themeColor="text1"/>
                      <w14:textFill>
                        <w14:solidFill>
                          <w14:schemeClr w14:val="tx1"/>
                        </w14:solidFill>
                      </w14:textFill>
                    </w:rPr>
                    <w:t>m</w:t>
                  </w:r>
                  <w:r>
                    <w:rPr>
                      <w:b w:val="0"/>
                      <w:bCs/>
                      <w:color w:val="000000" w:themeColor="text1"/>
                      <w:vertAlign w:val="superscript"/>
                      <w14:textFill>
                        <w14:solidFill>
                          <w14:schemeClr w14:val="tx1"/>
                        </w14:solidFill>
                      </w14:textFill>
                    </w:rPr>
                    <w:t>3</w:t>
                  </w:r>
                </w:p>
              </w:tc>
            </w:tr>
            <w:tr w14:paraId="4C0D7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76" w:type="pct"/>
                  <w:noWrap w:val="0"/>
                  <w:vAlign w:val="top"/>
                </w:tcPr>
                <w:p w14:paraId="64519778">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活性炭装填截面积</w:t>
                  </w:r>
                </w:p>
              </w:tc>
              <w:tc>
                <w:tcPr>
                  <w:tcW w:w="2423" w:type="pct"/>
                  <w:noWrap w:val="0"/>
                  <w:vAlign w:val="top"/>
                </w:tcPr>
                <w:p w14:paraId="450B8022">
                  <w:pPr>
                    <w:pStyle w:val="43"/>
                    <w:rPr>
                      <w:rFonts w:hint="default"/>
                      <w:b w:val="0"/>
                      <w:bCs/>
                      <w:color w:val="000000" w:themeColor="text1"/>
                      <w14:textFill>
                        <w14:solidFill>
                          <w14:schemeClr w14:val="tx1"/>
                        </w14:solidFill>
                      </w14:textFill>
                    </w:rPr>
                  </w:pPr>
                  <w:r>
                    <w:rPr>
                      <w:rFonts w:hint="eastAsia"/>
                      <w:b w:val="0"/>
                      <w:bCs/>
                      <w:color w:val="000000" w:themeColor="text1"/>
                      <w:lang w:val="en-US" w:eastAsia="zh-CN"/>
                      <w14:textFill>
                        <w14:solidFill>
                          <w14:schemeClr w14:val="tx1"/>
                        </w14:solidFill>
                      </w14:textFill>
                    </w:rPr>
                    <w:t>5.44</w:t>
                  </w:r>
                  <w:r>
                    <w:rPr>
                      <w:b w:val="0"/>
                      <w:bCs/>
                      <w:color w:val="000000" w:themeColor="text1"/>
                      <w14:textFill>
                        <w14:solidFill>
                          <w14:schemeClr w14:val="tx1"/>
                        </w14:solidFill>
                      </w14:textFill>
                    </w:rPr>
                    <w:t>m</w:t>
                  </w:r>
                  <w:r>
                    <w:rPr>
                      <w:b w:val="0"/>
                      <w:bCs/>
                      <w:color w:val="000000" w:themeColor="text1"/>
                      <w:vertAlign w:val="superscript"/>
                      <w14:textFill>
                        <w14:solidFill>
                          <w14:schemeClr w14:val="tx1"/>
                        </w14:solidFill>
                      </w14:textFill>
                    </w:rPr>
                    <w:t>2</w:t>
                  </w:r>
                </w:p>
              </w:tc>
            </w:tr>
            <w:tr w14:paraId="764E4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576" w:type="pct"/>
                  <w:noWrap w:val="0"/>
                  <w:vAlign w:val="top"/>
                </w:tcPr>
                <w:p w14:paraId="2D30ACE8">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活性炭装填厚度</w:t>
                  </w:r>
                </w:p>
              </w:tc>
              <w:tc>
                <w:tcPr>
                  <w:tcW w:w="2423" w:type="pct"/>
                  <w:noWrap w:val="0"/>
                  <w:vAlign w:val="top"/>
                </w:tcPr>
                <w:p w14:paraId="05B38496">
                  <w:pPr>
                    <w:pStyle w:val="43"/>
                    <w:rPr>
                      <w:rFonts w:hint="default"/>
                      <w:b w:val="0"/>
                      <w:bCs/>
                      <w:color w:val="000000" w:themeColor="text1"/>
                      <w14:textFill>
                        <w14:solidFill>
                          <w14:schemeClr w14:val="tx1"/>
                        </w14:solidFill>
                      </w14:textFill>
                    </w:rPr>
                  </w:pPr>
                  <w:r>
                    <w:rPr>
                      <w:b w:val="0"/>
                      <w:bCs/>
                      <w:color w:val="000000" w:themeColor="text1"/>
                      <w14:textFill>
                        <w14:solidFill>
                          <w14:schemeClr w14:val="tx1"/>
                        </w14:solidFill>
                      </w14:textFill>
                    </w:rPr>
                    <w:t>0.2m</w:t>
                  </w:r>
                </w:p>
              </w:tc>
            </w:tr>
            <w:tr w14:paraId="10E3A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76" w:type="pct"/>
                  <w:noWrap w:val="0"/>
                  <w:vAlign w:val="top"/>
                </w:tcPr>
                <w:p w14:paraId="2EB78497">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空床流速</w:t>
                  </w:r>
                </w:p>
              </w:tc>
              <w:tc>
                <w:tcPr>
                  <w:tcW w:w="2423" w:type="pct"/>
                  <w:noWrap w:val="0"/>
                  <w:vAlign w:val="top"/>
                </w:tcPr>
                <w:p w14:paraId="7F7B869A">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1.</w:t>
                  </w:r>
                  <w:r>
                    <w:rPr>
                      <w:rFonts w:hint="eastAsia"/>
                      <w:b w:val="0"/>
                      <w:bCs/>
                      <w:color w:val="000000" w:themeColor="text1"/>
                      <w:lang w:val="en-US" w:eastAsia="zh-CN"/>
                      <w14:textFill>
                        <w14:solidFill>
                          <w14:schemeClr w14:val="tx1"/>
                        </w14:solidFill>
                      </w14:textFill>
                    </w:rPr>
                    <w:t>2</w:t>
                  </w:r>
                  <w:r>
                    <w:rPr>
                      <w:b w:val="0"/>
                      <w:bCs/>
                      <w:color w:val="000000" w:themeColor="text1"/>
                      <w14:textFill>
                        <w14:solidFill>
                          <w14:schemeClr w14:val="tx1"/>
                        </w14:solidFill>
                      </w14:textFill>
                    </w:rPr>
                    <w:t>m/s</w:t>
                  </w:r>
                </w:p>
              </w:tc>
            </w:tr>
            <w:tr w14:paraId="33237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576" w:type="pct"/>
                  <w:noWrap w:val="0"/>
                  <w:vAlign w:val="top"/>
                </w:tcPr>
                <w:p w14:paraId="040B02C1">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 xml:space="preserve">停留时间 </w:t>
                  </w:r>
                </w:p>
              </w:tc>
              <w:tc>
                <w:tcPr>
                  <w:tcW w:w="2423" w:type="pct"/>
                  <w:noWrap w:val="0"/>
                  <w:vAlign w:val="top"/>
                </w:tcPr>
                <w:p w14:paraId="3A181D5B">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3s</w:t>
                  </w:r>
                </w:p>
              </w:tc>
            </w:tr>
            <w:tr w14:paraId="7C75B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76" w:type="pct"/>
                  <w:noWrap w:val="0"/>
                  <w:vAlign w:val="top"/>
                </w:tcPr>
                <w:p w14:paraId="62FBC1EF">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介质温度</w:t>
                  </w:r>
                </w:p>
              </w:tc>
              <w:tc>
                <w:tcPr>
                  <w:tcW w:w="2423" w:type="pct"/>
                  <w:noWrap w:val="0"/>
                  <w:vAlign w:val="top"/>
                </w:tcPr>
                <w:p w14:paraId="22961161">
                  <w:pPr>
                    <w:pStyle w:val="43"/>
                    <w:rPr>
                      <w:rFonts w:hint="default"/>
                      <w:b w:val="0"/>
                      <w:bCs/>
                      <w:color w:val="000000" w:themeColor="text1"/>
                      <w14:textFill>
                        <w14:solidFill>
                          <w14:schemeClr w14:val="tx1"/>
                        </w14:solidFill>
                      </w14:textFill>
                    </w:rPr>
                  </w:pPr>
                  <w:r>
                    <w:rPr>
                      <w:b w:val="0"/>
                      <w:bCs/>
                      <w:color w:val="000000" w:themeColor="text1"/>
                      <w14:textFill>
                        <w14:solidFill>
                          <w14:schemeClr w14:val="tx1"/>
                        </w14:solidFill>
                      </w14:textFill>
                    </w:rPr>
                    <w:t>＜40℃</w:t>
                  </w:r>
                </w:p>
              </w:tc>
            </w:tr>
            <w:tr w14:paraId="2E110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76" w:type="pct"/>
                  <w:noWrap w:val="0"/>
                  <w:vAlign w:val="top"/>
                </w:tcPr>
                <w:p w14:paraId="7310639F">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活性炭碘值</w:t>
                  </w:r>
                </w:p>
              </w:tc>
              <w:tc>
                <w:tcPr>
                  <w:tcW w:w="2423" w:type="pct"/>
                  <w:noWrap w:val="0"/>
                  <w:vAlign w:val="top"/>
                </w:tcPr>
                <w:p w14:paraId="66984F0D">
                  <w:pPr>
                    <w:pStyle w:val="43"/>
                    <w:rPr>
                      <w:rFonts w:hint="default"/>
                      <w:b w:val="0"/>
                      <w:bCs/>
                      <w:color w:val="000000" w:themeColor="text1"/>
                      <w14:textFill>
                        <w14:solidFill>
                          <w14:schemeClr w14:val="tx1"/>
                        </w14:solidFill>
                      </w14:textFill>
                    </w:rPr>
                  </w:pPr>
                  <w:r>
                    <w:rPr>
                      <w:rFonts w:hint="eastAsia"/>
                      <w:b w:val="0"/>
                      <w:bCs/>
                      <w:color w:val="000000" w:themeColor="text1"/>
                      <w:lang w:val="en-US" w:eastAsia="zh-CN"/>
                      <w14:textFill>
                        <w14:solidFill>
                          <w14:schemeClr w14:val="tx1"/>
                        </w14:solidFill>
                      </w14:textFill>
                    </w:rPr>
                    <w:t>＞</w:t>
                  </w:r>
                  <w:r>
                    <w:rPr>
                      <w:b w:val="0"/>
                      <w:bCs/>
                      <w:color w:val="000000" w:themeColor="text1"/>
                      <w14:textFill>
                        <w14:solidFill>
                          <w14:schemeClr w14:val="tx1"/>
                        </w14:solidFill>
                      </w14:textFill>
                    </w:rPr>
                    <w:t>800</w:t>
                  </w:r>
                </w:p>
              </w:tc>
            </w:tr>
            <w:tr w14:paraId="15951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576" w:type="pct"/>
                  <w:noWrap w:val="0"/>
                  <w:vAlign w:val="top"/>
                </w:tcPr>
                <w:p w14:paraId="44FC1759">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去除效率</w:t>
                  </w:r>
                </w:p>
              </w:tc>
              <w:tc>
                <w:tcPr>
                  <w:tcW w:w="2423" w:type="pct"/>
                  <w:noWrap w:val="0"/>
                  <w:vAlign w:val="top"/>
                </w:tcPr>
                <w:p w14:paraId="4EB259E7">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90%</w:t>
                  </w:r>
                </w:p>
              </w:tc>
            </w:tr>
            <w:tr w14:paraId="3313B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576" w:type="pct"/>
                  <w:noWrap w:val="0"/>
                  <w:vAlign w:val="top"/>
                </w:tcPr>
                <w:p w14:paraId="22278E36">
                  <w:pPr>
                    <w:pStyle w:val="43"/>
                    <w:rPr>
                      <w:rFonts w:hint="default"/>
                      <w:b w:val="0"/>
                      <w:bCs/>
                      <w:color w:val="000000" w:themeColor="text1"/>
                      <w14:textFill>
                        <w14:solidFill>
                          <w14:schemeClr w14:val="tx1"/>
                        </w14:solidFill>
                      </w14:textFill>
                    </w:rPr>
                  </w:pPr>
                  <w:r>
                    <w:rPr>
                      <w:b w:val="0"/>
                      <w:bCs/>
                      <w:color w:val="000000" w:themeColor="text1"/>
                      <w14:textFill>
                        <w14:solidFill>
                          <w14:schemeClr w14:val="tx1"/>
                        </w14:solidFill>
                      </w14:textFill>
                    </w:rPr>
                    <w:t>一次填装使用时间</w:t>
                  </w:r>
                </w:p>
              </w:tc>
              <w:tc>
                <w:tcPr>
                  <w:tcW w:w="2423" w:type="pct"/>
                  <w:noWrap w:val="0"/>
                  <w:vAlign w:val="top"/>
                </w:tcPr>
                <w:p w14:paraId="4513B787">
                  <w:pPr>
                    <w:pStyle w:val="43"/>
                    <w:rPr>
                      <w:rFonts w:hint="default"/>
                      <w:b w:val="0"/>
                      <w:bCs/>
                      <w:color w:val="000000" w:themeColor="text1"/>
                      <w14:textFill>
                        <w14:solidFill>
                          <w14:schemeClr w14:val="tx1"/>
                        </w14:solidFill>
                      </w14:textFill>
                    </w:rPr>
                  </w:pPr>
                  <w:r>
                    <w:rPr>
                      <w:rFonts w:hint="eastAsia"/>
                      <w:b w:val="0"/>
                      <w:bCs/>
                      <w:color w:val="000000" w:themeColor="text1"/>
                      <w:lang w:val="en-US" w:eastAsia="zh-CN"/>
                      <w14:textFill>
                        <w14:solidFill>
                          <w14:schemeClr w14:val="tx1"/>
                        </w14:solidFill>
                      </w14:textFill>
                    </w:rPr>
                    <w:t>111</w:t>
                  </w:r>
                  <w:r>
                    <w:rPr>
                      <w:b w:val="0"/>
                      <w:bCs/>
                      <w:color w:val="000000" w:themeColor="text1"/>
                      <w14:textFill>
                        <w14:solidFill>
                          <w14:schemeClr w14:val="tx1"/>
                        </w14:solidFill>
                      </w14:textFill>
                    </w:rPr>
                    <w:t>d</w:t>
                  </w:r>
                </w:p>
              </w:tc>
            </w:tr>
            <w:tr w14:paraId="2FFE2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576" w:type="pct"/>
                  <w:noWrap w:val="0"/>
                  <w:vAlign w:val="top"/>
                </w:tcPr>
                <w:p w14:paraId="544800B0">
                  <w:pPr>
                    <w:pStyle w:val="43"/>
                    <w:rPr>
                      <w:rFonts w:hint="default"/>
                      <w:b w:val="0"/>
                      <w:bCs/>
                      <w:color w:val="000000" w:themeColor="text1"/>
                      <w14:textFill>
                        <w14:solidFill>
                          <w14:schemeClr w14:val="tx1"/>
                        </w14:solidFill>
                      </w14:textFill>
                    </w:rPr>
                  </w:pPr>
                  <w:r>
                    <w:rPr>
                      <w:b w:val="0"/>
                      <w:bCs/>
                      <w:color w:val="000000" w:themeColor="text1"/>
                      <w14:textFill>
                        <w14:solidFill>
                          <w14:schemeClr w14:val="tx1"/>
                        </w14:solidFill>
                      </w14:textFill>
                    </w:rPr>
                    <w:t>更换频次</w:t>
                  </w:r>
                </w:p>
              </w:tc>
              <w:tc>
                <w:tcPr>
                  <w:tcW w:w="2423" w:type="pct"/>
                  <w:noWrap w:val="0"/>
                  <w:vAlign w:val="top"/>
                </w:tcPr>
                <w:p w14:paraId="5984C69C">
                  <w:pPr>
                    <w:pStyle w:val="43"/>
                    <w:rPr>
                      <w:rFonts w:hint="default"/>
                      <w:b w:val="0"/>
                      <w:bCs/>
                      <w:color w:val="000000" w:themeColor="text1"/>
                      <w14:textFill>
                        <w14:solidFill>
                          <w14:schemeClr w14:val="tx1"/>
                        </w14:solidFill>
                      </w14:textFill>
                    </w:rPr>
                  </w:pPr>
                  <w:r>
                    <w:rPr>
                      <w:rFonts w:hint="eastAsia"/>
                      <w:b w:val="0"/>
                      <w:bCs/>
                      <w:color w:val="000000" w:themeColor="text1"/>
                      <w:lang w:val="en-US" w:eastAsia="zh-CN"/>
                      <w14:textFill>
                        <w14:solidFill>
                          <w14:schemeClr w14:val="tx1"/>
                        </w14:solidFill>
                      </w14:textFill>
                    </w:rPr>
                    <w:t>3</w:t>
                  </w:r>
                  <w:r>
                    <w:rPr>
                      <w:b w:val="0"/>
                      <w:bCs/>
                      <w:color w:val="000000" w:themeColor="text1"/>
                      <w14:textFill>
                        <w14:solidFill>
                          <w14:schemeClr w14:val="tx1"/>
                        </w14:solidFill>
                      </w14:textFill>
                    </w:rPr>
                    <w:t>次/年</w:t>
                  </w:r>
                </w:p>
              </w:tc>
            </w:tr>
            <w:tr w14:paraId="20171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576" w:type="pct"/>
                  <w:noWrap w:val="0"/>
                  <w:vAlign w:val="top"/>
                </w:tcPr>
                <w:p w14:paraId="21A4C468">
                  <w:pPr>
                    <w:pStyle w:val="43"/>
                    <w:rPr>
                      <w:rFonts w:hint="default"/>
                      <w:b w:val="0"/>
                      <w:bCs/>
                      <w:color w:val="000000" w:themeColor="text1"/>
                      <w14:textFill>
                        <w14:solidFill>
                          <w14:schemeClr w14:val="tx1"/>
                        </w14:solidFill>
                      </w14:textFill>
                    </w:rPr>
                  </w:pPr>
                  <w:r>
                    <w:rPr>
                      <w:b w:val="0"/>
                      <w:bCs/>
                      <w:color w:val="000000" w:themeColor="text1"/>
                      <w14:textFill>
                        <w14:solidFill>
                          <w14:schemeClr w14:val="tx1"/>
                        </w14:solidFill>
                      </w14:textFill>
                    </w:rPr>
                    <w:t>活性炭年使用量</w:t>
                  </w:r>
                </w:p>
              </w:tc>
              <w:tc>
                <w:tcPr>
                  <w:tcW w:w="2423" w:type="pct"/>
                  <w:noWrap w:val="0"/>
                  <w:vAlign w:val="top"/>
                </w:tcPr>
                <w:p w14:paraId="5A4E5884">
                  <w:pPr>
                    <w:pStyle w:val="43"/>
                    <w:rPr>
                      <w:rFonts w:hint="default" w:eastAsia="宋体"/>
                      <w:b w:val="0"/>
                      <w:bCs/>
                      <w:color w:val="000000" w:themeColor="text1"/>
                      <w:lang w:val="en-US" w:eastAsia="zh-CN"/>
                      <w14:textFill>
                        <w14:solidFill>
                          <w14:schemeClr w14:val="tx1"/>
                        </w14:solidFill>
                      </w14:textFill>
                    </w:rPr>
                  </w:pPr>
                  <w:r>
                    <w:rPr>
                      <w:rFonts w:hint="eastAsia"/>
                      <w:b w:val="0"/>
                      <w:bCs/>
                      <w:color w:val="000000" w:themeColor="text1"/>
                      <w:lang w:val="en-US" w:eastAsia="zh-CN"/>
                      <w14:textFill>
                        <w14:solidFill>
                          <w14:schemeClr w14:val="tx1"/>
                        </w14:solidFill>
                      </w14:textFill>
                    </w:rPr>
                    <w:t>2.938t</w:t>
                  </w:r>
                </w:p>
              </w:tc>
            </w:tr>
          </w:tbl>
          <w:p w14:paraId="06945D0D">
            <w:pPr>
              <w:numPr>
                <w:ilvl w:val="0"/>
                <w:numId w:val="0"/>
              </w:numPr>
              <w:bidi w:val="0"/>
              <w:ind w:leftChars="200"/>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⑥排放</w:t>
            </w:r>
          </w:p>
          <w:p w14:paraId="09C760B5">
            <w:pPr>
              <w:bidi w:val="0"/>
              <w:rPr>
                <w:rFonts w:hint="default" w:eastAsia="宋体"/>
                <w:lang w:val="en-US" w:eastAsia="zh-CN"/>
              </w:rPr>
            </w:pPr>
            <w:r>
              <w:rPr>
                <w:rFonts w:hint="eastAsia"/>
                <w:lang w:val="en-US" w:eastAsia="zh-CN"/>
              </w:rPr>
              <w:t>由上可知，本项目</w:t>
            </w:r>
            <w:r>
              <w:rPr>
                <w:rFonts w:hint="eastAsia"/>
                <w:color w:val="000000" w:themeColor="text1"/>
                <w:lang w:val="en-US" w:eastAsia="zh-CN"/>
                <w14:textFill>
                  <w14:solidFill>
                    <w14:schemeClr w14:val="tx1"/>
                  </w14:solidFill>
                </w14:textFill>
              </w:rPr>
              <w:t>EPS包装材料生产线污染物产排情况如下所示。</w:t>
            </w:r>
          </w:p>
          <w:p w14:paraId="29E25E6C">
            <w:pPr>
              <w:pStyle w:val="74"/>
              <w:rPr>
                <w:rFonts w:hint="eastAsia"/>
                <w:color w:val="000000" w:themeColor="text1"/>
                <w14:textFill>
                  <w14:solidFill>
                    <w14:schemeClr w14:val="tx1"/>
                  </w14:solidFill>
                </w14:textFill>
              </w:rPr>
            </w:pPr>
          </w:p>
          <w:p w14:paraId="385582B0">
            <w:pPr>
              <w:pStyle w:val="74"/>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表4-</w:t>
            </w:r>
            <w:r>
              <w:rPr>
                <w:rFonts w:hint="eastAsia"/>
                <w:color w:val="000000" w:themeColor="text1"/>
                <w:lang w:val="en-US" w:eastAsia="zh-CN"/>
                <w14:textFill>
                  <w14:solidFill>
                    <w14:schemeClr w14:val="tx1"/>
                  </w14:solidFill>
                </w14:textFill>
              </w:rPr>
              <w:t>9 EPS包装材料生产线污染物产排情况一览表</w:t>
            </w:r>
          </w:p>
          <w:tbl>
            <w:tblPr>
              <w:tblStyle w:val="27"/>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5"/>
              <w:gridCol w:w="2115"/>
              <w:gridCol w:w="2115"/>
              <w:gridCol w:w="2115"/>
            </w:tblGrid>
            <w:tr w14:paraId="058C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gridSpan w:val="2"/>
                  <w:vAlign w:val="center"/>
                </w:tcPr>
                <w:p w14:paraId="0B6960AC">
                  <w:pPr>
                    <w:pStyle w:val="51"/>
                    <w:bidi w:val="0"/>
                    <w:jc w:val="center"/>
                    <w:rPr>
                      <w:rFonts w:hint="default"/>
                      <w:lang w:val="en-US" w:eastAsia="zh-CN"/>
                    </w:rPr>
                  </w:pPr>
                  <w:r>
                    <w:rPr>
                      <w:rFonts w:hint="eastAsia"/>
                      <w:lang w:val="en-US" w:eastAsia="zh-CN"/>
                    </w:rPr>
                    <w:t>污染源</w:t>
                  </w:r>
                </w:p>
              </w:tc>
              <w:tc>
                <w:tcPr>
                  <w:tcW w:w="4230" w:type="dxa"/>
                  <w:gridSpan w:val="2"/>
                  <w:vAlign w:val="center"/>
                </w:tcPr>
                <w:p w14:paraId="2A5340B5">
                  <w:pPr>
                    <w:pStyle w:val="51"/>
                    <w:bidi w:val="0"/>
                    <w:jc w:val="center"/>
                    <w:rPr>
                      <w:rFonts w:hint="default"/>
                      <w:lang w:val="en-US" w:eastAsia="zh-CN"/>
                    </w:rPr>
                  </w:pPr>
                  <w:r>
                    <w:rPr>
                      <w:rFonts w:hint="eastAsia"/>
                      <w:lang w:val="en-US" w:eastAsia="zh-CN"/>
                    </w:rPr>
                    <w:t>DA001</w:t>
                  </w:r>
                </w:p>
              </w:tc>
            </w:tr>
            <w:tr w14:paraId="41456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gridSpan w:val="2"/>
                  <w:vAlign w:val="center"/>
                </w:tcPr>
                <w:p w14:paraId="086DF3D6">
                  <w:pPr>
                    <w:pStyle w:val="51"/>
                    <w:bidi w:val="0"/>
                    <w:jc w:val="center"/>
                    <w:rPr>
                      <w:rFonts w:hint="default"/>
                      <w:lang w:val="en-US" w:eastAsia="zh-CN"/>
                    </w:rPr>
                  </w:pPr>
                  <w:r>
                    <w:rPr>
                      <w:rFonts w:hint="eastAsia"/>
                      <w:lang w:val="en-US" w:eastAsia="zh-CN"/>
                    </w:rPr>
                    <w:t>污染物</w:t>
                  </w:r>
                </w:p>
              </w:tc>
              <w:tc>
                <w:tcPr>
                  <w:tcW w:w="2115" w:type="dxa"/>
                  <w:vAlign w:val="center"/>
                </w:tcPr>
                <w:p w14:paraId="7F7A1744">
                  <w:pPr>
                    <w:pStyle w:val="51"/>
                    <w:bidi w:val="0"/>
                    <w:jc w:val="center"/>
                    <w:rPr>
                      <w:rFonts w:hint="default"/>
                      <w:lang w:val="en-US" w:eastAsia="zh-CN"/>
                    </w:rPr>
                  </w:pPr>
                  <w:r>
                    <w:rPr>
                      <w:rFonts w:hint="eastAsia"/>
                      <w:lang w:val="en-US" w:eastAsia="zh-CN"/>
                    </w:rPr>
                    <w:t>非甲烷总烃</w:t>
                  </w:r>
                </w:p>
              </w:tc>
              <w:tc>
                <w:tcPr>
                  <w:tcW w:w="2115" w:type="dxa"/>
                  <w:vAlign w:val="center"/>
                </w:tcPr>
                <w:p w14:paraId="160AD42C">
                  <w:pPr>
                    <w:pStyle w:val="51"/>
                    <w:bidi w:val="0"/>
                    <w:jc w:val="center"/>
                    <w:rPr>
                      <w:rFonts w:hint="default"/>
                      <w:lang w:val="en-US" w:eastAsia="zh-CN"/>
                    </w:rPr>
                  </w:pPr>
                  <w:r>
                    <w:rPr>
                      <w:rFonts w:hint="eastAsia"/>
                      <w:lang w:val="en-US" w:eastAsia="zh-CN"/>
                    </w:rPr>
                    <w:t>苯乙烯</w:t>
                  </w:r>
                </w:p>
              </w:tc>
            </w:tr>
            <w:tr w14:paraId="0C0C3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gridSpan w:val="2"/>
                  <w:vAlign w:val="center"/>
                </w:tcPr>
                <w:p w14:paraId="74D0F11F">
                  <w:pPr>
                    <w:pStyle w:val="51"/>
                    <w:bidi w:val="0"/>
                    <w:jc w:val="center"/>
                    <w:rPr>
                      <w:rFonts w:hint="default"/>
                      <w:lang w:val="en-US" w:eastAsia="zh-CN"/>
                    </w:rPr>
                  </w:pPr>
                  <w:r>
                    <w:rPr>
                      <w:rFonts w:hint="eastAsia"/>
                      <w:lang w:val="en-US" w:eastAsia="zh-CN"/>
                    </w:rPr>
                    <w:t>治理设施</w:t>
                  </w:r>
                </w:p>
              </w:tc>
              <w:tc>
                <w:tcPr>
                  <w:tcW w:w="4230" w:type="dxa"/>
                  <w:gridSpan w:val="2"/>
                  <w:vAlign w:val="center"/>
                </w:tcPr>
                <w:p w14:paraId="0FF71F0B">
                  <w:pPr>
                    <w:pStyle w:val="51"/>
                    <w:bidi w:val="0"/>
                    <w:jc w:val="center"/>
                    <w:rPr>
                      <w:rFonts w:hint="default"/>
                      <w:lang w:val="en-US" w:eastAsia="zh-CN"/>
                    </w:rPr>
                  </w:pPr>
                  <w:r>
                    <w:rPr>
                      <w:rFonts w:hint="eastAsia"/>
                      <w:lang w:val="en-US" w:eastAsia="zh-CN"/>
                    </w:rPr>
                    <w:t>冷凝+二级活性炭</w:t>
                  </w:r>
                </w:p>
              </w:tc>
            </w:tr>
            <w:tr w14:paraId="5865F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gridSpan w:val="2"/>
                  <w:vAlign w:val="center"/>
                </w:tcPr>
                <w:p w14:paraId="60604552">
                  <w:pPr>
                    <w:pStyle w:val="51"/>
                    <w:bidi w:val="0"/>
                    <w:jc w:val="center"/>
                    <w:rPr>
                      <w:rFonts w:hint="default"/>
                      <w:lang w:val="en-US" w:eastAsia="zh-CN"/>
                    </w:rPr>
                  </w:pPr>
                  <w:r>
                    <w:rPr>
                      <w:rFonts w:hint="eastAsia"/>
                      <w:lang w:val="en-US" w:eastAsia="zh-CN"/>
                    </w:rPr>
                    <w:t>处理风量m³/h</w:t>
                  </w:r>
                </w:p>
              </w:tc>
              <w:tc>
                <w:tcPr>
                  <w:tcW w:w="4230" w:type="dxa"/>
                  <w:gridSpan w:val="2"/>
                  <w:vAlign w:val="center"/>
                </w:tcPr>
                <w:p w14:paraId="2E890AF4">
                  <w:pPr>
                    <w:pStyle w:val="51"/>
                    <w:bidi w:val="0"/>
                    <w:jc w:val="center"/>
                    <w:rPr>
                      <w:rFonts w:hint="default"/>
                      <w:lang w:val="en-US" w:eastAsia="zh-CN"/>
                    </w:rPr>
                  </w:pPr>
                  <w:r>
                    <w:rPr>
                      <w:rFonts w:hint="eastAsia"/>
                      <w:lang w:val="en-US" w:eastAsia="zh-CN"/>
                    </w:rPr>
                    <w:t>23500</w:t>
                  </w:r>
                </w:p>
              </w:tc>
            </w:tr>
            <w:tr w14:paraId="45BB8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5" w:type="dxa"/>
                  <w:vMerge w:val="restart"/>
                  <w:vAlign w:val="center"/>
                </w:tcPr>
                <w:p w14:paraId="6971450C">
                  <w:pPr>
                    <w:pStyle w:val="51"/>
                    <w:bidi w:val="0"/>
                    <w:jc w:val="center"/>
                    <w:rPr>
                      <w:rFonts w:hint="default"/>
                      <w:lang w:val="en-US" w:eastAsia="zh-CN"/>
                    </w:rPr>
                  </w:pPr>
                  <w:r>
                    <w:rPr>
                      <w:rFonts w:hint="eastAsia"/>
                      <w:lang w:val="en-US" w:eastAsia="zh-CN"/>
                    </w:rPr>
                    <w:t>有组织</w:t>
                  </w:r>
                </w:p>
              </w:tc>
              <w:tc>
                <w:tcPr>
                  <w:tcW w:w="2115" w:type="dxa"/>
                  <w:vAlign w:val="center"/>
                </w:tcPr>
                <w:p w14:paraId="576AA966">
                  <w:pPr>
                    <w:pStyle w:val="51"/>
                    <w:bidi w:val="0"/>
                    <w:jc w:val="center"/>
                    <w:rPr>
                      <w:rFonts w:hint="default"/>
                      <w:lang w:val="en-US" w:eastAsia="zh-CN"/>
                    </w:rPr>
                  </w:pPr>
                  <w:r>
                    <w:rPr>
                      <w:rFonts w:hint="eastAsia"/>
                      <w:lang w:val="en-US" w:eastAsia="zh-CN"/>
                    </w:rPr>
                    <w:t>产生量t/a</w:t>
                  </w:r>
                </w:p>
              </w:tc>
              <w:tc>
                <w:tcPr>
                  <w:tcW w:w="2115" w:type="dxa"/>
                  <w:vAlign w:val="center"/>
                </w:tcPr>
                <w:p w14:paraId="60D3EA6C">
                  <w:pPr>
                    <w:pStyle w:val="51"/>
                    <w:bidi w:val="0"/>
                    <w:jc w:val="center"/>
                    <w:rPr>
                      <w:rFonts w:hint="default"/>
                      <w:lang w:val="en-US" w:eastAsia="zh-CN"/>
                    </w:rPr>
                  </w:pPr>
                  <w:r>
                    <w:rPr>
                      <w:rFonts w:hint="eastAsia"/>
                      <w:lang w:val="en-US" w:eastAsia="zh-CN"/>
                    </w:rPr>
                    <w:t>3.5003</w:t>
                  </w:r>
                </w:p>
              </w:tc>
              <w:tc>
                <w:tcPr>
                  <w:tcW w:w="2115" w:type="dxa"/>
                  <w:vAlign w:val="center"/>
                </w:tcPr>
                <w:p w14:paraId="3D3C4B3A">
                  <w:pPr>
                    <w:pStyle w:val="51"/>
                    <w:bidi w:val="0"/>
                    <w:jc w:val="center"/>
                    <w:rPr>
                      <w:rFonts w:hint="default"/>
                      <w:lang w:val="en-US" w:eastAsia="zh-CN"/>
                    </w:rPr>
                  </w:pPr>
                  <w:r>
                    <w:rPr>
                      <w:rFonts w:hint="eastAsia"/>
                      <w:lang w:val="en-US" w:eastAsia="zh-CN"/>
                    </w:rPr>
                    <w:t>0.4639</w:t>
                  </w:r>
                </w:p>
              </w:tc>
            </w:tr>
            <w:tr w14:paraId="53D59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5" w:type="dxa"/>
                  <w:vMerge w:val="continue"/>
                  <w:vAlign w:val="center"/>
                </w:tcPr>
                <w:p w14:paraId="2E1E9A65">
                  <w:pPr>
                    <w:pStyle w:val="51"/>
                    <w:bidi w:val="0"/>
                    <w:jc w:val="center"/>
                    <w:rPr>
                      <w:rFonts w:hint="default"/>
                      <w:lang w:val="en-US" w:eastAsia="zh-CN"/>
                    </w:rPr>
                  </w:pPr>
                </w:p>
              </w:tc>
              <w:tc>
                <w:tcPr>
                  <w:tcW w:w="2115" w:type="dxa"/>
                  <w:vAlign w:val="center"/>
                </w:tcPr>
                <w:p w14:paraId="4486E13B">
                  <w:pPr>
                    <w:pStyle w:val="51"/>
                    <w:bidi w:val="0"/>
                    <w:jc w:val="center"/>
                    <w:rPr>
                      <w:rFonts w:hint="default"/>
                      <w:lang w:val="en-US" w:eastAsia="zh-CN"/>
                    </w:rPr>
                  </w:pPr>
                  <w:r>
                    <w:rPr>
                      <w:rFonts w:hint="eastAsia"/>
                      <w:lang w:val="en-US" w:eastAsia="zh-CN"/>
                    </w:rPr>
                    <w:t>产生速率kg/h</w:t>
                  </w:r>
                </w:p>
              </w:tc>
              <w:tc>
                <w:tcPr>
                  <w:tcW w:w="2115" w:type="dxa"/>
                  <w:vAlign w:val="center"/>
                </w:tcPr>
                <w:p w14:paraId="2BE08D4C">
                  <w:pPr>
                    <w:pStyle w:val="51"/>
                    <w:bidi w:val="0"/>
                    <w:jc w:val="center"/>
                    <w:rPr>
                      <w:rFonts w:hint="default"/>
                      <w:lang w:val="en-US" w:eastAsia="zh-CN"/>
                    </w:rPr>
                  </w:pPr>
                  <w:r>
                    <w:rPr>
                      <w:rFonts w:hint="eastAsia"/>
                      <w:lang w:val="en-US" w:eastAsia="zh-CN"/>
                    </w:rPr>
                    <w:t>0.486</w:t>
                  </w:r>
                </w:p>
              </w:tc>
              <w:tc>
                <w:tcPr>
                  <w:tcW w:w="2115" w:type="dxa"/>
                  <w:vAlign w:val="center"/>
                </w:tcPr>
                <w:p w14:paraId="4E75D30F">
                  <w:pPr>
                    <w:pStyle w:val="51"/>
                    <w:bidi w:val="0"/>
                    <w:jc w:val="center"/>
                    <w:rPr>
                      <w:rFonts w:hint="default"/>
                      <w:lang w:val="en-US" w:eastAsia="zh-CN"/>
                    </w:rPr>
                  </w:pPr>
                  <w:r>
                    <w:rPr>
                      <w:rFonts w:hint="eastAsia"/>
                      <w:lang w:val="en-US" w:eastAsia="zh-CN"/>
                    </w:rPr>
                    <w:t>0.064</w:t>
                  </w:r>
                </w:p>
              </w:tc>
            </w:tr>
            <w:tr w14:paraId="2E54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5" w:type="dxa"/>
                  <w:vMerge w:val="continue"/>
                  <w:vAlign w:val="center"/>
                </w:tcPr>
                <w:p w14:paraId="2FD8CA88">
                  <w:pPr>
                    <w:pStyle w:val="51"/>
                    <w:bidi w:val="0"/>
                    <w:jc w:val="center"/>
                    <w:rPr>
                      <w:rFonts w:hint="default"/>
                      <w:lang w:val="en-US" w:eastAsia="zh-CN"/>
                    </w:rPr>
                  </w:pPr>
                </w:p>
              </w:tc>
              <w:tc>
                <w:tcPr>
                  <w:tcW w:w="2115" w:type="dxa"/>
                  <w:vAlign w:val="center"/>
                </w:tcPr>
                <w:p w14:paraId="362F58CE">
                  <w:pPr>
                    <w:pStyle w:val="51"/>
                    <w:bidi w:val="0"/>
                    <w:jc w:val="center"/>
                    <w:rPr>
                      <w:rFonts w:hint="default"/>
                      <w:lang w:val="en-US" w:eastAsia="zh-CN"/>
                    </w:rPr>
                  </w:pPr>
                  <w:r>
                    <w:rPr>
                      <w:rFonts w:hint="eastAsia"/>
                      <w:lang w:val="en-US" w:eastAsia="zh-CN"/>
                    </w:rPr>
                    <w:t>产生浓度mg/m³</w:t>
                  </w:r>
                </w:p>
              </w:tc>
              <w:tc>
                <w:tcPr>
                  <w:tcW w:w="2115" w:type="dxa"/>
                  <w:vAlign w:val="center"/>
                </w:tcPr>
                <w:p w14:paraId="277920B4">
                  <w:pPr>
                    <w:pStyle w:val="51"/>
                    <w:bidi w:val="0"/>
                    <w:jc w:val="center"/>
                    <w:rPr>
                      <w:rFonts w:hint="default"/>
                      <w:lang w:val="en-US" w:eastAsia="zh-CN"/>
                    </w:rPr>
                  </w:pPr>
                  <w:r>
                    <w:rPr>
                      <w:rFonts w:hint="eastAsia"/>
                      <w:lang w:val="en-US" w:eastAsia="zh-CN"/>
                    </w:rPr>
                    <w:t>20.68</w:t>
                  </w:r>
                </w:p>
              </w:tc>
              <w:tc>
                <w:tcPr>
                  <w:tcW w:w="2115" w:type="dxa"/>
                  <w:vAlign w:val="center"/>
                </w:tcPr>
                <w:p w14:paraId="01F41278">
                  <w:pPr>
                    <w:pStyle w:val="51"/>
                    <w:bidi w:val="0"/>
                    <w:jc w:val="center"/>
                    <w:rPr>
                      <w:rFonts w:hint="default"/>
                      <w:highlight w:val="none"/>
                      <w:lang w:val="en-US" w:eastAsia="zh-CN"/>
                    </w:rPr>
                  </w:pPr>
                  <w:r>
                    <w:rPr>
                      <w:rFonts w:hint="eastAsia"/>
                      <w:highlight w:val="none"/>
                      <w:lang w:val="en-US" w:eastAsia="zh-CN"/>
                    </w:rPr>
                    <w:t>2.72</w:t>
                  </w:r>
                </w:p>
              </w:tc>
            </w:tr>
            <w:tr w14:paraId="2EDE4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5" w:type="dxa"/>
                  <w:vMerge w:val="continue"/>
                  <w:vAlign w:val="center"/>
                </w:tcPr>
                <w:p w14:paraId="090F72F1">
                  <w:pPr>
                    <w:pStyle w:val="51"/>
                    <w:bidi w:val="0"/>
                    <w:jc w:val="center"/>
                    <w:rPr>
                      <w:rFonts w:hint="default"/>
                      <w:lang w:val="en-US" w:eastAsia="zh-CN"/>
                    </w:rPr>
                  </w:pPr>
                </w:p>
              </w:tc>
              <w:tc>
                <w:tcPr>
                  <w:tcW w:w="2115" w:type="dxa"/>
                  <w:vAlign w:val="center"/>
                </w:tcPr>
                <w:p w14:paraId="75A6CC67">
                  <w:pPr>
                    <w:pStyle w:val="51"/>
                    <w:bidi w:val="0"/>
                    <w:jc w:val="center"/>
                    <w:rPr>
                      <w:rFonts w:hint="default"/>
                      <w:lang w:val="en-US" w:eastAsia="zh-CN"/>
                    </w:rPr>
                  </w:pPr>
                  <w:r>
                    <w:rPr>
                      <w:rFonts w:hint="eastAsia"/>
                      <w:lang w:val="en-US" w:eastAsia="zh-CN"/>
                    </w:rPr>
                    <w:t>处理效率%</w:t>
                  </w:r>
                </w:p>
              </w:tc>
              <w:tc>
                <w:tcPr>
                  <w:tcW w:w="2115" w:type="dxa"/>
                  <w:vAlign w:val="center"/>
                </w:tcPr>
                <w:p w14:paraId="017BC513">
                  <w:pPr>
                    <w:pStyle w:val="51"/>
                    <w:bidi w:val="0"/>
                    <w:jc w:val="center"/>
                    <w:rPr>
                      <w:rFonts w:hint="default"/>
                      <w:lang w:val="en-US" w:eastAsia="zh-CN"/>
                    </w:rPr>
                  </w:pPr>
                  <w:r>
                    <w:rPr>
                      <w:rFonts w:hint="eastAsia"/>
                      <w:lang w:val="en-US" w:eastAsia="zh-CN"/>
                    </w:rPr>
                    <w:t>97.5</w:t>
                  </w:r>
                </w:p>
              </w:tc>
              <w:tc>
                <w:tcPr>
                  <w:tcW w:w="2115" w:type="dxa"/>
                  <w:vAlign w:val="center"/>
                </w:tcPr>
                <w:p w14:paraId="1FFA4A41">
                  <w:pPr>
                    <w:pStyle w:val="51"/>
                    <w:bidi w:val="0"/>
                    <w:jc w:val="center"/>
                    <w:rPr>
                      <w:rFonts w:hint="default"/>
                      <w:lang w:val="en-US" w:eastAsia="zh-CN"/>
                    </w:rPr>
                  </w:pPr>
                  <w:r>
                    <w:rPr>
                      <w:rFonts w:hint="eastAsia"/>
                      <w:lang w:val="en-US" w:eastAsia="zh-CN"/>
                    </w:rPr>
                    <w:t>97.5</w:t>
                  </w:r>
                </w:p>
              </w:tc>
            </w:tr>
            <w:tr w14:paraId="33377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5" w:type="dxa"/>
                  <w:vMerge w:val="continue"/>
                  <w:vAlign w:val="center"/>
                </w:tcPr>
                <w:p w14:paraId="0D4162D6">
                  <w:pPr>
                    <w:pStyle w:val="51"/>
                    <w:bidi w:val="0"/>
                    <w:jc w:val="center"/>
                    <w:rPr>
                      <w:rFonts w:hint="default"/>
                      <w:lang w:val="en-US" w:eastAsia="zh-CN"/>
                    </w:rPr>
                  </w:pPr>
                </w:p>
              </w:tc>
              <w:tc>
                <w:tcPr>
                  <w:tcW w:w="2115" w:type="dxa"/>
                  <w:vAlign w:val="center"/>
                </w:tcPr>
                <w:p w14:paraId="220C1C2A">
                  <w:pPr>
                    <w:pStyle w:val="51"/>
                    <w:bidi w:val="0"/>
                    <w:jc w:val="center"/>
                    <w:rPr>
                      <w:rFonts w:hint="default"/>
                      <w:lang w:val="en-US" w:eastAsia="zh-CN"/>
                    </w:rPr>
                  </w:pPr>
                  <w:r>
                    <w:rPr>
                      <w:rFonts w:hint="eastAsia"/>
                      <w:lang w:val="en-US" w:eastAsia="zh-CN"/>
                    </w:rPr>
                    <w:t>排放量t/a</w:t>
                  </w:r>
                </w:p>
              </w:tc>
              <w:tc>
                <w:tcPr>
                  <w:tcW w:w="2115" w:type="dxa"/>
                  <w:vAlign w:val="center"/>
                </w:tcPr>
                <w:p w14:paraId="74DE7A25">
                  <w:pPr>
                    <w:pStyle w:val="51"/>
                    <w:bidi w:val="0"/>
                    <w:jc w:val="center"/>
                    <w:rPr>
                      <w:rFonts w:hint="default"/>
                      <w:lang w:val="en-US" w:eastAsia="zh-CN"/>
                    </w:rPr>
                  </w:pPr>
                  <w:r>
                    <w:rPr>
                      <w:rFonts w:hint="eastAsia"/>
                      <w:lang w:val="en-US" w:eastAsia="zh-CN"/>
                    </w:rPr>
                    <w:t>0.0874</w:t>
                  </w:r>
                </w:p>
              </w:tc>
              <w:tc>
                <w:tcPr>
                  <w:tcW w:w="2115" w:type="dxa"/>
                  <w:vAlign w:val="center"/>
                </w:tcPr>
                <w:p w14:paraId="1E407617">
                  <w:pPr>
                    <w:pStyle w:val="51"/>
                    <w:bidi w:val="0"/>
                    <w:jc w:val="center"/>
                    <w:rPr>
                      <w:rFonts w:hint="default"/>
                      <w:lang w:val="en-US" w:eastAsia="zh-CN"/>
                    </w:rPr>
                  </w:pPr>
                  <w:r>
                    <w:rPr>
                      <w:rFonts w:hint="eastAsia"/>
                      <w:lang w:val="en-US" w:eastAsia="zh-CN"/>
                    </w:rPr>
                    <w:t>0.0116</w:t>
                  </w:r>
                </w:p>
              </w:tc>
            </w:tr>
            <w:tr w14:paraId="5CD8C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5" w:type="dxa"/>
                  <w:vMerge w:val="continue"/>
                  <w:vAlign w:val="center"/>
                </w:tcPr>
                <w:p w14:paraId="230AD721">
                  <w:pPr>
                    <w:pStyle w:val="51"/>
                    <w:bidi w:val="0"/>
                    <w:jc w:val="center"/>
                    <w:rPr>
                      <w:rFonts w:hint="default"/>
                      <w:lang w:val="en-US" w:eastAsia="zh-CN"/>
                    </w:rPr>
                  </w:pPr>
                </w:p>
              </w:tc>
              <w:tc>
                <w:tcPr>
                  <w:tcW w:w="2115" w:type="dxa"/>
                  <w:vAlign w:val="center"/>
                </w:tcPr>
                <w:p w14:paraId="4125DF18">
                  <w:pPr>
                    <w:pStyle w:val="51"/>
                    <w:bidi w:val="0"/>
                    <w:jc w:val="center"/>
                    <w:rPr>
                      <w:rFonts w:hint="default"/>
                      <w:lang w:val="en-US" w:eastAsia="zh-CN"/>
                    </w:rPr>
                  </w:pPr>
                  <w:r>
                    <w:rPr>
                      <w:rFonts w:hint="eastAsia"/>
                      <w:lang w:val="en-US" w:eastAsia="zh-CN"/>
                    </w:rPr>
                    <w:t>排放速率kg/h</w:t>
                  </w:r>
                </w:p>
              </w:tc>
              <w:tc>
                <w:tcPr>
                  <w:tcW w:w="2115" w:type="dxa"/>
                  <w:vAlign w:val="center"/>
                </w:tcPr>
                <w:p w14:paraId="7D958ED9">
                  <w:pPr>
                    <w:pStyle w:val="51"/>
                    <w:bidi w:val="0"/>
                    <w:jc w:val="center"/>
                    <w:rPr>
                      <w:rFonts w:hint="default"/>
                      <w:lang w:val="en-US" w:eastAsia="zh-CN"/>
                    </w:rPr>
                  </w:pPr>
                  <w:r>
                    <w:rPr>
                      <w:rFonts w:hint="eastAsia"/>
                      <w:lang w:val="en-US" w:eastAsia="zh-CN"/>
                    </w:rPr>
                    <w:t>0.0121</w:t>
                  </w:r>
                </w:p>
              </w:tc>
              <w:tc>
                <w:tcPr>
                  <w:tcW w:w="2115" w:type="dxa"/>
                  <w:vAlign w:val="center"/>
                </w:tcPr>
                <w:p w14:paraId="3F767576">
                  <w:pPr>
                    <w:pStyle w:val="51"/>
                    <w:bidi w:val="0"/>
                    <w:jc w:val="center"/>
                    <w:rPr>
                      <w:rFonts w:hint="default"/>
                      <w:lang w:val="en-US" w:eastAsia="zh-CN"/>
                    </w:rPr>
                  </w:pPr>
                  <w:r>
                    <w:rPr>
                      <w:rFonts w:hint="eastAsia"/>
                      <w:lang w:val="en-US" w:eastAsia="zh-CN"/>
                    </w:rPr>
                    <w:t>0.0016</w:t>
                  </w:r>
                </w:p>
              </w:tc>
            </w:tr>
            <w:tr w14:paraId="0664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5" w:type="dxa"/>
                  <w:vMerge w:val="continue"/>
                  <w:vAlign w:val="center"/>
                </w:tcPr>
                <w:p w14:paraId="184228C8">
                  <w:pPr>
                    <w:pStyle w:val="51"/>
                    <w:bidi w:val="0"/>
                    <w:jc w:val="center"/>
                    <w:rPr>
                      <w:rFonts w:hint="default"/>
                      <w:lang w:val="en-US" w:eastAsia="zh-CN"/>
                    </w:rPr>
                  </w:pPr>
                </w:p>
              </w:tc>
              <w:tc>
                <w:tcPr>
                  <w:tcW w:w="2115" w:type="dxa"/>
                  <w:vAlign w:val="center"/>
                </w:tcPr>
                <w:p w14:paraId="5F1A8B9C">
                  <w:pPr>
                    <w:pStyle w:val="51"/>
                    <w:bidi w:val="0"/>
                    <w:jc w:val="center"/>
                    <w:rPr>
                      <w:rFonts w:hint="default"/>
                      <w:lang w:val="en-US" w:eastAsia="zh-CN"/>
                    </w:rPr>
                  </w:pPr>
                  <w:r>
                    <w:rPr>
                      <w:rFonts w:hint="eastAsia"/>
                      <w:lang w:val="en-US" w:eastAsia="zh-CN"/>
                    </w:rPr>
                    <w:t>排放浓度mg/m</w:t>
                  </w:r>
                </w:p>
              </w:tc>
              <w:tc>
                <w:tcPr>
                  <w:tcW w:w="2115" w:type="dxa"/>
                  <w:vAlign w:val="center"/>
                </w:tcPr>
                <w:p w14:paraId="1F4B840B">
                  <w:pPr>
                    <w:pStyle w:val="51"/>
                    <w:bidi w:val="0"/>
                    <w:jc w:val="center"/>
                    <w:rPr>
                      <w:rFonts w:hint="default"/>
                      <w:lang w:val="en-US" w:eastAsia="zh-CN"/>
                    </w:rPr>
                  </w:pPr>
                  <w:r>
                    <w:rPr>
                      <w:rFonts w:hint="eastAsia"/>
                      <w:lang w:val="en-US" w:eastAsia="zh-CN"/>
                    </w:rPr>
                    <w:t>0.5149</w:t>
                  </w:r>
                </w:p>
              </w:tc>
              <w:tc>
                <w:tcPr>
                  <w:tcW w:w="2115" w:type="dxa"/>
                  <w:vAlign w:val="center"/>
                </w:tcPr>
                <w:p w14:paraId="64B3BFC3">
                  <w:pPr>
                    <w:pStyle w:val="51"/>
                    <w:bidi w:val="0"/>
                    <w:jc w:val="center"/>
                    <w:rPr>
                      <w:rFonts w:hint="default"/>
                      <w:highlight w:val="none"/>
                      <w:lang w:val="en-US" w:eastAsia="zh-CN"/>
                    </w:rPr>
                  </w:pPr>
                  <w:r>
                    <w:rPr>
                      <w:rFonts w:hint="eastAsia"/>
                      <w:highlight w:val="none"/>
                      <w:lang w:val="en-US" w:eastAsia="zh-CN"/>
                    </w:rPr>
                    <w:t>0.07</w:t>
                  </w:r>
                </w:p>
              </w:tc>
            </w:tr>
            <w:tr w14:paraId="110C2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5" w:type="dxa"/>
                  <w:vMerge w:val="restart"/>
                  <w:vAlign w:val="center"/>
                </w:tcPr>
                <w:p w14:paraId="7183D93C">
                  <w:pPr>
                    <w:pStyle w:val="51"/>
                    <w:bidi w:val="0"/>
                    <w:jc w:val="center"/>
                    <w:rPr>
                      <w:rFonts w:hint="default"/>
                      <w:lang w:val="en-US" w:eastAsia="zh-CN"/>
                    </w:rPr>
                  </w:pPr>
                  <w:r>
                    <w:rPr>
                      <w:rFonts w:hint="eastAsia"/>
                      <w:lang w:val="en-US" w:eastAsia="zh-CN"/>
                    </w:rPr>
                    <w:t>无组织</w:t>
                  </w:r>
                </w:p>
              </w:tc>
              <w:tc>
                <w:tcPr>
                  <w:tcW w:w="2115" w:type="dxa"/>
                  <w:vAlign w:val="center"/>
                </w:tcPr>
                <w:p w14:paraId="1C8FEA1A">
                  <w:pPr>
                    <w:pStyle w:val="51"/>
                    <w:bidi w:val="0"/>
                    <w:jc w:val="center"/>
                    <w:rPr>
                      <w:rFonts w:hint="default"/>
                      <w:lang w:val="en-US" w:eastAsia="zh-CN"/>
                    </w:rPr>
                  </w:pPr>
                  <w:r>
                    <w:rPr>
                      <w:rFonts w:hint="eastAsia"/>
                      <w:lang w:val="en-US" w:eastAsia="zh-CN"/>
                    </w:rPr>
                    <w:t>排放量t/a</w:t>
                  </w:r>
                </w:p>
              </w:tc>
              <w:tc>
                <w:tcPr>
                  <w:tcW w:w="2115" w:type="dxa"/>
                  <w:vAlign w:val="center"/>
                </w:tcPr>
                <w:p w14:paraId="0D12B0B6">
                  <w:pPr>
                    <w:pStyle w:val="51"/>
                    <w:bidi w:val="0"/>
                    <w:jc w:val="center"/>
                    <w:rPr>
                      <w:rFonts w:hint="default"/>
                      <w:lang w:val="en-US" w:eastAsia="zh-CN"/>
                    </w:rPr>
                  </w:pPr>
                  <w:r>
                    <w:rPr>
                      <w:rFonts w:hint="eastAsia"/>
                      <w:lang w:val="en-US" w:eastAsia="zh-CN"/>
                    </w:rPr>
                    <w:t>0.5817</w:t>
                  </w:r>
                </w:p>
              </w:tc>
              <w:tc>
                <w:tcPr>
                  <w:tcW w:w="2115" w:type="dxa"/>
                  <w:vAlign w:val="center"/>
                </w:tcPr>
                <w:p w14:paraId="3E251411">
                  <w:pPr>
                    <w:pStyle w:val="51"/>
                    <w:bidi w:val="0"/>
                    <w:jc w:val="center"/>
                    <w:rPr>
                      <w:rFonts w:hint="default"/>
                      <w:lang w:val="en-US" w:eastAsia="zh-CN"/>
                    </w:rPr>
                  </w:pPr>
                  <w:r>
                    <w:rPr>
                      <w:rFonts w:hint="eastAsia"/>
                      <w:lang w:val="en-US" w:eastAsia="zh-CN"/>
                    </w:rPr>
                    <w:t>0.0771</w:t>
                  </w:r>
                </w:p>
              </w:tc>
            </w:tr>
            <w:tr w14:paraId="20EFC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5" w:type="dxa"/>
                  <w:vMerge w:val="continue"/>
                  <w:vAlign w:val="center"/>
                </w:tcPr>
                <w:p w14:paraId="69EC5C78">
                  <w:pPr>
                    <w:pStyle w:val="51"/>
                    <w:bidi w:val="0"/>
                    <w:jc w:val="center"/>
                    <w:rPr>
                      <w:rFonts w:hint="default"/>
                      <w:lang w:val="en-US" w:eastAsia="zh-CN"/>
                    </w:rPr>
                  </w:pPr>
                </w:p>
              </w:tc>
              <w:tc>
                <w:tcPr>
                  <w:tcW w:w="2115" w:type="dxa"/>
                  <w:vAlign w:val="center"/>
                </w:tcPr>
                <w:p w14:paraId="4E40437D">
                  <w:pPr>
                    <w:pStyle w:val="51"/>
                    <w:bidi w:val="0"/>
                    <w:jc w:val="center"/>
                    <w:rPr>
                      <w:rFonts w:hint="default"/>
                      <w:lang w:val="en-US" w:eastAsia="zh-CN"/>
                    </w:rPr>
                  </w:pPr>
                  <w:r>
                    <w:rPr>
                      <w:rFonts w:hint="eastAsia"/>
                      <w:lang w:val="en-US" w:eastAsia="zh-CN"/>
                    </w:rPr>
                    <w:t>排放速率kg/h</w:t>
                  </w:r>
                </w:p>
              </w:tc>
              <w:tc>
                <w:tcPr>
                  <w:tcW w:w="2115" w:type="dxa"/>
                  <w:vAlign w:val="center"/>
                </w:tcPr>
                <w:p w14:paraId="3A7E51FA">
                  <w:pPr>
                    <w:pStyle w:val="51"/>
                    <w:bidi w:val="0"/>
                    <w:jc w:val="center"/>
                    <w:rPr>
                      <w:rFonts w:hint="default"/>
                      <w:lang w:val="en-US" w:eastAsia="zh-CN"/>
                    </w:rPr>
                  </w:pPr>
                  <w:r>
                    <w:rPr>
                      <w:rFonts w:hint="eastAsia"/>
                      <w:lang w:val="en-US" w:eastAsia="zh-CN"/>
                    </w:rPr>
                    <w:t>0.0808</w:t>
                  </w:r>
                </w:p>
              </w:tc>
              <w:tc>
                <w:tcPr>
                  <w:tcW w:w="2115" w:type="dxa"/>
                  <w:vAlign w:val="center"/>
                </w:tcPr>
                <w:p w14:paraId="6B982CFE">
                  <w:pPr>
                    <w:pStyle w:val="51"/>
                    <w:bidi w:val="0"/>
                    <w:jc w:val="center"/>
                    <w:rPr>
                      <w:rFonts w:hint="default"/>
                      <w:lang w:val="en-US" w:eastAsia="zh-CN"/>
                    </w:rPr>
                  </w:pPr>
                  <w:r>
                    <w:rPr>
                      <w:rFonts w:hint="eastAsia"/>
                      <w:lang w:val="en-US" w:eastAsia="zh-CN"/>
                    </w:rPr>
                    <w:t>0.0107</w:t>
                  </w:r>
                </w:p>
              </w:tc>
            </w:tr>
            <w:tr w14:paraId="279BA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gridSpan w:val="2"/>
                  <w:vAlign w:val="center"/>
                </w:tcPr>
                <w:p w14:paraId="5CFCAC47">
                  <w:pPr>
                    <w:pStyle w:val="51"/>
                    <w:bidi w:val="0"/>
                    <w:jc w:val="center"/>
                    <w:rPr>
                      <w:rFonts w:hint="default"/>
                      <w:lang w:val="en-US" w:eastAsia="zh-CN"/>
                    </w:rPr>
                  </w:pPr>
                  <w:r>
                    <w:rPr>
                      <w:rFonts w:hint="eastAsia"/>
                      <w:lang w:val="en-US" w:eastAsia="zh-CN"/>
                    </w:rPr>
                    <w:t>总排放量t/a</w:t>
                  </w:r>
                </w:p>
              </w:tc>
              <w:tc>
                <w:tcPr>
                  <w:tcW w:w="2115" w:type="dxa"/>
                  <w:vAlign w:val="center"/>
                </w:tcPr>
                <w:p w14:paraId="4C5ADE92">
                  <w:pPr>
                    <w:pStyle w:val="51"/>
                    <w:bidi w:val="0"/>
                    <w:jc w:val="center"/>
                    <w:rPr>
                      <w:rFonts w:hint="default"/>
                      <w:lang w:val="en-US" w:eastAsia="zh-CN"/>
                    </w:rPr>
                  </w:pPr>
                  <w:r>
                    <w:rPr>
                      <w:rFonts w:hint="eastAsia"/>
                      <w:lang w:val="en-US" w:eastAsia="zh-CN"/>
                    </w:rPr>
                    <w:t>0.6691</w:t>
                  </w:r>
                </w:p>
              </w:tc>
              <w:tc>
                <w:tcPr>
                  <w:tcW w:w="2115" w:type="dxa"/>
                  <w:vAlign w:val="center"/>
                </w:tcPr>
                <w:p w14:paraId="08B7FD86">
                  <w:pPr>
                    <w:pStyle w:val="51"/>
                    <w:bidi w:val="0"/>
                    <w:jc w:val="center"/>
                    <w:rPr>
                      <w:rFonts w:hint="default"/>
                      <w:lang w:val="en-US" w:eastAsia="zh-CN"/>
                    </w:rPr>
                  </w:pPr>
                  <w:r>
                    <w:rPr>
                      <w:rFonts w:hint="eastAsia"/>
                      <w:lang w:val="en-US" w:eastAsia="zh-CN"/>
                    </w:rPr>
                    <w:t>0.0887</w:t>
                  </w:r>
                </w:p>
              </w:tc>
            </w:tr>
          </w:tbl>
          <w:p w14:paraId="7A5D168C">
            <w:pPr>
              <w:numPr>
                <w:ilvl w:val="0"/>
                <w:numId w:val="8"/>
              </w:numPr>
              <w:bidi w:val="0"/>
              <w:ind w:left="0" w:leftChars="0" w:firstLine="482" w:firstLineChars="200"/>
              <w:rPr>
                <w:rFonts w:hint="eastAsia"/>
                <w:b/>
                <w:bCs/>
                <w:lang w:val="en-US" w:eastAsia="zh-CN"/>
              </w:rPr>
            </w:pPr>
            <w:r>
              <w:rPr>
                <w:rFonts w:hint="eastAsia"/>
                <w:b/>
                <w:bCs/>
                <w:lang w:val="en-US" w:eastAsia="zh-CN"/>
              </w:rPr>
              <w:t>EPP汽车零部件生产线</w:t>
            </w:r>
          </w:p>
          <w:p w14:paraId="2430B400">
            <w:pPr>
              <w:bidi w:val="0"/>
              <w:rPr>
                <w:rFonts w:hint="default"/>
                <w:lang w:val="en-US" w:eastAsia="zh-CN"/>
              </w:rPr>
            </w:pPr>
            <w:r>
              <w:rPr>
                <w:rFonts w:hint="eastAsia"/>
                <w:lang w:val="en-US" w:eastAsia="zh-CN"/>
              </w:rPr>
              <w:t>本项目EPP汽车零部件生产线大气污染源主要为成型、烘干产生的有机废气（以非甲烷总烃计）。</w:t>
            </w:r>
          </w:p>
          <w:p w14:paraId="3761E4A8">
            <w:pPr>
              <w:bidi w:val="0"/>
              <w:rPr>
                <w:rFonts w:hint="default" w:eastAsia="宋体" w:cs="宋体"/>
                <w:b/>
                <w:bCs/>
                <w:color w:val="auto"/>
                <w:szCs w:val="24"/>
                <w:lang w:val="en-US" w:eastAsia="zh-CN"/>
              </w:rPr>
            </w:pPr>
            <w:r>
              <w:rPr>
                <w:rFonts w:hint="eastAsia" w:eastAsia="宋体" w:cs="宋体"/>
                <w:b/>
                <w:bCs/>
                <w:color w:val="auto"/>
                <w:szCs w:val="24"/>
                <w:lang w:val="en-US" w:eastAsia="zh-CN"/>
              </w:rPr>
              <w:t>①有机废气源强</w:t>
            </w:r>
          </w:p>
          <w:p w14:paraId="665A05AE">
            <w:pPr>
              <w:bidi w:val="0"/>
              <w:rPr>
                <w:rFonts w:hint="eastAsia"/>
                <w:lang w:val="en-US" w:eastAsia="zh-CN"/>
              </w:rPr>
            </w:pPr>
            <w:r>
              <w:rPr>
                <w:rFonts w:hint="eastAsia"/>
                <w:lang w:val="en-US" w:eastAsia="zh-CN"/>
              </w:rPr>
              <w:t>由于 EPP 聚丙烯热塑性树脂在成型工序和烘干工序会产生部分低聚有机废气，以非甲烷总烃计。参照</w:t>
            </w:r>
            <w:r>
              <w:t>《排放源统计调查产排污核算方法和系数手册》</w:t>
            </w:r>
            <w:r>
              <w:rPr>
                <w:rFonts w:hint="eastAsia"/>
              </w:rPr>
              <w:t>（</w:t>
            </w:r>
            <w:r>
              <w:t>公告2021年第24号</w:t>
            </w:r>
            <w:r>
              <w:rPr>
                <w:rFonts w:hint="eastAsia"/>
              </w:rPr>
              <w:t>）</w:t>
            </w:r>
            <w:r>
              <w:t>的</w:t>
            </w:r>
            <w:r>
              <w:rPr>
                <w:rFonts w:hint="eastAsia"/>
                <w:lang w:val="en-US" w:eastAsia="zh-CN"/>
              </w:rPr>
              <w:t>中292-塑料制品业系数手册：2929 塑料零件及其他塑料制品制造行业系数表（续表1），非甲烷总烃产污系数为2.7千克/吨-产品。根据建设单位提供的资料，项目EPP汽车零配件产品产生量为1000t/a，非甲烷总烃产生量为2.7t/a。</w:t>
            </w:r>
          </w:p>
          <w:p w14:paraId="28AB9D62">
            <w:pPr>
              <w:bidi w:val="0"/>
            </w:pPr>
            <w:r>
              <w:t>根据企业</w:t>
            </w:r>
            <w:r>
              <w:rPr>
                <w:rFonts w:hint="eastAsia"/>
                <w:lang w:val="en-US" w:eastAsia="zh-CN"/>
              </w:rPr>
              <w:t>提供资料</w:t>
            </w:r>
            <w:r>
              <w:t>，</w:t>
            </w:r>
            <w:r>
              <w:rPr>
                <w:rFonts w:hint="eastAsia"/>
                <w:lang w:val="en-US" w:eastAsia="zh-CN"/>
              </w:rPr>
              <w:t>汽车零配件</w:t>
            </w:r>
            <w:r>
              <w:t>生产过程有机废气约</w:t>
            </w:r>
            <w:r>
              <w:rPr>
                <w:rFonts w:hint="eastAsia"/>
                <w:lang w:val="en-US" w:eastAsia="zh-CN"/>
              </w:rPr>
              <w:t>85</w:t>
            </w:r>
            <w:r>
              <w:t>%在成型过程中产生，约</w:t>
            </w:r>
            <w:r>
              <w:rPr>
                <w:rFonts w:hint="eastAsia"/>
                <w:lang w:val="en-US" w:eastAsia="zh-CN"/>
              </w:rPr>
              <w:t>15</w:t>
            </w:r>
            <w:r>
              <w:t>%在烘干过程中产生。则本项目</w:t>
            </w:r>
            <w:r>
              <w:rPr>
                <w:rFonts w:hint="eastAsia"/>
                <w:lang w:val="en-US" w:eastAsia="zh-CN"/>
              </w:rPr>
              <w:t>EPP汽车零配件生产线</w:t>
            </w:r>
            <w:r>
              <w:t>各工序</w:t>
            </w:r>
            <w:r>
              <w:rPr>
                <w:rFonts w:hint="eastAsia"/>
                <w:lang w:val="en-US" w:eastAsia="zh-CN"/>
              </w:rPr>
              <w:t>非甲烷总烃</w:t>
            </w:r>
            <w:r>
              <w:t>挥发产生情况如下表所示。</w:t>
            </w:r>
          </w:p>
          <w:p w14:paraId="36BA9F54">
            <w:pPr>
              <w:pStyle w:val="74"/>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表 4-</w:t>
            </w:r>
            <w:r>
              <w:rPr>
                <w:rFonts w:hint="eastAsia" w:cs="Times New Roman"/>
                <w:lang w:val="en-US" w:eastAsia="zh-CN"/>
              </w:rPr>
              <w:t>10</w:t>
            </w:r>
            <w:r>
              <w:rPr>
                <w:rFonts w:hint="eastAsia" w:ascii="Times New Roman" w:hAnsi="Times New Roman" w:eastAsia="宋体" w:cs="Times New Roman"/>
                <w:lang w:val="en-US" w:eastAsia="zh-CN"/>
              </w:rPr>
              <w:t xml:space="preserve"> </w:t>
            </w:r>
            <w:r>
              <w:rPr>
                <w:rFonts w:hint="eastAsia"/>
                <w:lang w:val="en-US" w:eastAsia="zh-CN"/>
              </w:rPr>
              <w:t>EPP汽车零配件生产线</w:t>
            </w:r>
            <w:r>
              <w:rPr>
                <w:rFonts w:hint="eastAsia" w:ascii="Times New Roman" w:hAnsi="Times New Roman" w:eastAsia="宋体" w:cs="Times New Roman"/>
                <w:lang w:val="en-US" w:eastAsia="zh-CN"/>
              </w:rPr>
              <w:t>生产工艺非甲烷总烃、苯乙烯产生情况</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4"/>
              <w:gridCol w:w="1931"/>
              <w:gridCol w:w="2062"/>
              <w:gridCol w:w="1683"/>
            </w:tblGrid>
            <w:tr w14:paraId="45D66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pct"/>
                  <w:shd w:val="clear" w:color="auto" w:fill="auto"/>
                  <w:vAlign w:val="top"/>
                </w:tcPr>
                <w:p w14:paraId="0366F79D">
                  <w:pPr>
                    <w:pStyle w:val="47"/>
                    <w:bidi w:val="0"/>
                    <w:rPr>
                      <w:rFonts w:hint="default"/>
                      <w:lang w:val="en-US" w:eastAsia="zh-CN"/>
                    </w:rPr>
                  </w:pPr>
                  <w:r>
                    <w:t>工序</w:t>
                  </w:r>
                </w:p>
              </w:tc>
              <w:tc>
                <w:tcPr>
                  <w:tcW w:w="1125" w:type="pct"/>
                  <w:shd w:val="clear" w:color="auto" w:fill="auto"/>
                  <w:vAlign w:val="top"/>
                </w:tcPr>
                <w:p w14:paraId="7A7DC8B4">
                  <w:pPr>
                    <w:pStyle w:val="47"/>
                    <w:bidi w:val="0"/>
                    <w:rPr>
                      <w:rFonts w:hint="default"/>
                      <w:lang w:val="en-US" w:eastAsia="zh-CN"/>
                    </w:rPr>
                  </w:pPr>
                  <w:r>
                    <w:t>成型</w:t>
                  </w:r>
                </w:p>
              </w:tc>
              <w:tc>
                <w:tcPr>
                  <w:tcW w:w="1201" w:type="pct"/>
                  <w:shd w:val="clear" w:color="auto" w:fill="auto"/>
                  <w:vAlign w:val="top"/>
                </w:tcPr>
                <w:p w14:paraId="2C944E2B">
                  <w:pPr>
                    <w:pStyle w:val="47"/>
                    <w:bidi w:val="0"/>
                    <w:rPr>
                      <w:rFonts w:hint="default"/>
                      <w:lang w:val="en-US" w:eastAsia="zh-CN"/>
                    </w:rPr>
                  </w:pPr>
                  <w:r>
                    <w:t>烘干</w:t>
                  </w:r>
                </w:p>
              </w:tc>
              <w:tc>
                <w:tcPr>
                  <w:tcW w:w="980" w:type="pct"/>
                  <w:shd w:val="clear" w:color="auto" w:fill="auto"/>
                  <w:vAlign w:val="top"/>
                </w:tcPr>
                <w:p w14:paraId="40C1F78B">
                  <w:pPr>
                    <w:pStyle w:val="47"/>
                    <w:bidi w:val="0"/>
                    <w:rPr>
                      <w:rFonts w:hint="default"/>
                      <w:lang w:val="en-US" w:eastAsia="zh-CN"/>
                    </w:rPr>
                  </w:pPr>
                  <w:r>
                    <w:t>合计</w:t>
                  </w:r>
                </w:p>
              </w:tc>
            </w:tr>
            <w:tr w14:paraId="46E7B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pct"/>
                  <w:shd w:val="clear" w:color="auto" w:fill="auto"/>
                  <w:vAlign w:val="top"/>
                </w:tcPr>
                <w:p w14:paraId="7E88C8C8">
                  <w:pPr>
                    <w:pStyle w:val="47"/>
                    <w:bidi w:val="0"/>
                    <w:rPr>
                      <w:rFonts w:hint="default"/>
                      <w:lang w:val="en-US" w:eastAsia="zh-CN"/>
                    </w:rPr>
                  </w:pPr>
                  <w:r>
                    <w:t>比例（%）</w:t>
                  </w:r>
                </w:p>
              </w:tc>
              <w:tc>
                <w:tcPr>
                  <w:tcW w:w="1125" w:type="pct"/>
                  <w:shd w:val="clear" w:color="auto" w:fill="auto"/>
                  <w:vAlign w:val="top"/>
                </w:tcPr>
                <w:p w14:paraId="522A4BBF">
                  <w:pPr>
                    <w:pStyle w:val="47"/>
                    <w:bidi w:val="0"/>
                    <w:rPr>
                      <w:rFonts w:hint="default" w:eastAsia="宋体"/>
                      <w:lang w:val="en-US" w:eastAsia="zh-CN"/>
                    </w:rPr>
                  </w:pPr>
                  <w:r>
                    <w:rPr>
                      <w:rFonts w:hint="eastAsia"/>
                      <w:lang w:val="en-US" w:eastAsia="zh-CN"/>
                    </w:rPr>
                    <w:t>85</w:t>
                  </w:r>
                </w:p>
              </w:tc>
              <w:tc>
                <w:tcPr>
                  <w:tcW w:w="1201" w:type="pct"/>
                  <w:shd w:val="clear" w:color="auto" w:fill="auto"/>
                  <w:vAlign w:val="top"/>
                </w:tcPr>
                <w:p w14:paraId="2BA29E99">
                  <w:pPr>
                    <w:pStyle w:val="47"/>
                    <w:bidi w:val="0"/>
                    <w:rPr>
                      <w:rFonts w:hint="default" w:eastAsia="宋体"/>
                      <w:lang w:val="en-US" w:eastAsia="zh-CN"/>
                    </w:rPr>
                  </w:pPr>
                  <w:r>
                    <w:rPr>
                      <w:rFonts w:hint="eastAsia"/>
                      <w:lang w:val="en-US" w:eastAsia="zh-CN"/>
                    </w:rPr>
                    <w:t>15</w:t>
                  </w:r>
                </w:p>
              </w:tc>
              <w:tc>
                <w:tcPr>
                  <w:tcW w:w="980" w:type="pct"/>
                  <w:shd w:val="clear" w:color="auto" w:fill="auto"/>
                  <w:vAlign w:val="top"/>
                </w:tcPr>
                <w:p w14:paraId="1B173770">
                  <w:pPr>
                    <w:pStyle w:val="47"/>
                    <w:bidi w:val="0"/>
                    <w:rPr>
                      <w:rFonts w:hint="default"/>
                      <w:lang w:val="en-US" w:eastAsia="zh-CN"/>
                    </w:rPr>
                  </w:pPr>
                  <w:r>
                    <w:t>100</w:t>
                  </w:r>
                </w:p>
              </w:tc>
            </w:tr>
            <w:tr w14:paraId="1660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pct"/>
                  <w:shd w:val="clear" w:color="auto" w:fill="auto"/>
                  <w:vAlign w:val="top"/>
                </w:tcPr>
                <w:p w14:paraId="2241E18D">
                  <w:pPr>
                    <w:pStyle w:val="47"/>
                    <w:bidi w:val="0"/>
                    <w:rPr>
                      <w:rFonts w:hint="default"/>
                      <w:lang w:val="en-US" w:eastAsia="zh-CN"/>
                    </w:rPr>
                  </w:pPr>
                  <w:r>
                    <w:rPr>
                      <w:rFonts w:hint="eastAsia"/>
                      <w:lang w:val="en-US" w:eastAsia="zh-CN"/>
                    </w:rPr>
                    <w:t>非甲烷总烃</w:t>
                  </w:r>
                  <w:r>
                    <w:t>产生量（t/a）</w:t>
                  </w:r>
                </w:p>
              </w:tc>
              <w:tc>
                <w:tcPr>
                  <w:tcW w:w="1125" w:type="pct"/>
                  <w:shd w:val="clear" w:color="auto" w:fill="auto"/>
                  <w:vAlign w:val="top"/>
                </w:tcPr>
                <w:p w14:paraId="7ABCB0BE">
                  <w:pPr>
                    <w:pStyle w:val="47"/>
                    <w:bidi w:val="0"/>
                    <w:rPr>
                      <w:rFonts w:hint="default" w:eastAsia="宋体"/>
                      <w:lang w:val="en-US" w:eastAsia="zh-CN"/>
                    </w:rPr>
                  </w:pPr>
                  <w:r>
                    <w:rPr>
                      <w:rFonts w:hint="eastAsia"/>
                      <w:lang w:val="en-US" w:eastAsia="zh-CN"/>
                    </w:rPr>
                    <w:t>2.295</w:t>
                  </w:r>
                </w:p>
              </w:tc>
              <w:tc>
                <w:tcPr>
                  <w:tcW w:w="1201" w:type="pct"/>
                  <w:shd w:val="clear" w:color="auto" w:fill="auto"/>
                  <w:vAlign w:val="top"/>
                </w:tcPr>
                <w:p w14:paraId="34985C4E">
                  <w:pPr>
                    <w:pStyle w:val="47"/>
                    <w:bidi w:val="0"/>
                    <w:rPr>
                      <w:rFonts w:hint="default" w:eastAsia="宋体"/>
                      <w:lang w:val="en-US" w:eastAsia="zh-CN"/>
                    </w:rPr>
                  </w:pPr>
                  <w:r>
                    <w:rPr>
                      <w:rFonts w:hint="eastAsia"/>
                      <w:lang w:val="en-US" w:eastAsia="zh-CN"/>
                    </w:rPr>
                    <w:t>0.405</w:t>
                  </w:r>
                </w:p>
              </w:tc>
              <w:tc>
                <w:tcPr>
                  <w:tcW w:w="980" w:type="pct"/>
                  <w:shd w:val="clear" w:color="auto" w:fill="auto"/>
                  <w:vAlign w:val="top"/>
                </w:tcPr>
                <w:p w14:paraId="5BFA9D93">
                  <w:pPr>
                    <w:pStyle w:val="47"/>
                    <w:bidi w:val="0"/>
                    <w:rPr>
                      <w:rFonts w:hint="default" w:eastAsia="宋体"/>
                      <w:lang w:val="en-US" w:eastAsia="zh-CN"/>
                    </w:rPr>
                  </w:pPr>
                  <w:r>
                    <w:rPr>
                      <w:rFonts w:hint="eastAsia"/>
                      <w:lang w:val="en-US" w:eastAsia="zh-CN"/>
                    </w:rPr>
                    <w:t>2.7</w:t>
                  </w:r>
                </w:p>
              </w:tc>
            </w:tr>
          </w:tbl>
          <w:p w14:paraId="55D8D3B2">
            <w:pPr>
              <w:bidi w:val="0"/>
              <w:rPr>
                <w:rFonts w:hint="eastAsia"/>
                <w:b/>
                <w:bCs/>
                <w:lang w:val="en-US" w:eastAsia="zh-CN"/>
              </w:rPr>
            </w:pPr>
            <w:r>
              <w:rPr>
                <w:rFonts w:hint="eastAsia"/>
                <w:b/>
                <w:bCs/>
                <w:lang w:val="en-US" w:eastAsia="zh-CN"/>
              </w:rPr>
              <w:t>②收集</w:t>
            </w:r>
          </w:p>
          <w:p w14:paraId="315E7B03">
            <w:pPr>
              <w:bidi w:val="0"/>
              <w:rPr>
                <w:rFonts w:hint="eastAsia"/>
                <w:highlight w:val="none"/>
                <w:lang w:eastAsia="zh-CN"/>
              </w:rPr>
            </w:pPr>
            <w:r>
              <w:rPr>
                <w:rFonts w:hint="eastAsia"/>
                <w:lang w:val="en-US" w:eastAsia="zh-CN"/>
              </w:rPr>
              <w:t>项目成型、烘干废气经集气管道</w:t>
            </w:r>
            <w:r>
              <w:t>收集废气送至</w:t>
            </w:r>
            <w:r>
              <w:rPr>
                <w:rFonts w:hint="eastAsia"/>
                <w:lang w:eastAsia="zh-CN"/>
              </w:rPr>
              <w:t>“</w:t>
            </w:r>
            <w:r>
              <w:t>二级活性炭设备</w:t>
            </w:r>
            <w:r>
              <w:rPr>
                <w:rFonts w:hint="eastAsia"/>
                <w:lang w:eastAsia="zh-CN"/>
              </w:rPr>
              <w:t>”</w:t>
            </w:r>
            <w:r>
              <w:t>处理后</w:t>
            </w:r>
            <w:r>
              <w:rPr>
                <w:highlight w:val="none"/>
              </w:rPr>
              <w:t>由</w:t>
            </w:r>
            <w:r>
              <w:rPr>
                <w:rFonts w:hint="eastAsia"/>
                <w:highlight w:val="none"/>
                <w:lang w:val="en-US" w:eastAsia="zh-CN"/>
              </w:rPr>
              <w:t>21</w:t>
            </w:r>
            <w:r>
              <w:rPr>
                <w:highlight w:val="none"/>
              </w:rPr>
              <w:t>m排气筒排放</w:t>
            </w:r>
            <w:r>
              <w:rPr>
                <w:rFonts w:hint="eastAsia"/>
                <w:highlight w:val="none"/>
                <w:lang w:eastAsia="zh-CN"/>
              </w:rPr>
              <w:t>。</w:t>
            </w:r>
          </w:p>
          <w:p w14:paraId="7FBD72D8">
            <w:pPr>
              <w:bidi w:val="0"/>
              <w:rPr>
                <w:rFonts w:hint="eastAsia"/>
                <w:lang w:val="en-US" w:eastAsia="zh-CN"/>
              </w:rPr>
            </w:pPr>
            <w:r>
              <w:rPr>
                <w:rFonts w:hint="eastAsia"/>
                <w:lang w:val="en-US" w:eastAsia="zh-CN"/>
              </w:rPr>
              <w:t>项目集气罩及管道设置情况见下表</w:t>
            </w:r>
          </w:p>
          <w:p w14:paraId="5E342FBD">
            <w:pPr>
              <w:pStyle w:val="74"/>
              <w:bidi w:val="0"/>
            </w:pPr>
            <w:r>
              <w:t>表 4-</w:t>
            </w:r>
            <w:r>
              <w:rPr>
                <w:rFonts w:hint="eastAsia"/>
                <w:lang w:val="en-US" w:eastAsia="zh-CN"/>
              </w:rPr>
              <w:t>11</w:t>
            </w:r>
            <w:r>
              <w:t xml:space="preserve"> 项目</w:t>
            </w:r>
            <w:r>
              <w:rPr>
                <w:rFonts w:hint="eastAsia"/>
                <w:lang w:val="en-US" w:eastAsia="zh-CN"/>
              </w:rPr>
              <w:t>EPP汽车零配件生产线</w:t>
            </w:r>
            <w:r>
              <w:t>集气罩</w:t>
            </w:r>
            <w:r>
              <w:rPr>
                <w:rFonts w:hint="eastAsia"/>
                <w:lang w:eastAsia="zh-CN"/>
              </w:rPr>
              <w:t>、</w:t>
            </w:r>
            <w:r>
              <w:rPr>
                <w:rFonts w:hint="eastAsia"/>
                <w:lang w:val="en-US" w:eastAsia="zh-CN"/>
              </w:rPr>
              <w:t>管道</w:t>
            </w:r>
            <w:r>
              <w:t>情况一览表</w:t>
            </w:r>
          </w:p>
          <w:tbl>
            <w:tblPr>
              <w:tblStyle w:val="27"/>
              <w:tblW w:w="87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093"/>
              <w:gridCol w:w="1093"/>
              <w:gridCol w:w="1094"/>
              <w:gridCol w:w="1094"/>
              <w:gridCol w:w="1094"/>
              <w:gridCol w:w="1094"/>
              <w:gridCol w:w="1094"/>
            </w:tblGrid>
            <w:tr w14:paraId="7E3E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shd w:val="clear" w:color="auto" w:fill="auto"/>
                  <w:vAlign w:val="center"/>
                </w:tcPr>
                <w:p w14:paraId="6882506A">
                  <w:pPr>
                    <w:pStyle w:val="47"/>
                    <w:bidi w:val="0"/>
                    <w:jc w:val="center"/>
                    <w:rPr>
                      <w:rFonts w:hint="default"/>
                      <w:lang w:val="en-US" w:eastAsia="zh-CN"/>
                    </w:rPr>
                  </w:pPr>
                  <w:r>
                    <w:t>工艺</w:t>
                  </w:r>
                </w:p>
              </w:tc>
              <w:tc>
                <w:tcPr>
                  <w:tcW w:w="1093" w:type="dxa"/>
                  <w:shd w:val="clear" w:color="auto" w:fill="auto"/>
                  <w:vAlign w:val="center"/>
                </w:tcPr>
                <w:p w14:paraId="6BDED360">
                  <w:pPr>
                    <w:pStyle w:val="47"/>
                    <w:bidi w:val="0"/>
                    <w:jc w:val="center"/>
                    <w:rPr>
                      <w:rFonts w:hint="default"/>
                      <w:lang w:val="en-US" w:eastAsia="zh-CN"/>
                    </w:rPr>
                  </w:pPr>
                  <w:r>
                    <w:t>集气罩</w:t>
                  </w:r>
                  <w:r>
                    <w:rPr>
                      <w:rFonts w:hint="eastAsia"/>
                      <w:lang w:val="en-US" w:eastAsia="zh-CN"/>
                    </w:rPr>
                    <w:t>/管道</w:t>
                  </w:r>
                  <w:r>
                    <w:t>数量（个）</w:t>
                  </w:r>
                </w:p>
              </w:tc>
              <w:tc>
                <w:tcPr>
                  <w:tcW w:w="1093" w:type="dxa"/>
                  <w:shd w:val="clear" w:color="auto" w:fill="auto"/>
                  <w:vAlign w:val="center"/>
                </w:tcPr>
                <w:p w14:paraId="48E0EE78">
                  <w:pPr>
                    <w:pStyle w:val="47"/>
                    <w:bidi w:val="0"/>
                    <w:jc w:val="center"/>
                    <w:rPr>
                      <w:rFonts w:hint="eastAsia"/>
                      <w:lang w:val="en-US" w:eastAsia="zh-CN"/>
                    </w:rPr>
                  </w:pPr>
                  <w:r>
                    <w:t>集气罩</w:t>
                  </w:r>
                  <w:r>
                    <w:rPr>
                      <w:rFonts w:hint="eastAsia"/>
                      <w:lang w:val="en-US" w:eastAsia="zh-CN"/>
                    </w:rPr>
                    <w:t>/管道尺寸</w:t>
                  </w:r>
                </w:p>
                <w:p w14:paraId="55F10DFA">
                  <w:pPr>
                    <w:pStyle w:val="47"/>
                    <w:bidi w:val="0"/>
                    <w:jc w:val="center"/>
                    <w:rPr>
                      <w:rFonts w:hint="default"/>
                      <w:lang w:val="en-US" w:eastAsia="zh-CN"/>
                    </w:rPr>
                  </w:pPr>
                  <w:r>
                    <w:t>（m）</w:t>
                  </w:r>
                </w:p>
              </w:tc>
              <w:tc>
                <w:tcPr>
                  <w:tcW w:w="1094" w:type="dxa"/>
                  <w:shd w:val="clear" w:color="auto" w:fill="auto"/>
                  <w:vAlign w:val="center"/>
                </w:tcPr>
                <w:p w14:paraId="62FDDE6F">
                  <w:pPr>
                    <w:pStyle w:val="47"/>
                    <w:bidi w:val="0"/>
                    <w:jc w:val="center"/>
                    <w:rPr>
                      <w:rFonts w:hint="default"/>
                      <w:lang w:val="en-US" w:eastAsia="zh-CN"/>
                    </w:rPr>
                  </w:pPr>
                  <w:r>
                    <w:t>集气距离（m）</w:t>
                  </w:r>
                </w:p>
              </w:tc>
              <w:tc>
                <w:tcPr>
                  <w:tcW w:w="1094" w:type="dxa"/>
                  <w:shd w:val="clear" w:color="auto" w:fill="auto"/>
                  <w:vAlign w:val="center"/>
                </w:tcPr>
                <w:p w14:paraId="13207452">
                  <w:pPr>
                    <w:pStyle w:val="47"/>
                    <w:bidi w:val="0"/>
                    <w:jc w:val="center"/>
                    <w:rPr>
                      <w:rFonts w:hint="default"/>
                      <w:lang w:val="en-US" w:eastAsia="zh-CN"/>
                    </w:rPr>
                  </w:pPr>
                  <w:r>
                    <w:t>集气风速（m/s）</w:t>
                  </w:r>
                </w:p>
              </w:tc>
              <w:tc>
                <w:tcPr>
                  <w:tcW w:w="1094" w:type="dxa"/>
                  <w:shd w:val="clear" w:color="auto" w:fill="auto"/>
                  <w:vAlign w:val="center"/>
                </w:tcPr>
                <w:p w14:paraId="0B8087E2">
                  <w:pPr>
                    <w:pStyle w:val="47"/>
                    <w:bidi w:val="0"/>
                    <w:jc w:val="center"/>
                  </w:pPr>
                  <w:r>
                    <w:t>设计</w:t>
                  </w:r>
                  <w:r>
                    <w:rPr>
                      <w:rFonts w:hint="eastAsia"/>
                      <w:lang w:val="en-US" w:eastAsia="zh-CN"/>
                    </w:rPr>
                    <w:t>总</w:t>
                  </w:r>
                  <w:r>
                    <w:t>风量</w:t>
                  </w:r>
                </w:p>
                <w:p w14:paraId="1369103F">
                  <w:pPr>
                    <w:pStyle w:val="47"/>
                    <w:bidi w:val="0"/>
                    <w:jc w:val="center"/>
                    <w:rPr>
                      <w:rFonts w:hint="default"/>
                      <w:lang w:val="en-US" w:eastAsia="zh-CN"/>
                    </w:rPr>
                  </w:pPr>
                  <w:r>
                    <w:t>（</w:t>
                  </w:r>
                  <w:r>
                    <w:rPr>
                      <w:rFonts w:hint="eastAsia"/>
                      <w:lang w:val="en-US" w:eastAsia="zh-CN"/>
                    </w:rPr>
                    <w:t>m³</w:t>
                  </w:r>
                  <w:r>
                    <w:t>/h）</w:t>
                  </w:r>
                </w:p>
              </w:tc>
              <w:tc>
                <w:tcPr>
                  <w:tcW w:w="1094" w:type="dxa"/>
                  <w:shd w:val="clear" w:color="auto" w:fill="auto"/>
                  <w:vAlign w:val="center"/>
                </w:tcPr>
                <w:p w14:paraId="5D1A8D46">
                  <w:pPr>
                    <w:pStyle w:val="47"/>
                    <w:bidi w:val="0"/>
                    <w:jc w:val="center"/>
                    <w:rPr>
                      <w:rFonts w:hint="default"/>
                      <w:lang w:val="en-US" w:eastAsia="zh-CN"/>
                    </w:rPr>
                  </w:pPr>
                  <w:r>
                    <w:t>集气效率（%）</w:t>
                  </w:r>
                </w:p>
              </w:tc>
              <w:tc>
                <w:tcPr>
                  <w:tcW w:w="1094" w:type="dxa"/>
                  <w:shd w:val="clear" w:color="auto" w:fill="auto"/>
                  <w:vAlign w:val="center"/>
                </w:tcPr>
                <w:p w14:paraId="79281F29">
                  <w:pPr>
                    <w:pStyle w:val="47"/>
                    <w:bidi w:val="0"/>
                    <w:jc w:val="center"/>
                    <w:rPr>
                      <w:rFonts w:hint="default"/>
                      <w:lang w:val="en-US" w:eastAsia="zh-CN"/>
                    </w:rPr>
                  </w:pPr>
                  <w:r>
                    <w:t>备注</w:t>
                  </w:r>
                </w:p>
              </w:tc>
            </w:tr>
            <w:tr w14:paraId="2016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center"/>
                </w:tcPr>
                <w:p w14:paraId="4637D168">
                  <w:pPr>
                    <w:pStyle w:val="47"/>
                    <w:bidi w:val="0"/>
                    <w:jc w:val="center"/>
                    <w:rPr>
                      <w:rFonts w:hint="default"/>
                      <w:lang w:val="en-US" w:eastAsia="zh-CN"/>
                    </w:rPr>
                  </w:pPr>
                  <w:r>
                    <w:rPr>
                      <w:rFonts w:hint="eastAsia"/>
                      <w:lang w:val="en-US" w:eastAsia="zh-CN"/>
                    </w:rPr>
                    <w:t>成型、烘干</w:t>
                  </w:r>
                </w:p>
              </w:tc>
              <w:tc>
                <w:tcPr>
                  <w:tcW w:w="1093" w:type="dxa"/>
                  <w:vAlign w:val="center"/>
                </w:tcPr>
                <w:p w14:paraId="455D41E7">
                  <w:pPr>
                    <w:pStyle w:val="47"/>
                    <w:bidi w:val="0"/>
                    <w:jc w:val="center"/>
                    <w:rPr>
                      <w:rFonts w:hint="default"/>
                      <w:lang w:val="en-US" w:eastAsia="zh-CN"/>
                    </w:rPr>
                  </w:pPr>
                  <w:r>
                    <w:rPr>
                      <w:rFonts w:hint="eastAsia"/>
                      <w:lang w:val="en-US" w:eastAsia="zh-CN"/>
                    </w:rPr>
                    <w:t>13</w:t>
                  </w:r>
                </w:p>
              </w:tc>
              <w:tc>
                <w:tcPr>
                  <w:tcW w:w="1093" w:type="dxa"/>
                  <w:vAlign w:val="center"/>
                </w:tcPr>
                <w:p w14:paraId="16877673">
                  <w:pPr>
                    <w:pStyle w:val="47"/>
                    <w:bidi w:val="0"/>
                    <w:jc w:val="center"/>
                    <w:rPr>
                      <w:rFonts w:hint="default"/>
                      <w:highlight w:val="none"/>
                      <w:lang w:val="en-US" w:eastAsia="zh-CN"/>
                    </w:rPr>
                  </w:pPr>
                  <w:r>
                    <w:rPr>
                      <w:highlight w:val="none"/>
                    </w:rPr>
                    <w:t>Φ</w:t>
                  </w:r>
                  <w:r>
                    <w:rPr>
                      <w:rFonts w:hint="eastAsia"/>
                      <w:highlight w:val="none"/>
                      <w:lang w:val="en-US" w:eastAsia="zh-CN"/>
                    </w:rPr>
                    <w:t>0.2</w:t>
                  </w:r>
                </w:p>
              </w:tc>
              <w:tc>
                <w:tcPr>
                  <w:tcW w:w="1094" w:type="dxa"/>
                  <w:vAlign w:val="center"/>
                </w:tcPr>
                <w:p w14:paraId="1405BEC8">
                  <w:pPr>
                    <w:pStyle w:val="47"/>
                    <w:bidi w:val="0"/>
                    <w:jc w:val="center"/>
                    <w:rPr>
                      <w:rFonts w:hint="default"/>
                      <w:highlight w:val="none"/>
                      <w:lang w:val="en-US" w:eastAsia="zh-CN"/>
                    </w:rPr>
                  </w:pPr>
                  <w:r>
                    <w:rPr>
                      <w:rFonts w:hint="eastAsia"/>
                      <w:highlight w:val="none"/>
                      <w:lang w:val="en-US" w:eastAsia="zh-CN"/>
                    </w:rPr>
                    <w:t>/</w:t>
                  </w:r>
                </w:p>
              </w:tc>
              <w:tc>
                <w:tcPr>
                  <w:tcW w:w="1094" w:type="dxa"/>
                  <w:vAlign w:val="center"/>
                </w:tcPr>
                <w:p w14:paraId="7EE22A84">
                  <w:pPr>
                    <w:pStyle w:val="47"/>
                    <w:bidi w:val="0"/>
                    <w:jc w:val="center"/>
                    <w:rPr>
                      <w:rFonts w:hint="default"/>
                      <w:highlight w:val="none"/>
                      <w:lang w:val="en-US" w:eastAsia="zh-CN"/>
                    </w:rPr>
                  </w:pPr>
                  <w:r>
                    <w:rPr>
                      <w:rFonts w:hint="eastAsia"/>
                      <w:highlight w:val="none"/>
                      <w:lang w:val="en-US" w:eastAsia="zh-CN"/>
                    </w:rPr>
                    <w:t>5.0</w:t>
                  </w:r>
                </w:p>
              </w:tc>
              <w:tc>
                <w:tcPr>
                  <w:tcW w:w="1094" w:type="dxa"/>
                  <w:vAlign w:val="center"/>
                </w:tcPr>
                <w:p w14:paraId="01263D1B">
                  <w:pPr>
                    <w:pStyle w:val="47"/>
                    <w:bidi w:val="0"/>
                    <w:jc w:val="center"/>
                    <w:rPr>
                      <w:rFonts w:hint="default"/>
                      <w:highlight w:val="none"/>
                      <w:lang w:val="en-US" w:eastAsia="zh-CN"/>
                    </w:rPr>
                  </w:pPr>
                  <w:r>
                    <w:rPr>
                      <w:rFonts w:hint="eastAsia"/>
                      <w:highlight w:val="none"/>
                      <w:lang w:val="en-US" w:eastAsia="zh-CN"/>
                    </w:rPr>
                    <w:t>7347.6</w:t>
                  </w:r>
                </w:p>
              </w:tc>
              <w:tc>
                <w:tcPr>
                  <w:tcW w:w="1094" w:type="dxa"/>
                  <w:vAlign w:val="center"/>
                </w:tcPr>
                <w:p w14:paraId="00A9763D">
                  <w:pPr>
                    <w:pStyle w:val="47"/>
                    <w:bidi w:val="0"/>
                    <w:jc w:val="center"/>
                    <w:rPr>
                      <w:rFonts w:hint="default"/>
                      <w:lang w:val="en-US" w:eastAsia="zh-CN"/>
                    </w:rPr>
                  </w:pPr>
                  <w:r>
                    <w:rPr>
                      <w:rFonts w:hint="eastAsia"/>
                      <w:lang w:val="en-US" w:eastAsia="zh-CN"/>
                    </w:rPr>
                    <w:t>85</w:t>
                  </w:r>
                </w:p>
              </w:tc>
              <w:tc>
                <w:tcPr>
                  <w:tcW w:w="1094" w:type="dxa"/>
                  <w:vAlign w:val="center"/>
                </w:tcPr>
                <w:p w14:paraId="32A1252D">
                  <w:pPr>
                    <w:pStyle w:val="47"/>
                    <w:bidi w:val="0"/>
                    <w:jc w:val="center"/>
                    <w:rPr>
                      <w:rFonts w:hint="default"/>
                      <w:lang w:val="en-US" w:eastAsia="zh-CN"/>
                    </w:rPr>
                  </w:pPr>
                  <w:r>
                    <w:t>四周加装 软帘</w:t>
                  </w:r>
                </w:p>
              </w:tc>
            </w:tr>
            <w:tr w14:paraId="58CC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9" w:type="dxa"/>
                  <w:gridSpan w:val="8"/>
                  <w:vAlign w:val="center"/>
                </w:tcPr>
                <w:p w14:paraId="689230BF">
                  <w:pPr>
                    <w:pStyle w:val="47"/>
                    <w:bidi w:val="0"/>
                    <w:jc w:val="both"/>
                    <w:rPr>
                      <w:rFonts w:hint="eastAsia"/>
                      <w:lang w:val="en-US" w:eastAsia="zh-CN"/>
                    </w:rPr>
                  </w:pPr>
                  <w:r>
                    <w:rPr>
                      <w:rFonts w:hint="eastAsia"/>
                      <w:lang w:val="en-US" w:eastAsia="zh-CN"/>
                    </w:rPr>
                    <w:t>备注：①单条管道风量计算公式L=3600×(π/4)×D²×V，式中V取5.0m/s；。</w:t>
                  </w:r>
                </w:p>
                <w:p w14:paraId="2198D8D7">
                  <w:pPr>
                    <w:pStyle w:val="47"/>
                    <w:bidi w:val="0"/>
                    <w:rPr>
                      <w:rFonts w:hint="default" w:eastAsia="宋体"/>
                      <w:lang w:val="en-US" w:eastAsia="zh-CN"/>
                    </w:rPr>
                  </w:pPr>
                  <w:r>
                    <w:rPr>
                      <w:rFonts w:hint="eastAsia"/>
                      <w:lang w:val="en-US" w:eastAsia="zh-CN"/>
                    </w:rPr>
                    <w:t>②</w:t>
                  </w:r>
                  <w:r>
                    <w:t>VOCs收集风管的断面风速推荐值如下：不含尘风管：支</w:t>
                  </w:r>
                  <w:r>
                    <w:rPr>
                      <w:rFonts w:hint="default"/>
                    </w:rPr>
                    <w:t>管风速5～6m/s，主管风速8～12m/s</w:t>
                  </w:r>
                  <w:r>
                    <w:rPr>
                      <w:rFonts w:hint="eastAsia"/>
                      <w:lang w:eastAsia="zh-CN"/>
                    </w:rPr>
                    <w:t>，</w:t>
                  </w:r>
                  <w:r>
                    <w:rPr>
                      <w:rFonts w:hint="eastAsia"/>
                      <w:lang w:val="en-US" w:eastAsia="zh-CN"/>
                    </w:rPr>
                    <w:t>本项目成型及烘干废气集气风速取5m/s。</w:t>
                  </w:r>
                </w:p>
              </w:tc>
            </w:tr>
          </w:tbl>
          <w:p w14:paraId="2E22C4E0">
            <w:pPr>
              <w:bidi w:val="0"/>
              <w:rPr>
                <w:rFonts w:hint="eastAsia"/>
                <w:b/>
                <w:bCs/>
                <w:lang w:val="en-US" w:eastAsia="zh-CN"/>
              </w:rPr>
            </w:pPr>
            <w:r>
              <w:rPr>
                <w:rFonts w:hint="eastAsia"/>
                <w:lang w:val="en-US" w:eastAsia="zh-CN"/>
              </w:rPr>
              <w:t>考虑到风量损失，本项目EPP汽车零配件生产线风机总风量为8800m³/h。</w:t>
            </w:r>
          </w:p>
          <w:p w14:paraId="12D2CDE9">
            <w:pPr>
              <w:bidi w:val="0"/>
              <w:rPr>
                <w:rFonts w:hint="default"/>
                <w:b/>
                <w:bCs/>
                <w:lang w:val="en-US" w:eastAsia="zh-CN"/>
              </w:rPr>
            </w:pPr>
            <w:r>
              <w:rPr>
                <w:rFonts w:hint="eastAsia"/>
                <w:b/>
                <w:bCs/>
                <w:lang w:val="en-US" w:eastAsia="zh-CN"/>
              </w:rPr>
              <w:t>③废气治理</w:t>
            </w:r>
          </w:p>
          <w:p w14:paraId="3AB5FB76">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本项目废气收集后进入冷凝+二级活性炭装置处理后</w:t>
            </w:r>
            <w:r>
              <w:rPr>
                <w:rFonts w:hint="eastAsia"/>
                <w:color w:val="000000" w:themeColor="text1"/>
                <w:highlight w:val="none"/>
                <w:lang w:val="en-US" w:eastAsia="zh-CN"/>
                <w14:textFill>
                  <w14:solidFill>
                    <w14:schemeClr w14:val="tx1"/>
                  </w14:solidFill>
                </w14:textFill>
              </w:rPr>
              <w:t>经21m高</w:t>
            </w:r>
            <w:r>
              <w:rPr>
                <w:rFonts w:hint="eastAsia"/>
                <w:color w:val="000000" w:themeColor="text1"/>
                <w:lang w:val="en-US" w:eastAsia="zh-CN"/>
                <w14:textFill>
                  <w14:solidFill>
                    <w14:schemeClr w14:val="tx1"/>
                  </w14:solidFill>
                </w14:textFill>
              </w:rPr>
              <w:t>排气筒达标排放。</w:t>
            </w:r>
          </w:p>
          <w:p w14:paraId="7B08413B">
            <w:pPr>
              <w:ind w:firstLine="480"/>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lang w:val="en-US" w:eastAsia="zh-CN"/>
              </w:rPr>
              <w:t>由表4-8可知冷凝+二级活性炭</w:t>
            </w:r>
            <w:r>
              <w:rPr>
                <w:rFonts w:hint="default"/>
                <w:lang w:val="en-US" w:eastAsia="zh-CN"/>
              </w:rPr>
              <w:t>装置</w:t>
            </w:r>
            <w:r>
              <w:rPr>
                <w:rFonts w:hint="eastAsia"/>
                <w:lang w:val="en-US" w:eastAsia="zh-CN"/>
              </w:rPr>
              <w:t>为废气防治设施中可行性处理技术。</w:t>
            </w:r>
          </w:p>
          <w:p w14:paraId="6A37F9F4">
            <w:pPr>
              <w:ind w:firstLine="480"/>
              <w:rPr>
                <w:rFonts w:hint="eastAsia"/>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根据</w:t>
            </w:r>
            <w:r>
              <w:rPr>
                <w:rFonts w:hint="eastAsia"/>
                <w:color w:val="000000" w:themeColor="text1"/>
                <w:highlight w:val="none"/>
                <w14:textFill>
                  <w14:solidFill>
                    <w14:schemeClr w14:val="tx1"/>
                  </w14:solidFill>
                </w14:textFill>
              </w:rPr>
              <w:t>《吸附法工业有机废气治理工程技术规范》</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HJ2026-2013</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吸附装置的净化效率不得低于90%，</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本项目以90%计</w:t>
            </w:r>
            <w:r>
              <w:rPr>
                <w:rFonts w:hint="eastAsia"/>
                <w:color w:val="000000" w:themeColor="text1"/>
                <w:highlight w:val="none"/>
                <w:lang w:val="en-US" w:eastAsia="zh-CN"/>
                <w14:textFill>
                  <w14:solidFill>
                    <w14:schemeClr w14:val="tx1"/>
                  </w14:solidFill>
                </w14:textFill>
              </w:rPr>
              <w:t>；</w:t>
            </w:r>
            <w:r>
              <w:rPr>
                <w:color w:val="auto"/>
              </w:rPr>
              <w:t>蜂窝状活性炭吸附装置废气流速宜低于1.2m/s</w:t>
            </w:r>
            <w:r>
              <w:rPr>
                <w:rFonts w:hint="eastAsia"/>
                <w:color w:val="auto"/>
                <w:lang w:eastAsia="zh-CN"/>
              </w:rPr>
              <w:t>，</w:t>
            </w:r>
            <w:r>
              <w:rPr>
                <w:color w:val="auto"/>
              </w:rPr>
              <w:t>本次评价取1.</w:t>
            </w:r>
            <w:r>
              <w:rPr>
                <w:rFonts w:hint="eastAsia"/>
                <w:color w:val="auto"/>
                <w:lang w:val="en-US" w:eastAsia="zh-CN"/>
              </w:rPr>
              <w:t>0</w:t>
            </w:r>
            <w:r>
              <w:rPr>
                <w:color w:val="auto"/>
              </w:rPr>
              <w:t>m/s。因此，本项目活性炭吸附箱体最低吸附过滤面积为</w:t>
            </w:r>
            <w:r>
              <w:rPr>
                <w:rFonts w:hint="eastAsia"/>
                <w:color w:val="auto"/>
                <w:lang w:val="en-US" w:eastAsia="zh-CN"/>
              </w:rPr>
              <w:t>8800</w:t>
            </w:r>
            <w:r>
              <w:rPr>
                <w:color w:val="auto"/>
              </w:rPr>
              <w:t>/3600/1.</w:t>
            </w:r>
            <w:r>
              <w:rPr>
                <w:rFonts w:hint="eastAsia"/>
                <w:color w:val="auto"/>
                <w:lang w:val="en-US" w:eastAsia="zh-CN"/>
              </w:rPr>
              <w:t>0</w:t>
            </w:r>
            <w:r>
              <w:rPr>
                <w:color w:val="auto"/>
              </w:rPr>
              <w:t>=</w:t>
            </w:r>
            <w:r>
              <w:rPr>
                <w:rFonts w:hint="eastAsia"/>
                <w:color w:val="auto"/>
                <w:lang w:val="en-US" w:eastAsia="zh-CN"/>
              </w:rPr>
              <w:t>2.44</w:t>
            </w:r>
            <w:r>
              <w:rPr>
                <w:color w:val="auto"/>
              </w:rPr>
              <w:t>m</w:t>
            </w:r>
            <w:r>
              <w:rPr>
                <w:color w:val="auto"/>
                <w:vertAlign w:val="superscript"/>
              </w:rPr>
              <w:t>2</w:t>
            </w:r>
            <w:r>
              <w:rPr>
                <w:rFonts w:hint="eastAsia"/>
                <w:color w:val="auto"/>
                <w:highlight w:val="none"/>
                <w:lang w:val="en-US" w:eastAsia="zh-CN"/>
              </w:rPr>
              <w:t>。本项目活性</w:t>
            </w:r>
            <w:r>
              <w:rPr>
                <w:rFonts w:hint="eastAsia"/>
                <w:color w:val="000000" w:themeColor="text1"/>
                <w:highlight w:val="none"/>
                <w:lang w:val="en-US" w:eastAsia="zh-CN"/>
                <w14:textFill>
                  <w14:solidFill>
                    <w14:schemeClr w14:val="tx1"/>
                  </w14:solidFill>
                </w14:textFill>
              </w:rPr>
              <w:t>炭采用 100mm×100mm×100mm蜂窝活性炭，活性炭碘值 800mg/g。</w:t>
            </w:r>
          </w:p>
          <w:p w14:paraId="21A13681">
            <w:pPr>
              <w:ind w:firstLine="480"/>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活性炭更换时间计算：根据《简明通风设计手册》，活性炭：有机废气=1：0.3，即1kg的活性炭可以吸附0.3kg的有机废气</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活性炭吸附处理的</w:t>
            </w:r>
            <w:r>
              <w:rPr>
                <w:color w:val="000000" w:themeColor="text1"/>
                <w14:textFill>
                  <w14:solidFill>
                    <w14:schemeClr w14:val="tx1"/>
                  </w14:solidFill>
                </w14:textFill>
              </w:rPr>
              <w:t>VOCs量为</w:t>
            </w:r>
            <w:r>
              <w:rPr>
                <w:rFonts w:hint="eastAsia"/>
                <w:color w:val="000000" w:themeColor="text1"/>
                <w:highlight w:val="none"/>
                <w:lang w:val="en-US" w:eastAsia="zh-CN"/>
                <w14:textFill>
                  <w14:solidFill>
                    <w14:schemeClr w14:val="tx1"/>
                  </w14:solidFill>
                </w14:textFill>
              </w:rPr>
              <w:t>2.295t/a。</w:t>
            </w:r>
          </w:p>
          <w:p w14:paraId="67ECC7D8">
            <w:pPr>
              <w:pStyle w:val="73"/>
              <w:ind w:firstLine="480"/>
              <w:rPr>
                <w:color w:val="000000" w:themeColor="text1"/>
                <w:highlight w:val="none"/>
                <w14:textFill>
                  <w14:solidFill>
                    <w14:schemeClr w14:val="tx1"/>
                  </w14:solidFill>
                </w14:textFill>
              </w:rPr>
            </w:pPr>
            <w:r>
              <w:rPr>
                <w:rFonts w:hint="default"/>
                <w:color w:val="000000" w:themeColor="text1"/>
                <w:kern w:val="0"/>
                <w14:textFill>
                  <w14:solidFill>
                    <w14:schemeClr w14:val="tx1"/>
                  </w14:solidFill>
                </w14:textFill>
              </w:rPr>
              <w:t>项目活性炭吸附装置采用的单台活性炭吸附装置过滤面积不低于</w:t>
            </w:r>
            <w:r>
              <w:rPr>
                <w:rFonts w:hint="eastAsia"/>
                <w:color w:val="000000" w:themeColor="text1"/>
                <w:kern w:val="0"/>
                <w:lang w:val="en-US" w:eastAsia="zh-CN"/>
                <w14:textFill>
                  <w14:solidFill>
                    <w14:schemeClr w14:val="tx1"/>
                  </w14:solidFill>
                </w14:textFill>
              </w:rPr>
              <w:t>2.44</w:t>
            </w:r>
            <w:r>
              <w:rPr>
                <w:rFonts w:hint="default"/>
                <w:color w:val="000000" w:themeColor="text1"/>
                <w:kern w:val="0"/>
                <w14:textFill>
                  <w14:solidFill>
                    <w14:schemeClr w14:val="tx1"/>
                  </w14:solidFill>
                </w14:textFill>
              </w:rPr>
              <w:t>m</w:t>
            </w:r>
            <w:r>
              <w:rPr>
                <w:rFonts w:hint="default"/>
                <w:color w:val="000000" w:themeColor="text1"/>
                <w:kern w:val="0"/>
                <w:vertAlign w:val="superscript"/>
                <w14:textFill>
                  <w14:solidFill>
                    <w14:schemeClr w14:val="tx1"/>
                  </w14:solidFill>
                </w14:textFill>
              </w:rPr>
              <w:t>2</w:t>
            </w:r>
            <w:r>
              <w:rPr>
                <w:rFonts w:hint="default"/>
                <w:color w:val="000000" w:themeColor="text1"/>
                <w:kern w:val="0"/>
                <w14:textFill>
                  <w14:solidFill>
                    <w14:schemeClr w14:val="tx1"/>
                  </w14:solidFill>
                </w14:textFill>
              </w:rPr>
              <w:t>，采用蜂窝状活性炭，单层蜂窝状活性炭厚度约</w:t>
            </w:r>
            <w:r>
              <w:rPr>
                <w:color w:val="000000" w:themeColor="text1"/>
                <w:kern w:val="0"/>
                <w14:textFill>
                  <w14:solidFill>
                    <w14:schemeClr w14:val="tx1"/>
                  </w14:solidFill>
                </w14:textFill>
              </w:rPr>
              <w:t>0.1</w:t>
            </w:r>
            <w:r>
              <w:rPr>
                <w:rFonts w:hint="default"/>
                <w:color w:val="000000" w:themeColor="text1"/>
                <w:kern w:val="0"/>
                <w14:textFill>
                  <w14:solidFill>
                    <w14:schemeClr w14:val="tx1"/>
                  </w14:solidFill>
                </w14:textFill>
              </w:rPr>
              <w:t>m，</w:t>
            </w:r>
            <w:r>
              <w:rPr>
                <w:color w:val="000000" w:themeColor="text1"/>
                <w14:textFill>
                  <w14:solidFill>
                    <w14:schemeClr w14:val="tx1"/>
                  </w14:solidFill>
                </w14:textFill>
              </w:rPr>
              <w:t>活性炭装填厚度为0.2m，</w:t>
            </w:r>
            <w:r>
              <w:rPr>
                <w:rFonts w:hint="default"/>
                <w:color w:val="000000" w:themeColor="text1"/>
                <w:kern w:val="0"/>
                <w14:textFill>
                  <w14:solidFill>
                    <w14:schemeClr w14:val="tx1"/>
                  </w14:solidFill>
                </w14:textFill>
              </w:rPr>
              <w:t>则活性炭充填量为</w:t>
            </w:r>
            <w:r>
              <w:rPr>
                <w:rFonts w:hint="eastAsia"/>
                <w:color w:val="000000" w:themeColor="text1"/>
                <w:kern w:val="0"/>
                <w:lang w:val="en-US" w:eastAsia="zh-CN"/>
                <w14:textFill>
                  <w14:solidFill>
                    <w14:schemeClr w14:val="tx1"/>
                  </w14:solidFill>
                </w14:textFill>
              </w:rPr>
              <w:t>0.488</w:t>
            </w:r>
            <w:r>
              <w:rPr>
                <w:rFonts w:hint="default"/>
                <w:color w:val="000000" w:themeColor="text1"/>
                <w:kern w:val="0"/>
                <w14:textFill>
                  <w14:solidFill>
                    <w14:schemeClr w14:val="tx1"/>
                  </w14:solidFill>
                </w14:textFill>
              </w:rPr>
              <w:t>m</w:t>
            </w:r>
            <w:r>
              <w:rPr>
                <w:rFonts w:hint="default"/>
                <w:color w:val="000000" w:themeColor="text1"/>
                <w:kern w:val="0"/>
                <w:vertAlign w:val="superscript"/>
                <w14:textFill>
                  <w14:solidFill>
                    <w14:schemeClr w14:val="tx1"/>
                  </w14:solidFill>
                </w14:textFill>
              </w:rPr>
              <w:t>3</w:t>
            </w:r>
            <w:r>
              <w:rPr>
                <w:rFonts w:hint="default"/>
                <w:color w:val="000000" w:themeColor="text1"/>
                <w:kern w:val="0"/>
                <w14:textFill>
                  <w14:solidFill>
                    <w14:schemeClr w14:val="tx1"/>
                  </w14:solidFill>
                </w14:textFill>
              </w:rPr>
              <w:t>，蜂窝活性炭的堆积密度取</w:t>
            </w:r>
            <w:r>
              <w:rPr>
                <w:color w:val="000000" w:themeColor="text1"/>
                <w:kern w:val="0"/>
                <w14:textFill>
                  <w14:solidFill>
                    <w14:schemeClr w14:val="tx1"/>
                  </w14:solidFill>
                </w14:textFill>
              </w:rPr>
              <w:t>450k</w:t>
            </w:r>
            <w:r>
              <w:rPr>
                <w:rFonts w:hint="default"/>
                <w:color w:val="000000" w:themeColor="text1"/>
                <w:kern w:val="0"/>
                <w14:textFill>
                  <w14:solidFill>
                    <w14:schemeClr w14:val="tx1"/>
                  </w14:solidFill>
                </w14:textFill>
              </w:rPr>
              <w:t>g/m</w:t>
            </w:r>
            <w:r>
              <w:rPr>
                <w:rFonts w:hint="default"/>
                <w:color w:val="000000" w:themeColor="text1"/>
                <w:kern w:val="0"/>
                <w:vertAlign w:val="superscript"/>
                <w14:textFill>
                  <w14:solidFill>
                    <w14:schemeClr w14:val="tx1"/>
                  </w14:solidFill>
                </w14:textFill>
              </w:rPr>
              <w:t>3</w:t>
            </w:r>
            <w:r>
              <w:rPr>
                <w:rFonts w:hint="default"/>
                <w:color w:val="000000" w:themeColor="text1"/>
                <w:kern w:val="0"/>
                <w14:textFill>
                  <w14:solidFill>
                    <w14:schemeClr w14:val="tx1"/>
                  </w14:solidFill>
                </w14:textFill>
              </w:rPr>
              <w:t>，单台活性炭吸附装置一次装填量约为</w:t>
            </w:r>
            <w:r>
              <w:rPr>
                <w:rFonts w:hint="eastAsia"/>
                <w:color w:val="000000" w:themeColor="text1"/>
                <w:kern w:val="0"/>
                <w:lang w:val="en-US" w:eastAsia="zh-CN"/>
                <w14:textFill>
                  <w14:solidFill>
                    <w14:schemeClr w14:val="tx1"/>
                  </w14:solidFill>
                </w14:textFill>
              </w:rPr>
              <w:t>219.6</w:t>
            </w:r>
            <w:r>
              <w:rPr>
                <w:rFonts w:hint="default"/>
                <w:color w:val="000000" w:themeColor="text1"/>
                <w:kern w:val="0"/>
                <w14:textFill>
                  <w14:solidFill>
                    <w14:schemeClr w14:val="tx1"/>
                  </w14:solidFill>
                </w14:textFill>
              </w:rPr>
              <w:t>kg，本项目有机废气采用</w:t>
            </w:r>
            <w:r>
              <w:rPr>
                <w:rFonts w:hint="eastAsia"/>
                <w:color w:val="000000" w:themeColor="text1"/>
                <w:kern w:val="0"/>
                <w:lang w:eastAsia="zh-CN"/>
                <w14:textFill>
                  <w14:solidFill>
                    <w14:schemeClr w14:val="tx1"/>
                  </w14:solidFill>
                </w14:textFill>
              </w:rPr>
              <w:t>冷凝+二级活性炭</w:t>
            </w:r>
            <w:r>
              <w:rPr>
                <w:rFonts w:hint="default"/>
                <w:color w:val="000000" w:themeColor="text1"/>
                <w:kern w:val="0"/>
                <w14:textFill>
                  <w14:solidFill>
                    <w14:schemeClr w14:val="tx1"/>
                  </w14:solidFill>
                </w14:textFill>
              </w:rPr>
              <w:t>装置，2台装置一次总装填活性炭量为</w:t>
            </w:r>
            <w:r>
              <w:rPr>
                <w:rFonts w:hint="eastAsia"/>
                <w:color w:val="000000" w:themeColor="text1"/>
                <w:kern w:val="0"/>
                <w:lang w:val="en-US" w:eastAsia="zh-CN"/>
                <w14:textFill>
                  <w14:solidFill>
                    <w14:schemeClr w14:val="tx1"/>
                  </w14:solidFill>
                </w14:textFill>
              </w:rPr>
              <w:t>439.2</w:t>
            </w:r>
            <w:r>
              <w:rPr>
                <w:rFonts w:hint="default"/>
                <w:color w:val="000000" w:themeColor="text1"/>
                <w:kern w:val="0"/>
                <w14:textFill>
                  <w14:solidFill>
                    <w14:schemeClr w14:val="tx1"/>
                  </w14:solidFill>
                </w14:textFill>
              </w:rPr>
              <w:t>kg</w:t>
            </w:r>
            <w:r>
              <w:rPr>
                <w:rFonts w:hint="default"/>
                <w:color w:val="000000" w:themeColor="text1"/>
                <w14:textFill>
                  <w14:solidFill>
                    <w14:schemeClr w14:val="tx1"/>
                  </w14:solidFill>
                </w14:textFill>
              </w:rPr>
              <w:t>，</w:t>
            </w:r>
            <w:r>
              <w:rPr>
                <w:color w:val="000000" w:themeColor="text1"/>
                <w14:textFill>
                  <w14:solidFill>
                    <w14:schemeClr w14:val="tx1"/>
                  </w14:solidFill>
                </w14:textFill>
              </w:rPr>
              <w:t>可以吸附的VOCs量为</w:t>
            </w:r>
            <w:r>
              <w:rPr>
                <w:rFonts w:hint="eastAsia"/>
                <w:color w:val="000000" w:themeColor="text1"/>
                <w:lang w:val="en-US" w:eastAsia="zh-CN"/>
                <w14:textFill>
                  <w14:solidFill>
                    <w14:schemeClr w14:val="tx1"/>
                  </w14:solidFill>
                </w14:textFill>
              </w:rPr>
              <w:t>131.76</w:t>
            </w:r>
            <w:r>
              <w:rPr>
                <w:color w:val="000000" w:themeColor="text1"/>
                <w14:textFill>
                  <w14:solidFill>
                    <w14:schemeClr w14:val="tx1"/>
                  </w14:solidFill>
                </w14:textFill>
              </w:rPr>
              <w:t>kg，吸附效率以</w:t>
            </w:r>
            <w:r>
              <w:rPr>
                <w:rFonts w:hint="eastAsia"/>
                <w:color w:val="000000" w:themeColor="text1"/>
                <w:lang w:val="en-US" w:eastAsia="zh-CN"/>
                <w14:textFill>
                  <w14:solidFill>
                    <w14:schemeClr w14:val="tx1"/>
                  </w14:solidFill>
                </w14:textFill>
              </w:rPr>
              <w:t>0.90</w:t>
            </w:r>
            <w:r>
              <w:rPr>
                <w:color w:val="000000" w:themeColor="text1"/>
                <w14:textFill>
                  <w14:solidFill>
                    <w14:schemeClr w14:val="tx1"/>
                  </w14:solidFill>
                </w14:textFill>
              </w:rPr>
              <w:t>计，吸附达到动态吸附饱和时间=</w:t>
            </w:r>
            <w:r>
              <w:rPr>
                <w:rFonts w:hint="eastAsia"/>
                <w:color w:val="000000" w:themeColor="text1"/>
                <w:lang w:val="en-US" w:eastAsia="zh-CN"/>
                <w14:textFill>
                  <w14:solidFill>
                    <w14:schemeClr w14:val="tx1"/>
                  </w14:solidFill>
                </w14:textFill>
              </w:rPr>
              <w:t>131.76</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6</w:t>
            </w:r>
            <w:r>
              <w:rPr>
                <w:color w:val="000000" w:themeColor="text1"/>
                <w14:textFill>
                  <w14:solidFill>
                    <w14:schemeClr w14:val="tx1"/>
                  </w14:solidFill>
                </w14:textFill>
              </w:rPr>
              <w:t>mg/（</w:t>
            </w:r>
            <w:r>
              <w:rPr>
                <w:rFonts w:hint="eastAsia"/>
                <w:color w:val="000000" w:themeColor="text1"/>
                <w:lang w:val="en-US" w:eastAsia="zh-CN"/>
                <w14:textFill>
                  <w14:solidFill>
                    <w14:schemeClr w14:val="tx1"/>
                  </w14:solidFill>
                </w14:textFill>
              </w:rPr>
              <w:t>8800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r>
              <w:rPr>
                <w:rFonts w:hint="eastAsia"/>
                <w:color w:val="000000" w:themeColor="text1"/>
                <w:lang w:val="en-US" w:eastAsia="zh-CN"/>
                <w14:textFill>
                  <w14:solidFill>
                    <w14:schemeClr w14:val="tx1"/>
                  </w14:solidFill>
                </w14:textFill>
              </w:rPr>
              <w:t>9.14</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×0.9）/</w:t>
            </w:r>
            <w:r>
              <w:rPr>
                <w:rFonts w:hint="eastAsia"/>
                <w:color w:val="000000" w:themeColor="text1"/>
                <w:lang w:val="en-US" w:eastAsia="zh-CN"/>
                <w14:textFill>
                  <w14:solidFill>
                    <w14:schemeClr w14:val="tx1"/>
                  </w14:solidFill>
                </w14:textFill>
              </w:rPr>
              <w:t>24</w:t>
            </w:r>
            <w:r>
              <w:rPr>
                <w:color w:val="000000" w:themeColor="text1"/>
                <w14:textFill>
                  <w14:solidFill>
                    <w14:schemeClr w14:val="tx1"/>
                  </w14:solidFill>
                </w14:textFill>
              </w:rPr>
              <w:t>h=</w:t>
            </w:r>
            <w:r>
              <w:rPr>
                <w:rFonts w:hint="eastAsia"/>
                <w:color w:val="000000" w:themeColor="text1"/>
                <w:lang w:val="en-US" w:eastAsia="zh-CN"/>
                <w14:textFill>
                  <w14:solidFill>
                    <w14:schemeClr w14:val="tx1"/>
                  </w14:solidFill>
                </w14:textFill>
              </w:rPr>
              <w:t>75.8</w:t>
            </w:r>
            <w:r>
              <w:rPr>
                <w:color w:val="000000" w:themeColor="text1"/>
                <w14:textFill>
                  <w14:solidFill>
                    <w14:schemeClr w14:val="tx1"/>
                  </w14:solidFill>
                </w14:textFill>
              </w:rPr>
              <w:t>天，本项目蜂窝活</w:t>
            </w:r>
            <w:r>
              <w:rPr>
                <w:color w:val="000000" w:themeColor="text1"/>
                <w:highlight w:val="none"/>
                <w14:textFill>
                  <w14:solidFill>
                    <w14:schemeClr w14:val="tx1"/>
                  </w14:solidFill>
                </w14:textFill>
              </w:rPr>
              <w:t>性炭每</w:t>
            </w:r>
            <w:r>
              <w:rPr>
                <w:rFonts w:hint="eastAsia"/>
                <w:color w:val="000000" w:themeColor="text1"/>
                <w:highlight w:val="none"/>
                <w:lang w:val="en-US" w:eastAsia="zh-CN"/>
                <w14:textFill>
                  <w14:solidFill>
                    <w14:schemeClr w14:val="tx1"/>
                  </w14:solidFill>
                </w14:textFill>
              </w:rPr>
              <w:t>75天更</w:t>
            </w:r>
            <w:r>
              <w:rPr>
                <w:color w:val="000000" w:themeColor="text1"/>
                <w:highlight w:val="none"/>
                <w14:textFill>
                  <w14:solidFill>
                    <w14:schemeClr w14:val="tx1"/>
                  </w14:solidFill>
                </w14:textFill>
              </w:rPr>
              <w:t>换一次，即1年</w:t>
            </w:r>
            <w:r>
              <w:rPr>
                <w:rFonts w:hint="eastAsia"/>
                <w:color w:val="000000" w:themeColor="text1"/>
                <w:highlight w:val="none"/>
                <w:lang w:val="en-US" w:eastAsia="zh-CN"/>
                <w14:textFill>
                  <w14:solidFill>
                    <w14:schemeClr w14:val="tx1"/>
                  </w14:solidFill>
                </w14:textFill>
              </w:rPr>
              <w:t>更换4</w:t>
            </w:r>
            <w:r>
              <w:rPr>
                <w:color w:val="000000" w:themeColor="text1"/>
                <w:highlight w:val="none"/>
                <w14:textFill>
                  <w14:solidFill>
                    <w14:schemeClr w14:val="tx1"/>
                  </w14:solidFill>
                </w14:textFill>
              </w:rPr>
              <w:t>次，</w:t>
            </w:r>
            <w:r>
              <w:rPr>
                <w:rFonts w:hint="eastAsia"/>
                <w:lang w:val="en-US" w:eastAsia="zh-CN"/>
              </w:rPr>
              <w:t>EPP汽车零配件生产线</w:t>
            </w:r>
            <w:r>
              <w:rPr>
                <w:color w:val="000000" w:themeColor="text1"/>
                <w:highlight w:val="none"/>
                <w14:textFill>
                  <w14:solidFill>
                    <w14:schemeClr w14:val="tx1"/>
                  </w14:solidFill>
                </w14:textFill>
              </w:rPr>
              <w:t>活性炭吸附工段主要参数设计如下。</w:t>
            </w:r>
          </w:p>
          <w:p w14:paraId="7871E311">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表4-</w:t>
            </w:r>
            <w:r>
              <w:rPr>
                <w:rFonts w:hint="eastAsia"/>
                <w:color w:val="000000" w:themeColor="text1"/>
                <w:lang w:val="en-US" w:eastAsia="zh-CN"/>
                <w14:textFill>
                  <w14:solidFill>
                    <w14:schemeClr w14:val="tx1"/>
                  </w14:solidFill>
                </w14:textFill>
              </w:rPr>
              <w:t>12</w:t>
            </w:r>
            <w:r>
              <w:rPr>
                <w:rFonts w:hint="eastAsia"/>
                <w:color w:val="000000" w:themeColor="text1"/>
                <w14:textFill>
                  <w14:solidFill>
                    <w14:schemeClr w14:val="tx1"/>
                  </w14:solidFill>
                </w14:textFill>
              </w:rPr>
              <w:t xml:space="preserve"> </w:t>
            </w:r>
            <w:r>
              <w:rPr>
                <w:rFonts w:hint="eastAsia"/>
                <w:lang w:val="en-US" w:eastAsia="zh-CN"/>
              </w:rPr>
              <w:t>EPP汽车零配件生产线</w:t>
            </w:r>
            <w:r>
              <w:rPr>
                <w:rFonts w:hint="eastAsia"/>
                <w:color w:val="000000" w:themeColor="text1"/>
                <w14:textFill>
                  <w14:solidFill>
                    <w14:schemeClr w14:val="tx1"/>
                  </w14:solidFill>
                </w14:textFill>
              </w:rPr>
              <w:t>活性炭吸附工段主要参数</w:t>
            </w:r>
          </w:p>
          <w:tbl>
            <w:tblPr>
              <w:tblStyle w:val="26"/>
              <w:tblW w:w="5002" w:type="pct"/>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26"/>
              <w:gridCol w:w="4164"/>
            </w:tblGrid>
            <w:tr w14:paraId="1C3B1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576" w:type="pct"/>
                  <w:noWrap w:val="0"/>
                  <w:vAlign w:val="top"/>
                </w:tcPr>
                <w:p w14:paraId="702DDB3E">
                  <w:pPr>
                    <w:pStyle w:val="43"/>
                    <w:rPr>
                      <w:rFonts w:hint="default"/>
                      <w:b w:val="0"/>
                      <w:bCs/>
                      <w:color w:val="000000" w:themeColor="text1"/>
                      <w14:textFill>
                        <w14:solidFill>
                          <w14:schemeClr w14:val="tx1"/>
                        </w14:solidFill>
                      </w14:textFill>
                    </w:rPr>
                  </w:pPr>
                  <w:r>
                    <w:rPr>
                      <w:b w:val="0"/>
                      <w:bCs/>
                      <w:color w:val="000000" w:themeColor="text1"/>
                      <w14:textFill>
                        <w14:solidFill>
                          <w14:schemeClr w14:val="tx1"/>
                        </w14:solidFill>
                      </w14:textFill>
                    </w:rPr>
                    <w:t>参数</w:t>
                  </w:r>
                </w:p>
              </w:tc>
              <w:tc>
                <w:tcPr>
                  <w:tcW w:w="2423" w:type="pct"/>
                  <w:noWrap w:val="0"/>
                  <w:vAlign w:val="top"/>
                </w:tcPr>
                <w:p w14:paraId="779C9195">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活性炭吸附箱（单个）</w:t>
                  </w:r>
                </w:p>
              </w:tc>
            </w:tr>
            <w:tr w14:paraId="3CFCA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76" w:type="pct"/>
                  <w:noWrap w:val="0"/>
                  <w:vAlign w:val="top"/>
                </w:tcPr>
                <w:p w14:paraId="039A9DD1">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活性炭装填量</w:t>
                  </w:r>
                </w:p>
              </w:tc>
              <w:tc>
                <w:tcPr>
                  <w:tcW w:w="2423" w:type="pct"/>
                  <w:noWrap w:val="0"/>
                  <w:vAlign w:val="top"/>
                </w:tcPr>
                <w:p w14:paraId="65442DF6">
                  <w:pPr>
                    <w:pStyle w:val="43"/>
                    <w:rPr>
                      <w:rFonts w:hint="default"/>
                      <w:b w:val="0"/>
                      <w:bCs/>
                      <w:color w:val="000000" w:themeColor="text1"/>
                      <w14:textFill>
                        <w14:solidFill>
                          <w14:schemeClr w14:val="tx1"/>
                        </w14:solidFill>
                      </w14:textFill>
                    </w:rPr>
                  </w:pPr>
                  <w:r>
                    <w:rPr>
                      <w:rFonts w:hint="eastAsia"/>
                      <w:b w:val="0"/>
                      <w:bCs/>
                      <w:color w:val="000000" w:themeColor="text1"/>
                      <w:lang w:val="en-US" w:eastAsia="zh-CN"/>
                      <w14:textFill>
                        <w14:solidFill>
                          <w14:schemeClr w14:val="tx1"/>
                        </w14:solidFill>
                      </w14:textFill>
                    </w:rPr>
                    <w:t>219.6</w:t>
                  </w:r>
                  <w:r>
                    <w:rPr>
                      <w:b w:val="0"/>
                      <w:bCs/>
                      <w:color w:val="000000" w:themeColor="text1"/>
                      <w14:textFill>
                        <w14:solidFill>
                          <w14:schemeClr w14:val="tx1"/>
                        </w14:solidFill>
                      </w14:textFill>
                    </w:rPr>
                    <w:t>kg</w:t>
                  </w:r>
                </w:p>
              </w:tc>
            </w:tr>
            <w:tr w14:paraId="37359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76" w:type="pct"/>
                  <w:noWrap w:val="0"/>
                  <w:vAlign w:val="top"/>
                </w:tcPr>
                <w:p w14:paraId="5E496FAE">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活性炭密度</w:t>
                  </w:r>
                </w:p>
              </w:tc>
              <w:tc>
                <w:tcPr>
                  <w:tcW w:w="2423" w:type="pct"/>
                  <w:noWrap w:val="0"/>
                  <w:vAlign w:val="top"/>
                </w:tcPr>
                <w:p w14:paraId="37F57107">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450kg/m</w:t>
                  </w:r>
                  <w:r>
                    <w:rPr>
                      <w:b w:val="0"/>
                      <w:bCs/>
                      <w:color w:val="000000" w:themeColor="text1"/>
                      <w:vertAlign w:val="superscript"/>
                      <w14:textFill>
                        <w14:solidFill>
                          <w14:schemeClr w14:val="tx1"/>
                        </w14:solidFill>
                      </w14:textFill>
                    </w:rPr>
                    <w:t>3</w:t>
                  </w:r>
                </w:p>
              </w:tc>
            </w:tr>
            <w:tr w14:paraId="5C139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76" w:type="pct"/>
                  <w:noWrap w:val="0"/>
                  <w:vAlign w:val="top"/>
                </w:tcPr>
                <w:p w14:paraId="6EB7748D">
                  <w:pPr>
                    <w:pStyle w:val="43"/>
                    <w:rPr>
                      <w:b w:val="0"/>
                      <w:bCs/>
                      <w:color w:val="000000" w:themeColor="text1"/>
                      <w14:textFill>
                        <w14:solidFill>
                          <w14:schemeClr w14:val="tx1"/>
                        </w14:solidFill>
                      </w14:textFill>
                    </w:rPr>
                  </w:pPr>
                  <w:r>
                    <w:rPr>
                      <w:rFonts w:hint="default"/>
                      <w:b w:val="0"/>
                      <w:bCs/>
                      <w:color w:val="000000" w:themeColor="text1"/>
                      <w14:textFill>
                        <w14:solidFill>
                          <w14:schemeClr w14:val="tx1"/>
                        </w14:solidFill>
                      </w14:textFill>
                    </w:rPr>
                    <w:t>活性炭形态</w:t>
                  </w:r>
                </w:p>
              </w:tc>
              <w:tc>
                <w:tcPr>
                  <w:tcW w:w="2423" w:type="pct"/>
                  <w:noWrap w:val="0"/>
                  <w:vAlign w:val="top"/>
                </w:tcPr>
                <w:p w14:paraId="426CDD90">
                  <w:pPr>
                    <w:pStyle w:val="43"/>
                    <w:rPr>
                      <w:b w:val="0"/>
                      <w:bCs/>
                      <w:color w:val="000000" w:themeColor="text1"/>
                      <w14:textFill>
                        <w14:solidFill>
                          <w14:schemeClr w14:val="tx1"/>
                        </w14:solidFill>
                      </w14:textFill>
                    </w:rPr>
                  </w:pPr>
                  <w:r>
                    <w:rPr>
                      <w:rFonts w:hint="default"/>
                      <w:b w:val="0"/>
                      <w:bCs/>
                      <w:color w:val="000000" w:themeColor="text1"/>
                      <w:szCs w:val="21"/>
                      <w14:textFill>
                        <w14:solidFill>
                          <w14:schemeClr w14:val="tx1"/>
                        </w14:solidFill>
                      </w14:textFill>
                    </w:rPr>
                    <w:t>蜂窝状，尺寸</w:t>
                  </w:r>
                  <w:r>
                    <w:rPr>
                      <w:rFonts w:hint="default"/>
                      <w:b w:val="0"/>
                      <w:bCs/>
                      <w:color w:val="000000" w:themeColor="text1"/>
                      <w:szCs w:val="21"/>
                      <w:lang w:val="pt-BR"/>
                      <w14:textFill>
                        <w14:solidFill>
                          <w14:schemeClr w14:val="tx1"/>
                        </w14:solidFill>
                      </w14:textFill>
                    </w:rPr>
                    <w:t>100mm×100mm×100mm</w:t>
                  </w:r>
                </w:p>
              </w:tc>
            </w:tr>
            <w:tr w14:paraId="20425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76" w:type="pct"/>
                  <w:noWrap w:val="0"/>
                  <w:vAlign w:val="top"/>
                </w:tcPr>
                <w:p w14:paraId="0399D776">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活性炭体积</w:t>
                  </w:r>
                </w:p>
              </w:tc>
              <w:tc>
                <w:tcPr>
                  <w:tcW w:w="2423" w:type="pct"/>
                  <w:noWrap w:val="0"/>
                  <w:vAlign w:val="top"/>
                </w:tcPr>
                <w:p w14:paraId="795AA50F">
                  <w:pPr>
                    <w:pStyle w:val="43"/>
                    <w:rPr>
                      <w:rFonts w:hint="default"/>
                      <w:b w:val="0"/>
                      <w:bCs/>
                      <w:color w:val="000000" w:themeColor="text1"/>
                      <w14:textFill>
                        <w14:solidFill>
                          <w14:schemeClr w14:val="tx1"/>
                        </w14:solidFill>
                      </w14:textFill>
                    </w:rPr>
                  </w:pPr>
                  <w:r>
                    <w:rPr>
                      <w:rFonts w:hint="eastAsia"/>
                      <w:b w:val="0"/>
                      <w:bCs/>
                      <w:color w:val="000000" w:themeColor="text1"/>
                      <w:lang w:val="en-US" w:eastAsia="zh-CN"/>
                      <w14:textFill>
                        <w14:solidFill>
                          <w14:schemeClr w14:val="tx1"/>
                        </w14:solidFill>
                      </w14:textFill>
                    </w:rPr>
                    <w:t>0.488</w:t>
                  </w:r>
                  <w:r>
                    <w:rPr>
                      <w:b w:val="0"/>
                      <w:bCs/>
                      <w:color w:val="000000" w:themeColor="text1"/>
                      <w14:textFill>
                        <w14:solidFill>
                          <w14:schemeClr w14:val="tx1"/>
                        </w14:solidFill>
                      </w14:textFill>
                    </w:rPr>
                    <w:t>m</w:t>
                  </w:r>
                  <w:r>
                    <w:rPr>
                      <w:b w:val="0"/>
                      <w:bCs/>
                      <w:color w:val="000000" w:themeColor="text1"/>
                      <w:vertAlign w:val="superscript"/>
                      <w14:textFill>
                        <w14:solidFill>
                          <w14:schemeClr w14:val="tx1"/>
                        </w14:solidFill>
                      </w14:textFill>
                    </w:rPr>
                    <w:t>3</w:t>
                  </w:r>
                </w:p>
              </w:tc>
            </w:tr>
            <w:tr w14:paraId="1C7DB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76" w:type="pct"/>
                  <w:noWrap w:val="0"/>
                  <w:vAlign w:val="top"/>
                </w:tcPr>
                <w:p w14:paraId="7F758794">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活性炭装填截面积</w:t>
                  </w:r>
                </w:p>
              </w:tc>
              <w:tc>
                <w:tcPr>
                  <w:tcW w:w="2423" w:type="pct"/>
                  <w:noWrap w:val="0"/>
                  <w:vAlign w:val="top"/>
                </w:tcPr>
                <w:p w14:paraId="5AA77BE9">
                  <w:pPr>
                    <w:pStyle w:val="43"/>
                    <w:rPr>
                      <w:rFonts w:hint="default"/>
                      <w:b w:val="0"/>
                      <w:bCs/>
                      <w:color w:val="000000" w:themeColor="text1"/>
                      <w14:textFill>
                        <w14:solidFill>
                          <w14:schemeClr w14:val="tx1"/>
                        </w14:solidFill>
                      </w14:textFill>
                    </w:rPr>
                  </w:pPr>
                  <w:r>
                    <w:rPr>
                      <w:rFonts w:hint="eastAsia"/>
                      <w:b w:val="0"/>
                      <w:bCs/>
                      <w:color w:val="000000" w:themeColor="text1"/>
                      <w:lang w:val="en-US" w:eastAsia="zh-CN"/>
                      <w14:textFill>
                        <w14:solidFill>
                          <w14:schemeClr w14:val="tx1"/>
                        </w14:solidFill>
                      </w14:textFill>
                    </w:rPr>
                    <w:t>2.44</w:t>
                  </w:r>
                  <w:r>
                    <w:rPr>
                      <w:b w:val="0"/>
                      <w:bCs/>
                      <w:color w:val="000000" w:themeColor="text1"/>
                      <w14:textFill>
                        <w14:solidFill>
                          <w14:schemeClr w14:val="tx1"/>
                        </w14:solidFill>
                      </w14:textFill>
                    </w:rPr>
                    <w:t>m</w:t>
                  </w:r>
                  <w:r>
                    <w:rPr>
                      <w:b w:val="0"/>
                      <w:bCs/>
                      <w:color w:val="000000" w:themeColor="text1"/>
                      <w:vertAlign w:val="superscript"/>
                      <w14:textFill>
                        <w14:solidFill>
                          <w14:schemeClr w14:val="tx1"/>
                        </w14:solidFill>
                      </w14:textFill>
                    </w:rPr>
                    <w:t>2</w:t>
                  </w:r>
                </w:p>
              </w:tc>
            </w:tr>
            <w:tr w14:paraId="5083F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576" w:type="pct"/>
                  <w:noWrap w:val="0"/>
                  <w:vAlign w:val="top"/>
                </w:tcPr>
                <w:p w14:paraId="746EFD4D">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活性炭装填厚度</w:t>
                  </w:r>
                </w:p>
              </w:tc>
              <w:tc>
                <w:tcPr>
                  <w:tcW w:w="2423" w:type="pct"/>
                  <w:noWrap w:val="0"/>
                  <w:vAlign w:val="top"/>
                </w:tcPr>
                <w:p w14:paraId="6977C5CB">
                  <w:pPr>
                    <w:pStyle w:val="43"/>
                    <w:rPr>
                      <w:rFonts w:hint="default"/>
                      <w:b w:val="0"/>
                      <w:bCs/>
                      <w:color w:val="000000" w:themeColor="text1"/>
                      <w14:textFill>
                        <w14:solidFill>
                          <w14:schemeClr w14:val="tx1"/>
                        </w14:solidFill>
                      </w14:textFill>
                    </w:rPr>
                  </w:pPr>
                  <w:r>
                    <w:rPr>
                      <w:b w:val="0"/>
                      <w:bCs/>
                      <w:color w:val="000000" w:themeColor="text1"/>
                      <w14:textFill>
                        <w14:solidFill>
                          <w14:schemeClr w14:val="tx1"/>
                        </w14:solidFill>
                      </w14:textFill>
                    </w:rPr>
                    <w:t>0.2m</w:t>
                  </w:r>
                </w:p>
              </w:tc>
            </w:tr>
            <w:tr w14:paraId="178AC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76" w:type="pct"/>
                  <w:noWrap w:val="0"/>
                  <w:vAlign w:val="top"/>
                </w:tcPr>
                <w:p w14:paraId="4ADE64DF">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空床流速</w:t>
                  </w:r>
                </w:p>
              </w:tc>
              <w:tc>
                <w:tcPr>
                  <w:tcW w:w="2423" w:type="pct"/>
                  <w:noWrap w:val="0"/>
                  <w:vAlign w:val="top"/>
                </w:tcPr>
                <w:p w14:paraId="1B329BB7">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1.0m/s</w:t>
                  </w:r>
                </w:p>
              </w:tc>
            </w:tr>
            <w:tr w14:paraId="379FF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576" w:type="pct"/>
                  <w:noWrap w:val="0"/>
                  <w:vAlign w:val="top"/>
                </w:tcPr>
                <w:p w14:paraId="07C63EDF">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 xml:space="preserve">停留时间 </w:t>
                  </w:r>
                </w:p>
              </w:tc>
              <w:tc>
                <w:tcPr>
                  <w:tcW w:w="2423" w:type="pct"/>
                  <w:noWrap w:val="0"/>
                  <w:vAlign w:val="top"/>
                </w:tcPr>
                <w:p w14:paraId="5AA13B50">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3s</w:t>
                  </w:r>
                </w:p>
              </w:tc>
            </w:tr>
            <w:tr w14:paraId="309E9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76" w:type="pct"/>
                  <w:noWrap w:val="0"/>
                  <w:vAlign w:val="top"/>
                </w:tcPr>
                <w:p w14:paraId="2B22C03C">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介质温度</w:t>
                  </w:r>
                </w:p>
              </w:tc>
              <w:tc>
                <w:tcPr>
                  <w:tcW w:w="2423" w:type="pct"/>
                  <w:noWrap w:val="0"/>
                  <w:vAlign w:val="top"/>
                </w:tcPr>
                <w:p w14:paraId="4D172EC2">
                  <w:pPr>
                    <w:pStyle w:val="43"/>
                    <w:rPr>
                      <w:rFonts w:hint="default"/>
                      <w:b w:val="0"/>
                      <w:bCs/>
                      <w:color w:val="000000" w:themeColor="text1"/>
                      <w14:textFill>
                        <w14:solidFill>
                          <w14:schemeClr w14:val="tx1"/>
                        </w14:solidFill>
                      </w14:textFill>
                    </w:rPr>
                  </w:pPr>
                  <w:r>
                    <w:rPr>
                      <w:b w:val="0"/>
                      <w:bCs/>
                      <w:color w:val="000000" w:themeColor="text1"/>
                      <w14:textFill>
                        <w14:solidFill>
                          <w14:schemeClr w14:val="tx1"/>
                        </w14:solidFill>
                      </w14:textFill>
                    </w:rPr>
                    <w:t>＜40℃</w:t>
                  </w:r>
                </w:p>
              </w:tc>
            </w:tr>
            <w:tr w14:paraId="40B63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76" w:type="pct"/>
                  <w:noWrap w:val="0"/>
                  <w:vAlign w:val="top"/>
                </w:tcPr>
                <w:p w14:paraId="2081E361">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活性炭碘值</w:t>
                  </w:r>
                </w:p>
              </w:tc>
              <w:tc>
                <w:tcPr>
                  <w:tcW w:w="2423" w:type="pct"/>
                  <w:noWrap w:val="0"/>
                  <w:vAlign w:val="top"/>
                </w:tcPr>
                <w:p w14:paraId="7AB63C28">
                  <w:pPr>
                    <w:pStyle w:val="43"/>
                    <w:rPr>
                      <w:rFonts w:hint="default"/>
                      <w:b w:val="0"/>
                      <w:bCs/>
                      <w:color w:val="000000" w:themeColor="text1"/>
                      <w14:textFill>
                        <w14:solidFill>
                          <w14:schemeClr w14:val="tx1"/>
                        </w14:solidFill>
                      </w14:textFill>
                    </w:rPr>
                  </w:pPr>
                  <w:r>
                    <w:rPr>
                      <w:rFonts w:hint="eastAsia"/>
                      <w:b w:val="0"/>
                      <w:bCs/>
                      <w:color w:val="000000" w:themeColor="text1"/>
                      <w:lang w:val="en-US" w:eastAsia="zh-CN"/>
                      <w14:textFill>
                        <w14:solidFill>
                          <w14:schemeClr w14:val="tx1"/>
                        </w14:solidFill>
                      </w14:textFill>
                    </w:rPr>
                    <w:t>＞</w:t>
                  </w:r>
                  <w:r>
                    <w:rPr>
                      <w:b w:val="0"/>
                      <w:bCs/>
                      <w:color w:val="000000" w:themeColor="text1"/>
                      <w14:textFill>
                        <w14:solidFill>
                          <w14:schemeClr w14:val="tx1"/>
                        </w14:solidFill>
                      </w14:textFill>
                    </w:rPr>
                    <w:t>800</w:t>
                  </w:r>
                </w:p>
              </w:tc>
            </w:tr>
            <w:tr w14:paraId="0B0F8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576" w:type="pct"/>
                  <w:noWrap w:val="0"/>
                  <w:vAlign w:val="top"/>
                </w:tcPr>
                <w:p w14:paraId="23EA62D6">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去除效率</w:t>
                  </w:r>
                </w:p>
              </w:tc>
              <w:tc>
                <w:tcPr>
                  <w:tcW w:w="2423" w:type="pct"/>
                  <w:noWrap w:val="0"/>
                  <w:vAlign w:val="top"/>
                </w:tcPr>
                <w:p w14:paraId="05712CDB">
                  <w:pPr>
                    <w:pStyle w:val="43"/>
                    <w:rPr>
                      <w:b w:val="0"/>
                      <w:bCs/>
                      <w:color w:val="000000" w:themeColor="text1"/>
                      <w14:textFill>
                        <w14:solidFill>
                          <w14:schemeClr w14:val="tx1"/>
                        </w14:solidFill>
                      </w14:textFill>
                    </w:rPr>
                  </w:pPr>
                  <w:r>
                    <w:rPr>
                      <w:b w:val="0"/>
                      <w:bCs/>
                      <w:color w:val="000000" w:themeColor="text1"/>
                      <w14:textFill>
                        <w14:solidFill>
                          <w14:schemeClr w14:val="tx1"/>
                        </w14:solidFill>
                      </w14:textFill>
                    </w:rPr>
                    <w:t>90%</w:t>
                  </w:r>
                </w:p>
              </w:tc>
            </w:tr>
            <w:tr w14:paraId="054BE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576" w:type="pct"/>
                  <w:noWrap w:val="0"/>
                  <w:vAlign w:val="top"/>
                </w:tcPr>
                <w:p w14:paraId="049C84A0">
                  <w:pPr>
                    <w:pStyle w:val="43"/>
                    <w:rPr>
                      <w:rFonts w:hint="default"/>
                      <w:b w:val="0"/>
                      <w:bCs/>
                      <w:color w:val="000000" w:themeColor="text1"/>
                      <w14:textFill>
                        <w14:solidFill>
                          <w14:schemeClr w14:val="tx1"/>
                        </w14:solidFill>
                      </w14:textFill>
                    </w:rPr>
                  </w:pPr>
                  <w:r>
                    <w:rPr>
                      <w:b w:val="0"/>
                      <w:bCs/>
                      <w:color w:val="000000" w:themeColor="text1"/>
                      <w14:textFill>
                        <w14:solidFill>
                          <w14:schemeClr w14:val="tx1"/>
                        </w14:solidFill>
                      </w14:textFill>
                    </w:rPr>
                    <w:t>一次填装使用时间</w:t>
                  </w:r>
                </w:p>
              </w:tc>
              <w:tc>
                <w:tcPr>
                  <w:tcW w:w="2423" w:type="pct"/>
                  <w:noWrap w:val="0"/>
                  <w:vAlign w:val="top"/>
                </w:tcPr>
                <w:p w14:paraId="1E7FF24F">
                  <w:pPr>
                    <w:pStyle w:val="43"/>
                    <w:rPr>
                      <w:rFonts w:hint="default"/>
                      <w:b w:val="0"/>
                      <w:bCs/>
                      <w:color w:val="000000" w:themeColor="text1"/>
                      <w14:textFill>
                        <w14:solidFill>
                          <w14:schemeClr w14:val="tx1"/>
                        </w14:solidFill>
                      </w14:textFill>
                    </w:rPr>
                  </w:pPr>
                  <w:r>
                    <w:rPr>
                      <w:rFonts w:hint="eastAsia"/>
                      <w:b w:val="0"/>
                      <w:bCs/>
                      <w:color w:val="000000" w:themeColor="text1"/>
                      <w:lang w:val="en-US" w:eastAsia="zh-CN"/>
                      <w14:textFill>
                        <w14:solidFill>
                          <w14:schemeClr w14:val="tx1"/>
                        </w14:solidFill>
                      </w14:textFill>
                    </w:rPr>
                    <w:t>75</w:t>
                  </w:r>
                  <w:r>
                    <w:rPr>
                      <w:b w:val="0"/>
                      <w:bCs/>
                      <w:color w:val="000000" w:themeColor="text1"/>
                      <w14:textFill>
                        <w14:solidFill>
                          <w14:schemeClr w14:val="tx1"/>
                        </w14:solidFill>
                      </w14:textFill>
                    </w:rPr>
                    <w:t>d</w:t>
                  </w:r>
                </w:p>
              </w:tc>
            </w:tr>
            <w:tr w14:paraId="491CD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576" w:type="pct"/>
                  <w:noWrap w:val="0"/>
                  <w:vAlign w:val="top"/>
                </w:tcPr>
                <w:p w14:paraId="55BA5F75">
                  <w:pPr>
                    <w:pStyle w:val="43"/>
                    <w:rPr>
                      <w:rFonts w:hint="default"/>
                      <w:b w:val="0"/>
                      <w:bCs/>
                      <w:color w:val="000000" w:themeColor="text1"/>
                      <w14:textFill>
                        <w14:solidFill>
                          <w14:schemeClr w14:val="tx1"/>
                        </w14:solidFill>
                      </w14:textFill>
                    </w:rPr>
                  </w:pPr>
                  <w:r>
                    <w:rPr>
                      <w:b w:val="0"/>
                      <w:bCs/>
                      <w:color w:val="000000" w:themeColor="text1"/>
                      <w14:textFill>
                        <w14:solidFill>
                          <w14:schemeClr w14:val="tx1"/>
                        </w14:solidFill>
                      </w14:textFill>
                    </w:rPr>
                    <w:t>更换频次</w:t>
                  </w:r>
                </w:p>
              </w:tc>
              <w:tc>
                <w:tcPr>
                  <w:tcW w:w="2423" w:type="pct"/>
                  <w:noWrap w:val="0"/>
                  <w:vAlign w:val="top"/>
                </w:tcPr>
                <w:p w14:paraId="709E5690">
                  <w:pPr>
                    <w:pStyle w:val="43"/>
                    <w:rPr>
                      <w:rFonts w:hint="default"/>
                      <w:b w:val="0"/>
                      <w:bCs/>
                      <w:color w:val="000000" w:themeColor="text1"/>
                      <w14:textFill>
                        <w14:solidFill>
                          <w14:schemeClr w14:val="tx1"/>
                        </w14:solidFill>
                      </w14:textFill>
                    </w:rPr>
                  </w:pPr>
                  <w:r>
                    <w:rPr>
                      <w:rFonts w:hint="eastAsia"/>
                      <w:b w:val="0"/>
                      <w:bCs/>
                      <w:color w:val="000000" w:themeColor="text1"/>
                      <w:lang w:val="en-US" w:eastAsia="zh-CN"/>
                      <w14:textFill>
                        <w14:solidFill>
                          <w14:schemeClr w14:val="tx1"/>
                        </w14:solidFill>
                      </w14:textFill>
                    </w:rPr>
                    <w:t>4</w:t>
                  </w:r>
                  <w:r>
                    <w:rPr>
                      <w:b w:val="0"/>
                      <w:bCs/>
                      <w:color w:val="000000" w:themeColor="text1"/>
                      <w14:textFill>
                        <w14:solidFill>
                          <w14:schemeClr w14:val="tx1"/>
                        </w14:solidFill>
                      </w14:textFill>
                    </w:rPr>
                    <w:t>次/年</w:t>
                  </w:r>
                </w:p>
              </w:tc>
            </w:tr>
            <w:tr w14:paraId="1B269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576" w:type="pct"/>
                  <w:noWrap w:val="0"/>
                  <w:vAlign w:val="top"/>
                </w:tcPr>
                <w:p w14:paraId="5CA7F0C5">
                  <w:pPr>
                    <w:pStyle w:val="43"/>
                    <w:rPr>
                      <w:rFonts w:hint="default"/>
                      <w:b w:val="0"/>
                      <w:bCs/>
                      <w:color w:val="000000" w:themeColor="text1"/>
                      <w14:textFill>
                        <w14:solidFill>
                          <w14:schemeClr w14:val="tx1"/>
                        </w14:solidFill>
                      </w14:textFill>
                    </w:rPr>
                  </w:pPr>
                  <w:r>
                    <w:rPr>
                      <w:b w:val="0"/>
                      <w:bCs/>
                      <w:color w:val="000000" w:themeColor="text1"/>
                      <w14:textFill>
                        <w14:solidFill>
                          <w14:schemeClr w14:val="tx1"/>
                        </w14:solidFill>
                      </w14:textFill>
                    </w:rPr>
                    <w:t>活性炭年使用量</w:t>
                  </w:r>
                </w:p>
              </w:tc>
              <w:tc>
                <w:tcPr>
                  <w:tcW w:w="2423" w:type="pct"/>
                  <w:noWrap w:val="0"/>
                  <w:vAlign w:val="top"/>
                </w:tcPr>
                <w:p w14:paraId="33453C55">
                  <w:pPr>
                    <w:pStyle w:val="43"/>
                    <w:rPr>
                      <w:rFonts w:hint="default" w:eastAsia="宋体"/>
                      <w:b w:val="0"/>
                      <w:bCs/>
                      <w:color w:val="000000" w:themeColor="text1"/>
                      <w:lang w:val="en-US" w:eastAsia="zh-CN"/>
                      <w14:textFill>
                        <w14:solidFill>
                          <w14:schemeClr w14:val="tx1"/>
                        </w14:solidFill>
                      </w14:textFill>
                    </w:rPr>
                  </w:pPr>
                  <w:r>
                    <w:rPr>
                      <w:rFonts w:hint="eastAsia"/>
                      <w:b w:val="0"/>
                      <w:bCs/>
                      <w:color w:val="000000" w:themeColor="text1"/>
                      <w:lang w:val="en-US" w:eastAsia="zh-CN"/>
                      <w14:textFill>
                        <w14:solidFill>
                          <w14:schemeClr w14:val="tx1"/>
                        </w14:solidFill>
                      </w14:textFill>
                    </w:rPr>
                    <w:t>1.7568t</w:t>
                  </w:r>
                </w:p>
              </w:tc>
            </w:tr>
          </w:tbl>
          <w:p w14:paraId="596E99B1">
            <w:pPr>
              <w:numPr>
                <w:ilvl w:val="0"/>
                <w:numId w:val="0"/>
              </w:numPr>
              <w:bidi w:val="0"/>
              <w:ind w:leftChars="200"/>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④排放</w:t>
            </w:r>
          </w:p>
          <w:p w14:paraId="58E772BD">
            <w:pPr>
              <w:bidi w:val="0"/>
              <w:rPr>
                <w:rFonts w:hint="default" w:eastAsia="宋体"/>
                <w:lang w:val="en-US" w:eastAsia="zh-CN"/>
              </w:rPr>
            </w:pPr>
            <w:r>
              <w:rPr>
                <w:rFonts w:hint="eastAsia"/>
                <w:lang w:val="en-US" w:eastAsia="zh-CN"/>
              </w:rPr>
              <w:t>由上可知，本项目EPP汽车零配件生产线</w:t>
            </w:r>
            <w:r>
              <w:rPr>
                <w:rFonts w:hint="eastAsia"/>
                <w:color w:val="000000" w:themeColor="text1"/>
                <w:lang w:val="en-US" w:eastAsia="zh-CN"/>
                <w14:textFill>
                  <w14:solidFill>
                    <w14:schemeClr w14:val="tx1"/>
                  </w14:solidFill>
                </w14:textFill>
              </w:rPr>
              <w:t>污染物产排情况如下所示。</w:t>
            </w:r>
          </w:p>
          <w:p w14:paraId="4261D2FF">
            <w:pPr>
              <w:pStyle w:val="74"/>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表4-</w:t>
            </w:r>
            <w:r>
              <w:rPr>
                <w:rFonts w:hint="eastAsia"/>
                <w:color w:val="000000" w:themeColor="text1"/>
                <w:lang w:val="en-US" w:eastAsia="zh-CN"/>
                <w14:textFill>
                  <w14:solidFill>
                    <w14:schemeClr w14:val="tx1"/>
                  </w14:solidFill>
                </w14:textFill>
              </w:rPr>
              <w:t xml:space="preserve">13 </w:t>
            </w:r>
            <w:r>
              <w:rPr>
                <w:rFonts w:hint="eastAsia"/>
                <w:lang w:val="en-US" w:eastAsia="zh-CN"/>
              </w:rPr>
              <w:t>EPP汽车零配件生产线</w:t>
            </w:r>
            <w:r>
              <w:rPr>
                <w:rFonts w:hint="eastAsia"/>
                <w:color w:val="000000" w:themeColor="text1"/>
                <w:lang w:val="en-US" w:eastAsia="zh-CN"/>
                <w14:textFill>
                  <w14:solidFill>
                    <w14:schemeClr w14:val="tx1"/>
                  </w14:solidFill>
                </w14:textFill>
              </w:rPr>
              <w:t>污染物产排情况一览表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5"/>
              <w:gridCol w:w="2115"/>
              <w:gridCol w:w="4230"/>
            </w:tblGrid>
            <w:tr w14:paraId="0FE3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gridSpan w:val="2"/>
                </w:tcPr>
                <w:p w14:paraId="5B661DEA">
                  <w:pPr>
                    <w:pStyle w:val="51"/>
                    <w:bidi w:val="0"/>
                    <w:rPr>
                      <w:rFonts w:hint="default"/>
                      <w:lang w:val="en-US" w:eastAsia="zh-CN"/>
                    </w:rPr>
                  </w:pPr>
                  <w:r>
                    <w:rPr>
                      <w:rFonts w:hint="eastAsia"/>
                      <w:lang w:val="en-US" w:eastAsia="zh-CN"/>
                    </w:rPr>
                    <w:t>污染源</w:t>
                  </w:r>
                </w:p>
              </w:tc>
              <w:tc>
                <w:tcPr>
                  <w:tcW w:w="4230" w:type="dxa"/>
                </w:tcPr>
                <w:p w14:paraId="43C9B66C">
                  <w:pPr>
                    <w:pStyle w:val="51"/>
                    <w:bidi w:val="0"/>
                    <w:rPr>
                      <w:rFonts w:hint="default"/>
                      <w:lang w:val="en-US" w:eastAsia="zh-CN"/>
                    </w:rPr>
                  </w:pPr>
                  <w:r>
                    <w:rPr>
                      <w:rFonts w:hint="eastAsia"/>
                      <w:lang w:val="en-US" w:eastAsia="zh-CN"/>
                    </w:rPr>
                    <w:t>DA002</w:t>
                  </w:r>
                </w:p>
              </w:tc>
            </w:tr>
            <w:tr w14:paraId="3A71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gridSpan w:val="2"/>
                </w:tcPr>
                <w:p w14:paraId="7125D683">
                  <w:pPr>
                    <w:pStyle w:val="51"/>
                    <w:bidi w:val="0"/>
                    <w:rPr>
                      <w:rFonts w:hint="default"/>
                      <w:lang w:val="en-US" w:eastAsia="zh-CN"/>
                    </w:rPr>
                  </w:pPr>
                  <w:r>
                    <w:rPr>
                      <w:rFonts w:hint="eastAsia"/>
                      <w:lang w:val="en-US" w:eastAsia="zh-CN"/>
                    </w:rPr>
                    <w:t>污染物</w:t>
                  </w:r>
                </w:p>
              </w:tc>
              <w:tc>
                <w:tcPr>
                  <w:tcW w:w="4230" w:type="dxa"/>
                </w:tcPr>
                <w:p w14:paraId="61700CC5">
                  <w:pPr>
                    <w:pStyle w:val="51"/>
                    <w:bidi w:val="0"/>
                    <w:rPr>
                      <w:rFonts w:hint="default"/>
                      <w:lang w:val="en-US" w:eastAsia="zh-CN"/>
                    </w:rPr>
                  </w:pPr>
                  <w:r>
                    <w:rPr>
                      <w:rFonts w:hint="eastAsia"/>
                      <w:lang w:val="en-US" w:eastAsia="zh-CN"/>
                    </w:rPr>
                    <w:t>非甲烷总烃</w:t>
                  </w:r>
                </w:p>
              </w:tc>
            </w:tr>
            <w:tr w14:paraId="5697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gridSpan w:val="2"/>
                </w:tcPr>
                <w:p w14:paraId="62F5887B">
                  <w:pPr>
                    <w:pStyle w:val="51"/>
                    <w:bidi w:val="0"/>
                    <w:rPr>
                      <w:rFonts w:hint="default"/>
                      <w:lang w:val="en-US" w:eastAsia="zh-CN"/>
                    </w:rPr>
                  </w:pPr>
                  <w:r>
                    <w:rPr>
                      <w:rFonts w:hint="eastAsia"/>
                      <w:lang w:val="en-US" w:eastAsia="zh-CN"/>
                    </w:rPr>
                    <w:t>治理设施</w:t>
                  </w:r>
                </w:p>
              </w:tc>
              <w:tc>
                <w:tcPr>
                  <w:tcW w:w="4230" w:type="dxa"/>
                </w:tcPr>
                <w:p w14:paraId="7412CFA9">
                  <w:pPr>
                    <w:pStyle w:val="51"/>
                    <w:bidi w:val="0"/>
                    <w:rPr>
                      <w:rFonts w:hint="default"/>
                      <w:lang w:val="en-US" w:eastAsia="zh-CN"/>
                    </w:rPr>
                  </w:pPr>
                  <w:r>
                    <w:rPr>
                      <w:rFonts w:hint="eastAsia"/>
                      <w:lang w:val="en-US" w:eastAsia="zh-CN"/>
                    </w:rPr>
                    <w:t>冷凝+二级活性炭</w:t>
                  </w:r>
                </w:p>
              </w:tc>
            </w:tr>
            <w:tr w14:paraId="5F0B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gridSpan w:val="2"/>
                </w:tcPr>
                <w:p w14:paraId="57DC4BA2">
                  <w:pPr>
                    <w:pStyle w:val="51"/>
                    <w:bidi w:val="0"/>
                    <w:rPr>
                      <w:rFonts w:hint="default"/>
                      <w:lang w:val="en-US" w:eastAsia="zh-CN"/>
                    </w:rPr>
                  </w:pPr>
                  <w:r>
                    <w:rPr>
                      <w:rFonts w:hint="eastAsia"/>
                      <w:lang w:val="en-US" w:eastAsia="zh-CN"/>
                    </w:rPr>
                    <w:t>处理风量m³/h</w:t>
                  </w:r>
                </w:p>
              </w:tc>
              <w:tc>
                <w:tcPr>
                  <w:tcW w:w="4230" w:type="dxa"/>
                </w:tcPr>
                <w:p w14:paraId="6A1A87CF">
                  <w:pPr>
                    <w:pStyle w:val="51"/>
                    <w:bidi w:val="0"/>
                    <w:rPr>
                      <w:rFonts w:hint="default"/>
                      <w:lang w:val="en-US" w:eastAsia="zh-CN"/>
                    </w:rPr>
                  </w:pPr>
                  <w:r>
                    <w:rPr>
                      <w:rFonts w:hint="eastAsia"/>
                      <w:lang w:val="en-US" w:eastAsia="zh-CN"/>
                    </w:rPr>
                    <w:t>8800</w:t>
                  </w:r>
                </w:p>
              </w:tc>
            </w:tr>
            <w:tr w14:paraId="1393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5" w:type="dxa"/>
                  <w:vMerge w:val="restart"/>
                </w:tcPr>
                <w:p w14:paraId="43180EC0">
                  <w:pPr>
                    <w:pStyle w:val="51"/>
                    <w:bidi w:val="0"/>
                    <w:rPr>
                      <w:rFonts w:hint="default"/>
                      <w:lang w:val="en-US" w:eastAsia="zh-CN"/>
                    </w:rPr>
                  </w:pPr>
                  <w:r>
                    <w:rPr>
                      <w:rFonts w:hint="eastAsia"/>
                      <w:lang w:val="en-US" w:eastAsia="zh-CN"/>
                    </w:rPr>
                    <w:t>有组织</w:t>
                  </w:r>
                </w:p>
              </w:tc>
              <w:tc>
                <w:tcPr>
                  <w:tcW w:w="2115" w:type="dxa"/>
                </w:tcPr>
                <w:p w14:paraId="326C0EBA">
                  <w:pPr>
                    <w:pStyle w:val="51"/>
                    <w:bidi w:val="0"/>
                    <w:rPr>
                      <w:rFonts w:hint="default"/>
                      <w:lang w:val="en-US" w:eastAsia="zh-CN"/>
                    </w:rPr>
                  </w:pPr>
                  <w:r>
                    <w:rPr>
                      <w:rFonts w:hint="eastAsia"/>
                      <w:lang w:val="en-US" w:eastAsia="zh-CN"/>
                    </w:rPr>
                    <w:t>产生量t/a</w:t>
                  </w:r>
                </w:p>
              </w:tc>
              <w:tc>
                <w:tcPr>
                  <w:tcW w:w="4230" w:type="dxa"/>
                </w:tcPr>
                <w:p w14:paraId="074434F6">
                  <w:pPr>
                    <w:pStyle w:val="51"/>
                    <w:bidi w:val="0"/>
                    <w:rPr>
                      <w:rFonts w:hint="default"/>
                      <w:lang w:val="en-US" w:eastAsia="zh-CN"/>
                    </w:rPr>
                  </w:pPr>
                  <w:r>
                    <w:rPr>
                      <w:rFonts w:hint="eastAsia"/>
                      <w:lang w:val="en-US" w:eastAsia="zh-CN"/>
                    </w:rPr>
                    <w:t>2.3153</w:t>
                  </w:r>
                </w:p>
              </w:tc>
            </w:tr>
            <w:tr w14:paraId="6FB88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5" w:type="dxa"/>
                  <w:vMerge w:val="continue"/>
                </w:tcPr>
                <w:p w14:paraId="5F1C38D2">
                  <w:pPr>
                    <w:pStyle w:val="51"/>
                    <w:bidi w:val="0"/>
                    <w:rPr>
                      <w:rFonts w:hint="default"/>
                      <w:lang w:val="en-US" w:eastAsia="zh-CN"/>
                    </w:rPr>
                  </w:pPr>
                </w:p>
              </w:tc>
              <w:tc>
                <w:tcPr>
                  <w:tcW w:w="2115" w:type="dxa"/>
                </w:tcPr>
                <w:p w14:paraId="38576FC8">
                  <w:pPr>
                    <w:pStyle w:val="51"/>
                    <w:bidi w:val="0"/>
                    <w:rPr>
                      <w:rFonts w:hint="default"/>
                      <w:lang w:val="en-US" w:eastAsia="zh-CN"/>
                    </w:rPr>
                  </w:pPr>
                  <w:r>
                    <w:rPr>
                      <w:rFonts w:hint="eastAsia"/>
                      <w:lang w:val="en-US" w:eastAsia="zh-CN"/>
                    </w:rPr>
                    <w:t>产生速率kg/h</w:t>
                  </w:r>
                </w:p>
              </w:tc>
              <w:tc>
                <w:tcPr>
                  <w:tcW w:w="4230" w:type="dxa"/>
                </w:tcPr>
                <w:p w14:paraId="63CF0683">
                  <w:pPr>
                    <w:pStyle w:val="51"/>
                    <w:bidi w:val="0"/>
                    <w:rPr>
                      <w:rFonts w:hint="default"/>
                      <w:lang w:val="en-US" w:eastAsia="zh-CN"/>
                    </w:rPr>
                  </w:pPr>
                  <w:r>
                    <w:rPr>
                      <w:rFonts w:hint="eastAsia"/>
                      <w:lang w:val="en-US" w:eastAsia="zh-CN"/>
                    </w:rPr>
                    <w:t>0.322</w:t>
                  </w:r>
                </w:p>
              </w:tc>
            </w:tr>
            <w:tr w14:paraId="401F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5" w:type="dxa"/>
                  <w:vMerge w:val="continue"/>
                </w:tcPr>
                <w:p w14:paraId="19793B2E">
                  <w:pPr>
                    <w:pStyle w:val="51"/>
                    <w:bidi w:val="0"/>
                    <w:rPr>
                      <w:rFonts w:hint="default"/>
                      <w:lang w:val="en-US" w:eastAsia="zh-CN"/>
                    </w:rPr>
                  </w:pPr>
                </w:p>
              </w:tc>
              <w:tc>
                <w:tcPr>
                  <w:tcW w:w="2115" w:type="dxa"/>
                </w:tcPr>
                <w:p w14:paraId="078006EE">
                  <w:pPr>
                    <w:pStyle w:val="51"/>
                    <w:bidi w:val="0"/>
                    <w:rPr>
                      <w:rFonts w:hint="default"/>
                      <w:lang w:val="en-US" w:eastAsia="zh-CN"/>
                    </w:rPr>
                  </w:pPr>
                  <w:r>
                    <w:rPr>
                      <w:rFonts w:hint="eastAsia"/>
                      <w:lang w:val="en-US" w:eastAsia="zh-CN"/>
                    </w:rPr>
                    <w:t>产生浓度mg/m³</w:t>
                  </w:r>
                </w:p>
              </w:tc>
              <w:tc>
                <w:tcPr>
                  <w:tcW w:w="4230" w:type="dxa"/>
                </w:tcPr>
                <w:p w14:paraId="6A659659">
                  <w:pPr>
                    <w:pStyle w:val="51"/>
                    <w:bidi w:val="0"/>
                    <w:rPr>
                      <w:rFonts w:hint="default"/>
                      <w:lang w:val="en-US" w:eastAsia="zh-CN"/>
                    </w:rPr>
                  </w:pPr>
                  <w:r>
                    <w:rPr>
                      <w:rFonts w:hint="eastAsia"/>
                      <w:lang w:val="en-US" w:eastAsia="zh-CN"/>
                    </w:rPr>
                    <w:t>36.59</w:t>
                  </w:r>
                </w:p>
              </w:tc>
            </w:tr>
            <w:tr w14:paraId="24BC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5" w:type="dxa"/>
                  <w:vMerge w:val="continue"/>
                </w:tcPr>
                <w:p w14:paraId="5B74785F">
                  <w:pPr>
                    <w:pStyle w:val="51"/>
                    <w:bidi w:val="0"/>
                    <w:rPr>
                      <w:rFonts w:hint="default"/>
                      <w:lang w:val="en-US" w:eastAsia="zh-CN"/>
                    </w:rPr>
                  </w:pPr>
                </w:p>
              </w:tc>
              <w:tc>
                <w:tcPr>
                  <w:tcW w:w="2115" w:type="dxa"/>
                </w:tcPr>
                <w:p w14:paraId="66B34CE4">
                  <w:pPr>
                    <w:pStyle w:val="51"/>
                    <w:bidi w:val="0"/>
                    <w:rPr>
                      <w:rFonts w:hint="default"/>
                      <w:lang w:val="en-US" w:eastAsia="zh-CN"/>
                    </w:rPr>
                  </w:pPr>
                  <w:r>
                    <w:rPr>
                      <w:rFonts w:hint="eastAsia"/>
                      <w:lang w:val="en-US" w:eastAsia="zh-CN"/>
                    </w:rPr>
                    <w:t>处理效率%</w:t>
                  </w:r>
                </w:p>
              </w:tc>
              <w:tc>
                <w:tcPr>
                  <w:tcW w:w="4230" w:type="dxa"/>
                </w:tcPr>
                <w:p w14:paraId="13DBC09D">
                  <w:pPr>
                    <w:pStyle w:val="51"/>
                    <w:bidi w:val="0"/>
                    <w:rPr>
                      <w:rFonts w:hint="default"/>
                      <w:lang w:val="en-US" w:eastAsia="zh-CN"/>
                    </w:rPr>
                  </w:pPr>
                  <w:r>
                    <w:rPr>
                      <w:rFonts w:hint="eastAsia"/>
                      <w:lang w:val="en-US" w:eastAsia="zh-CN"/>
                    </w:rPr>
                    <w:t>94.5</w:t>
                  </w:r>
                </w:p>
              </w:tc>
            </w:tr>
            <w:tr w14:paraId="174D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5" w:type="dxa"/>
                  <w:vMerge w:val="continue"/>
                </w:tcPr>
                <w:p w14:paraId="0C9CFD53">
                  <w:pPr>
                    <w:pStyle w:val="51"/>
                    <w:bidi w:val="0"/>
                    <w:rPr>
                      <w:rFonts w:hint="default"/>
                      <w:lang w:val="en-US" w:eastAsia="zh-CN"/>
                    </w:rPr>
                  </w:pPr>
                </w:p>
              </w:tc>
              <w:tc>
                <w:tcPr>
                  <w:tcW w:w="2115" w:type="dxa"/>
                </w:tcPr>
                <w:p w14:paraId="35174F42">
                  <w:pPr>
                    <w:pStyle w:val="51"/>
                    <w:bidi w:val="0"/>
                    <w:rPr>
                      <w:rFonts w:hint="default"/>
                      <w:lang w:val="en-US" w:eastAsia="zh-CN"/>
                    </w:rPr>
                  </w:pPr>
                  <w:r>
                    <w:rPr>
                      <w:rFonts w:hint="eastAsia"/>
                      <w:lang w:val="en-US" w:eastAsia="zh-CN"/>
                    </w:rPr>
                    <w:t>排放量t/a</w:t>
                  </w:r>
                </w:p>
              </w:tc>
              <w:tc>
                <w:tcPr>
                  <w:tcW w:w="4230" w:type="dxa"/>
                </w:tcPr>
                <w:p w14:paraId="45566C7B">
                  <w:pPr>
                    <w:pStyle w:val="51"/>
                    <w:bidi w:val="0"/>
                    <w:rPr>
                      <w:rFonts w:hint="default"/>
                      <w:lang w:val="en-US" w:eastAsia="zh-CN"/>
                    </w:rPr>
                  </w:pPr>
                  <w:r>
                    <w:rPr>
                      <w:rFonts w:hint="eastAsia"/>
                      <w:lang w:val="en-US" w:eastAsia="zh-CN"/>
                    </w:rPr>
                    <w:t>0.01219</w:t>
                  </w:r>
                </w:p>
              </w:tc>
            </w:tr>
            <w:tr w14:paraId="2365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5" w:type="dxa"/>
                  <w:vMerge w:val="continue"/>
                </w:tcPr>
                <w:p w14:paraId="3B76882B">
                  <w:pPr>
                    <w:pStyle w:val="51"/>
                    <w:bidi w:val="0"/>
                    <w:rPr>
                      <w:rFonts w:hint="default"/>
                      <w:lang w:val="en-US" w:eastAsia="zh-CN"/>
                    </w:rPr>
                  </w:pPr>
                </w:p>
              </w:tc>
              <w:tc>
                <w:tcPr>
                  <w:tcW w:w="2115" w:type="dxa"/>
                </w:tcPr>
                <w:p w14:paraId="7CC9D6BF">
                  <w:pPr>
                    <w:pStyle w:val="51"/>
                    <w:bidi w:val="0"/>
                    <w:rPr>
                      <w:rFonts w:hint="default"/>
                      <w:lang w:val="en-US" w:eastAsia="zh-CN"/>
                    </w:rPr>
                  </w:pPr>
                  <w:r>
                    <w:rPr>
                      <w:rFonts w:hint="eastAsia"/>
                      <w:lang w:val="en-US" w:eastAsia="zh-CN"/>
                    </w:rPr>
                    <w:t>排放速率kg/h</w:t>
                  </w:r>
                </w:p>
              </w:tc>
              <w:tc>
                <w:tcPr>
                  <w:tcW w:w="4230" w:type="dxa"/>
                </w:tcPr>
                <w:p w14:paraId="388D861C">
                  <w:pPr>
                    <w:pStyle w:val="51"/>
                    <w:bidi w:val="0"/>
                    <w:rPr>
                      <w:rFonts w:hint="default"/>
                      <w:lang w:val="en-US" w:eastAsia="zh-CN"/>
                    </w:rPr>
                  </w:pPr>
                  <w:r>
                    <w:rPr>
                      <w:rFonts w:hint="eastAsia"/>
                      <w:lang w:val="en-US" w:eastAsia="zh-CN"/>
                    </w:rPr>
                    <w:t>0.008</w:t>
                  </w:r>
                </w:p>
              </w:tc>
            </w:tr>
            <w:tr w14:paraId="4BCF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5" w:type="dxa"/>
                  <w:vMerge w:val="continue"/>
                </w:tcPr>
                <w:p w14:paraId="166F437F">
                  <w:pPr>
                    <w:pStyle w:val="51"/>
                    <w:bidi w:val="0"/>
                    <w:rPr>
                      <w:rFonts w:hint="default"/>
                      <w:lang w:val="en-US" w:eastAsia="zh-CN"/>
                    </w:rPr>
                  </w:pPr>
                </w:p>
              </w:tc>
              <w:tc>
                <w:tcPr>
                  <w:tcW w:w="2115" w:type="dxa"/>
                </w:tcPr>
                <w:p w14:paraId="2AF78B34">
                  <w:pPr>
                    <w:pStyle w:val="51"/>
                    <w:bidi w:val="0"/>
                    <w:rPr>
                      <w:rFonts w:hint="default"/>
                      <w:lang w:val="en-US" w:eastAsia="zh-CN"/>
                    </w:rPr>
                  </w:pPr>
                  <w:r>
                    <w:rPr>
                      <w:rFonts w:hint="eastAsia"/>
                      <w:lang w:val="en-US" w:eastAsia="zh-CN"/>
                    </w:rPr>
                    <w:t>排放浓度mg/m³</w:t>
                  </w:r>
                </w:p>
              </w:tc>
              <w:tc>
                <w:tcPr>
                  <w:tcW w:w="4230" w:type="dxa"/>
                </w:tcPr>
                <w:p w14:paraId="3EF47885">
                  <w:pPr>
                    <w:pStyle w:val="51"/>
                    <w:bidi w:val="0"/>
                    <w:rPr>
                      <w:rFonts w:hint="default"/>
                      <w:lang w:val="en-US" w:eastAsia="zh-CN"/>
                    </w:rPr>
                  </w:pPr>
                  <w:r>
                    <w:rPr>
                      <w:rFonts w:hint="eastAsia"/>
                      <w:lang w:val="en-US" w:eastAsia="zh-CN"/>
                    </w:rPr>
                    <w:t>0.909</w:t>
                  </w:r>
                </w:p>
              </w:tc>
            </w:tr>
            <w:tr w14:paraId="399B9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5" w:type="dxa"/>
                  <w:vMerge w:val="restart"/>
                </w:tcPr>
                <w:p w14:paraId="06038AB2">
                  <w:pPr>
                    <w:pStyle w:val="51"/>
                    <w:bidi w:val="0"/>
                    <w:rPr>
                      <w:rFonts w:hint="default"/>
                      <w:lang w:val="en-US" w:eastAsia="zh-CN"/>
                    </w:rPr>
                  </w:pPr>
                  <w:r>
                    <w:rPr>
                      <w:rFonts w:hint="eastAsia"/>
                      <w:lang w:val="en-US" w:eastAsia="zh-CN"/>
                    </w:rPr>
                    <w:t>无组织</w:t>
                  </w:r>
                </w:p>
              </w:tc>
              <w:tc>
                <w:tcPr>
                  <w:tcW w:w="2115" w:type="dxa"/>
                </w:tcPr>
                <w:p w14:paraId="0E46703F">
                  <w:pPr>
                    <w:pStyle w:val="51"/>
                    <w:bidi w:val="0"/>
                    <w:rPr>
                      <w:rFonts w:hint="default"/>
                      <w:lang w:val="en-US" w:eastAsia="zh-CN"/>
                    </w:rPr>
                  </w:pPr>
                  <w:r>
                    <w:rPr>
                      <w:rFonts w:hint="eastAsia"/>
                      <w:lang w:val="en-US" w:eastAsia="zh-CN"/>
                    </w:rPr>
                    <w:t>排放量t/a</w:t>
                  </w:r>
                </w:p>
              </w:tc>
              <w:tc>
                <w:tcPr>
                  <w:tcW w:w="4230" w:type="dxa"/>
                </w:tcPr>
                <w:p w14:paraId="42274C23">
                  <w:pPr>
                    <w:pStyle w:val="51"/>
                    <w:bidi w:val="0"/>
                    <w:rPr>
                      <w:rFonts w:hint="default"/>
                      <w:lang w:val="en-US" w:eastAsia="zh-CN"/>
                    </w:rPr>
                  </w:pPr>
                  <w:r>
                    <w:rPr>
                      <w:rFonts w:hint="eastAsia"/>
                      <w:lang w:val="en-US" w:eastAsia="zh-CN"/>
                    </w:rPr>
                    <w:t>0.4050</w:t>
                  </w:r>
                </w:p>
              </w:tc>
            </w:tr>
            <w:tr w14:paraId="49AEA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5" w:type="dxa"/>
                  <w:vMerge w:val="continue"/>
                </w:tcPr>
                <w:p w14:paraId="7F19177C">
                  <w:pPr>
                    <w:pStyle w:val="51"/>
                    <w:bidi w:val="0"/>
                    <w:rPr>
                      <w:rFonts w:hint="default"/>
                      <w:lang w:val="en-US" w:eastAsia="zh-CN"/>
                    </w:rPr>
                  </w:pPr>
                </w:p>
              </w:tc>
              <w:tc>
                <w:tcPr>
                  <w:tcW w:w="2115" w:type="dxa"/>
                </w:tcPr>
                <w:p w14:paraId="22370459">
                  <w:pPr>
                    <w:pStyle w:val="51"/>
                    <w:bidi w:val="0"/>
                    <w:rPr>
                      <w:rFonts w:hint="default"/>
                      <w:lang w:val="en-US" w:eastAsia="zh-CN"/>
                    </w:rPr>
                  </w:pPr>
                  <w:r>
                    <w:rPr>
                      <w:rFonts w:hint="eastAsia"/>
                      <w:lang w:val="en-US" w:eastAsia="zh-CN"/>
                    </w:rPr>
                    <w:t>排放速率kg/h</w:t>
                  </w:r>
                </w:p>
              </w:tc>
              <w:tc>
                <w:tcPr>
                  <w:tcW w:w="4230" w:type="dxa"/>
                </w:tcPr>
                <w:p w14:paraId="2E9EFE6E">
                  <w:pPr>
                    <w:pStyle w:val="51"/>
                    <w:bidi w:val="0"/>
                    <w:rPr>
                      <w:rFonts w:hint="default"/>
                      <w:lang w:val="en-US" w:eastAsia="zh-CN"/>
                    </w:rPr>
                  </w:pPr>
                  <w:r>
                    <w:rPr>
                      <w:rFonts w:hint="eastAsia"/>
                      <w:lang w:val="en-US" w:eastAsia="zh-CN"/>
                    </w:rPr>
                    <w:t>0.0563</w:t>
                  </w:r>
                </w:p>
              </w:tc>
            </w:tr>
            <w:tr w14:paraId="305A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gridSpan w:val="2"/>
                </w:tcPr>
                <w:p w14:paraId="72A4ABC9">
                  <w:pPr>
                    <w:pStyle w:val="51"/>
                    <w:bidi w:val="0"/>
                    <w:rPr>
                      <w:rFonts w:hint="default"/>
                      <w:lang w:val="en-US" w:eastAsia="zh-CN"/>
                    </w:rPr>
                  </w:pPr>
                  <w:r>
                    <w:rPr>
                      <w:rFonts w:hint="eastAsia"/>
                      <w:lang w:val="en-US" w:eastAsia="zh-CN"/>
                    </w:rPr>
                    <w:t>总排放量t/a</w:t>
                  </w:r>
                </w:p>
              </w:tc>
              <w:tc>
                <w:tcPr>
                  <w:tcW w:w="4230" w:type="dxa"/>
                </w:tcPr>
                <w:p w14:paraId="2242AA67">
                  <w:pPr>
                    <w:pStyle w:val="51"/>
                    <w:bidi w:val="0"/>
                    <w:rPr>
                      <w:rFonts w:hint="default"/>
                      <w:lang w:val="en-US" w:eastAsia="zh-CN"/>
                    </w:rPr>
                  </w:pPr>
                  <w:r>
                    <w:rPr>
                      <w:rFonts w:hint="eastAsia"/>
                      <w:lang w:val="en-US" w:eastAsia="zh-CN"/>
                    </w:rPr>
                    <w:t>0.4629</w:t>
                  </w:r>
                </w:p>
              </w:tc>
            </w:tr>
          </w:tbl>
          <w:p w14:paraId="622BC0A9">
            <w:pPr>
              <w:ind w:firstLine="0" w:firstLineChars="0"/>
              <w:rPr>
                <w:b/>
                <w:bCs/>
              </w:rPr>
            </w:pPr>
            <w:r>
              <w:rPr>
                <w:rFonts w:hint="eastAsia"/>
                <w:b/>
                <w:bCs/>
              </w:rPr>
              <w:t>（2）达标分析</w:t>
            </w:r>
          </w:p>
          <w:p w14:paraId="2EE5A109">
            <w:pPr>
              <w:pStyle w:val="46"/>
              <w:ind w:left="0" w:leftChars="0" w:firstLine="241" w:firstLineChars="100"/>
              <w:rPr>
                <w:b/>
                <w:bCs/>
              </w:rPr>
            </w:pPr>
            <w:r>
              <w:rPr>
                <w:rFonts w:hint="eastAsia"/>
                <w:b/>
                <w:bCs/>
                <w:lang w:val="en-US" w:eastAsia="zh-CN"/>
              </w:rPr>
              <w:t>1）</w:t>
            </w:r>
            <w:r>
              <w:rPr>
                <w:b/>
                <w:bCs/>
              </w:rPr>
              <w:t>非甲烧总烃</w:t>
            </w:r>
          </w:p>
          <w:p w14:paraId="2405A95F">
            <w:pPr>
              <w:pStyle w:val="46"/>
              <w:ind w:left="0" w:leftChars="0" w:firstLine="241" w:firstLineChars="100"/>
              <w:rPr>
                <w:rFonts w:hint="default" w:eastAsia="宋体"/>
                <w:b/>
                <w:bCs/>
                <w:lang w:val="en-US" w:eastAsia="zh-CN"/>
              </w:rPr>
            </w:pPr>
            <w:r>
              <w:rPr>
                <w:rFonts w:hint="eastAsia"/>
                <w:b/>
                <w:bCs/>
                <w:lang w:val="en-US" w:eastAsia="zh-CN"/>
              </w:rPr>
              <w:t>①EPS包装材料生产线</w:t>
            </w:r>
          </w:p>
          <w:p w14:paraId="586A7FDE">
            <w:pPr>
              <w:pStyle w:val="46"/>
              <w:rPr>
                <w:rFonts w:hint="eastAsia"/>
                <w:color w:val="auto"/>
                <w:lang w:eastAsia="zh-CN"/>
              </w:rPr>
            </w:pPr>
            <w:r>
              <w:t>项目</w:t>
            </w:r>
            <w:r>
              <w:rPr>
                <w:rFonts w:hint="eastAsia"/>
                <w:lang w:val="en-US" w:eastAsia="zh-CN"/>
              </w:rPr>
              <w:t>EPS包装材料生产线有机废气发泡废气经集气罩收集后与经管道收集的成型、烘干废气一起</w:t>
            </w:r>
            <w:r>
              <w:t>引至</w:t>
            </w:r>
            <w:r>
              <w:rPr>
                <w:rFonts w:hint="eastAsia"/>
                <w:lang w:eastAsia="zh-CN"/>
              </w:rPr>
              <w:t>冷凝+二级活性炭</w:t>
            </w:r>
            <w:r>
              <w:t xml:space="preserve">装置处理(处理效率按 </w:t>
            </w:r>
            <w:r>
              <w:rPr>
                <w:rFonts w:hint="eastAsia"/>
                <w:lang w:val="en-US" w:eastAsia="zh-CN"/>
              </w:rPr>
              <w:t>97.5</w:t>
            </w:r>
            <w:r>
              <w:t>%计)，最后通过</w:t>
            </w:r>
            <w:r>
              <w:rPr>
                <w:rFonts w:hint="eastAsia"/>
                <w:lang w:val="en-US" w:eastAsia="zh-CN"/>
              </w:rPr>
              <w:t>21</w:t>
            </w:r>
            <w:r>
              <w:rPr>
                <w:rFonts w:hint="eastAsia"/>
              </w:rPr>
              <w:t>m排气筒</w:t>
            </w:r>
            <w:r>
              <w:t>DA00</w:t>
            </w:r>
            <w:r>
              <w:rPr>
                <w:rFonts w:hint="eastAsia"/>
                <w:lang w:val="en-US" w:eastAsia="zh-CN"/>
              </w:rPr>
              <w:t>1</w:t>
            </w:r>
            <w:r>
              <w:t>排放</w:t>
            </w:r>
            <w:r>
              <w:rPr>
                <w:rFonts w:hint="eastAsia"/>
                <w:lang w:eastAsia="zh-CN"/>
              </w:rPr>
              <w:t>。</w:t>
            </w:r>
            <w:r>
              <w:t>总风量为</w:t>
            </w:r>
            <w:r>
              <w:rPr>
                <w:rFonts w:hint="eastAsia"/>
                <w:lang w:val="en-US" w:eastAsia="zh-CN"/>
              </w:rPr>
              <w:t>23500</w:t>
            </w:r>
            <w:r>
              <w:rPr>
                <w:rFonts w:hint="eastAsia"/>
              </w:rPr>
              <w:t>m³/h</w:t>
            </w:r>
            <w:r>
              <w:t>，</w:t>
            </w:r>
            <w:r>
              <w:rPr>
                <w:rFonts w:hint="eastAsia"/>
              </w:rPr>
              <w:t>非甲烷</w:t>
            </w:r>
            <w:r>
              <w:t>总烃经处理后的有组织排放速率为</w:t>
            </w:r>
            <w:r>
              <w:rPr>
                <w:rFonts w:hint="eastAsia"/>
                <w:lang w:eastAsia="zh-CN"/>
              </w:rPr>
              <w:t>0.0121</w:t>
            </w:r>
            <w:r>
              <w:t>kg</w:t>
            </w:r>
            <w:r>
              <w:rPr>
                <w:rFonts w:hint="eastAsia"/>
              </w:rPr>
              <w:t>/</w:t>
            </w:r>
            <w:r>
              <w:t>h，排放浓度为</w:t>
            </w:r>
            <w:r>
              <w:rPr>
                <w:rFonts w:hint="eastAsia"/>
                <w:lang w:eastAsia="zh-CN"/>
              </w:rPr>
              <w:t>0.5149</w:t>
            </w:r>
            <w:r>
              <w:rPr>
                <w:rFonts w:hint="eastAsia"/>
              </w:rPr>
              <w:t>mg/m³</w:t>
            </w:r>
            <w:r>
              <w:t>，</w:t>
            </w:r>
            <w:r>
              <w:rPr>
                <w:rFonts w:hint="eastAsia"/>
              </w:rPr>
              <w:t>非甲烷</w:t>
            </w:r>
            <w:r>
              <w:t>总烃有组织排放达到</w:t>
            </w:r>
            <w:r>
              <w:rPr>
                <w:rFonts w:hint="eastAsia" w:ascii="Times New Roman" w:hAnsi="Times New Roman" w:cs="Times New Roman"/>
                <w:b w:val="0"/>
                <w:bCs w:val="0"/>
                <w:color w:val="auto"/>
                <w:sz w:val="24"/>
                <w:szCs w:val="24"/>
                <w:highlight w:val="none"/>
                <w:lang w:val="en-US" w:eastAsia="zh-CN"/>
              </w:rPr>
              <w:t>《固定源挥发性有机物综合排放标准-第6部分：其他行业》（DB34 4812.6-2024 ）表1排放限制</w:t>
            </w:r>
            <w:r>
              <w:rPr>
                <w:rFonts w:hint="eastAsia"/>
                <w:color w:val="auto"/>
              </w:rPr>
              <w:t>；</w:t>
            </w:r>
            <w:r>
              <w:rPr>
                <w:rFonts w:hint="eastAsia"/>
                <w:color w:val="auto"/>
                <w:lang w:val="en-US" w:eastAsia="zh-CN"/>
              </w:rPr>
              <w:t>苯乙烯</w:t>
            </w:r>
            <w:r>
              <w:rPr>
                <w:color w:val="auto"/>
              </w:rPr>
              <w:t>经处理后的有组织排放速率为</w:t>
            </w:r>
            <w:r>
              <w:rPr>
                <w:rFonts w:hint="eastAsia"/>
                <w:color w:val="auto"/>
                <w:lang w:eastAsia="zh-CN"/>
              </w:rPr>
              <w:t>0.0016</w:t>
            </w:r>
            <w:r>
              <w:rPr>
                <w:color w:val="auto"/>
              </w:rPr>
              <w:t>kg</w:t>
            </w:r>
            <w:r>
              <w:rPr>
                <w:rFonts w:hint="eastAsia"/>
                <w:color w:val="auto"/>
              </w:rPr>
              <w:t>/</w:t>
            </w:r>
            <w:r>
              <w:rPr>
                <w:color w:val="auto"/>
              </w:rPr>
              <w:t>h，排放浓度为</w:t>
            </w:r>
            <w:r>
              <w:rPr>
                <w:rFonts w:hint="eastAsia"/>
                <w:color w:val="auto"/>
                <w:lang w:val="en-US" w:eastAsia="zh-CN"/>
              </w:rPr>
              <w:t>0.07</w:t>
            </w:r>
            <w:r>
              <w:rPr>
                <w:rFonts w:hint="eastAsia"/>
                <w:color w:val="auto"/>
              </w:rPr>
              <w:t>mg/m³</w:t>
            </w:r>
            <w:r>
              <w:rPr>
                <w:color w:val="auto"/>
              </w:rPr>
              <w:t>，</w:t>
            </w:r>
            <w:r>
              <w:rPr>
                <w:rFonts w:hint="eastAsia"/>
                <w:color w:val="auto"/>
                <w:lang w:val="en-US" w:eastAsia="zh-CN"/>
              </w:rPr>
              <w:t>苯乙烯</w:t>
            </w:r>
            <w:r>
              <w:rPr>
                <w:color w:val="auto"/>
              </w:rPr>
              <w:t>有组织排放达到</w:t>
            </w:r>
            <w:r>
              <w:rPr>
                <w:rFonts w:hint="eastAsia" w:ascii="Times New Roman" w:hAnsi="Times New Roman" w:cs="Times New Roman"/>
                <w:b w:val="0"/>
                <w:bCs w:val="0"/>
                <w:color w:val="auto"/>
                <w:sz w:val="24"/>
                <w:szCs w:val="24"/>
                <w:highlight w:val="none"/>
                <w:lang w:val="en-US" w:eastAsia="zh-CN"/>
              </w:rPr>
              <w:t>《固定源挥发性有机物综合排放标准-第6部分：其他行业》（DB34 4812.6-2024 ）表2排放限制；</w:t>
            </w:r>
            <w:r>
              <w:rPr>
                <w:rFonts w:hint="eastAsia" w:cs="Times New Roman"/>
                <w:b w:val="0"/>
                <w:bCs w:val="0"/>
                <w:color w:val="auto"/>
                <w:sz w:val="24"/>
                <w:szCs w:val="24"/>
                <w:highlight w:val="none"/>
                <w:lang w:val="en-US" w:eastAsia="zh-CN"/>
              </w:rPr>
              <w:t>项目</w:t>
            </w:r>
            <w:r>
              <w:rPr>
                <w:color w:val="auto"/>
              </w:rPr>
              <w:t>未被收集</w:t>
            </w:r>
            <w:r>
              <w:rPr>
                <w:rFonts w:hint="eastAsia"/>
                <w:color w:val="auto"/>
                <w:lang w:val="en-US" w:eastAsia="zh-CN"/>
              </w:rPr>
              <w:t>非甲烷总烃</w:t>
            </w:r>
            <w:r>
              <w:rPr>
                <w:color w:val="auto"/>
              </w:rPr>
              <w:t>以无组织排放</w:t>
            </w:r>
            <w:r>
              <w:t>的形式排放，未收集的</w:t>
            </w:r>
            <w:r>
              <w:rPr>
                <w:rFonts w:hint="eastAsia"/>
              </w:rPr>
              <w:t>非甲烷</w:t>
            </w:r>
            <w:r>
              <w:t>总烃为</w:t>
            </w:r>
            <w:r>
              <w:rPr>
                <w:rFonts w:hint="eastAsia"/>
                <w:lang w:eastAsia="zh-CN"/>
              </w:rPr>
              <w:t>0</w:t>
            </w:r>
            <w:r>
              <w:rPr>
                <w:rFonts w:hint="eastAsia"/>
                <w:lang w:val="en-US" w:eastAsia="zh-CN"/>
              </w:rPr>
              <w:t>.5817</w:t>
            </w:r>
            <w:r>
              <w:t>t</w:t>
            </w:r>
            <w:r>
              <w:rPr>
                <w:rFonts w:hint="eastAsia"/>
              </w:rPr>
              <w:t>/</w:t>
            </w:r>
            <w:r>
              <w:t>a(</w:t>
            </w:r>
            <w:r>
              <w:rPr>
                <w:rFonts w:hint="eastAsia"/>
                <w:lang w:eastAsia="zh-CN"/>
              </w:rPr>
              <w:t>0.</w:t>
            </w:r>
            <w:r>
              <w:rPr>
                <w:rFonts w:hint="eastAsia"/>
                <w:lang w:val="en-US" w:eastAsia="zh-CN"/>
              </w:rPr>
              <w:t>0808</w:t>
            </w:r>
            <w:r>
              <w:t>kg</w:t>
            </w:r>
            <w:r>
              <w:rPr>
                <w:rFonts w:hint="eastAsia"/>
              </w:rPr>
              <w:t>/</w:t>
            </w:r>
            <w:r>
              <w:t>h)。厂区内无组织排放的</w:t>
            </w:r>
            <w:r>
              <w:rPr>
                <w:rFonts w:hint="eastAsia"/>
              </w:rPr>
              <w:t>非甲烷</w:t>
            </w:r>
            <w:r>
              <w:t>总烃浓度小于6</w:t>
            </w:r>
            <w:r>
              <w:rPr>
                <w:rFonts w:hint="eastAsia"/>
              </w:rPr>
              <w:t>mg/m³</w:t>
            </w:r>
            <w:r>
              <w:t>，满足</w:t>
            </w:r>
            <w:r>
              <w:rPr>
                <w:rFonts w:hint="eastAsia" w:ascii="Times New Roman" w:hAnsi="Times New Roman" w:cs="Times New Roman"/>
                <w:b w:val="0"/>
                <w:bCs w:val="0"/>
                <w:color w:val="auto"/>
                <w:sz w:val="24"/>
                <w:szCs w:val="24"/>
                <w:highlight w:val="none"/>
                <w:lang w:val="en-US" w:eastAsia="zh-CN"/>
              </w:rPr>
              <w:t>《固定源挥发性有机物综合排放标准-第6部分：其他行业》（DB34 4812.6-2024 ）表4</w:t>
            </w:r>
            <w:r>
              <w:rPr>
                <w:color w:val="auto"/>
              </w:rPr>
              <w:t>厂区内 VOCs 无组织特别排放限值的要求</w:t>
            </w:r>
            <w:r>
              <w:rPr>
                <w:rFonts w:hint="eastAsia"/>
                <w:color w:val="auto"/>
                <w:lang w:eastAsia="zh-CN"/>
              </w:rPr>
              <w:t>。</w:t>
            </w:r>
          </w:p>
          <w:p w14:paraId="2F41A361">
            <w:pPr>
              <w:pStyle w:val="46"/>
              <w:rPr>
                <w:rFonts w:hint="eastAsia"/>
                <w:b/>
                <w:bCs/>
                <w:color w:val="auto"/>
                <w:lang w:val="en-US" w:eastAsia="zh-CN"/>
              </w:rPr>
            </w:pPr>
            <w:r>
              <w:rPr>
                <w:rFonts w:hint="eastAsia"/>
                <w:b/>
                <w:bCs/>
                <w:color w:val="auto"/>
                <w:lang w:val="en-US" w:eastAsia="zh-CN"/>
              </w:rPr>
              <w:t>②EPP汽车零配件生产线</w:t>
            </w:r>
          </w:p>
          <w:p w14:paraId="053C8BDA">
            <w:pPr>
              <w:pStyle w:val="46"/>
              <w:rPr>
                <w:rFonts w:hint="default"/>
                <w:b/>
                <w:bCs/>
                <w:lang w:val="en-US" w:eastAsia="zh-CN"/>
              </w:rPr>
            </w:pPr>
            <w:r>
              <w:rPr>
                <w:color w:val="auto"/>
              </w:rPr>
              <w:t>项目</w:t>
            </w:r>
            <w:r>
              <w:rPr>
                <w:rFonts w:hint="eastAsia"/>
                <w:b w:val="0"/>
                <w:bCs w:val="0"/>
                <w:color w:val="auto"/>
                <w:lang w:val="en-US" w:eastAsia="zh-CN"/>
              </w:rPr>
              <w:t>EPP汽车零配件生产线</w:t>
            </w:r>
            <w:r>
              <w:rPr>
                <w:rFonts w:hint="eastAsia"/>
                <w:color w:val="auto"/>
                <w:lang w:val="en-US" w:eastAsia="zh-CN"/>
              </w:rPr>
              <w:t>成型、烘干废气经管道收集后一起</w:t>
            </w:r>
            <w:r>
              <w:rPr>
                <w:color w:val="auto"/>
              </w:rPr>
              <w:t>引至</w:t>
            </w:r>
            <w:r>
              <w:rPr>
                <w:rFonts w:hint="eastAsia"/>
                <w:color w:val="auto"/>
                <w:lang w:eastAsia="zh-CN"/>
              </w:rPr>
              <w:t>冷凝+二级活性炭</w:t>
            </w:r>
            <w:r>
              <w:rPr>
                <w:color w:val="auto"/>
              </w:rPr>
              <w:t xml:space="preserve">装置处理(处理效率按 </w:t>
            </w:r>
            <w:r>
              <w:rPr>
                <w:rFonts w:hint="eastAsia"/>
                <w:color w:val="auto"/>
                <w:lang w:val="en-US" w:eastAsia="zh-CN"/>
              </w:rPr>
              <w:t>97.5</w:t>
            </w:r>
            <w:r>
              <w:rPr>
                <w:color w:val="auto"/>
              </w:rPr>
              <w:t>%计)，最后通过</w:t>
            </w:r>
            <w:r>
              <w:rPr>
                <w:rFonts w:hint="eastAsia"/>
                <w:color w:val="auto"/>
                <w:lang w:val="en-US" w:eastAsia="zh-CN"/>
              </w:rPr>
              <w:t>21</w:t>
            </w:r>
            <w:r>
              <w:rPr>
                <w:rFonts w:hint="eastAsia"/>
                <w:color w:val="auto"/>
              </w:rPr>
              <w:t>m排气筒</w:t>
            </w:r>
            <w:r>
              <w:rPr>
                <w:color w:val="auto"/>
              </w:rPr>
              <w:t>DA00</w:t>
            </w:r>
            <w:r>
              <w:rPr>
                <w:rFonts w:hint="eastAsia"/>
                <w:color w:val="auto"/>
                <w:lang w:val="en-US" w:eastAsia="zh-CN"/>
              </w:rPr>
              <w:t>2</w:t>
            </w:r>
            <w:r>
              <w:rPr>
                <w:color w:val="auto"/>
              </w:rPr>
              <w:t>排放</w:t>
            </w:r>
            <w:r>
              <w:rPr>
                <w:rFonts w:hint="eastAsia"/>
                <w:color w:val="auto"/>
                <w:lang w:eastAsia="zh-CN"/>
              </w:rPr>
              <w:t>。</w:t>
            </w:r>
            <w:r>
              <w:rPr>
                <w:color w:val="auto"/>
              </w:rPr>
              <w:t>总风量为</w:t>
            </w:r>
            <w:r>
              <w:rPr>
                <w:rFonts w:hint="eastAsia"/>
                <w:color w:val="auto"/>
                <w:lang w:val="en-US" w:eastAsia="zh-CN"/>
              </w:rPr>
              <w:t>8800</w:t>
            </w:r>
            <w:r>
              <w:rPr>
                <w:rFonts w:hint="eastAsia"/>
                <w:color w:val="auto"/>
              </w:rPr>
              <w:t>m³/h</w:t>
            </w:r>
            <w:r>
              <w:rPr>
                <w:color w:val="auto"/>
              </w:rPr>
              <w:t>，</w:t>
            </w:r>
            <w:r>
              <w:rPr>
                <w:rFonts w:hint="eastAsia"/>
                <w:color w:val="auto"/>
              </w:rPr>
              <w:t>非甲烷</w:t>
            </w:r>
            <w:r>
              <w:rPr>
                <w:color w:val="auto"/>
              </w:rPr>
              <w:t>总烃经处理后的有组织排放速率为</w:t>
            </w:r>
            <w:r>
              <w:rPr>
                <w:rFonts w:hint="eastAsia"/>
                <w:color w:val="auto"/>
                <w:lang w:val="en-US" w:eastAsia="zh-CN"/>
              </w:rPr>
              <w:t>0.008</w:t>
            </w:r>
            <w:r>
              <w:rPr>
                <w:color w:val="auto"/>
              </w:rPr>
              <w:t>kg</w:t>
            </w:r>
            <w:r>
              <w:rPr>
                <w:rFonts w:hint="eastAsia"/>
                <w:color w:val="auto"/>
              </w:rPr>
              <w:t>/</w:t>
            </w:r>
            <w:r>
              <w:rPr>
                <w:color w:val="auto"/>
              </w:rPr>
              <w:t>h，排放浓度为</w:t>
            </w:r>
            <w:r>
              <w:rPr>
                <w:rFonts w:hint="eastAsia"/>
                <w:color w:val="auto"/>
                <w:lang w:val="en-US" w:eastAsia="zh-CN"/>
              </w:rPr>
              <w:t>0.909</w:t>
            </w:r>
            <w:r>
              <w:rPr>
                <w:rFonts w:hint="eastAsia"/>
                <w:color w:val="auto"/>
              </w:rPr>
              <w:t>mg/m³</w:t>
            </w:r>
            <w:r>
              <w:rPr>
                <w:color w:val="auto"/>
              </w:rPr>
              <w:t>，</w:t>
            </w:r>
            <w:r>
              <w:rPr>
                <w:rFonts w:hint="eastAsia"/>
                <w:color w:val="auto"/>
              </w:rPr>
              <w:t>非甲烷</w:t>
            </w:r>
            <w:r>
              <w:rPr>
                <w:color w:val="auto"/>
              </w:rPr>
              <w:t>总烃有组织排放达到</w:t>
            </w:r>
            <w:r>
              <w:rPr>
                <w:rFonts w:hint="eastAsia" w:ascii="Times New Roman" w:hAnsi="Times New Roman" w:cs="Times New Roman"/>
                <w:b w:val="0"/>
                <w:bCs w:val="0"/>
                <w:color w:val="auto"/>
                <w:sz w:val="24"/>
                <w:szCs w:val="24"/>
                <w:highlight w:val="none"/>
                <w:lang w:val="en-US" w:eastAsia="zh-CN"/>
              </w:rPr>
              <w:t>《固定源挥发性有机物综合排放标准-第6部分：其他行业》（DB34 4812.6-2024 ）表1排放限制</w:t>
            </w:r>
            <w:r>
              <w:rPr>
                <w:rFonts w:hint="eastAsia"/>
                <w:color w:val="auto"/>
              </w:rPr>
              <w:t>；</w:t>
            </w:r>
            <w:r>
              <w:rPr>
                <w:color w:val="auto"/>
              </w:rPr>
              <w:t>未收集的</w:t>
            </w:r>
            <w:r>
              <w:rPr>
                <w:rFonts w:hint="eastAsia"/>
                <w:color w:val="auto"/>
              </w:rPr>
              <w:t>非甲烷</w:t>
            </w:r>
            <w:r>
              <w:rPr>
                <w:color w:val="auto"/>
              </w:rPr>
              <w:t>总烃为</w:t>
            </w:r>
            <w:r>
              <w:rPr>
                <w:rFonts w:hint="eastAsia"/>
                <w:color w:val="auto"/>
                <w:lang w:eastAsia="zh-CN"/>
              </w:rPr>
              <w:t>0</w:t>
            </w:r>
            <w:r>
              <w:rPr>
                <w:rFonts w:hint="eastAsia"/>
                <w:color w:val="auto"/>
                <w:lang w:val="en-US" w:eastAsia="zh-CN"/>
              </w:rPr>
              <w:t>.4050</w:t>
            </w:r>
            <w:r>
              <w:rPr>
                <w:color w:val="auto"/>
              </w:rPr>
              <w:t>t</w:t>
            </w:r>
            <w:r>
              <w:rPr>
                <w:rFonts w:hint="eastAsia"/>
                <w:color w:val="auto"/>
              </w:rPr>
              <w:t>/</w:t>
            </w:r>
            <w:r>
              <w:rPr>
                <w:color w:val="auto"/>
              </w:rPr>
              <w:t>a(</w:t>
            </w:r>
            <w:r>
              <w:rPr>
                <w:rFonts w:hint="eastAsia"/>
                <w:color w:val="auto"/>
                <w:lang w:eastAsia="zh-CN"/>
              </w:rPr>
              <w:t>0.</w:t>
            </w:r>
            <w:r>
              <w:rPr>
                <w:rFonts w:hint="eastAsia"/>
                <w:color w:val="auto"/>
                <w:lang w:val="en-US" w:eastAsia="zh-CN"/>
              </w:rPr>
              <w:t>0563</w:t>
            </w:r>
            <w:r>
              <w:rPr>
                <w:color w:val="auto"/>
              </w:rPr>
              <w:t>kg</w:t>
            </w:r>
            <w:r>
              <w:rPr>
                <w:rFonts w:hint="eastAsia"/>
                <w:color w:val="auto"/>
              </w:rPr>
              <w:t>/</w:t>
            </w:r>
            <w:r>
              <w:rPr>
                <w:color w:val="auto"/>
              </w:rPr>
              <w:t>h)</w:t>
            </w:r>
            <w:r>
              <w:rPr>
                <w:rFonts w:hint="eastAsia"/>
                <w:color w:val="auto"/>
                <w:lang w:eastAsia="zh-CN"/>
              </w:rPr>
              <w:t>，</w:t>
            </w:r>
            <w:r>
              <w:rPr>
                <w:color w:val="auto"/>
              </w:rPr>
              <w:t>厂区内无组织排放的</w:t>
            </w:r>
            <w:r>
              <w:rPr>
                <w:rFonts w:hint="eastAsia"/>
                <w:color w:val="auto"/>
              </w:rPr>
              <w:t>非甲烷</w:t>
            </w:r>
            <w:r>
              <w:rPr>
                <w:color w:val="auto"/>
              </w:rPr>
              <w:t>总烃浓度小于6</w:t>
            </w:r>
            <w:r>
              <w:rPr>
                <w:rFonts w:hint="eastAsia"/>
                <w:color w:val="auto"/>
              </w:rPr>
              <w:t>mg/m³</w:t>
            </w:r>
            <w:r>
              <w:rPr>
                <w:color w:val="auto"/>
              </w:rPr>
              <w:t>，满足</w:t>
            </w:r>
            <w:r>
              <w:rPr>
                <w:rFonts w:hint="eastAsia" w:ascii="Times New Roman" w:hAnsi="Times New Roman" w:cs="Times New Roman"/>
                <w:b w:val="0"/>
                <w:bCs w:val="0"/>
                <w:color w:val="auto"/>
                <w:sz w:val="24"/>
                <w:szCs w:val="24"/>
                <w:highlight w:val="none"/>
                <w:lang w:val="en-US" w:eastAsia="zh-CN"/>
              </w:rPr>
              <w:t>《固定源挥发性有机物综合排放标准-第6部分：其他行业》（DB34 4812.6-2024 ）表4</w:t>
            </w:r>
            <w:r>
              <w:t>厂区内 VOCs 无组织特别排放限值的要求</w:t>
            </w:r>
            <w:r>
              <w:rPr>
                <w:rFonts w:hint="eastAsia"/>
                <w:lang w:eastAsia="zh-CN"/>
              </w:rPr>
              <w:t>。</w:t>
            </w:r>
          </w:p>
          <w:p w14:paraId="2438AE20">
            <w:pPr>
              <w:pStyle w:val="46"/>
              <w:numPr>
                <w:ilvl w:val="0"/>
                <w:numId w:val="9"/>
              </w:numPr>
              <w:ind w:firstLine="482"/>
              <w:rPr>
                <w:b/>
                <w:bCs/>
              </w:rPr>
            </w:pPr>
            <w:r>
              <w:rPr>
                <w:rFonts w:hint="eastAsia"/>
                <w:b/>
                <w:bCs/>
              </w:rPr>
              <w:t>臭气浓度</w:t>
            </w:r>
          </w:p>
          <w:p w14:paraId="26988728">
            <w:pPr>
              <w:pStyle w:val="74"/>
              <w:keepNext w:val="0"/>
              <w:keepLines w:val="0"/>
              <w:pageBreakBefore w:val="0"/>
              <w:widowControl w:val="0"/>
              <w:kinsoku/>
              <w:wordWrap w:val="0"/>
              <w:overflowPunct/>
              <w:topLinePunct w:val="0"/>
              <w:autoSpaceDE w:val="0"/>
              <w:autoSpaceDN w:val="0"/>
              <w:bidi w:val="0"/>
              <w:adjustRightInd w:val="0"/>
              <w:snapToGrid/>
              <w:ind w:firstLine="480" w:firstLineChars="200"/>
              <w:jc w:val="left"/>
              <w:textAlignment w:val="auto"/>
              <w:rPr>
                <w:rFonts w:ascii="Times New Roman" w:hAnsi="Times New Roman" w:eastAsia="宋体" w:cs="宋体"/>
                <w:b w:val="0"/>
                <w:bCs w:val="0"/>
                <w:kern w:val="2"/>
                <w:sz w:val="24"/>
                <w:szCs w:val="24"/>
                <w:lang w:val="en-US" w:eastAsia="zh-CN" w:bidi="ar-SA"/>
              </w:rPr>
            </w:pPr>
            <w:r>
              <w:rPr>
                <w:b w:val="0"/>
                <w:bCs w:val="0"/>
                <w:lang w:val="en-US" w:eastAsia="zh-CN"/>
              </w:rPr>
              <w:t>苯乙烯属于臭气的一种。项目生产过程加热使得EPS 树脂颗粒中的苯乙烯 部分挥发伴随产生难闻气味，即臭气，臭气属于无量纲污染物，难以定量分析。本项目</w:t>
            </w:r>
            <w:r>
              <w:rPr>
                <w:rFonts w:hint="eastAsia"/>
                <w:b w:val="0"/>
                <w:bCs w:val="0"/>
                <w:lang w:val="en-US" w:eastAsia="zh-CN"/>
              </w:rPr>
              <w:t>臭气与有机废气一同进入冷凝+二级活性炭装置</w:t>
            </w:r>
            <w:r>
              <w:rPr>
                <w:b w:val="0"/>
                <w:bCs w:val="0"/>
                <w:lang w:val="en-US" w:eastAsia="zh-CN"/>
              </w:rPr>
              <w:t>，处理效率（按非甲烷总烃处理效率计算）可达</w:t>
            </w:r>
            <w:r>
              <w:rPr>
                <w:rFonts w:hint="eastAsia"/>
                <w:b w:val="0"/>
                <w:bCs w:val="0"/>
                <w:lang w:val="en-US" w:eastAsia="zh-CN"/>
              </w:rPr>
              <w:t>90</w:t>
            </w:r>
            <w:r>
              <w:rPr>
                <w:b w:val="0"/>
                <w:bCs w:val="0"/>
                <w:lang w:val="en-US" w:eastAsia="zh-CN"/>
              </w:rPr>
              <w:t>%，处理后废气经2</w:t>
            </w:r>
            <w:r>
              <w:rPr>
                <w:rFonts w:hint="eastAsia"/>
                <w:b w:val="0"/>
                <w:bCs w:val="0"/>
                <w:lang w:val="en-US" w:eastAsia="zh-CN"/>
              </w:rPr>
              <w:t>1</w:t>
            </w:r>
            <w:r>
              <w:rPr>
                <w:b w:val="0"/>
                <w:bCs w:val="0"/>
                <w:lang w:val="en-US" w:eastAsia="zh-CN"/>
              </w:rPr>
              <w:t>m排气筒DA00</w:t>
            </w:r>
            <w:r>
              <w:rPr>
                <w:rFonts w:hint="eastAsia"/>
                <w:b w:val="0"/>
                <w:bCs w:val="0"/>
                <w:lang w:val="en-US" w:eastAsia="zh-CN"/>
              </w:rPr>
              <w:t>1</w:t>
            </w:r>
            <w:r>
              <w:rPr>
                <w:b w:val="0"/>
                <w:bCs w:val="0"/>
                <w:lang w:val="en-US" w:eastAsia="zh-CN"/>
              </w:rPr>
              <w:t>高空排放，可对臭气浓度进行净化，确保满足《恶臭污染物排放标准》（GB14554-93）标准限值无组织要求，即厂界苯乙烯5.0mg/m</w:t>
            </w:r>
            <w:r>
              <w:rPr>
                <w:b w:val="0"/>
                <w:bCs w:val="0"/>
                <w:vertAlign w:val="superscript"/>
                <w:lang w:val="en-US" w:eastAsia="zh-CN"/>
              </w:rPr>
              <w:t>3</w:t>
            </w:r>
            <w:r>
              <w:rPr>
                <w:b w:val="0"/>
                <w:bCs w:val="0"/>
                <w:lang w:val="en-US" w:eastAsia="zh-CN"/>
              </w:rPr>
              <w:t xml:space="preserve"> </w:t>
            </w:r>
            <w:r>
              <w:rPr>
                <w:rFonts w:ascii="Times New Roman" w:hAnsi="Times New Roman" w:eastAsia="宋体" w:cs="宋体"/>
                <w:b w:val="0"/>
                <w:bCs w:val="0"/>
                <w:kern w:val="2"/>
                <w:sz w:val="24"/>
                <w:szCs w:val="24"/>
                <w:lang w:val="en-US" w:eastAsia="zh-CN" w:bidi="ar-SA"/>
              </w:rPr>
              <w:t>的要求。</w:t>
            </w:r>
          </w:p>
          <w:p w14:paraId="138825BA">
            <w:pPr>
              <w:pStyle w:val="46"/>
              <w:ind w:left="480" w:leftChars="200" w:firstLine="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3、排放标准及监测计划</w:t>
            </w:r>
          </w:p>
          <w:p w14:paraId="3D387868">
            <w:pPr>
              <w:pStyle w:val="7"/>
              <w:ind w:firstLine="480"/>
              <w:rPr>
                <w:rFonts w:hint="eastAsia"/>
                <w:sz w:val="24"/>
                <w:szCs w:val="24"/>
              </w:rPr>
            </w:pPr>
            <w:r>
              <w:t>根据</w:t>
            </w:r>
            <w:r>
              <w:rPr>
                <w:rFonts w:hint="eastAsia"/>
              </w:rPr>
              <w:t>《排污单位自行监测技术指南 橡胶和塑料制品》(HJ 1207-2021)，本项目废气监测要求见表4-</w:t>
            </w:r>
            <w:r>
              <w:rPr>
                <w:rFonts w:hint="eastAsia"/>
                <w:lang w:val="en-US" w:eastAsia="zh-CN"/>
              </w:rPr>
              <w:t>14</w:t>
            </w:r>
            <w:r>
              <w:rPr>
                <w:rFonts w:hint="eastAsia"/>
              </w:rPr>
              <w:t>。</w:t>
            </w:r>
          </w:p>
          <w:p w14:paraId="000FF3D0">
            <w:pPr>
              <w:pStyle w:val="91"/>
              <w:rPr>
                <w:sz w:val="24"/>
                <w:szCs w:val="24"/>
              </w:rPr>
            </w:pPr>
            <w:r>
              <w:rPr>
                <w:rFonts w:hint="eastAsia"/>
                <w:sz w:val="24"/>
                <w:szCs w:val="24"/>
              </w:rPr>
              <w:t>表4-</w:t>
            </w:r>
            <w:r>
              <w:rPr>
                <w:rFonts w:hint="eastAsia"/>
                <w:sz w:val="24"/>
                <w:szCs w:val="24"/>
                <w:lang w:val="en-US" w:eastAsia="zh-CN"/>
              </w:rPr>
              <w:t>14</w:t>
            </w:r>
            <w:r>
              <w:rPr>
                <w:rFonts w:hint="eastAsia"/>
                <w:sz w:val="24"/>
                <w:szCs w:val="24"/>
              </w:rPr>
              <w:t xml:space="preserve"> 项目废气监测要求一览表</w:t>
            </w:r>
          </w:p>
          <w:tbl>
            <w:tblPr>
              <w:tblStyle w:val="2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818"/>
              <w:gridCol w:w="887"/>
              <w:gridCol w:w="1256"/>
              <w:gridCol w:w="1143"/>
              <w:gridCol w:w="1242"/>
              <w:gridCol w:w="2753"/>
            </w:tblGrid>
            <w:tr w14:paraId="2864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7" w:type="pct"/>
                  <w:noWrap/>
                  <w:vAlign w:val="center"/>
                </w:tcPr>
                <w:p w14:paraId="27B12C19">
                  <w:pPr>
                    <w:pStyle w:val="51"/>
                    <w:spacing w:before="33" w:after="33"/>
                  </w:pPr>
                  <w:r>
                    <w:t>监测类别</w:t>
                  </w:r>
                </w:p>
              </w:tc>
              <w:tc>
                <w:tcPr>
                  <w:tcW w:w="994" w:type="pct"/>
                  <w:gridSpan w:val="2"/>
                  <w:noWrap/>
                  <w:vAlign w:val="center"/>
                </w:tcPr>
                <w:p w14:paraId="28530FAF">
                  <w:pPr>
                    <w:pStyle w:val="51"/>
                    <w:spacing w:before="33" w:after="33"/>
                  </w:pPr>
                  <w:r>
                    <w:t>监测位置</w:t>
                  </w:r>
                </w:p>
                <w:p w14:paraId="351096E6">
                  <w:pPr>
                    <w:pStyle w:val="51"/>
                    <w:spacing w:before="33" w:after="33"/>
                  </w:pPr>
                  <w:r>
                    <w:rPr>
                      <w:rFonts w:hint="eastAsia"/>
                    </w:rPr>
                    <w:t>（</w:t>
                  </w:r>
                  <w:r>
                    <w:t>或监测布点</w:t>
                  </w:r>
                  <w:r>
                    <w:rPr>
                      <w:rFonts w:hint="eastAsia"/>
                    </w:rPr>
                    <w:t>）</w:t>
                  </w:r>
                </w:p>
              </w:tc>
              <w:tc>
                <w:tcPr>
                  <w:tcW w:w="732" w:type="pct"/>
                  <w:noWrap/>
                  <w:vAlign w:val="center"/>
                </w:tcPr>
                <w:p w14:paraId="37E82669">
                  <w:pPr>
                    <w:pStyle w:val="51"/>
                    <w:spacing w:before="33" w:after="33"/>
                  </w:pPr>
                  <w:r>
                    <w:t>监测</w:t>
                  </w:r>
                </w:p>
                <w:p w14:paraId="4BCC67D3">
                  <w:pPr>
                    <w:pStyle w:val="51"/>
                    <w:spacing w:before="33" w:after="33"/>
                  </w:pPr>
                  <w:r>
                    <w:t>项目</w:t>
                  </w:r>
                </w:p>
              </w:tc>
              <w:tc>
                <w:tcPr>
                  <w:tcW w:w="666" w:type="pct"/>
                  <w:noWrap/>
                  <w:vAlign w:val="center"/>
                </w:tcPr>
                <w:p w14:paraId="40C91D94">
                  <w:pPr>
                    <w:pStyle w:val="51"/>
                    <w:spacing w:before="33" w:after="33"/>
                  </w:pPr>
                  <w:r>
                    <w:t>监测</w:t>
                  </w:r>
                </w:p>
                <w:p w14:paraId="76B60463">
                  <w:pPr>
                    <w:pStyle w:val="51"/>
                    <w:spacing w:before="33" w:after="33"/>
                  </w:pPr>
                  <w:r>
                    <w:t>频率</w:t>
                  </w:r>
                </w:p>
              </w:tc>
              <w:tc>
                <w:tcPr>
                  <w:tcW w:w="724" w:type="pct"/>
                  <w:noWrap/>
                  <w:vAlign w:val="center"/>
                </w:tcPr>
                <w:p w14:paraId="65BF47BD">
                  <w:pPr>
                    <w:pStyle w:val="51"/>
                    <w:spacing w:before="33" w:after="33"/>
                  </w:pPr>
                  <w:r>
                    <w:rPr>
                      <w:rFonts w:hint="eastAsia"/>
                    </w:rPr>
                    <w:t>监测依据</w:t>
                  </w:r>
                </w:p>
              </w:tc>
              <w:tc>
                <w:tcPr>
                  <w:tcW w:w="1605" w:type="pct"/>
                  <w:noWrap/>
                  <w:vAlign w:val="center"/>
                </w:tcPr>
                <w:p w14:paraId="42FEC3A5">
                  <w:pPr>
                    <w:pStyle w:val="51"/>
                    <w:spacing w:before="33" w:after="33"/>
                  </w:pPr>
                  <w:r>
                    <w:t>执行排放标准</w:t>
                  </w:r>
                </w:p>
              </w:tc>
            </w:tr>
            <w:tr w14:paraId="7C13C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277" w:type="pct"/>
                  <w:vMerge w:val="restart"/>
                  <w:noWrap/>
                  <w:vAlign w:val="center"/>
                </w:tcPr>
                <w:p w14:paraId="040D7356">
                  <w:pPr>
                    <w:pStyle w:val="51"/>
                    <w:spacing w:before="33" w:after="33"/>
                  </w:pPr>
                  <w:r>
                    <w:rPr>
                      <w:rFonts w:hint="eastAsia"/>
                    </w:rPr>
                    <w:t>废气</w:t>
                  </w:r>
                </w:p>
              </w:tc>
              <w:tc>
                <w:tcPr>
                  <w:tcW w:w="477" w:type="pct"/>
                  <w:vMerge w:val="restart"/>
                  <w:noWrap/>
                  <w:vAlign w:val="center"/>
                </w:tcPr>
                <w:p w14:paraId="6C071347">
                  <w:pPr>
                    <w:pStyle w:val="51"/>
                    <w:spacing w:before="33" w:after="33"/>
                  </w:pPr>
                  <w:r>
                    <w:t>有组织废气</w:t>
                  </w:r>
                </w:p>
              </w:tc>
              <w:tc>
                <w:tcPr>
                  <w:tcW w:w="517" w:type="pct"/>
                  <w:vMerge w:val="restart"/>
                  <w:noWrap/>
                  <w:vAlign w:val="center"/>
                </w:tcPr>
                <w:p w14:paraId="596F4A6B">
                  <w:pPr>
                    <w:pStyle w:val="51"/>
                    <w:spacing w:before="33" w:after="33"/>
                  </w:pPr>
                  <w:r>
                    <w:rPr>
                      <w:rFonts w:hint="eastAsia"/>
                    </w:rPr>
                    <w:t>DA001</w:t>
                  </w:r>
                </w:p>
              </w:tc>
              <w:tc>
                <w:tcPr>
                  <w:tcW w:w="732" w:type="pct"/>
                  <w:noWrap/>
                  <w:vAlign w:val="center"/>
                </w:tcPr>
                <w:p w14:paraId="51D1F7B1">
                  <w:pPr>
                    <w:pStyle w:val="51"/>
                    <w:spacing w:before="33" w:after="33"/>
                  </w:pPr>
                  <w:r>
                    <w:rPr>
                      <w:rFonts w:hint="eastAsia"/>
                    </w:rPr>
                    <w:t>非甲烷总烃</w:t>
                  </w:r>
                </w:p>
              </w:tc>
              <w:tc>
                <w:tcPr>
                  <w:tcW w:w="666" w:type="pct"/>
                  <w:noWrap/>
                  <w:vAlign w:val="center"/>
                </w:tcPr>
                <w:p w14:paraId="135D4693">
                  <w:pPr>
                    <w:pStyle w:val="51"/>
                    <w:spacing w:before="33" w:after="33"/>
                  </w:pPr>
                  <w:r>
                    <w:rPr>
                      <w:rFonts w:hint="eastAsia"/>
                    </w:rPr>
                    <w:t>1</w:t>
                  </w:r>
                  <w:r>
                    <w:t>次</w:t>
                  </w:r>
                  <w:r>
                    <w:rPr>
                      <w:rFonts w:hint="eastAsia"/>
                    </w:rPr>
                    <w:t>/年</w:t>
                  </w:r>
                </w:p>
              </w:tc>
              <w:tc>
                <w:tcPr>
                  <w:tcW w:w="724" w:type="pct"/>
                  <w:vMerge w:val="restart"/>
                  <w:noWrap/>
                  <w:vAlign w:val="center"/>
                </w:tcPr>
                <w:p w14:paraId="28BD724E">
                  <w:pPr>
                    <w:pStyle w:val="51"/>
                    <w:spacing w:before="33" w:after="33"/>
                    <w:rPr>
                      <w:lang w:val="en-GB"/>
                    </w:rPr>
                  </w:pPr>
                  <w:r>
                    <w:rPr>
                      <w:rFonts w:hint="eastAsia"/>
                    </w:rPr>
                    <w:t>《排污单位自行监测技术指南 橡胶和塑料制品》(HJ 1207-2021)</w:t>
                  </w:r>
                </w:p>
              </w:tc>
              <w:tc>
                <w:tcPr>
                  <w:tcW w:w="1605" w:type="pct"/>
                  <w:noWrap/>
                  <w:vAlign w:val="center"/>
                </w:tcPr>
                <w:p w14:paraId="006DD85C">
                  <w:pPr>
                    <w:pStyle w:val="51"/>
                    <w:spacing w:before="33" w:after="33"/>
                    <w:rPr>
                      <w:color w:val="auto"/>
                    </w:rPr>
                  </w:pPr>
                  <w:r>
                    <w:rPr>
                      <w:rStyle w:val="50"/>
                      <w:rFonts w:hint="eastAsia"/>
                      <w:color w:val="auto"/>
                      <w:lang w:val="en-US" w:eastAsia="zh-CN"/>
                    </w:rPr>
                    <w:t>《固定源挥发性有机物综合排放标准-第6部分：其他行业》（DB34 4812.6-2024 ）表1排放限制</w:t>
                  </w:r>
                </w:p>
              </w:tc>
            </w:tr>
            <w:tr w14:paraId="55983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277" w:type="pct"/>
                  <w:vMerge w:val="continue"/>
                  <w:noWrap/>
                  <w:vAlign w:val="center"/>
                </w:tcPr>
                <w:p w14:paraId="067E2CD9">
                  <w:pPr>
                    <w:pStyle w:val="51"/>
                    <w:spacing w:before="33" w:after="33"/>
                    <w:rPr>
                      <w:rFonts w:hint="eastAsia"/>
                    </w:rPr>
                  </w:pPr>
                </w:p>
              </w:tc>
              <w:tc>
                <w:tcPr>
                  <w:tcW w:w="477" w:type="pct"/>
                  <w:vMerge w:val="continue"/>
                  <w:noWrap/>
                  <w:vAlign w:val="center"/>
                </w:tcPr>
                <w:p w14:paraId="68C796B7">
                  <w:pPr>
                    <w:pStyle w:val="51"/>
                    <w:spacing w:before="33" w:after="33"/>
                  </w:pPr>
                </w:p>
              </w:tc>
              <w:tc>
                <w:tcPr>
                  <w:tcW w:w="517" w:type="pct"/>
                  <w:vMerge w:val="continue"/>
                  <w:noWrap/>
                  <w:vAlign w:val="center"/>
                </w:tcPr>
                <w:p w14:paraId="4866DA85">
                  <w:pPr>
                    <w:pStyle w:val="51"/>
                    <w:spacing w:before="33" w:after="33"/>
                    <w:rPr>
                      <w:rFonts w:hint="eastAsia"/>
                    </w:rPr>
                  </w:pPr>
                </w:p>
              </w:tc>
              <w:tc>
                <w:tcPr>
                  <w:tcW w:w="732" w:type="pct"/>
                  <w:noWrap/>
                  <w:vAlign w:val="center"/>
                </w:tcPr>
                <w:p w14:paraId="06D87BD9">
                  <w:pPr>
                    <w:pStyle w:val="51"/>
                    <w:spacing w:before="33" w:after="33"/>
                    <w:rPr>
                      <w:rFonts w:hint="eastAsia" w:eastAsia="宋体"/>
                      <w:lang w:val="en-US" w:eastAsia="zh-CN"/>
                    </w:rPr>
                  </w:pPr>
                  <w:r>
                    <w:rPr>
                      <w:rFonts w:hint="eastAsia"/>
                      <w:lang w:val="en-US" w:eastAsia="zh-CN"/>
                    </w:rPr>
                    <w:t>苯乙烯</w:t>
                  </w:r>
                </w:p>
              </w:tc>
              <w:tc>
                <w:tcPr>
                  <w:tcW w:w="666" w:type="pct"/>
                  <w:noWrap/>
                  <w:vAlign w:val="center"/>
                </w:tcPr>
                <w:p w14:paraId="03709BF5">
                  <w:pPr>
                    <w:pStyle w:val="51"/>
                    <w:spacing w:before="33" w:after="33"/>
                    <w:rPr>
                      <w:rFonts w:hint="eastAsia"/>
                    </w:rPr>
                  </w:pPr>
                  <w:r>
                    <w:rPr>
                      <w:rFonts w:hint="eastAsia"/>
                    </w:rPr>
                    <w:t>1</w:t>
                  </w:r>
                  <w:r>
                    <w:t>次</w:t>
                  </w:r>
                  <w:r>
                    <w:rPr>
                      <w:rFonts w:hint="eastAsia"/>
                    </w:rPr>
                    <w:t>/年</w:t>
                  </w:r>
                </w:p>
              </w:tc>
              <w:tc>
                <w:tcPr>
                  <w:tcW w:w="724" w:type="pct"/>
                  <w:vMerge w:val="continue"/>
                  <w:noWrap/>
                  <w:vAlign w:val="center"/>
                </w:tcPr>
                <w:p w14:paraId="50958DAA">
                  <w:pPr>
                    <w:pStyle w:val="51"/>
                    <w:spacing w:before="33" w:after="33"/>
                    <w:rPr>
                      <w:rFonts w:hint="eastAsia"/>
                    </w:rPr>
                  </w:pPr>
                </w:p>
              </w:tc>
              <w:tc>
                <w:tcPr>
                  <w:tcW w:w="1605" w:type="pct"/>
                  <w:noWrap/>
                  <w:vAlign w:val="center"/>
                </w:tcPr>
                <w:p w14:paraId="10716429">
                  <w:pPr>
                    <w:pStyle w:val="51"/>
                    <w:spacing w:before="33" w:after="33"/>
                    <w:rPr>
                      <w:rStyle w:val="50"/>
                      <w:rFonts w:hint="eastAsia"/>
                      <w:color w:val="auto"/>
                      <w:lang w:val="en-US" w:eastAsia="zh-CN"/>
                    </w:rPr>
                  </w:pPr>
                  <w:r>
                    <w:rPr>
                      <w:rStyle w:val="50"/>
                      <w:rFonts w:hint="eastAsia"/>
                      <w:color w:val="auto"/>
                      <w:lang w:val="en-US" w:eastAsia="zh-CN"/>
                    </w:rPr>
                    <w:t>《固定源挥发性有机物综合排放标准-第6部分：其他行业》（DB34 4812.6-2024 ）表2排放限制</w:t>
                  </w:r>
                </w:p>
              </w:tc>
            </w:tr>
            <w:tr w14:paraId="4DD37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277" w:type="pct"/>
                  <w:vMerge w:val="continue"/>
                  <w:noWrap/>
                  <w:vAlign w:val="center"/>
                </w:tcPr>
                <w:p w14:paraId="7DD8050B">
                  <w:pPr>
                    <w:pStyle w:val="51"/>
                    <w:spacing w:before="33" w:after="33"/>
                  </w:pPr>
                </w:p>
              </w:tc>
              <w:tc>
                <w:tcPr>
                  <w:tcW w:w="477" w:type="pct"/>
                  <w:vMerge w:val="continue"/>
                  <w:noWrap/>
                  <w:vAlign w:val="center"/>
                </w:tcPr>
                <w:p w14:paraId="0FC48884">
                  <w:pPr>
                    <w:pStyle w:val="51"/>
                    <w:spacing w:before="33" w:after="33"/>
                  </w:pPr>
                </w:p>
              </w:tc>
              <w:tc>
                <w:tcPr>
                  <w:tcW w:w="517" w:type="pct"/>
                  <w:vMerge w:val="continue"/>
                  <w:noWrap/>
                  <w:vAlign w:val="center"/>
                </w:tcPr>
                <w:p w14:paraId="6848E006">
                  <w:pPr>
                    <w:pStyle w:val="51"/>
                    <w:spacing w:before="33" w:after="33"/>
                  </w:pPr>
                </w:p>
              </w:tc>
              <w:tc>
                <w:tcPr>
                  <w:tcW w:w="732" w:type="pct"/>
                  <w:noWrap/>
                  <w:vAlign w:val="center"/>
                </w:tcPr>
                <w:p w14:paraId="2D5C7D54">
                  <w:pPr>
                    <w:pStyle w:val="51"/>
                    <w:spacing w:before="33" w:after="33"/>
                  </w:pPr>
                  <w:r>
                    <w:rPr>
                      <w:rFonts w:hint="eastAsia"/>
                    </w:rPr>
                    <w:t>臭气浓度</w:t>
                  </w:r>
                </w:p>
              </w:tc>
              <w:tc>
                <w:tcPr>
                  <w:tcW w:w="666" w:type="pct"/>
                  <w:noWrap/>
                  <w:vAlign w:val="center"/>
                </w:tcPr>
                <w:p w14:paraId="0776D656">
                  <w:pPr>
                    <w:pStyle w:val="51"/>
                    <w:spacing w:before="33" w:after="33"/>
                  </w:pPr>
                  <w:r>
                    <w:rPr>
                      <w:rFonts w:hint="eastAsia"/>
                    </w:rPr>
                    <w:t>1</w:t>
                  </w:r>
                  <w:r>
                    <w:t>次</w:t>
                  </w:r>
                  <w:r>
                    <w:rPr>
                      <w:rFonts w:hint="eastAsia"/>
                    </w:rPr>
                    <w:t>/年</w:t>
                  </w:r>
                </w:p>
              </w:tc>
              <w:tc>
                <w:tcPr>
                  <w:tcW w:w="724" w:type="pct"/>
                  <w:vMerge w:val="continue"/>
                  <w:noWrap/>
                  <w:vAlign w:val="center"/>
                </w:tcPr>
                <w:p w14:paraId="47D2D9FD">
                  <w:pPr>
                    <w:pStyle w:val="51"/>
                    <w:spacing w:before="33" w:after="33"/>
                  </w:pPr>
                </w:p>
              </w:tc>
              <w:tc>
                <w:tcPr>
                  <w:tcW w:w="1605" w:type="pct"/>
                  <w:noWrap/>
                  <w:vAlign w:val="center"/>
                </w:tcPr>
                <w:p w14:paraId="2E623699">
                  <w:pPr>
                    <w:pStyle w:val="51"/>
                    <w:spacing w:before="33" w:after="33"/>
                    <w:rPr>
                      <w:color w:val="auto"/>
                    </w:rPr>
                  </w:pPr>
                  <w:r>
                    <w:rPr>
                      <w:rFonts w:hint="eastAsia"/>
                      <w:color w:val="auto"/>
                    </w:rPr>
                    <w:t>《恶臭污染物排放标准》（GB14554-93）表 2 恶臭污染物排放标准值</w:t>
                  </w:r>
                </w:p>
              </w:tc>
            </w:tr>
            <w:tr w14:paraId="43FC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277" w:type="pct"/>
                  <w:vMerge w:val="continue"/>
                  <w:noWrap/>
                  <w:vAlign w:val="center"/>
                </w:tcPr>
                <w:p w14:paraId="1F0CEB7D">
                  <w:pPr>
                    <w:pStyle w:val="51"/>
                    <w:spacing w:before="33" w:after="33"/>
                  </w:pPr>
                </w:p>
              </w:tc>
              <w:tc>
                <w:tcPr>
                  <w:tcW w:w="477" w:type="pct"/>
                  <w:noWrap/>
                  <w:vAlign w:val="center"/>
                </w:tcPr>
                <w:p w14:paraId="0F4BCB14">
                  <w:pPr>
                    <w:pStyle w:val="51"/>
                    <w:spacing w:before="33" w:after="33"/>
                  </w:pPr>
                  <w:r>
                    <w:t>有组织废气</w:t>
                  </w:r>
                </w:p>
              </w:tc>
              <w:tc>
                <w:tcPr>
                  <w:tcW w:w="517" w:type="pct"/>
                  <w:noWrap/>
                  <w:vAlign w:val="center"/>
                </w:tcPr>
                <w:p w14:paraId="6D400D56">
                  <w:pPr>
                    <w:pStyle w:val="51"/>
                    <w:spacing w:before="33" w:after="33"/>
                    <w:rPr>
                      <w:rFonts w:hint="eastAsia" w:eastAsia="宋体"/>
                      <w:lang w:val="en-US" w:eastAsia="zh-CN"/>
                    </w:rPr>
                  </w:pPr>
                  <w:r>
                    <w:rPr>
                      <w:rFonts w:hint="eastAsia"/>
                    </w:rPr>
                    <w:t>DA00</w:t>
                  </w:r>
                  <w:r>
                    <w:rPr>
                      <w:rFonts w:hint="eastAsia"/>
                      <w:lang w:val="en-US" w:eastAsia="zh-CN"/>
                    </w:rPr>
                    <w:t>2</w:t>
                  </w:r>
                </w:p>
              </w:tc>
              <w:tc>
                <w:tcPr>
                  <w:tcW w:w="732" w:type="pct"/>
                  <w:shd w:val="clear" w:color="auto" w:fill="auto"/>
                  <w:noWrap/>
                  <w:vAlign w:val="center"/>
                </w:tcPr>
                <w:p w14:paraId="36F37BA0">
                  <w:pPr>
                    <w:pStyle w:val="51"/>
                    <w:spacing w:before="33" w:after="33"/>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rPr>
                    <w:t>非甲烷总烃</w:t>
                  </w:r>
                </w:p>
              </w:tc>
              <w:tc>
                <w:tcPr>
                  <w:tcW w:w="666" w:type="pct"/>
                  <w:shd w:val="clear" w:color="auto" w:fill="auto"/>
                  <w:noWrap/>
                  <w:vAlign w:val="center"/>
                </w:tcPr>
                <w:p w14:paraId="560AF488">
                  <w:pPr>
                    <w:pStyle w:val="51"/>
                    <w:spacing w:before="33" w:after="33"/>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rPr>
                    <w:t>1</w:t>
                  </w:r>
                  <w:r>
                    <w:t>次</w:t>
                  </w:r>
                  <w:r>
                    <w:rPr>
                      <w:rFonts w:hint="eastAsia"/>
                    </w:rPr>
                    <w:t>/年</w:t>
                  </w:r>
                </w:p>
              </w:tc>
              <w:tc>
                <w:tcPr>
                  <w:tcW w:w="724" w:type="pct"/>
                  <w:vMerge w:val="continue"/>
                  <w:noWrap/>
                  <w:vAlign w:val="center"/>
                </w:tcPr>
                <w:p w14:paraId="7BDC74D1">
                  <w:pPr>
                    <w:pStyle w:val="51"/>
                    <w:spacing w:before="33" w:after="33"/>
                  </w:pPr>
                </w:p>
              </w:tc>
              <w:tc>
                <w:tcPr>
                  <w:tcW w:w="1605" w:type="pct"/>
                  <w:noWrap/>
                  <w:vAlign w:val="center"/>
                </w:tcPr>
                <w:p w14:paraId="230D4814">
                  <w:pPr>
                    <w:pStyle w:val="51"/>
                    <w:spacing w:before="33" w:after="33"/>
                    <w:rPr>
                      <w:rFonts w:hint="eastAsia"/>
                      <w:color w:val="auto"/>
                    </w:rPr>
                  </w:pPr>
                  <w:r>
                    <w:rPr>
                      <w:rStyle w:val="50"/>
                      <w:rFonts w:hint="eastAsia"/>
                      <w:color w:val="auto"/>
                      <w:lang w:val="en-US" w:eastAsia="zh-CN"/>
                    </w:rPr>
                    <w:t>《固定源挥发性有机物综合排放标准-第6部分：其他行业》（DB34 4812.6-2024 ）表1排放限制</w:t>
                  </w:r>
                </w:p>
              </w:tc>
            </w:tr>
            <w:tr w14:paraId="36FA4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277" w:type="pct"/>
                  <w:vMerge w:val="continue"/>
                  <w:noWrap/>
                  <w:vAlign w:val="center"/>
                </w:tcPr>
                <w:p w14:paraId="593FFF15">
                  <w:pPr>
                    <w:pStyle w:val="51"/>
                    <w:spacing w:before="33" w:after="33"/>
                  </w:pPr>
                </w:p>
              </w:tc>
              <w:tc>
                <w:tcPr>
                  <w:tcW w:w="477" w:type="pct"/>
                  <w:vMerge w:val="restart"/>
                  <w:noWrap/>
                  <w:vAlign w:val="center"/>
                </w:tcPr>
                <w:p w14:paraId="59554134">
                  <w:pPr>
                    <w:pStyle w:val="51"/>
                    <w:spacing w:before="33" w:after="33"/>
                  </w:pPr>
                  <w:r>
                    <w:t>无组织废气</w:t>
                  </w:r>
                </w:p>
              </w:tc>
              <w:tc>
                <w:tcPr>
                  <w:tcW w:w="517" w:type="pct"/>
                  <w:noWrap/>
                  <w:vAlign w:val="center"/>
                </w:tcPr>
                <w:p w14:paraId="2521AE4C">
                  <w:pPr>
                    <w:pStyle w:val="51"/>
                    <w:spacing w:before="33" w:after="33"/>
                  </w:pPr>
                  <w:r>
                    <w:t>厂界</w:t>
                  </w:r>
                </w:p>
              </w:tc>
              <w:tc>
                <w:tcPr>
                  <w:tcW w:w="732" w:type="pct"/>
                  <w:noWrap/>
                  <w:vAlign w:val="center"/>
                </w:tcPr>
                <w:p w14:paraId="69A7BE07">
                  <w:pPr>
                    <w:pStyle w:val="51"/>
                    <w:spacing w:before="33" w:after="33"/>
                    <w:rPr>
                      <w:rFonts w:hint="default" w:eastAsia="宋体"/>
                      <w:lang w:val="en-US" w:eastAsia="zh-CN"/>
                    </w:rPr>
                  </w:pPr>
                  <w:r>
                    <w:rPr>
                      <w:rFonts w:hint="eastAsia"/>
                    </w:rPr>
                    <w:t>臭气浓度</w:t>
                  </w:r>
                  <w:r>
                    <w:rPr>
                      <w:rFonts w:hint="eastAsia"/>
                      <w:lang w:eastAsia="zh-CN"/>
                    </w:rPr>
                    <w:t>、</w:t>
                  </w:r>
                  <w:r>
                    <w:rPr>
                      <w:rFonts w:hint="eastAsia"/>
                      <w:lang w:val="en-US" w:eastAsia="zh-CN"/>
                    </w:rPr>
                    <w:t>苯乙烯</w:t>
                  </w:r>
                </w:p>
              </w:tc>
              <w:tc>
                <w:tcPr>
                  <w:tcW w:w="666" w:type="pct"/>
                  <w:noWrap/>
                  <w:vAlign w:val="center"/>
                </w:tcPr>
                <w:p w14:paraId="5CFDC801">
                  <w:pPr>
                    <w:pStyle w:val="51"/>
                    <w:spacing w:before="33" w:after="33"/>
                  </w:pPr>
                  <w:r>
                    <w:rPr>
                      <w:rFonts w:hint="eastAsia"/>
                    </w:rPr>
                    <w:t>1</w:t>
                  </w:r>
                  <w:r>
                    <w:t>次</w:t>
                  </w:r>
                  <w:r>
                    <w:rPr>
                      <w:rFonts w:hint="eastAsia"/>
                    </w:rPr>
                    <w:t>/年</w:t>
                  </w:r>
                </w:p>
              </w:tc>
              <w:tc>
                <w:tcPr>
                  <w:tcW w:w="724" w:type="pct"/>
                  <w:vMerge w:val="continue"/>
                  <w:noWrap/>
                  <w:vAlign w:val="center"/>
                </w:tcPr>
                <w:p w14:paraId="644467D0">
                  <w:pPr>
                    <w:pStyle w:val="51"/>
                    <w:spacing w:before="33" w:after="33"/>
                  </w:pPr>
                </w:p>
              </w:tc>
              <w:tc>
                <w:tcPr>
                  <w:tcW w:w="1605" w:type="pct"/>
                  <w:noWrap/>
                  <w:vAlign w:val="center"/>
                </w:tcPr>
                <w:p w14:paraId="665A5CC2">
                  <w:pPr>
                    <w:pStyle w:val="51"/>
                    <w:spacing w:before="33" w:after="33"/>
                    <w:rPr>
                      <w:color w:val="auto"/>
                    </w:rPr>
                  </w:pPr>
                  <w:r>
                    <w:rPr>
                      <w:rFonts w:hint="eastAsia"/>
                      <w:color w:val="auto"/>
                    </w:rPr>
                    <w:t xml:space="preserve">《恶臭污染物排放标准》（GB14554-93）表 1 标准 </w:t>
                  </w:r>
                </w:p>
              </w:tc>
            </w:tr>
            <w:tr w14:paraId="18B1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7" w:type="pct"/>
                  <w:vMerge w:val="continue"/>
                  <w:noWrap/>
                  <w:vAlign w:val="center"/>
                </w:tcPr>
                <w:p w14:paraId="163EBA53">
                  <w:pPr>
                    <w:pStyle w:val="51"/>
                    <w:spacing w:before="33" w:after="33"/>
                  </w:pPr>
                </w:p>
              </w:tc>
              <w:tc>
                <w:tcPr>
                  <w:tcW w:w="477" w:type="pct"/>
                  <w:vMerge w:val="continue"/>
                  <w:noWrap/>
                  <w:vAlign w:val="center"/>
                </w:tcPr>
                <w:p w14:paraId="0B8BE7EF">
                  <w:pPr>
                    <w:pStyle w:val="51"/>
                    <w:spacing w:before="33" w:after="33"/>
                  </w:pPr>
                </w:p>
              </w:tc>
              <w:tc>
                <w:tcPr>
                  <w:tcW w:w="517" w:type="pct"/>
                  <w:noWrap/>
                  <w:vAlign w:val="center"/>
                </w:tcPr>
                <w:p w14:paraId="37AB2BC9">
                  <w:pPr>
                    <w:pStyle w:val="51"/>
                    <w:spacing w:before="33" w:after="33"/>
                  </w:pPr>
                  <w:r>
                    <w:t>厂</w:t>
                  </w:r>
                  <w:r>
                    <w:rPr>
                      <w:rFonts w:hint="eastAsia"/>
                    </w:rPr>
                    <w:t>区内</w:t>
                  </w:r>
                </w:p>
              </w:tc>
              <w:tc>
                <w:tcPr>
                  <w:tcW w:w="732" w:type="pct"/>
                  <w:noWrap/>
                  <w:vAlign w:val="center"/>
                </w:tcPr>
                <w:p w14:paraId="665DE6C9">
                  <w:pPr>
                    <w:pStyle w:val="51"/>
                    <w:spacing w:before="33" w:after="33"/>
                  </w:pPr>
                  <w:r>
                    <w:t>VOCs</w:t>
                  </w:r>
                </w:p>
              </w:tc>
              <w:tc>
                <w:tcPr>
                  <w:tcW w:w="666" w:type="pct"/>
                  <w:noWrap/>
                  <w:vAlign w:val="center"/>
                </w:tcPr>
                <w:p w14:paraId="51AA428F">
                  <w:pPr>
                    <w:pStyle w:val="51"/>
                    <w:spacing w:before="33" w:after="33"/>
                  </w:pPr>
                  <w:r>
                    <w:rPr>
                      <w:rFonts w:hint="eastAsia"/>
                    </w:rPr>
                    <w:t>1</w:t>
                  </w:r>
                  <w:r>
                    <w:t>次</w:t>
                  </w:r>
                  <w:r>
                    <w:rPr>
                      <w:rFonts w:hint="eastAsia"/>
                    </w:rPr>
                    <w:t>/年</w:t>
                  </w:r>
                </w:p>
              </w:tc>
              <w:tc>
                <w:tcPr>
                  <w:tcW w:w="724" w:type="pct"/>
                  <w:vMerge w:val="continue"/>
                  <w:noWrap/>
                  <w:vAlign w:val="center"/>
                </w:tcPr>
                <w:p w14:paraId="6D4C291A">
                  <w:pPr>
                    <w:pStyle w:val="51"/>
                    <w:spacing w:before="33" w:after="33"/>
                  </w:pPr>
                </w:p>
              </w:tc>
              <w:tc>
                <w:tcPr>
                  <w:tcW w:w="1605" w:type="pct"/>
                  <w:noWrap/>
                  <w:vAlign w:val="center"/>
                </w:tcPr>
                <w:p w14:paraId="5307928B">
                  <w:pPr>
                    <w:pStyle w:val="51"/>
                    <w:spacing w:before="33" w:after="33"/>
                    <w:rPr>
                      <w:b/>
                      <w:bCs/>
                      <w:color w:val="auto"/>
                    </w:rPr>
                  </w:pPr>
                  <w:r>
                    <w:rPr>
                      <w:rStyle w:val="50"/>
                      <w:rFonts w:hint="eastAsia"/>
                      <w:color w:val="auto"/>
                      <w:lang w:val="en-US" w:eastAsia="zh-CN"/>
                    </w:rPr>
                    <w:t>《固定源挥发性有机物综合排放标准-第6部分：其他行业》（DB34 4812.6-2024 ）表4排放限制</w:t>
                  </w:r>
                </w:p>
              </w:tc>
            </w:tr>
          </w:tbl>
          <w:p w14:paraId="67BB7D2E">
            <w:pPr>
              <w:pStyle w:val="46"/>
              <w:ind w:firstLine="482"/>
              <w:rPr>
                <w:b/>
                <w:bCs/>
              </w:rPr>
            </w:pPr>
            <w:r>
              <w:rPr>
                <w:rFonts w:hint="eastAsia"/>
                <w:b/>
                <w:bCs/>
              </w:rPr>
              <w:t>4、非正常工况下污染物排放情况</w:t>
            </w:r>
          </w:p>
          <w:p w14:paraId="040BC8D5">
            <w:pPr>
              <w:ind w:firstLine="482"/>
              <w:rPr>
                <w:b/>
                <w:bCs/>
              </w:rPr>
            </w:pPr>
            <w:r>
              <w:rPr>
                <w:rFonts w:hint="eastAsia"/>
                <w:b/>
                <w:bCs/>
              </w:rPr>
              <w:t>（1）非正常工况源强分析</w:t>
            </w:r>
          </w:p>
          <w:p w14:paraId="3E0AC659">
            <w:pPr>
              <w:widowControl/>
              <w:ind w:firstLine="480"/>
              <w:rPr>
                <w:rFonts w:hint="eastAsia"/>
                <w:sz w:val="24"/>
                <w:szCs w:val="24"/>
              </w:rPr>
            </w:pPr>
            <w:r>
              <w:rPr>
                <w:rFonts w:hint="eastAsia"/>
              </w:rPr>
              <w:t>非正常情况下废气污染物排放主要是废气处理设施出现故障，造成废气污染物超标排放，本环评重点评价</w:t>
            </w:r>
            <w:r>
              <w:rPr>
                <w:rFonts w:hint="eastAsia"/>
                <w:lang w:val="en-US" w:eastAsia="zh-CN"/>
              </w:rPr>
              <w:t>DA001</w:t>
            </w:r>
            <w:r>
              <w:rPr>
                <w:rFonts w:hint="eastAsia"/>
              </w:rPr>
              <w:t>废气治理设施出现故障，处理效率</w:t>
            </w:r>
            <w:r>
              <w:rPr>
                <w:rFonts w:hint="eastAsia"/>
                <w:lang w:val="en-US" w:eastAsia="zh-CN"/>
              </w:rPr>
              <w:t>50%</w:t>
            </w:r>
            <w:r>
              <w:rPr>
                <w:rFonts w:hint="eastAsia"/>
              </w:rPr>
              <w:t>作为非正常工况进行影响分析。拟建项目设计非正常工况连续排污事件不超过2小时/次，全年累计不应超过30小时平均非正常工况下污染物排放情况详见表</w:t>
            </w:r>
            <w:r>
              <w:t>4-</w:t>
            </w:r>
            <w:r>
              <w:rPr>
                <w:rFonts w:hint="eastAsia"/>
                <w:lang w:val="en-US" w:eastAsia="zh-CN"/>
              </w:rPr>
              <w:t>15</w:t>
            </w:r>
            <w:r>
              <w:rPr>
                <w:rFonts w:hint="eastAsia"/>
              </w:rPr>
              <w:t>。</w:t>
            </w:r>
          </w:p>
          <w:p w14:paraId="2CC9F20C">
            <w:pPr>
              <w:pStyle w:val="91"/>
              <w:rPr>
                <w:sz w:val="24"/>
                <w:szCs w:val="24"/>
              </w:rPr>
            </w:pPr>
            <w:r>
              <w:rPr>
                <w:rFonts w:hint="eastAsia"/>
                <w:sz w:val="24"/>
                <w:szCs w:val="24"/>
              </w:rPr>
              <w:t>表4-</w:t>
            </w:r>
            <w:r>
              <w:rPr>
                <w:rFonts w:hint="eastAsia"/>
                <w:sz w:val="24"/>
                <w:szCs w:val="24"/>
                <w:lang w:val="en-US" w:eastAsia="zh-CN"/>
              </w:rPr>
              <w:t>15</w:t>
            </w:r>
            <w:r>
              <w:rPr>
                <w:rFonts w:hint="eastAsia"/>
                <w:sz w:val="24"/>
                <w:szCs w:val="24"/>
              </w:rPr>
              <w:t>非常正常工况废气排放源强表</w:t>
            </w:r>
          </w:p>
          <w:tbl>
            <w:tblPr>
              <w:tblStyle w:val="26"/>
              <w:tblW w:w="48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782"/>
              <w:gridCol w:w="916"/>
              <w:gridCol w:w="663"/>
              <w:gridCol w:w="858"/>
              <w:gridCol w:w="843"/>
              <w:gridCol w:w="1071"/>
              <w:gridCol w:w="980"/>
              <w:gridCol w:w="1377"/>
            </w:tblGrid>
            <w:tr w14:paraId="1D951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57" w:type="pct"/>
                  <w:vMerge w:val="restart"/>
                  <w:noWrap/>
                  <w:vAlign w:val="center"/>
                </w:tcPr>
                <w:p w14:paraId="6CBCB6E4">
                  <w:pPr>
                    <w:pStyle w:val="68"/>
                    <w:rPr>
                      <w:rFonts w:hint="default"/>
                    </w:rPr>
                  </w:pPr>
                  <w:r>
                    <w:t>工况</w:t>
                  </w:r>
                </w:p>
              </w:tc>
              <w:tc>
                <w:tcPr>
                  <w:tcW w:w="474" w:type="pct"/>
                  <w:vMerge w:val="restart"/>
                  <w:noWrap/>
                  <w:vAlign w:val="center"/>
                </w:tcPr>
                <w:p w14:paraId="0C91ABAE">
                  <w:pPr>
                    <w:pStyle w:val="68"/>
                    <w:rPr>
                      <w:rFonts w:hint="default"/>
                    </w:rPr>
                  </w:pPr>
                  <w:r>
                    <w:t>非正常工况时间h</w:t>
                  </w:r>
                </w:p>
              </w:tc>
              <w:tc>
                <w:tcPr>
                  <w:tcW w:w="555" w:type="pct"/>
                  <w:vMerge w:val="restart"/>
                  <w:noWrap/>
                  <w:vAlign w:val="center"/>
                </w:tcPr>
                <w:p w14:paraId="1FC12DA3">
                  <w:pPr>
                    <w:pStyle w:val="68"/>
                    <w:rPr>
                      <w:rFonts w:hint="default"/>
                    </w:rPr>
                  </w:pPr>
                  <w:r>
                    <w:t>发生故障收集及处理效率</w:t>
                  </w:r>
                </w:p>
              </w:tc>
              <w:tc>
                <w:tcPr>
                  <w:tcW w:w="402" w:type="pct"/>
                  <w:vMerge w:val="restart"/>
                  <w:noWrap/>
                  <w:vAlign w:val="center"/>
                </w:tcPr>
                <w:p w14:paraId="1D8CDC8D">
                  <w:pPr>
                    <w:pStyle w:val="68"/>
                    <w:rPr>
                      <w:rFonts w:hint="default"/>
                    </w:rPr>
                  </w:pPr>
                  <w:r>
                    <w:t>废气量</w:t>
                  </w:r>
                </w:p>
                <w:p w14:paraId="66E9F323">
                  <w:pPr>
                    <w:pStyle w:val="68"/>
                    <w:rPr>
                      <w:rFonts w:hint="default"/>
                    </w:rPr>
                  </w:pPr>
                  <w:r>
                    <w:t>m</w:t>
                  </w:r>
                  <w:r>
                    <w:rPr>
                      <w:vertAlign w:val="superscript"/>
                    </w:rPr>
                    <w:t>3</w:t>
                  </w:r>
                  <w:r>
                    <w:t>/h</w:t>
                  </w:r>
                </w:p>
              </w:tc>
              <w:tc>
                <w:tcPr>
                  <w:tcW w:w="520" w:type="pct"/>
                  <w:vMerge w:val="restart"/>
                  <w:noWrap/>
                  <w:vAlign w:val="center"/>
                </w:tcPr>
                <w:p w14:paraId="64B647B2">
                  <w:pPr>
                    <w:pStyle w:val="68"/>
                    <w:rPr>
                      <w:rFonts w:hint="default"/>
                    </w:rPr>
                  </w:pPr>
                  <w:r>
                    <w:t>污染物</w:t>
                  </w:r>
                </w:p>
              </w:tc>
              <w:tc>
                <w:tcPr>
                  <w:tcW w:w="2589" w:type="pct"/>
                  <w:gridSpan w:val="4"/>
                  <w:noWrap/>
                  <w:vAlign w:val="center"/>
                </w:tcPr>
                <w:p w14:paraId="0DD1EFA9">
                  <w:pPr>
                    <w:pStyle w:val="68"/>
                    <w:rPr>
                      <w:rFonts w:hint="default"/>
                    </w:rPr>
                  </w:pPr>
                  <w:r>
                    <w:t>有组织</w:t>
                  </w:r>
                </w:p>
              </w:tc>
            </w:tr>
            <w:tr w14:paraId="2F39B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57" w:type="pct"/>
                  <w:vMerge w:val="continue"/>
                  <w:noWrap/>
                  <w:vAlign w:val="center"/>
                </w:tcPr>
                <w:p w14:paraId="752652D7">
                  <w:pPr>
                    <w:pStyle w:val="68"/>
                    <w:rPr>
                      <w:rFonts w:hint="default"/>
                    </w:rPr>
                  </w:pPr>
                </w:p>
              </w:tc>
              <w:tc>
                <w:tcPr>
                  <w:tcW w:w="474" w:type="pct"/>
                  <w:vMerge w:val="continue"/>
                  <w:noWrap/>
                  <w:vAlign w:val="center"/>
                </w:tcPr>
                <w:p w14:paraId="308E1BBC">
                  <w:pPr>
                    <w:pStyle w:val="68"/>
                    <w:rPr>
                      <w:rFonts w:hint="default"/>
                    </w:rPr>
                  </w:pPr>
                </w:p>
              </w:tc>
              <w:tc>
                <w:tcPr>
                  <w:tcW w:w="555" w:type="pct"/>
                  <w:vMerge w:val="continue"/>
                  <w:noWrap/>
                  <w:vAlign w:val="center"/>
                </w:tcPr>
                <w:p w14:paraId="20B063FF">
                  <w:pPr>
                    <w:pStyle w:val="68"/>
                    <w:rPr>
                      <w:rFonts w:hint="default"/>
                    </w:rPr>
                  </w:pPr>
                </w:p>
              </w:tc>
              <w:tc>
                <w:tcPr>
                  <w:tcW w:w="402" w:type="pct"/>
                  <w:vMerge w:val="continue"/>
                  <w:noWrap/>
                  <w:vAlign w:val="center"/>
                </w:tcPr>
                <w:p w14:paraId="463193DC">
                  <w:pPr>
                    <w:pStyle w:val="68"/>
                    <w:rPr>
                      <w:rFonts w:hint="default"/>
                    </w:rPr>
                  </w:pPr>
                </w:p>
              </w:tc>
              <w:tc>
                <w:tcPr>
                  <w:tcW w:w="520" w:type="pct"/>
                  <w:vMerge w:val="continue"/>
                  <w:noWrap/>
                  <w:vAlign w:val="center"/>
                </w:tcPr>
                <w:p w14:paraId="5B7BC9DE">
                  <w:pPr>
                    <w:pStyle w:val="68"/>
                    <w:rPr>
                      <w:rFonts w:hint="default"/>
                    </w:rPr>
                  </w:pPr>
                </w:p>
              </w:tc>
              <w:tc>
                <w:tcPr>
                  <w:tcW w:w="511" w:type="pct"/>
                  <w:noWrap/>
                  <w:vAlign w:val="center"/>
                </w:tcPr>
                <w:p w14:paraId="0C379BB7">
                  <w:pPr>
                    <w:pStyle w:val="68"/>
                    <w:rPr>
                      <w:rFonts w:hint="default"/>
                    </w:rPr>
                  </w:pPr>
                  <w:r>
                    <w:t>排放速率kg/h</w:t>
                  </w:r>
                </w:p>
              </w:tc>
              <w:tc>
                <w:tcPr>
                  <w:tcW w:w="649" w:type="pct"/>
                  <w:noWrap/>
                  <w:vAlign w:val="center"/>
                </w:tcPr>
                <w:p w14:paraId="66D34936">
                  <w:pPr>
                    <w:pStyle w:val="68"/>
                    <w:rPr>
                      <w:rFonts w:hint="default"/>
                    </w:rPr>
                  </w:pPr>
                  <w:r>
                    <w:t>排放浓度mg/m</w:t>
                  </w:r>
                  <w:r>
                    <w:rPr>
                      <w:vertAlign w:val="superscript"/>
                    </w:rPr>
                    <w:t>3</w:t>
                  </w:r>
                </w:p>
              </w:tc>
              <w:tc>
                <w:tcPr>
                  <w:tcW w:w="594" w:type="pct"/>
                  <w:noWrap/>
                  <w:vAlign w:val="center"/>
                </w:tcPr>
                <w:p w14:paraId="1B60FF16">
                  <w:pPr>
                    <w:pStyle w:val="68"/>
                    <w:rPr>
                      <w:rFonts w:hint="default"/>
                    </w:rPr>
                  </w:pPr>
                  <w:r>
                    <w:t>排放标准</w:t>
                  </w:r>
                </w:p>
                <w:p w14:paraId="32DDFEF3">
                  <w:pPr>
                    <w:pStyle w:val="68"/>
                    <w:rPr>
                      <w:rFonts w:hint="default"/>
                    </w:rPr>
                  </w:pPr>
                  <w:r>
                    <w:t>mg/m</w:t>
                  </w:r>
                  <w:r>
                    <w:rPr>
                      <w:vertAlign w:val="superscript"/>
                    </w:rPr>
                    <w:t>3</w:t>
                  </w:r>
                </w:p>
              </w:tc>
              <w:tc>
                <w:tcPr>
                  <w:tcW w:w="834" w:type="pct"/>
                  <w:noWrap/>
                  <w:vAlign w:val="center"/>
                </w:tcPr>
                <w:p w14:paraId="73990970">
                  <w:pPr>
                    <w:pStyle w:val="68"/>
                    <w:rPr>
                      <w:rFonts w:hint="default"/>
                    </w:rPr>
                  </w:pPr>
                  <w:r>
                    <w:t>排放量/t</w:t>
                  </w:r>
                </w:p>
              </w:tc>
            </w:tr>
            <w:tr w14:paraId="35D0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457" w:type="pct"/>
                  <w:noWrap/>
                  <w:vAlign w:val="center"/>
                </w:tcPr>
                <w:p w14:paraId="552213A6">
                  <w:pPr>
                    <w:pStyle w:val="68"/>
                    <w:rPr>
                      <w:rFonts w:hint="default"/>
                    </w:rPr>
                  </w:pPr>
                  <w:r>
                    <w:t>废气处理装置故障</w:t>
                  </w:r>
                </w:p>
              </w:tc>
              <w:tc>
                <w:tcPr>
                  <w:tcW w:w="474" w:type="pct"/>
                  <w:noWrap/>
                  <w:vAlign w:val="center"/>
                </w:tcPr>
                <w:p w14:paraId="033D5108">
                  <w:pPr>
                    <w:pStyle w:val="68"/>
                    <w:rPr>
                      <w:rFonts w:hint="default"/>
                    </w:rPr>
                  </w:pPr>
                  <w:r>
                    <w:t>30</w:t>
                  </w:r>
                </w:p>
              </w:tc>
              <w:tc>
                <w:tcPr>
                  <w:tcW w:w="555" w:type="pct"/>
                  <w:noWrap/>
                  <w:vAlign w:val="center"/>
                </w:tcPr>
                <w:p w14:paraId="2E41877E">
                  <w:pPr>
                    <w:pStyle w:val="68"/>
                    <w:rPr>
                      <w:rFonts w:hint="default"/>
                    </w:rPr>
                  </w:pPr>
                  <w:r>
                    <w:t>50%</w:t>
                  </w:r>
                </w:p>
              </w:tc>
              <w:tc>
                <w:tcPr>
                  <w:tcW w:w="402" w:type="pct"/>
                  <w:noWrap/>
                  <w:vAlign w:val="center"/>
                </w:tcPr>
                <w:p w14:paraId="0E8BFAA3">
                  <w:pPr>
                    <w:pStyle w:val="68"/>
                    <w:rPr>
                      <w:rFonts w:hint="default" w:eastAsia="宋体"/>
                      <w:lang w:val="en-US" w:eastAsia="zh-CN"/>
                    </w:rPr>
                  </w:pPr>
                  <w:r>
                    <w:rPr>
                      <w:rFonts w:hint="eastAsia"/>
                      <w:lang w:val="en-US" w:eastAsia="zh-CN"/>
                    </w:rPr>
                    <w:t>23500</w:t>
                  </w:r>
                </w:p>
              </w:tc>
              <w:tc>
                <w:tcPr>
                  <w:tcW w:w="520" w:type="pct"/>
                  <w:noWrap/>
                  <w:vAlign w:val="center"/>
                </w:tcPr>
                <w:p w14:paraId="20F5C4A2">
                  <w:pPr>
                    <w:pStyle w:val="51"/>
                    <w:spacing w:before="33" w:after="33"/>
                  </w:pPr>
                  <w:r>
                    <w:t>非甲烷总烃</w:t>
                  </w:r>
                </w:p>
              </w:tc>
              <w:tc>
                <w:tcPr>
                  <w:tcW w:w="511" w:type="pct"/>
                  <w:noWrap/>
                  <w:vAlign w:val="center"/>
                </w:tcPr>
                <w:p w14:paraId="0A069314">
                  <w:pPr>
                    <w:pStyle w:val="51"/>
                    <w:spacing w:before="33" w:after="33"/>
                    <w:rPr>
                      <w:rFonts w:hint="default" w:eastAsia="宋体"/>
                      <w:lang w:val="en-US" w:eastAsia="zh-CN"/>
                    </w:rPr>
                  </w:pPr>
                  <w:r>
                    <w:rPr>
                      <w:rFonts w:hint="eastAsia"/>
                    </w:rPr>
                    <w:t>0.</w:t>
                  </w:r>
                  <w:r>
                    <w:rPr>
                      <w:rFonts w:hint="eastAsia"/>
                      <w:lang w:val="en-US" w:eastAsia="zh-CN"/>
                    </w:rPr>
                    <w:t>243</w:t>
                  </w:r>
                </w:p>
              </w:tc>
              <w:tc>
                <w:tcPr>
                  <w:tcW w:w="649" w:type="pct"/>
                  <w:noWrap/>
                  <w:vAlign w:val="center"/>
                </w:tcPr>
                <w:p w14:paraId="1F174E90">
                  <w:pPr>
                    <w:pStyle w:val="51"/>
                    <w:spacing w:before="33" w:after="33"/>
                    <w:rPr>
                      <w:rFonts w:hint="default" w:eastAsia="宋体"/>
                      <w:lang w:val="en-US" w:eastAsia="zh-CN"/>
                    </w:rPr>
                  </w:pPr>
                  <w:r>
                    <w:rPr>
                      <w:rFonts w:hint="eastAsia"/>
                      <w:lang w:val="en-US" w:eastAsia="zh-CN"/>
                    </w:rPr>
                    <w:t>10.3</w:t>
                  </w:r>
                </w:p>
              </w:tc>
              <w:tc>
                <w:tcPr>
                  <w:tcW w:w="594" w:type="pct"/>
                  <w:noWrap/>
                  <w:vAlign w:val="center"/>
                </w:tcPr>
                <w:p w14:paraId="75D8FBF1">
                  <w:pPr>
                    <w:pStyle w:val="51"/>
                    <w:spacing w:before="33" w:after="33"/>
                    <w:rPr>
                      <w:rFonts w:hint="default" w:eastAsia="宋体"/>
                      <w:lang w:val="en-US" w:eastAsia="zh-CN"/>
                    </w:rPr>
                  </w:pPr>
                  <w:r>
                    <w:rPr>
                      <w:rFonts w:hint="eastAsia"/>
                      <w:lang w:val="en-US" w:eastAsia="zh-CN"/>
                    </w:rPr>
                    <w:t>40</w:t>
                  </w:r>
                </w:p>
              </w:tc>
              <w:tc>
                <w:tcPr>
                  <w:tcW w:w="834" w:type="pct"/>
                  <w:noWrap/>
                  <w:vAlign w:val="center"/>
                </w:tcPr>
                <w:p w14:paraId="215A5915">
                  <w:pPr>
                    <w:pStyle w:val="51"/>
                    <w:spacing w:before="33" w:after="33"/>
                    <w:rPr>
                      <w:rFonts w:hint="default" w:eastAsia="宋体"/>
                      <w:lang w:val="en-US" w:eastAsia="zh-CN"/>
                    </w:rPr>
                  </w:pPr>
                  <w:r>
                    <w:rPr>
                      <w:rFonts w:hint="eastAsia"/>
                      <w:lang w:eastAsia="zh-CN"/>
                    </w:rPr>
                    <w:t>0.00</w:t>
                  </w:r>
                  <w:r>
                    <w:rPr>
                      <w:rFonts w:hint="eastAsia"/>
                      <w:lang w:val="en-US" w:eastAsia="zh-CN"/>
                    </w:rPr>
                    <w:t>73</w:t>
                  </w:r>
                </w:p>
              </w:tc>
            </w:tr>
          </w:tbl>
          <w:p w14:paraId="479E7407">
            <w:pPr>
              <w:ind w:firstLine="482"/>
              <w:rPr>
                <w:b/>
                <w:bCs/>
              </w:rPr>
            </w:pPr>
            <w:r>
              <w:rPr>
                <w:rFonts w:hint="eastAsia"/>
                <w:b/>
                <w:bCs/>
              </w:rPr>
              <w:t xml:space="preserve">（2）非正常工况防范措施 </w:t>
            </w:r>
          </w:p>
          <w:p w14:paraId="4C638299">
            <w:pPr>
              <w:ind w:firstLine="480"/>
            </w:pPr>
            <w:r>
              <w:rPr>
                <w:rFonts w:hint="eastAsia"/>
              </w:rPr>
              <w:t>为确保项目废气处理装置正常运行，建设方在日常运行过程中，拟采取如下措施：</w:t>
            </w:r>
          </w:p>
          <w:p w14:paraId="75B0025D">
            <w:pPr>
              <w:ind w:firstLine="480"/>
            </w:pPr>
            <w:r>
              <w:rPr>
                <w:rFonts w:hint="eastAsia"/>
              </w:rPr>
              <w:t xml:space="preserve">①由公司委派专人负责每日巡检废气收集及处理装置，做好巡检记录。 </w:t>
            </w:r>
          </w:p>
          <w:p w14:paraId="34AA1B31">
            <w:pPr>
              <w:ind w:firstLine="480"/>
            </w:pPr>
            <w:r>
              <w:rPr>
                <w:rFonts w:hint="eastAsia"/>
              </w:rPr>
              <w:t>②当发现废气收集及处理设施故障并导致废气非正常排放时，应立即停止废气产生工序，待废气处理装置故障排除后并可正常运行时方可恢复相关生产。</w:t>
            </w:r>
          </w:p>
          <w:p w14:paraId="57DD79F4">
            <w:pPr>
              <w:ind w:firstLine="480"/>
            </w:pPr>
            <w:r>
              <w:rPr>
                <w:rFonts w:hint="eastAsia"/>
              </w:rPr>
              <w:t xml:space="preserve">③定期对废气处理装置进行维护保养，以减少废气的非正常排放。 </w:t>
            </w:r>
          </w:p>
          <w:p w14:paraId="15912765">
            <w:pPr>
              <w:ind w:firstLine="480"/>
            </w:pPr>
            <w:r>
              <w:rPr>
                <w:rFonts w:hint="eastAsia"/>
              </w:rPr>
              <w:t>④建立废气处理装置运行管理台账，由专人负责记录。</w:t>
            </w:r>
          </w:p>
          <w:p w14:paraId="5D2E2C01">
            <w:pPr>
              <w:ind w:firstLine="482"/>
              <w:rPr>
                <w:b/>
                <w:bCs/>
              </w:rPr>
            </w:pPr>
            <w:r>
              <w:rPr>
                <w:rFonts w:hint="eastAsia"/>
                <w:b/>
                <w:bCs/>
              </w:rPr>
              <w:t>5、</w:t>
            </w:r>
            <w:r>
              <w:rPr>
                <w:b/>
                <w:bCs/>
              </w:rPr>
              <w:t>大气环境影响分析结论</w:t>
            </w:r>
          </w:p>
          <w:p w14:paraId="1E4CC907">
            <w:pPr>
              <w:ind w:firstLine="480"/>
            </w:pPr>
            <w:r>
              <w:rPr>
                <w:rFonts w:hint="eastAsia"/>
              </w:rPr>
              <w:t>根据大气环境现状分析，项目所在区域各基本污染物（除</w:t>
            </w:r>
            <w:r>
              <w:t>PM</w:t>
            </w:r>
            <w:r>
              <w:rPr>
                <w:vertAlign w:val="subscript"/>
              </w:rPr>
              <w:t>2.5</w:t>
            </w:r>
            <w:r>
              <w:rPr>
                <w:rFonts w:hint="eastAsia"/>
              </w:rPr>
              <w:t>）质量浓度均满足《环境空气质量标准》（GB3095-2012）中的二级标准要求，项目地所在区域为环境空气质量不达标区。</w:t>
            </w:r>
          </w:p>
          <w:p w14:paraId="35E73147">
            <w:pPr>
              <w:ind w:firstLine="480"/>
              <w:rPr>
                <w:color w:val="auto"/>
              </w:rPr>
            </w:pPr>
            <w:r>
              <w:rPr>
                <w:color w:val="auto"/>
              </w:rPr>
              <w:t>经核算，本项目建成所产生污染物：</w:t>
            </w:r>
            <w:r>
              <w:rPr>
                <w:rFonts w:hint="eastAsia"/>
                <w:color w:val="auto"/>
                <w:lang w:val="en-US" w:eastAsia="zh-CN"/>
              </w:rPr>
              <w:t>有组织</w:t>
            </w:r>
            <w:r>
              <w:rPr>
                <w:color w:val="auto"/>
              </w:rPr>
              <w:t>非甲烷总烃</w:t>
            </w:r>
            <w:r>
              <w:rPr>
                <w:rFonts w:hint="eastAsia"/>
                <w:color w:val="auto"/>
              </w:rPr>
              <w:t>满足</w:t>
            </w:r>
            <w:r>
              <w:rPr>
                <w:rFonts w:hint="eastAsia"/>
                <w:color w:val="auto"/>
                <w:lang w:val="en-US" w:eastAsia="zh-CN"/>
              </w:rPr>
              <w:t>《固定源挥发性有机物综合排放标准-第6部分：其他行业》（DB34 4812.6-2024 ）表1排放限制</w:t>
            </w:r>
            <w:r>
              <w:rPr>
                <w:rFonts w:hint="eastAsia"/>
                <w:color w:val="auto"/>
              </w:rPr>
              <w:t>；</w:t>
            </w:r>
            <w:r>
              <w:rPr>
                <w:rFonts w:hint="eastAsia"/>
                <w:color w:val="auto"/>
                <w:lang w:val="en-US" w:eastAsia="zh-CN"/>
              </w:rPr>
              <w:t>有组织苯乙烯</w:t>
            </w:r>
            <w:r>
              <w:rPr>
                <w:rFonts w:hint="eastAsia"/>
                <w:color w:val="auto"/>
              </w:rPr>
              <w:t>满足</w:t>
            </w:r>
            <w:r>
              <w:rPr>
                <w:rFonts w:hint="eastAsia"/>
                <w:color w:val="auto"/>
                <w:lang w:val="en-US" w:eastAsia="zh-CN"/>
              </w:rPr>
              <w:t>《固定源挥发性有机物综合排放标准-第6部分：其他行业》（DB34 4812.6-2024 ）表2排放限制</w:t>
            </w:r>
            <w:r>
              <w:rPr>
                <w:rFonts w:hint="eastAsia"/>
                <w:color w:val="auto"/>
              </w:rPr>
              <w:t>；</w:t>
            </w:r>
            <w:r>
              <w:rPr>
                <w:color w:val="auto"/>
              </w:rPr>
              <w:t>臭气浓度</w:t>
            </w:r>
            <w:r>
              <w:rPr>
                <w:rFonts w:hint="eastAsia"/>
                <w:color w:val="auto"/>
                <w:lang w:eastAsia="zh-CN"/>
              </w:rPr>
              <w:t>、</w:t>
            </w:r>
            <w:r>
              <w:rPr>
                <w:rFonts w:hint="eastAsia"/>
                <w:color w:val="auto"/>
                <w:lang w:val="en-US" w:eastAsia="zh-CN"/>
              </w:rPr>
              <w:t>苯乙烯</w:t>
            </w:r>
            <w:r>
              <w:rPr>
                <w:color w:val="auto"/>
              </w:rPr>
              <w:t>排放</w:t>
            </w:r>
            <w:r>
              <w:rPr>
                <w:rFonts w:hint="eastAsia"/>
                <w:color w:val="auto"/>
              </w:rPr>
              <w:t>满足</w:t>
            </w:r>
            <w:r>
              <w:rPr>
                <w:color w:val="auto"/>
              </w:rPr>
              <w:t>《恶臭污染物排放标准》（GB14554-93）</w:t>
            </w:r>
            <w:r>
              <w:rPr>
                <w:rFonts w:hint="eastAsia"/>
                <w:color w:val="auto"/>
              </w:rPr>
              <w:t>表 2 恶臭污染物排放标准值及</w:t>
            </w:r>
            <w:r>
              <w:rPr>
                <w:color w:val="auto"/>
              </w:rPr>
              <w:t>表 1 中恶臭污染物厂界浓度控制限值</w:t>
            </w:r>
            <w:r>
              <w:rPr>
                <w:rFonts w:hint="eastAsia" w:eastAsia="Times New Roman" w:cs="宋体"/>
                <w:bCs/>
                <w:color w:val="auto"/>
                <w:kern w:val="21"/>
              </w:rPr>
              <w:t>。</w:t>
            </w:r>
            <w:r>
              <w:rPr>
                <w:color w:val="auto"/>
              </w:rPr>
              <w:t>厂区内无组织排放的</w:t>
            </w:r>
            <w:r>
              <w:rPr>
                <w:rFonts w:hint="eastAsia"/>
                <w:color w:val="auto"/>
              </w:rPr>
              <w:t>非甲烷</w:t>
            </w:r>
            <w:r>
              <w:rPr>
                <w:color w:val="auto"/>
              </w:rPr>
              <w:t>总烃浓度满足</w:t>
            </w:r>
            <w:r>
              <w:rPr>
                <w:rFonts w:hint="eastAsia"/>
                <w:color w:val="auto"/>
                <w:lang w:val="en-US" w:eastAsia="zh-CN"/>
              </w:rPr>
              <w:t>《固定源挥发性有机物综合排放标准-第6部分：其他行业》（DB34 4812.6-2024 ）表4</w:t>
            </w:r>
            <w:r>
              <w:rPr>
                <w:color w:val="auto"/>
              </w:rPr>
              <w:t xml:space="preserve"> 厂区内 VOCs 无组织特别排放限值的要求</w:t>
            </w:r>
            <w:r>
              <w:rPr>
                <w:rFonts w:hint="eastAsia"/>
                <w:color w:val="auto"/>
              </w:rPr>
              <w:t>。</w:t>
            </w:r>
          </w:p>
          <w:p w14:paraId="3CF8C5A2">
            <w:pPr>
              <w:ind w:firstLine="480"/>
            </w:pPr>
            <w:r>
              <w:t>综上分析，本项目运营期废气排放对区域环境空气质量以及周边敏感点的影响不大。</w:t>
            </w:r>
          </w:p>
          <w:p w14:paraId="19E8D503">
            <w:pPr>
              <w:ind w:firstLine="482"/>
              <w:rPr>
                <w:b/>
                <w:bCs/>
                <w:color w:val="auto"/>
                <w:highlight w:val="none"/>
              </w:rPr>
            </w:pPr>
            <w:r>
              <w:rPr>
                <w:rFonts w:hint="eastAsia"/>
                <w:b/>
                <w:bCs/>
                <w:color w:val="auto"/>
                <w:highlight w:val="none"/>
              </w:rPr>
              <w:t>二、废水</w:t>
            </w:r>
          </w:p>
          <w:p w14:paraId="78CE540A">
            <w:pPr>
              <w:ind w:firstLine="482"/>
              <w:rPr>
                <w:b/>
                <w:bCs/>
              </w:rPr>
            </w:pPr>
            <w:r>
              <w:rPr>
                <w:rFonts w:hint="eastAsia"/>
                <w:b/>
                <w:bCs/>
              </w:rPr>
              <w:t>1、废水污染源强</w:t>
            </w:r>
          </w:p>
          <w:p w14:paraId="0B5482F7">
            <w:pPr>
              <w:ind w:firstLine="480"/>
              <w:rPr>
                <w:rFonts w:hint="eastAsia" w:ascii="Times New Roman" w:hAnsi="Times New Roman" w:cs="Times New Roman"/>
                <w:color w:val="auto"/>
                <w:sz w:val="24"/>
                <w:szCs w:val="24"/>
                <w:highlight w:val="none"/>
                <w:u w:val="none"/>
                <w:lang w:val="en-US" w:eastAsia="zh-CN"/>
              </w:rPr>
            </w:pPr>
            <w:r>
              <w:rPr>
                <w:rFonts w:hint="eastAsia"/>
                <w:color w:val="auto"/>
                <w:highlight w:val="none"/>
                <w:u w:val="none"/>
                <w:lang w:val="en-US" w:eastAsia="zh-CN"/>
              </w:rPr>
              <w:t>本项目</w:t>
            </w:r>
            <w:r>
              <w:rPr>
                <w:rFonts w:hint="eastAsia" w:ascii="Times New Roman" w:hAnsi="Times New Roman" w:cs="Times New Roman"/>
                <w:color w:val="auto"/>
                <w:sz w:val="24"/>
                <w:szCs w:val="24"/>
                <w:highlight w:val="none"/>
                <w:u w:val="none"/>
                <w:lang w:val="en-US" w:eastAsia="zh-CN"/>
              </w:rPr>
              <w:t>生产设备、生产车间无需进行冲洗，车间地面</w:t>
            </w:r>
            <w:r>
              <w:rPr>
                <w:rFonts w:hint="eastAsia" w:cs="Times New Roman"/>
                <w:color w:val="auto"/>
                <w:sz w:val="24"/>
                <w:szCs w:val="24"/>
                <w:highlight w:val="none"/>
                <w:u w:val="none"/>
                <w:lang w:val="en-US" w:eastAsia="zh-CN"/>
              </w:rPr>
              <w:t>使用干式清洁</w:t>
            </w:r>
            <w:r>
              <w:rPr>
                <w:rFonts w:hint="eastAsia" w:ascii="Times New Roman" w:hAnsi="Times New Roman" w:cs="Times New Roman"/>
                <w:color w:val="auto"/>
                <w:sz w:val="24"/>
                <w:szCs w:val="24"/>
                <w:highlight w:val="none"/>
                <w:u w:val="none"/>
                <w:lang w:val="en-US" w:eastAsia="zh-CN"/>
              </w:rPr>
              <w:t>。</w:t>
            </w:r>
          </w:p>
          <w:p w14:paraId="18BE582A">
            <w:pPr>
              <w:ind w:firstLine="480"/>
            </w:pPr>
            <w:r>
              <w:rPr>
                <w:rFonts w:hint="eastAsia"/>
              </w:rPr>
              <w:t>本项目生产过程中无生产废水外排产生，仅员工生活过程产生少量的生活用水。</w:t>
            </w:r>
          </w:p>
          <w:p w14:paraId="5E261C5F">
            <w:pPr>
              <w:bidi w:val="0"/>
            </w:pPr>
            <w:r>
              <w:t>本项目</w:t>
            </w:r>
            <w:r>
              <w:rPr>
                <w:rFonts w:hint="eastAsia"/>
              </w:rPr>
              <w:t>新增</w:t>
            </w:r>
            <w:r>
              <w:t>劳动定员为</w:t>
            </w:r>
            <w:r>
              <w:rPr>
                <w:rFonts w:hint="eastAsia"/>
                <w:lang w:val="en-US" w:eastAsia="zh-CN"/>
              </w:rPr>
              <w:t>5</w:t>
            </w:r>
            <w:r>
              <w:rPr>
                <w:rFonts w:hint="eastAsia"/>
              </w:rPr>
              <w:t>0名，根据《安徽省行业用水定额》（DB34/T679-2019）中的相关内容，办公用水定额取60L/人·d。则生活用水量为</w:t>
            </w:r>
            <w:r>
              <w:rPr>
                <w:rFonts w:hint="eastAsia"/>
                <w:lang w:val="en-US" w:eastAsia="zh-CN"/>
              </w:rPr>
              <w:t>3.0</w:t>
            </w:r>
            <w:r>
              <w:rPr>
                <w:rFonts w:hint="eastAsia"/>
              </w:rPr>
              <w:t>m³/d，</w:t>
            </w:r>
            <w:r>
              <w:rPr>
                <w:rFonts w:hint="eastAsia"/>
                <w:lang w:val="en-US" w:eastAsia="zh-CN"/>
              </w:rPr>
              <w:t>900</w:t>
            </w:r>
            <w:r>
              <w:rPr>
                <w:rFonts w:hint="eastAsia"/>
              </w:rPr>
              <w:t>m³/a；污水产生系数按照80%计，则生活污水产生量为</w:t>
            </w:r>
            <w:r>
              <w:rPr>
                <w:rFonts w:hint="eastAsia"/>
                <w:lang w:val="en-US" w:eastAsia="zh-CN"/>
              </w:rPr>
              <w:t>2.4</w:t>
            </w:r>
            <w:r>
              <w:rPr>
                <w:rFonts w:hint="eastAsia"/>
              </w:rPr>
              <w:t>m³/d，</w:t>
            </w:r>
            <w:r>
              <w:rPr>
                <w:rFonts w:hint="eastAsia"/>
                <w:lang w:val="en-US" w:eastAsia="zh-CN"/>
              </w:rPr>
              <w:t>720</w:t>
            </w:r>
            <w:r>
              <w:rPr>
                <w:rFonts w:hint="eastAsia"/>
              </w:rPr>
              <w:t>m³/a，</w:t>
            </w:r>
            <w:r>
              <w:rPr>
                <w:rFonts w:hint="eastAsia"/>
                <w:color w:val="auto"/>
                <w:highlight w:val="none"/>
              </w:rPr>
              <w:t>本项目</w:t>
            </w:r>
            <w:r>
              <w:rPr>
                <w:rFonts w:hint="eastAsia"/>
                <w:color w:val="auto"/>
                <w:highlight w:val="none"/>
                <w:lang w:val="en-US" w:eastAsia="zh-CN"/>
              </w:rPr>
              <w:t>污水排放依托</w:t>
            </w:r>
            <w:r>
              <w:rPr>
                <w:rFonts w:hint="eastAsia" w:cs="Times New Roman"/>
                <w:color w:val="auto"/>
                <w:highlight w:val="none"/>
                <w:lang w:val="en-US" w:eastAsia="zh-CN"/>
              </w:rPr>
              <w:t>淮南益生啤酒有限公司</w:t>
            </w:r>
            <w:r>
              <w:rPr>
                <w:rFonts w:hint="default"/>
                <w:color w:val="auto"/>
                <w:sz w:val="24"/>
                <w:szCs w:val="24"/>
              </w:rPr>
              <w:t>化粪池预处理后</w:t>
            </w:r>
            <w:r>
              <w:rPr>
                <w:rFonts w:hint="eastAsia"/>
                <w:color w:val="auto"/>
                <w:sz w:val="24"/>
                <w:szCs w:val="24"/>
                <w:lang w:val="en-US" w:eastAsia="zh-CN"/>
              </w:rPr>
              <w:t>经市政污水管网</w:t>
            </w:r>
            <w:r>
              <w:rPr>
                <w:rFonts w:hint="default"/>
                <w:color w:val="auto"/>
                <w:sz w:val="24"/>
                <w:szCs w:val="24"/>
              </w:rPr>
              <w:t>进入淮南经济技术开发区工业污水处理厂（三万吨污水处理厂）处理，达标后尾水排入淮河</w:t>
            </w:r>
            <w:r>
              <w:rPr>
                <w:rFonts w:hint="default"/>
                <w:color w:val="auto"/>
                <w:highlight w:val="none"/>
                <w:lang w:val="zh-CN"/>
              </w:rPr>
              <w:t>。</w:t>
            </w:r>
          </w:p>
          <w:p w14:paraId="75C54A97">
            <w:pPr>
              <w:adjustRightInd w:val="0"/>
              <w:snapToGrid w:val="0"/>
              <w:ind w:firstLine="482"/>
              <w:rPr>
                <w:b/>
                <w:bCs/>
                <w:kern w:val="0"/>
              </w:rPr>
            </w:pPr>
            <w:r>
              <w:rPr>
                <w:rFonts w:hint="eastAsia"/>
                <w:b/>
                <w:bCs/>
                <w:kern w:val="0"/>
              </w:rPr>
              <w:t>2、</w:t>
            </w:r>
            <w:r>
              <w:rPr>
                <w:b/>
                <w:bCs/>
                <w:kern w:val="0"/>
              </w:rPr>
              <w:t>废水污染源强核算结果及相关参数一览</w:t>
            </w:r>
          </w:p>
          <w:p w14:paraId="561A314A">
            <w:pPr>
              <w:pStyle w:val="42"/>
              <w:ind w:firstLine="480"/>
            </w:pPr>
            <w:r>
              <w:rPr>
                <w:color w:val="auto"/>
              </w:rPr>
              <w:t>生活污水水质指标参照《</w:t>
            </w:r>
            <w:r>
              <w:rPr>
                <w:rFonts w:hint="eastAsia"/>
                <w:color w:val="auto"/>
              </w:rPr>
              <w:t>生活污染源产排污系数手册</w:t>
            </w:r>
            <w:r>
              <w:rPr>
                <w:color w:val="auto"/>
              </w:rPr>
              <w:t>》中</w:t>
            </w:r>
            <w:r>
              <w:rPr>
                <w:rFonts w:hint="eastAsia"/>
                <w:color w:val="auto"/>
                <w:lang w:eastAsia="zh-CN"/>
              </w:rPr>
              <w:t>“</w:t>
            </w:r>
            <w:r>
              <w:rPr>
                <w:color w:val="auto"/>
              </w:rPr>
              <w:t>表1-1城镇生活源水污染物产生系数</w:t>
            </w:r>
            <w:r>
              <w:rPr>
                <w:rFonts w:hint="eastAsia"/>
                <w:color w:val="auto"/>
                <w:lang w:eastAsia="zh-CN"/>
              </w:rPr>
              <w:t>”</w:t>
            </w:r>
            <w:r>
              <w:rPr>
                <w:color w:val="auto"/>
              </w:rPr>
              <w:t>中四区产污系数</w:t>
            </w:r>
            <w:r>
              <w:rPr>
                <w:rFonts w:hint="eastAsia"/>
                <w:color w:val="000000" w:themeColor="text1"/>
                <w14:textFill>
                  <w14:solidFill>
                    <w14:schemeClr w14:val="tx1"/>
                  </w14:solidFill>
                </w14:textFill>
              </w:rPr>
              <w:t>。</w:t>
            </w:r>
            <w:r>
              <w:t>废水污染源强核算结果及相关参数一览见表</w:t>
            </w:r>
            <w:r>
              <w:rPr>
                <w:rFonts w:hint="eastAsia"/>
              </w:rPr>
              <w:t>4-</w:t>
            </w:r>
            <w:r>
              <w:rPr>
                <w:rFonts w:hint="eastAsia"/>
                <w:lang w:val="en-US" w:eastAsia="zh-CN"/>
              </w:rPr>
              <w:t>16</w:t>
            </w:r>
            <w:r>
              <w:t>。</w:t>
            </w:r>
          </w:p>
          <w:p w14:paraId="17F19CF2">
            <w:pPr>
              <w:pStyle w:val="44"/>
              <w:rPr>
                <w:rFonts w:hint="default"/>
              </w:rPr>
            </w:pPr>
            <w:r>
              <w:t>表4-</w:t>
            </w:r>
            <w:r>
              <w:rPr>
                <w:rFonts w:hint="eastAsia"/>
                <w:lang w:val="en-US" w:eastAsia="zh-CN"/>
              </w:rPr>
              <w:t>16</w:t>
            </w:r>
            <w:r>
              <w:t>项目废水污染物产生与排放情况</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519"/>
              <w:gridCol w:w="805"/>
              <w:gridCol w:w="855"/>
              <w:gridCol w:w="989"/>
              <w:gridCol w:w="958"/>
              <w:gridCol w:w="797"/>
              <w:gridCol w:w="1090"/>
              <w:gridCol w:w="1058"/>
              <w:gridCol w:w="984"/>
            </w:tblGrid>
            <w:tr w14:paraId="343E3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6" w:type="pct"/>
                  <w:vMerge w:val="restart"/>
                  <w:noWrap/>
                  <w:vAlign w:val="center"/>
                </w:tcPr>
                <w:p w14:paraId="10BBDF86">
                  <w:pPr>
                    <w:pStyle w:val="51"/>
                    <w:spacing w:before="33" w:after="33"/>
                  </w:pPr>
                  <w:r>
                    <w:rPr>
                      <w:rFonts w:hint="eastAsia"/>
                    </w:rPr>
                    <w:t>时期</w:t>
                  </w:r>
                </w:p>
              </w:tc>
              <w:tc>
                <w:tcPr>
                  <w:tcW w:w="302" w:type="pct"/>
                  <w:vMerge w:val="restart"/>
                  <w:noWrap/>
                  <w:vAlign w:val="center"/>
                </w:tcPr>
                <w:p w14:paraId="6AF32CB8">
                  <w:pPr>
                    <w:pStyle w:val="51"/>
                    <w:spacing w:before="33" w:after="33"/>
                  </w:pPr>
                  <w:r>
                    <w:rPr>
                      <w:rFonts w:hint="eastAsia"/>
                    </w:rPr>
                    <w:t>污染源</w:t>
                  </w:r>
                </w:p>
              </w:tc>
              <w:tc>
                <w:tcPr>
                  <w:tcW w:w="469" w:type="pct"/>
                  <w:vMerge w:val="restart"/>
                  <w:noWrap/>
                  <w:vAlign w:val="center"/>
                </w:tcPr>
                <w:p w14:paraId="146A30C8">
                  <w:pPr>
                    <w:pStyle w:val="51"/>
                    <w:spacing w:before="33" w:after="33"/>
                  </w:pPr>
                  <w:r>
                    <w:rPr>
                      <w:rFonts w:hint="eastAsia"/>
                    </w:rPr>
                    <w:t>废水量t/a</w:t>
                  </w:r>
                </w:p>
              </w:tc>
              <w:tc>
                <w:tcPr>
                  <w:tcW w:w="498" w:type="pct"/>
                  <w:vMerge w:val="restart"/>
                  <w:noWrap/>
                  <w:vAlign w:val="center"/>
                </w:tcPr>
                <w:p w14:paraId="327B5596">
                  <w:pPr>
                    <w:pStyle w:val="51"/>
                    <w:spacing w:before="33" w:after="33"/>
                  </w:pPr>
                  <w:r>
                    <w:rPr>
                      <w:rFonts w:hint="eastAsia"/>
                    </w:rPr>
                    <w:t>污染物</w:t>
                  </w:r>
                </w:p>
              </w:tc>
              <w:tc>
                <w:tcPr>
                  <w:tcW w:w="1134" w:type="pct"/>
                  <w:gridSpan w:val="2"/>
                  <w:noWrap/>
                  <w:vAlign w:val="center"/>
                </w:tcPr>
                <w:p w14:paraId="27B5E5D7">
                  <w:pPr>
                    <w:pStyle w:val="51"/>
                    <w:spacing w:before="33" w:after="33"/>
                  </w:pPr>
                  <w:r>
                    <w:rPr>
                      <w:rFonts w:hint="eastAsia"/>
                    </w:rPr>
                    <w:t>产生情况</w:t>
                  </w:r>
                </w:p>
              </w:tc>
              <w:tc>
                <w:tcPr>
                  <w:tcW w:w="464" w:type="pct"/>
                  <w:vMerge w:val="restart"/>
                  <w:noWrap/>
                  <w:vAlign w:val="center"/>
                </w:tcPr>
                <w:p w14:paraId="69C2D1FA">
                  <w:pPr>
                    <w:pStyle w:val="51"/>
                    <w:spacing w:before="33" w:after="33"/>
                  </w:pPr>
                  <w:r>
                    <w:rPr>
                      <w:rFonts w:hint="eastAsia"/>
                    </w:rPr>
                    <w:t>拟采取的处理措施</w:t>
                  </w:r>
                </w:p>
              </w:tc>
              <w:tc>
                <w:tcPr>
                  <w:tcW w:w="1251" w:type="pct"/>
                  <w:gridSpan w:val="2"/>
                  <w:noWrap/>
                  <w:vAlign w:val="center"/>
                </w:tcPr>
                <w:p w14:paraId="7A8E692A">
                  <w:pPr>
                    <w:pStyle w:val="51"/>
                    <w:spacing w:before="33" w:after="33"/>
                  </w:pPr>
                  <w:r>
                    <w:rPr>
                      <w:rFonts w:hint="eastAsia"/>
                    </w:rPr>
                    <w:t>接管排放情况</w:t>
                  </w:r>
                </w:p>
              </w:tc>
              <w:tc>
                <w:tcPr>
                  <w:tcW w:w="573" w:type="pct"/>
                  <w:vMerge w:val="restart"/>
                  <w:noWrap/>
                  <w:vAlign w:val="center"/>
                </w:tcPr>
                <w:p w14:paraId="72C25484">
                  <w:pPr>
                    <w:pStyle w:val="51"/>
                    <w:spacing w:before="33" w:after="33"/>
                  </w:pPr>
                  <w:r>
                    <w:rPr>
                      <w:rFonts w:hint="eastAsia"/>
                    </w:rPr>
                    <w:t>排放方式及去向</w:t>
                  </w:r>
                </w:p>
              </w:tc>
            </w:tr>
            <w:tr w14:paraId="21EC9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6" w:type="pct"/>
                  <w:vMerge w:val="continue"/>
                  <w:noWrap/>
                  <w:vAlign w:val="center"/>
                </w:tcPr>
                <w:p w14:paraId="592E9A15">
                  <w:pPr>
                    <w:pStyle w:val="51"/>
                    <w:spacing w:before="33" w:after="33"/>
                  </w:pPr>
                </w:p>
              </w:tc>
              <w:tc>
                <w:tcPr>
                  <w:tcW w:w="302" w:type="pct"/>
                  <w:vMerge w:val="continue"/>
                  <w:noWrap/>
                  <w:vAlign w:val="center"/>
                </w:tcPr>
                <w:p w14:paraId="23720E84">
                  <w:pPr>
                    <w:pStyle w:val="51"/>
                    <w:spacing w:before="33" w:after="33"/>
                  </w:pPr>
                </w:p>
              </w:tc>
              <w:tc>
                <w:tcPr>
                  <w:tcW w:w="469" w:type="pct"/>
                  <w:vMerge w:val="continue"/>
                  <w:noWrap/>
                  <w:vAlign w:val="center"/>
                </w:tcPr>
                <w:p w14:paraId="46FA3FCD">
                  <w:pPr>
                    <w:pStyle w:val="51"/>
                    <w:spacing w:before="33" w:after="33"/>
                  </w:pPr>
                </w:p>
              </w:tc>
              <w:tc>
                <w:tcPr>
                  <w:tcW w:w="498" w:type="pct"/>
                  <w:vMerge w:val="continue"/>
                  <w:noWrap/>
                  <w:vAlign w:val="center"/>
                </w:tcPr>
                <w:p w14:paraId="5786AA95">
                  <w:pPr>
                    <w:pStyle w:val="51"/>
                    <w:spacing w:before="33" w:after="33"/>
                  </w:pPr>
                </w:p>
              </w:tc>
              <w:tc>
                <w:tcPr>
                  <w:tcW w:w="576" w:type="pct"/>
                  <w:noWrap/>
                  <w:vAlign w:val="center"/>
                </w:tcPr>
                <w:p w14:paraId="12C9D4D7">
                  <w:pPr>
                    <w:pStyle w:val="51"/>
                    <w:spacing w:before="33" w:after="33"/>
                  </w:pPr>
                  <w:r>
                    <w:rPr>
                      <w:rFonts w:hint="eastAsia"/>
                    </w:rPr>
                    <w:t>浓度mg/L</w:t>
                  </w:r>
                </w:p>
              </w:tc>
              <w:tc>
                <w:tcPr>
                  <w:tcW w:w="558" w:type="pct"/>
                  <w:noWrap/>
                  <w:vAlign w:val="center"/>
                </w:tcPr>
                <w:p w14:paraId="41C8C61E">
                  <w:pPr>
                    <w:pStyle w:val="51"/>
                    <w:spacing w:before="33" w:after="33"/>
                  </w:pPr>
                  <w:r>
                    <w:rPr>
                      <w:rFonts w:hint="eastAsia"/>
                    </w:rPr>
                    <w:t>产生量t/a</w:t>
                  </w:r>
                </w:p>
              </w:tc>
              <w:tc>
                <w:tcPr>
                  <w:tcW w:w="464" w:type="pct"/>
                  <w:vMerge w:val="continue"/>
                  <w:noWrap/>
                  <w:vAlign w:val="center"/>
                </w:tcPr>
                <w:p w14:paraId="03BF46CB">
                  <w:pPr>
                    <w:pStyle w:val="51"/>
                    <w:spacing w:before="33" w:after="33"/>
                  </w:pPr>
                </w:p>
              </w:tc>
              <w:tc>
                <w:tcPr>
                  <w:tcW w:w="635" w:type="pct"/>
                  <w:noWrap/>
                  <w:vAlign w:val="center"/>
                </w:tcPr>
                <w:p w14:paraId="6A62C7E2">
                  <w:pPr>
                    <w:pStyle w:val="51"/>
                    <w:spacing w:before="33" w:after="33"/>
                  </w:pPr>
                  <w:r>
                    <w:rPr>
                      <w:rFonts w:hint="eastAsia"/>
                    </w:rPr>
                    <w:t>浓度mg/L</w:t>
                  </w:r>
                </w:p>
              </w:tc>
              <w:tc>
                <w:tcPr>
                  <w:tcW w:w="615" w:type="pct"/>
                  <w:noWrap/>
                  <w:vAlign w:val="center"/>
                </w:tcPr>
                <w:p w14:paraId="24D22EFE">
                  <w:pPr>
                    <w:pStyle w:val="51"/>
                    <w:spacing w:before="33" w:after="33"/>
                  </w:pPr>
                  <w:r>
                    <w:rPr>
                      <w:rFonts w:hint="eastAsia"/>
                    </w:rPr>
                    <w:t>排放量t/a</w:t>
                  </w:r>
                </w:p>
              </w:tc>
              <w:tc>
                <w:tcPr>
                  <w:tcW w:w="573" w:type="pct"/>
                  <w:vMerge w:val="continue"/>
                  <w:noWrap/>
                  <w:vAlign w:val="center"/>
                </w:tcPr>
                <w:p w14:paraId="24A692AC">
                  <w:pPr>
                    <w:pStyle w:val="51"/>
                    <w:spacing w:before="33" w:after="33"/>
                  </w:pPr>
                </w:p>
              </w:tc>
            </w:tr>
            <w:tr w14:paraId="3B0C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6" w:type="pct"/>
                  <w:vMerge w:val="restart"/>
                  <w:noWrap/>
                  <w:vAlign w:val="center"/>
                </w:tcPr>
                <w:p w14:paraId="7D34A2D2">
                  <w:pPr>
                    <w:pStyle w:val="51"/>
                    <w:spacing w:before="33" w:after="33"/>
                  </w:pPr>
                  <w:r>
                    <w:rPr>
                      <w:rFonts w:hint="eastAsia"/>
                    </w:rPr>
                    <w:t>营运期</w:t>
                  </w:r>
                </w:p>
              </w:tc>
              <w:tc>
                <w:tcPr>
                  <w:tcW w:w="302" w:type="pct"/>
                  <w:vMerge w:val="restart"/>
                  <w:noWrap/>
                  <w:vAlign w:val="center"/>
                </w:tcPr>
                <w:p w14:paraId="7E242322">
                  <w:pPr>
                    <w:pStyle w:val="51"/>
                    <w:spacing w:before="33" w:after="33"/>
                  </w:pPr>
                  <w:r>
                    <w:rPr>
                      <w:rFonts w:hint="eastAsia"/>
                    </w:rPr>
                    <w:t>生活</w:t>
                  </w:r>
                </w:p>
                <w:p w14:paraId="1F5D4AE8">
                  <w:pPr>
                    <w:pStyle w:val="51"/>
                    <w:spacing w:before="33" w:after="33"/>
                  </w:pPr>
                  <w:r>
                    <w:rPr>
                      <w:rFonts w:hint="eastAsia"/>
                    </w:rPr>
                    <w:t>污水</w:t>
                  </w:r>
                </w:p>
              </w:tc>
              <w:tc>
                <w:tcPr>
                  <w:tcW w:w="469" w:type="pct"/>
                  <w:vMerge w:val="restart"/>
                  <w:noWrap/>
                  <w:vAlign w:val="center"/>
                </w:tcPr>
                <w:p w14:paraId="1E37FD4A">
                  <w:pPr>
                    <w:pStyle w:val="51"/>
                    <w:spacing w:before="33" w:after="33"/>
                    <w:rPr>
                      <w:rFonts w:hint="default" w:eastAsia="宋体"/>
                      <w:lang w:val="en-US" w:eastAsia="zh-CN"/>
                    </w:rPr>
                  </w:pPr>
                  <w:r>
                    <w:rPr>
                      <w:rFonts w:hint="eastAsia"/>
                      <w:lang w:val="en-US" w:eastAsia="zh-CN"/>
                    </w:rPr>
                    <w:t>720</w:t>
                  </w:r>
                </w:p>
              </w:tc>
              <w:tc>
                <w:tcPr>
                  <w:tcW w:w="498" w:type="pct"/>
                  <w:noWrap/>
                  <w:vAlign w:val="center"/>
                </w:tcPr>
                <w:p w14:paraId="7EAB7B7A">
                  <w:pPr>
                    <w:pStyle w:val="51"/>
                    <w:spacing w:before="33" w:after="33"/>
                  </w:pPr>
                  <w:r>
                    <w:rPr>
                      <w:rFonts w:hint="eastAsia"/>
                    </w:rPr>
                    <w:t>pH</w:t>
                  </w:r>
                </w:p>
              </w:tc>
              <w:tc>
                <w:tcPr>
                  <w:tcW w:w="576" w:type="pct"/>
                  <w:noWrap/>
                  <w:vAlign w:val="center"/>
                </w:tcPr>
                <w:p w14:paraId="4EBE8303">
                  <w:pPr>
                    <w:pStyle w:val="51"/>
                    <w:spacing w:before="33" w:after="33"/>
                  </w:pPr>
                  <w:r>
                    <w:rPr>
                      <w:rFonts w:hint="eastAsia"/>
                    </w:rPr>
                    <w:t>/</w:t>
                  </w:r>
                </w:p>
              </w:tc>
              <w:tc>
                <w:tcPr>
                  <w:tcW w:w="558" w:type="pct"/>
                  <w:noWrap/>
                  <w:vAlign w:val="center"/>
                </w:tcPr>
                <w:p w14:paraId="2138CD3B">
                  <w:pPr>
                    <w:pStyle w:val="51"/>
                    <w:spacing w:before="33" w:after="33"/>
                  </w:pPr>
                  <w:r>
                    <w:rPr>
                      <w:rFonts w:hint="eastAsia"/>
                    </w:rPr>
                    <w:t>/</w:t>
                  </w:r>
                </w:p>
              </w:tc>
              <w:tc>
                <w:tcPr>
                  <w:tcW w:w="464" w:type="pct"/>
                  <w:vMerge w:val="restart"/>
                  <w:noWrap/>
                  <w:vAlign w:val="center"/>
                </w:tcPr>
                <w:p w14:paraId="14EAA502">
                  <w:pPr>
                    <w:pStyle w:val="51"/>
                    <w:spacing w:before="33" w:after="33"/>
                  </w:pPr>
                  <w:r>
                    <w:rPr>
                      <w:rFonts w:hint="eastAsia"/>
                    </w:rPr>
                    <w:t>化粪池预处理</w:t>
                  </w:r>
                </w:p>
              </w:tc>
              <w:tc>
                <w:tcPr>
                  <w:tcW w:w="635" w:type="pct"/>
                  <w:noWrap/>
                  <w:vAlign w:val="center"/>
                </w:tcPr>
                <w:p w14:paraId="3A00C9EE">
                  <w:pPr>
                    <w:pStyle w:val="51"/>
                    <w:spacing w:before="33" w:after="33"/>
                  </w:pPr>
                  <w:r>
                    <w:rPr>
                      <w:rFonts w:hint="eastAsia"/>
                    </w:rPr>
                    <w:t>/</w:t>
                  </w:r>
                </w:p>
              </w:tc>
              <w:tc>
                <w:tcPr>
                  <w:tcW w:w="615" w:type="pct"/>
                  <w:noWrap/>
                  <w:vAlign w:val="center"/>
                </w:tcPr>
                <w:p w14:paraId="22EF90F8">
                  <w:pPr>
                    <w:pStyle w:val="51"/>
                    <w:spacing w:before="33" w:after="33"/>
                  </w:pPr>
                  <w:r>
                    <w:rPr>
                      <w:rFonts w:hint="eastAsia"/>
                    </w:rPr>
                    <w:t>/</w:t>
                  </w:r>
                </w:p>
              </w:tc>
              <w:tc>
                <w:tcPr>
                  <w:tcW w:w="573" w:type="pct"/>
                  <w:vMerge w:val="restart"/>
                  <w:noWrap/>
                  <w:vAlign w:val="center"/>
                </w:tcPr>
                <w:p w14:paraId="6355D7AD">
                  <w:pPr>
                    <w:pStyle w:val="51"/>
                    <w:bidi w:val="0"/>
                  </w:pPr>
                  <w:r>
                    <w:rPr>
                      <w:rFonts w:hint="default"/>
                    </w:rPr>
                    <w:t>淮南经济技术开发区工业污水处理厂</w:t>
                  </w:r>
                </w:p>
              </w:tc>
            </w:tr>
            <w:tr w14:paraId="0B6E7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6" w:type="pct"/>
                  <w:vMerge w:val="continue"/>
                  <w:noWrap/>
                  <w:vAlign w:val="center"/>
                </w:tcPr>
                <w:p w14:paraId="00D8187F">
                  <w:pPr>
                    <w:pStyle w:val="51"/>
                    <w:spacing w:before="33" w:after="33"/>
                  </w:pPr>
                </w:p>
              </w:tc>
              <w:tc>
                <w:tcPr>
                  <w:tcW w:w="302" w:type="pct"/>
                  <w:vMerge w:val="continue"/>
                  <w:noWrap/>
                  <w:vAlign w:val="center"/>
                </w:tcPr>
                <w:p w14:paraId="16B04A68">
                  <w:pPr>
                    <w:pStyle w:val="51"/>
                    <w:spacing w:before="33" w:after="33"/>
                  </w:pPr>
                </w:p>
              </w:tc>
              <w:tc>
                <w:tcPr>
                  <w:tcW w:w="469" w:type="pct"/>
                  <w:vMerge w:val="continue"/>
                  <w:noWrap/>
                  <w:vAlign w:val="center"/>
                </w:tcPr>
                <w:p w14:paraId="1AB9A814">
                  <w:pPr>
                    <w:pStyle w:val="51"/>
                    <w:spacing w:before="33" w:after="33"/>
                  </w:pPr>
                </w:p>
              </w:tc>
              <w:tc>
                <w:tcPr>
                  <w:tcW w:w="498" w:type="pct"/>
                  <w:noWrap/>
                  <w:vAlign w:val="center"/>
                </w:tcPr>
                <w:p w14:paraId="358E2F15">
                  <w:pPr>
                    <w:pStyle w:val="51"/>
                    <w:spacing w:before="33" w:after="33"/>
                  </w:pPr>
                  <w:r>
                    <w:rPr>
                      <w:rFonts w:hint="eastAsia"/>
                    </w:rPr>
                    <w:t>COD</w:t>
                  </w:r>
                </w:p>
              </w:tc>
              <w:tc>
                <w:tcPr>
                  <w:tcW w:w="576" w:type="pct"/>
                  <w:noWrap/>
                  <w:vAlign w:val="center"/>
                </w:tcPr>
                <w:p w14:paraId="5116848D">
                  <w:pPr>
                    <w:pStyle w:val="51"/>
                    <w:spacing w:before="33" w:after="33"/>
                    <w:rPr>
                      <w:rFonts w:hint="default" w:eastAsia="宋体"/>
                      <w:lang w:val="en-US" w:eastAsia="zh-CN"/>
                    </w:rPr>
                  </w:pPr>
                  <w:r>
                    <w:rPr>
                      <w:rFonts w:hint="eastAsia"/>
                      <w:lang w:val="en-US" w:eastAsia="zh-CN"/>
                    </w:rPr>
                    <w:t>340</w:t>
                  </w:r>
                </w:p>
              </w:tc>
              <w:tc>
                <w:tcPr>
                  <w:tcW w:w="558" w:type="pct"/>
                  <w:noWrap/>
                  <w:vAlign w:val="center"/>
                </w:tcPr>
                <w:p w14:paraId="41326DA6">
                  <w:pPr>
                    <w:pStyle w:val="51"/>
                    <w:spacing w:before="33" w:after="33"/>
                    <w:rPr>
                      <w:rFonts w:hint="default" w:eastAsia="宋体"/>
                      <w:lang w:val="en-US" w:eastAsia="zh-CN"/>
                    </w:rPr>
                  </w:pPr>
                  <w:r>
                    <w:rPr>
                      <w:rFonts w:hint="eastAsia"/>
                      <w:lang w:val="en-US" w:eastAsia="zh-CN"/>
                    </w:rPr>
                    <w:t>0.2448</w:t>
                  </w:r>
                </w:p>
              </w:tc>
              <w:tc>
                <w:tcPr>
                  <w:tcW w:w="464" w:type="pct"/>
                  <w:vMerge w:val="continue"/>
                  <w:noWrap/>
                  <w:vAlign w:val="center"/>
                </w:tcPr>
                <w:p w14:paraId="4F8B82E5">
                  <w:pPr>
                    <w:pStyle w:val="51"/>
                    <w:spacing w:before="33" w:after="33"/>
                  </w:pPr>
                </w:p>
              </w:tc>
              <w:tc>
                <w:tcPr>
                  <w:tcW w:w="635" w:type="pct"/>
                  <w:shd w:val="clear" w:color="auto" w:fill="auto"/>
                  <w:noWrap/>
                  <w:vAlign w:val="center"/>
                </w:tcPr>
                <w:p w14:paraId="163769B2">
                  <w:pPr>
                    <w:pStyle w:val="51"/>
                    <w:spacing w:before="33" w:after="33"/>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lang w:val="en-US" w:eastAsia="zh-CN"/>
                    </w:rPr>
                    <w:t>340</w:t>
                  </w:r>
                </w:p>
              </w:tc>
              <w:tc>
                <w:tcPr>
                  <w:tcW w:w="615" w:type="pct"/>
                  <w:shd w:val="clear" w:color="auto" w:fill="auto"/>
                  <w:noWrap/>
                  <w:vAlign w:val="center"/>
                </w:tcPr>
                <w:p w14:paraId="7C8FBC47">
                  <w:pPr>
                    <w:pStyle w:val="51"/>
                    <w:spacing w:before="33" w:after="33"/>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lang w:val="en-US" w:eastAsia="zh-CN"/>
                    </w:rPr>
                    <w:t>0.2448</w:t>
                  </w:r>
                </w:p>
              </w:tc>
              <w:tc>
                <w:tcPr>
                  <w:tcW w:w="573" w:type="pct"/>
                  <w:vMerge w:val="continue"/>
                  <w:noWrap/>
                  <w:vAlign w:val="center"/>
                </w:tcPr>
                <w:p w14:paraId="0F6BE065">
                  <w:pPr>
                    <w:pStyle w:val="51"/>
                    <w:spacing w:before="33" w:after="33"/>
                  </w:pPr>
                </w:p>
              </w:tc>
            </w:tr>
            <w:tr w14:paraId="72241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6" w:type="pct"/>
                  <w:vMerge w:val="continue"/>
                  <w:noWrap/>
                  <w:vAlign w:val="center"/>
                </w:tcPr>
                <w:p w14:paraId="361AF651">
                  <w:pPr>
                    <w:pStyle w:val="51"/>
                    <w:spacing w:before="33" w:after="33"/>
                  </w:pPr>
                </w:p>
              </w:tc>
              <w:tc>
                <w:tcPr>
                  <w:tcW w:w="302" w:type="pct"/>
                  <w:vMerge w:val="continue"/>
                  <w:noWrap/>
                  <w:vAlign w:val="center"/>
                </w:tcPr>
                <w:p w14:paraId="0D5741A0">
                  <w:pPr>
                    <w:pStyle w:val="51"/>
                    <w:spacing w:before="33" w:after="33"/>
                  </w:pPr>
                </w:p>
              </w:tc>
              <w:tc>
                <w:tcPr>
                  <w:tcW w:w="469" w:type="pct"/>
                  <w:vMerge w:val="continue"/>
                  <w:noWrap/>
                  <w:vAlign w:val="center"/>
                </w:tcPr>
                <w:p w14:paraId="3BDB9FCC">
                  <w:pPr>
                    <w:pStyle w:val="51"/>
                    <w:spacing w:before="33" w:after="33"/>
                  </w:pPr>
                </w:p>
              </w:tc>
              <w:tc>
                <w:tcPr>
                  <w:tcW w:w="498" w:type="pct"/>
                  <w:noWrap/>
                  <w:vAlign w:val="center"/>
                </w:tcPr>
                <w:p w14:paraId="24051A06">
                  <w:pPr>
                    <w:pStyle w:val="51"/>
                    <w:spacing w:before="33" w:after="33"/>
                  </w:pPr>
                  <w:r>
                    <w:rPr>
                      <w:rFonts w:hint="eastAsia"/>
                    </w:rPr>
                    <w:t>氨氮</w:t>
                  </w:r>
                </w:p>
              </w:tc>
              <w:tc>
                <w:tcPr>
                  <w:tcW w:w="576" w:type="pct"/>
                  <w:noWrap/>
                  <w:vAlign w:val="center"/>
                </w:tcPr>
                <w:p w14:paraId="0827BF7E">
                  <w:pPr>
                    <w:pStyle w:val="51"/>
                    <w:spacing w:before="33" w:after="33"/>
                    <w:rPr>
                      <w:rFonts w:hint="default" w:eastAsia="宋体"/>
                      <w:lang w:val="en-US" w:eastAsia="zh-CN"/>
                    </w:rPr>
                  </w:pPr>
                  <w:r>
                    <w:rPr>
                      <w:rFonts w:hint="eastAsia"/>
                      <w:lang w:val="en-US" w:eastAsia="zh-CN"/>
                    </w:rPr>
                    <w:t>32.6</w:t>
                  </w:r>
                </w:p>
              </w:tc>
              <w:tc>
                <w:tcPr>
                  <w:tcW w:w="558" w:type="pct"/>
                  <w:noWrap/>
                  <w:vAlign w:val="center"/>
                </w:tcPr>
                <w:p w14:paraId="2204D434">
                  <w:pPr>
                    <w:pStyle w:val="51"/>
                    <w:spacing w:before="33" w:after="33"/>
                    <w:rPr>
                      <w:rFonts w:hint="default" w:eastAsia="宋体"/>
                      <w:lang w:val="en-US" w:eastAsia="zh-CN"/>
                    </w:rPr>
                  </w:pPr>
                  <w:r>
                    <w:rPr>
                      <w:rFonts w:hint="eastAsia"/>
                      <w:lang w:val="en-US" w:eastAsia="zh-CN"/>
                    </w:rPr>
                    <w:t>0.0235</w:t>
                  </w:r>
                </w:p>
              </w:tc>
              <w:tc>
                <w:tcPr>
                  <w:tcW w:w="464" w:type="pct"/>
                  <w:vMerge w:val="continue"/>
                  <w:noWrap/>
                  <w:vAlign w:val="center"/>
                </w:tcPr>
                <w:p w14:paraId="27A9EEB9">
                  <w:pPr>
                    <w:pStyle w:val="51"/>
                    <w:spacing w:before="33" w:after="33"/>
                  </w:pPr>
                </w:p>
              </w:tc>
              <w:tc>
                <w:tcPr>
                  <w:tcW w:w="635" w:type="pct"/>
                  <w:shd w:val="clear" w:color="auto" w:fill="auto"/>
                  <w:noWrap/>
                  <w:vAlign w:val="center"/>
                </w:tcPr>
                <w:p w14:paraId="07D3C7FF">
                  <w:pPr>
                    <w:pStyle w:val="51"/>
                    <w:spacing w:before="33" w:after="33"/>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lang w:val="en-US" w:eastAsia="zh-CN"/>
                    </w:rPr>
                    <w:t>32.6</w:t>
                  </w:r>
                </w:p>
              </w:tc>
              <w:tc>
                <w:tcPr>
                  <w:tcW w:w="615" w:type="pct"/>
                  <w:shd w:val="clear" w:color="auto" w:fill="auto"/>
                  <w:noWrap/>
                  <w:vAlign w:val="center"/>
                </w:tcPr>
                <w:p w14:paraId="487EC088">
                  <w:pPr>
                    <w:pStyle w:val="51"/>
                    <w:spacing w:before="33" w:after="33"/>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lang w:val="en-US" w:eastAsia="zh-CN"/>
                    </w:rPr>
                    <w:t>0.0235</w:t>
                  </w:r>
                </w:p>
              </w:tc>
              <w:tc>
                <w:tcPr>
                  <w:tcW w:w="573" w:type="pct"/>
                  <w:vMerge w:val="continue"/>
                  <w:noWrap/>
                  <w:vAlign w:val="center"/>
                </w:tcPr>
                <w:p w14:paraId="3D3C8884">
                  <w:pPr>
                    <w:pStyle w:val="51"/>
                    <w:spacing w:before="33" w:after="33"/>
                  </w:pPr>
                </w:p>
              </w:tc>
            </w:tr>
            <w:tr w14:paraId="2846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6" w:type="pct"/>
                  <w:vMerge w:val="continue"/>
                  <w:noWrap/>
                  <w:vAlign w:val="center"/>
                </w:tcPr>
                <w:p w14:paraId="31C1C6E8">
                  <w:pPr>
                    <w:pStyle w:val="51"/>
                    <w:spacing w:before="33" w:after="33"/>
                  </w:pPr>
                </w:p>
              </w:tc>
              <w:tc>
                <w:tcPr>
                  <w:tcW w:w="302" w:type="pct"/>
                  <w:vMerge w:val="continue"/>
                  <w:noWrap/>
                  <w:vAlign w:val="center"/>
                </w:tcPr>
                <w:p w14:paraId="69E8A20D">
                  <w:pPr>
                    <w:pStyle w:val="51"/>
                    <w:spacing w:before="33" w:after="33"/>
                  </w:pPr>
                </w:p>
              </w:tc>
              <w:tc>
                <w:tcPr>
                  <w:tcW w:w="469" w:type="pct"/>
                  <w:vMerge w:val="continue"/>
                  <w:noWrap/>
                  <w:vAlign w:val="center"/>
                </w:tcPr>
                <w:p w14:paraId="3640504D">
                  <w:pPr>
                    <w:pStyle w:val="51"/>
                    <w:spacing w:before="33" w:after="33"/>
                  </w:pPr>
                </w:p>
              </w:tc>
              <w:tc>
                <w:tcPr>
                  <w:tcW w:w="498" w:type="pct"/>
                  <w:noWrap/>
                  <w:vAlign w:val="center"/>
                </w:tcPr>
                <w:p w14:paraId="2CC6D4BF">
                  <w:pPr>
                    <w:pStyle w:val="51"/>
                    <w:spacing w:before="33" w:after="33"/>
                    <w:rPr>
                      <w:rFonts w:hint="default" w:eastAsia="宋体"/>
                      <w:lang w:val="en-US" w:eastAsia="zh-CN"/>
                    </w:rPr>
                  </w:pPr>
                  <w:r>
                    <w:rPr>
                      <w:rFonts w:hint="eastAsia"/>
                      <w:lang w:val="en-US" w:eastAsia="zh-CN"/>
                    </w:rPr>
                    <w:t>TP</w:t>
                  </w:r>
                </w:p>
              </w:tc>
              <w:tc>
                <w:tcPr>
                  <w:tcW w:w="576" w:type="pct"/>
                  <w:noWrap/>
                  <w:vAlign w:val="center"/>
                </w:tcPr>
                <w:p w14:paraId="4479D30E">
                  <w:pPr>
                    <w:pStyle w:val="51"/>
                    <w:spacing w:before="33" w:after="33"/>
                    <w:rPr>
                      <w:rFonts w:hint="default"/>
                      <w:lang w:val="en-US" w:eastAsia="zh-CN"/>
                    </w:rPr>
                  </w:pPr>
                  <w:r>
                    <w:rPr>
                      <w:rFonts w:hint="eastAsia"/>
                      <w:lang w:val="en-US" w:eastAsia="zh-CN"/>
                    </w:rPr>
                    <w:t>4.27</w:t>
                  </w:r>
                </w:p>
              </w:tc>
              <w:tc>
                <w:tcPr>
                  <w:tcW w:w="558" w:type="pct"/>
                  <w:noWrap/>
                  <w:vAlign w:val="center"/>
                </w:tcPr>
                <w:p w14:paraId="27134B83">
                  <w:pPr>
                    <w:pStyle w:val="51"/>
                    <w:spacing w:before="33" w:after="33"/>
                    <w:rPr>
                      <w:rFonts w:hint="default"/>
                      <w:lang w:val="en-US" w:eastAsia="zh-CN"/>
                    </w:rPr>
                  </w:pPr>
                  <w:r>
                    <w:rPr>
                      <w:rFonts w:hint="eastAsia"/>
                      <w:lang w:val="en-US" w:eastAsia="zh-CN"/>
                    </w:rPr>
                    <w:t>0.0031</w:t>
                  </w:r>
                </w:p>
              </w:tc>
              <w:tc>
                <w:tcPr>
                  <w:tcW w:w="464" w:type="pct"/>
                  <w:vMerge w:val="continue"/>
                  <w:noWrap/>
                  <w:vAlign w:val="center"/>
                </w:tcPr>
                <w:p w14:paraId="3ED586F3">
                  <w:pPr>
                    <w:pStyle w:val="51"/>
                    <w:spacing w:before="33" w:after="33"/>
                  </w:pPr>
                </w:p>
              </w:tc>
              <w:tc>
                <w:tcPr>
                  <w:tcW w:w="635" w:type="pct"/>
                  <w:shd w:val="clear" w:color="auto" w:fill="auto"/>
                  <w:noWrap/>
                  <w:vAlign w:val="center"/>
                </w:tcPr>
                <w:p w14:paraId="6C618523">
                  <w:pPr>
                    <w:pStyle w:val="51"/>
                    <w:spacing w:before="33" w:after="33"/>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4.27</w:t>
                  </w:r>
                </w:p>
              </w:tc>
              <w:tc>
                <w:tcPr>
                  <w:tcW w:w="615" w:type="pct"/>
                  <w:shd w:val="clear" w:color="auto" w:fill="auto"/>
                  <w:noWrap/>
                  <w:vAlign w:val="center"/>
                </w:tcPr>
                <w:p w14:paraId="01368E5E">
                  <w:pPr>
                    <w:pStyle w:val="51"/>
                    <w:spacing w:before="33" w:after="33"/>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0.0031</w:t>
                  </w:r>
                </w:p>
              </w:tc>
              <w:tc>
                <w:tcPr>
                  <w:tcW w:w="573" w:type="pct"/>
                  <w:vMerge w:val="continue"/>
                  <w:noWrap/>
                  <w:vAlign w:val="center"/>
                </w:tcPr>
                <w:p w14:paraId="07A3B851">
                  <w:pPr>
                    <w:pStyle w:val="51"/>
                    <w:spacing w:before="33" w:after="33"/>
                  </w:pPr>
                </w:p>
              </w:tc>
            </w:tr>
            <w:tr w14:paraId="2C14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6" w:type="pct"/>
                  <w:vMerge w:val="continue"/>
                  <w:noWrap/>
                  <w:vAlign w:val="center"/>
                </w:tcPr>
                <w:p w14:paraId="52E3792A">
                  <w:pPr>
                    <w:pStyle w:val="51"/>
                    <w:spacing w:before="33" w:after="33"/>
                  </w:pPr>
                </w:p>
              </w:tc>
              <w:tc>
                <w:tcPr>
                  <w:tcW w:w="302" w:type="pct"/>
                  <w:vMerge w:val="continue"/>
                  <w:noWrap/>
                  <w:vAlign w:val="center"/>
                </w:tcPr>
                <w:p w14:paraId="5C7FD051">
                  <w:pPr>
                    <w:pStyle w:val="51"/>
                    <w:spacing w:before="33" w:after="33"/>
                  </w:pPr>
                </w:p>
              </w:tc>
              <w:tc>
                <w:tcPr>
                  <w:tcW w:w="469" w:type="pct"/>
                  <w:vMerge w:val="continue"/>
                  <w:noWrap/>
                  <w:vAlign w:val="center"/>
                </w:tcPr>
                <w:p w14:paraId="4946A196">
                  <w:pPr>
                    <w:pStyle w:val="51"/>
                    <w:spacing w:before="33" w:after="33"/>
                  </w:pPr>
                </w:p>
              </w:tc>
              <w:tc>
                <w:tcPr>
                  <w:tcW w:w="498" w:type="pct"/>
                  <w:noWrap/>
                  <w:vAlign w:val="center"/>
                </w:tcPr>
                <w:p w14:paraId="2BFFFC52">
                  <w:pPr>
                    <w:pStyle w:val="51"/>
                    <w:spacing w:before="33" w:after="33"/>
                    <w:rPr>
                      <w:rFonts w:hint="default" w:eastAsia="宋体"/>
                      <w:lang w:val="en-US" w:eastAsia="zh-CN"/>
                    </w:rPr>
                  </w:pPr>
                  <w:r>
                    <w:rPr>
                      <w:rFonts w:hint="eastAsia"/>
                      <w:lang w:val="en-US" w:eastAsia="zh-CN"/>
                    </w:rPr>
                    <w:t>TN</w:t>
                  </w:r>
                </w:p>
              </w:tc>
              <w:tc>
                <w:tcPr>
                  <w:tcW w:w="576" w:type="pct"/>
                  <w:noWrap/>
                  <w:vAlign w:val="center"/>
                </w:tcPr>
                <w:p w14:paraId="344FFAE7">
                  <w:pPr>
                    <w:pStyle w:val="51"/>
                    <w:spacing w:before="33" w:after="33"/>
                    <w:rPr>
                      <w:rFonts w:hint="default"/>
                      <w:lang w:val="en-US" w:eastAsia="zh-CN"/>
                    </w:rPr>
                  </w:pPr>
                  <w:r>
                    <w:rPr>
                      <w:rFonts w:hint="eastAsia"/>
                      <w:lang w:val="en-US" w:eastAsia="zh-CN"/>
                    </w:rPr>
                    <w:t>44.8</w:t>
                  </w:r>
                </w:p>
              </w:tc>
              <w:tc>
                <w:tcPr>
                  <w:tcW w:w="558" w:type="pct"/>
                  <w:noWrap/>
                  <w:vAlign w:val="center"/>
                </w:tcPr>
                <w:p w14:paraId="56433935">
                  <w:pPr>
                    <w:pStyle w:val="51"/>
                    <w:spacing w:before="33" w:after="33"/>
                    <w:rPr>
                      <w:rFonts w:hint="default"/>
                      <w:lang w:val="en-US" w:eastAsia="zh-CN"/>
                    </w:rPr>
                  </w:pPr>
                  <w:r>
                    <w:rPr>
                      <w:rFonts w:hint="eastAsia"/>
                      <w:lang w:val="en-US" w:eastAsia="zh-CN"/>
                    </w:rPr>
                    <w:t>0.0323</w:t>
                  </w:r>
                </w:p>
              </w:tc>
              <w:tc>
                <w:tcPr>
                  <w:tcW w:w="464" w:type="pct"/>
                  <w:vMerge w:val="continue"/>
                  <w:noWrap/>
                  <w:vAlign w:val="center"/>
                </w:tcPr>
                <w:p w14:paraId="6DBE921E">
                  <w:pPr>
                    <w:pStyle w:val="51"/>
                    <w:spacing w:before="33" w:after="33"/>
                  </w:pPr>
                </w:p>
              </w:tc>
              <w:tc>
                <w:tcPr>
                  <w:tcW w:w="635" w:type="pct"/>
                  <w:shd w:val="clear" w:color="auto" w:fill="auto"/>
                  <w:noWrap/>
                  <w:vAlign w:val="center"/>
                </w:tcPr>
                <w:p w14:paraId="7868CDD9">
                  <w:pPr>
                    <w:pStyle w:val="51"/>
                    <w:spacing w:before="33" w:after="33"/>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44.8</w:t>
                  </w:r>
                </w:p>
              </w:tc>
              <w:tc>
                <w:tcPr>
                  <w:tcW w:w="615" w:type="pct"/>
                  <w:shd w:val="clear" w:color="auto" w:fill="auto"/>
                  <w:noWrap/>
                  <w:vAlign w:val="center"/>
                </w:tcPr>
                <w:p w14:paraId="5B34BB95">
                  <w:pPr>
                    <w:pStyle w:val="51"/>
                    <w:spacing w:before="33" w:after="33"/>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0.0323</w:t>
                  </w:r>
                </w:p>
              </w:tc>
              <w:tc>
                <w:tcPr>
                  <w:tcW w:w="573" w:type="pct"/>
                  <w:vMerge w:val="continue"/>
                  <w:noWrap/>
                  <w:vAlign w:val="center"/>
                </w:tcPr>
                <w:p w14:paraId="2AABE9DA">
                  <w:pPr>
                    <w:pStyle w:val="51"/>
                    <w:spacing w:before="33" w:after="33"/>
                  </w:pPr>
                </w:p>
              </w:tc>
            </w:tr>
            <w:tr w14:paraId="2AA7E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6" w:type="pct"/>
                  <w:vMerge w:val="continue"/>
                  <w:noWrap/>
                  <w:vAlign w:val="center"/>
                </w:tcPr>
                <w:p w14:paraId="077013AD">
                  <w:pPr>
                    <w:pStyle w:val="51"/>
                    <w:spacing w:before="33" w:after="33"/>
                  </w:pPr>
                </w:p>
              </w:tc>
              <w:tc>
                <w:tcPr>
                  <w:tcW w:w="302" w:type="pct"/>
                  <w:vMerge w:val="continue"/>
                  <w:noWrap/>
                  <w:vAlign w:val="center"/>
                </w:tcPr>
                <w:p w14:paraId="16C5ED72">
                  <w:pPr>
                    <w:pStyle w:val="51"/>
                    <w:spacing w:before="33" w:after="33"/>
                  </w:pPr>
                </w:p>
              </w:tc>
              <w:tc>
                <w:tcPr>
                  <w:tcW w:w="469" w:type="pct"/>
                  <w:vMerge w:val="continue"/>
                  <w:noWrap/>
                  <w:vAlign w:val="center"/>
                </w:tcPr>
                <w:p w14:paraId="226B34B9">
                  <w:pPr>
                    <w:pStyle w:val="51"/>
                    <w:spacing w:before="33" w:after="33"/>
                  </w:pPr>
                </w:p>
              </w:tc>
              <w:tc>
                <w:tcPr>
                  <w:tcW w:w="498" w:type="pct"/>
                  <w:noWrap/>
                  <w:vAlign w:val="center"/>
                </w:tcPr>
                <w:p w14:paraId="440DA766">
                  <w:pPr>
                    <w:pStyle w:val="51"/>
                    <w:spacing w:before="33" w:after="33"/>
                  </w:pPr>
                  <w:r>
                    <w:rPr>
                      <w:rFonts w:hint="eastAsia"/>
                    </w:rPr>
                    <w:t>SS</w:t>
                  </w:r>
                </w:p>
              </w:tc>
              <w:tc>
                <w:tcPr>
                  <w:tcW w:w="576" w:type="pct"/>
                  <w:noWrap/>
                  <w:vAlign w:val="center"/>
                </w:tcPr>
                <w:p w14:paraId="475FE0D2">
                  <w:pPr>
                    <w:pStyle w:val="51"/>
                    <w:spacing w:before="33" w:after="33"/>
                    <w:rPr>
                      <w:rFonts w:hint="default" w:eastAsia="宋体"/>
                      <w:lang w:val="en-US" w:eastAsia="zh-CN"/>
                    </w:rPr>
                  </w:pPr>
                  <w:r>
                    <w:rPr>
                      <w:rFonts w:hint="eastAsia"/>
                      <w:lang w:val="en-US" w:eastAsia="zh-CN"/>
                    </w:rPr>
                    <w:t>200</w:t>
                  </w:r>
                </w:p>
              </w:tc>
              <w:tc>
                <w:tcPr>
                  <w:tcW w:w="558" w:type="pct"/>
                  <w:noWrap/>
                  <w:vAlign w:val="center"/>
                </w:tcPr>
                <w:p w14:paraId="1FBB6D33">
                  <w:pPr>
                    <w:pStyle w:val="51"/>
                    <w:spacing w:before="33" w:after="33"/>
                    <w:rPr>
                      <w:rFonts w:hint="default" w:eastAsia="宋体"/>
                      <w:lang w:val="en-US" w:eastAsia="zh-CN"/>
                    </w:rPr>
                  </w:pPr>
                  <w:r>
                    <w:rPr>
                      <w:rFonts w:hint="eastAsia"/>
                      <w:lang w:val="en-US" w:eastAsia="zh-CN"/>
                    </w:rPr>
                    <w:t>0.144</w:t>
                  </w:r>
                </w:p>
              </w:tc>
              <w:tc>
                <w:tcPr>
                  <w:tcW w:w="464" w:type="pct"/>
                  <w:vMerge w:val="continue"/>
                  <w:noWrap/>
                  <w:vAlign w:val="center"/>
                </w:tcPr>
                <w:p w14:paraId="345B6721">
                  <w:pPr>
                    <w:pStyle w:val="51"/>
                    <w:spacing w:before="33" w:after="33"/>
                  </w:pPr>
                </w:p>
              </w:tc>
              <w:tc>
                <w:tcPr>
                  <w:tcW w:w="635" w:type="pct"/>
                  <w:shd w:val="clear" w:color="auto" w:fill="auto"/>
                  <w:noWrap/>
                  <w:vAlign w:val="center"/>
                </w:tcPr>
                <w:p w14:paraId="2B5901AE">
                  <w:pPr>
                    <w:pStyle w:val="51"/>
                    <w:spacing w:before="33" w:after="33"/>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lang w:val="en-US" w:eastAsia="zh-CN"/>
                    </w:rPr>
                    <w:t>200</w:t>
                  </w:r>
                </w:p>
              </w:tc>
              <w:tc>
                <w:tcPr>
                  <w:tcW w:w="615" w:type="pct"/>
                  <w:shd w:val="clear" w:color="auto" w:fill="auto"/>
                  <w:noWrap/>
                  <w:vAlign w:val="center"/>
                </w:tcPr>
                <w:p w14:paraId="6FC0A4B8">
                  <w:pPr>
                    <w:pStyle w:val="51"/>
                    <w:spacing w:before="33" w:after="33"/>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lang w:val="en-US" w:eastAsia="zh-CN"/>
                    </w:rPr>
                    <w:t>0.144</w:t>
                  </w:r>
                </w:p>
              </w:tc>
              <w:tc>
                <w:tcPr>
                  <w:tcW w:w="573" w:type="pct"/>
                  <w:vMerge w:val="continue"/>
                  <w:noWrap/>
                  <w:vAlign w:val="center"/>
                </w:tcPr>
                <w:p w14:paraId="3B9C20F4">
                  <w:pPr>
                    <w:pStyle w:val="51"/>
                    <w:spacing w:before="33" w:after="33"/>
                  </w:pPr>
                </w:p>
              </w:tc>
            </w:tr>
          </w:tbl>
          <w:p w14:paraId="531A9379">
            <w:pPr>
              <w:ind w:firstLine="480"/>
            </w:pPr>
            <w:r>
              <w:rPr>
                <w:rFonts w:hint="eastAsia"/>
              </w:rPr>
              <w:t>本项目产生的废水为生活污水，</w:t>
            </w:r>
            <w:r>
              <w:rPr>
                <w:rFonts w:hint="eastAsia"/>
                <w:color w:val="auto"/>
                <w:highlight w:val="none"/>
                <w:lang w:val="en-US" w:eastAsia="zh-CN"/>
              </w:rPr>
              <w:t>依托</w:t>
            </w:r>
            <w:r>
              <w:rPr>
                <w:rFonts w:hint="eastAsia" w:cs="Times New Roman"/>
                <w:color w:val="auto"/>
                <w:highlight w:val="none"/>
                <w:lang w:val="en-US" w:eastAsia="zh-CN"/>
              </w:rPr>
              <w:t>淮南益生啤酒有限公司</w:t>
            </w:r>
            <w:r>
              <w:rPr>
                <w:rFonts w:hint="default"/>
                <w:color w:val="auto"/>
                <w:sz w:val="24"/>
                <w:szCs w:val="24"/>
              </w:rPr>
              <w:t>化粪池预处理后</w:t>
            </w:r>
            <w:r>
              <w:rPr>
                <w:rFonts w:hint="eastAsia"/>
                <w:color w:val="auto"/>
                <w:highlight w:val="none"/>
                <w:lang w:val="en-US" w:eastAsia="zh-CN"/>
              </w:rPr>
              <w:t>排</w:t>
            </w:r>
            <w:r>
              <w:rPr>
                <w:rFonts w:hint="eastAsia"/>
                <w:color w:val="auto"/>
                <w:highlight w:val="none"/>
                <w:lang w:eastAsia="zh-CN"/>
              </w:rPr>
              <w:t>入</w:t>
            </w:r>
            <w:r>
              <w:rPr>
                <w:rFonts w:hint="eastAsia"/>
                <w:color w:val="auto"/>
                <w:highlight w:val="none"/>
                <w:lang w:val="en-US" w:eastAsia="zh-CN"/>
              </w:rPr>
              <w:t>淮南经济</w:t>
            </w:r>
            <w:r>
              <w:rPr>
                <w:rFonts w:hint="eastAsia"/>
                <w:color w:val="auto"/>
                <w:highlight w:val="none"/>
              </w:rPr>
              <w:t>开发区污水处理厂（三万吨污水处理厂）</w:t>
            </w:r>
            <w:r>
              <w:rPr>
                <w:rFonts w:hint="eastAsia"/>
                <w:color w:val="auto"/>
                <w:highlight w:val="none"/>
                <w:lang w:eastAsia="zh-CN"/>
              </w:rPr>
              <w:t>，</w:t>
            </w:r>
            <w:r>
              <w:rPr>
                <w:rFonts w:hint="eastAsia"/>
                <w:color w:val="auto"/>
                <w:highlight w:val="none"/>
                <w:lang w:val="en-US" w:eastAsia="zh-CN"/>
              </w:rPr>
              <w:t>属于间接排放，</w:t>
            </w:r>
            <w:r>
              <w:rPr>
                <w:rFonts w:hint="eastAsia"/>
                <w:color w:val="auto"/>
                <w:highlight w:val="none"/>
              </w:rPr>
              <w:t>处理后达到《城镇污水处理厂污染物排放标准》（GB18918-2002）中一级A标准，</w:t>
            </w:r>
            <w:r>
              <w:rPr>
                <w:rFonts w:hint="eastAsia"/>
                <w:color w:val="auto"/>
                <w:highlight w:val="none"/>
                <w:lang w:val="en-US" w:eastAsia="zh-CN"/>
              </w:rPr>
              <w:t>尾水</w:t>
            </w:r>
            <w:r>
              <w:rPr>
                <w:rFonts w:hint="eastAsia"/>
                <w:color w:val="auto"/>
                <w:highlight w:val="none"/>
              </w:rPr>
              <w:t>排入</w:t>
            </w:r>
            <w:r>
              <w:rPr>
                <w:rFonts w:hint="eastAsia"/>
                <w:color w:val="auto"/>
                <w:highlight w:val="none"/>
                <w:lang w:val="en-US" w:eastAsia="zh-CN"/>
              </w:rPr>
              <w:t>淮河</w:t>
            </w:r>
            <w:r>
              <w:rPr>
                <w:rFonts w:hint="eastAsia"/>
                <w:color w:val="auto"/>
                <w:highlight w:val="none"/>
              </w:rPr>
              <w:t>。</w:t>
            </w:r>
          </w:p>
          <w:p w14:paraId="2814603F">
            <w:pPr>
              <w:ind w:firstLine="482"/>
              <w:rPr>
                <w:b/>
                <w:bCs/>
              </w:rPr>
            </w:pPr>
            <w:r>
              <w:rPr>
                <w:rFonts w:hint="eastAsia"/>
                <w:b/>
                <w:bCs/>
              </w:rPr>
              <w:t>3、</w:t>
            </w:r>
            <w:r>
              <w:rPr>
                <w:b/>
                <w:bCs/>
              </w:rPr>
              <w:t>废水类别、污染物及污染治理设施信息</w:t>
            </w:r>
          </w:p>
          <w:p w14:paraId="42933D1F">
            <w:pPr>
              <w:ind w:firstLine="480"/>
            </w:pPr>
            <w:r>
              <w:t>废水类别、污染物及污染治理设施信息表见表</w:t>
            </w:r>
            <w:r>
              <w:rPr>
                <w:rFonts w:hint="eastAsia"/>
              </w:rPr>
              <w:t>4-1</w:t>
            </w:r>
            <w:r>
              <w:rPr>
                <w:rFonts w:hint="eastAsia"/>
                <w:lang w:val="en-US" w:eastAsia="zh-CN"/>
              </w:rPr>
              <w:t>7</w:t>
            </w:r>
            <w:r>
              <w:t>。</w:t>
            </w:r>
          </w:p>
          <w:p w14:paraId="774BC742">
            <w:pPr>
              <w:pStyle w:val="44"/>
              <w:rPr>
                <w:rFonts w:hint="default"/>
              </w:rPr>
            </w:pPr>
            <w:r>
              <w:t>表4-1</w:t>
            </w:r>
            <w:r>
              <w:rPr>
                <w:rFonts w:hint="eastAsia"/>
                <w:lang w:val="en-US" w:eastAsia="zh-CN"/>
              </w:rPr>
              <w:t xml:space="preserve">7 </w:t>
            </w:r>
            <w:r>
              <w:t>废水类别、污染物及污染治理设施信息表</w:t>
            </w:r>
          </w:p>
          <w:tbl>
            <w:tblPr>
              <w:tblStyle w:val="26"/>
              <w:tblW w:w="8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784"/>
              <w:gridCol w:w="1506"/>
              <w:gridCol w:w="1080"/>
              <w:gridCol w:w="894"/>
              <w:gridCol w:w="933"/>
              <w:gridCol w:w="933"/>
              <w:gridCol w:w="854"/>
              <w:gridCol w:w="720"/>
            </w:tblGrid>
            <w:tr w14:paraId="598D5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Merge w:val="restart"/>
                  <w:noWrap/>
                  <w:vAlign w:val="center"/>
                </w:tcPr>
                <w:p w14:paraId="05794F59">
                  <w:pPr>
                    <w:pStyle w:val="51"/>
                    <w:spacing w:before="33" w:after="33"/>
                  </w:pPr>
                  <w:r>
                    <w:t>序号</w:t>
                  </w:r>
                </w:p>
              </w:tc>
              <w:tc>
                <w:tcPr>
                  <w:tcW w:w="784" w:type="dxa"/>
                  <w:vMerge w:val="restart"/>
                  <w:noWrap/>
                  <w:vAlign w:val="center"/>
                </w:tcPr>
                <w:p w14:paraId="4F20C299">
                  <w:pPr>
                    <w:pStyle w:val="51"/>
                    <w:spacing w:before="33" w:after="33"/>
                  </w:pPr>
                  <w:r>
                    <w:t>废水</w:t>
                  </w:r>
                </w:p>
                <w:p w14:paraId="22F71A1F">
                  <w:pPr>
                    <w:pStyle w:val="51"/>
                    <w:spacing w:before="33" w:after="33"/>
                  </w:pPr>
                  <w:r>
                    <w:t>类别</w:t>
                  </w:r>
                </w:p>
              </w:tc>
              <w:tc>
                <w:tcPr>
                  <w:tcW w:w="1506" w:type="dxa"/>
                  <w:vMerge w:val="restart"/>
                  <w:noWrap/>
                  <w:vAlign w:val="center"/>
                </w:tcPr>
                <w:p w14:paraId="676D1ED3">
                  <w:pPr>
                    <w:pStyle w:val="51"/>
                    <w:spacing w:before="33" w:after="33"/>
                  </w:pPr>
                  <w:r>
                    <w:t>污染物</w:t>
                  </w:r>
                </w:p>
                <w:p w14:paraId="6A5A184E">
                  <w:pPr>
                    <w:pStyle w:val="51"/>
                    <w:spacing w:before="33" w:after="33"/>
                  </w:pPr>
                  <w:r>
                    <w:t>种类</w:t>
                  </w:r>
                </w:p>
              </w:tc>
              <w:tc>
                <w:tcPr>
                  <w:tcW w:w="1080" w:type="dxa"/>
                  <w:vMerge w:val="restart"/>
                  <w:noWrap/>
                  <w:vAlign w:val="center"/>
                </w:tcPr>
                <w:p w14:paraId="33D1D30C">
                  <w:pPr>
                    <w:pStyle w:val="51"/>
                    <w:spacing w:before="33" w:after="33"/>
                  </w:pPr>
                  <w:r>
                    <w:t>排放去向</w:t>
                  </w:r>
                </w:p>
              </w:tc>
              <w:tc>
                <w:tcPr>
                  <w:tcW w:w="894" w:type="dxa"/>
                  <w:vMerge w:val="restart"/>
                  <w:noWrap/>
                  <w:vAlign w:val="center"/>
                </w:tcPr>
                <w:p w14:paraId="267758AB">
                  <w:pPr>
                    <w:pStyle w:val="51"/>
                    <w:spacing w:before="33" w:after="33"/>
                  </w:pPr>
                  <w:r>
                    <w:t>排放</w:t>
                  </w:r>
                </w:p>
                <w:p w14:paraId="016EA46C">
                  <w:pPr>
                    <w:pStyle w:val="51"/>
                    <w:spacing w:before="33" w:after="33"/>
                  </w:pPr>
                  <w:r>
                    <w:t>规律</w:t>
                  </w:r>
                </w:p>
              </w:tc>
              <w:tc>
                <w:tcPr>
                  <w:tcW w:w="2720" w:type="dxa"/>
                  <w:gridSpan w:val="3"/>
                  <w:noWrap/>
                  <w:vAlign w:val="center"/>
                </w:tcPr>
                <w:p w14:paraId="0EED4E06">
                  <w:pPr>
                    <w:pStyle w:val="51"/>
                    <w:spacing w:before="33" w:after="33"/>
                  </w:pPr>
                  <w:r>
                    <w:t>污染治理设施</w:t>
                  </w:r>
                </w:p>
              </w:tc>
              <w:tc>
                <w:tcPr>
                  <w:tcW w:w="720" w:type="dxa"/>
                  <w:vMerge w:val="restart"/>
                  <w:noWrap/>
                  <w:vAlign w:val="center"/>
                </w:tcPr>
                <w:p w14:paraId="107B4C78">
                  <w:pPr>
                    <w:pStyle w:val="51"/>
                    <w:spacing w:before="33" w:after="33"/>
                  </w:pPr>
                  <w:r>
                    <w:t>排放口类型</w:t>
                  </w:r>
                </w:p>
              </w:tc>
            </w:tr>
            <w:tr w14:paraId="2236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Merge w:val="continue"/>
                  <w:noWrap/>
                  <w:vAlign w:val="center"/>
                </w:tcPr>
                <w:p w14:paraId="342F1371">
                  <w:pPr>
                    <w:pStyle w:val="51"/>
                    <w:spacing w:before="33" w:after="33"/>
                  </w:pPr>
                </w:p>
              </w:tc>
              <w:tc>
                <w:tcPr>
                  <w:tcW w:w="784" w:type="dxa"/>
                  <w:vMerge w:val="continue"/>
                  <w:noWrap/>
                  <w:vAlign w:val="center"/>
                </w:tcPr>
                <w:p w14:paraId="60D8CAD4">
                  <w:pPr>
                    <w:pStyle w:val="51"/>
                    <w:spacing w:before="33" w:after="33"/>
                  </w:pPr>
                </w:p>
              </w:tc>
              <w:tc>
                <w:tcPr>
                  <w:tcW w:w="1506" w:type="dxa"/>
                  <w:vMerge w:val="continue"/>
                  <w:noWrap/>
                  <w:vAlign w:val="center"/>
                </w:tcPr>
                <w:p w14:paraId="01D17D46">
                  <w:pPr>
                    <w:pStyle w:val="51"/>
                    <w:spacing w:before="33" w:after="33"/>
                  </w:pPr>
                </w:p>
              </w:tc>
              <w:tc>
                <w:tcPr>
                  <w:tcW w:w="1080" w:type="dxa"/>
                  <w:vMerge w:val="continue"/>
                  <w:noWrap/>
                  <w:vAlign w:val="center"/>
                </w:tcPr>
                <w:p w14:paraId="682632EF">
                  <w:pPr>
                    <w:pStyle w:val="51"/>
                    <w:spacing w:before="33" w:after="33"/>
                  </w:pPr>
                </w:p>
              </w:tc>
              <w:tc>
                <w:tcPr>
                  <w:tcW w:w="894" w:type="dxa"/>
                  <w:vMerge w:val="continue"/>
                  <w:noWrap/>
                  <w:vAlign w:val="center"/>
                </w:tcPr>
                <w:p w14:paraId="53C997BC">
                  <w:pPr>
                    <w:pStyle w:val="51"/>
                    <w:spacing w:before="33" w:after="33"/>
                  </w:pPr>
                </w:p>
              </w:tc>
              <w:tc>
                <w:tcPr>
                  <w:tcW w:w="933" w:type="dxa"/>
                  <w:noWrap/>
                  <w:vAlign w:val="center"/>
                </w:tcPr>
                <w:p w14:paraId="79F50891">
                  <w:pPr>
                    <w:pStyle w:val="51"/>
                    <w:spacing w:before="33" w:after="33"/>
                  </w:pPr>
                  <w:r>
                    <w:t>污染治理设施名称</w:t>
                  </w:r>
                </w:p>
              </w:tc>
              <w:tc>
                <w:tcPr>
                  <w:tcW w:w="933" w:type="dxa"/>
                  <w:noWrap/>
                  <w:vAlign w:val="center"/>
                </w:tcPr>
                <w:p w14:paraId="6B2AEBCC">
                  <w:pPr>
                    <w:pStyle w:val="51"/>
                    <w:spacing w:before="33" w:after="33"/>
                  </w:pPr>
                  <w:r>
                    <w:t>污染治理设施工艺</w:t>
                  </w:r>
                </w:p>
              </w:tc>
              <w:tc>
                <w:tcPr>
                  <w:tcW w:w="854" w:type="dxa"/>
                  <w:noWrap/>
                  <w:vAlign w:val="center"/>
                </w:tcPr>
                <w:p w14:paraId="633595E7">
                  <w:pPr>
                    <w:pStyle w:val="51"/>
                    <w:spacing w:before="33" w:after="33"/>
                  </w:pPr>
                  <w:r>
                    <w:t>是否为可行技术</w:t>
                  </w:r>
                </w:p>
              </w:tc>
              <w:tc>
                <w:tcPr>
                  <w:tcW w:w="720" w:type="dxa"/>
                  <w:vMerge w:val="continue"/>
                  <w:noWrap/>
                  <w:vAlign w:val="center"/>
                </w:tcPr>
                <w:p w14:paraId="11B23886">
                  <w:pPr>
                    <w:pStyle w:val="51"/>
                    <w:spacing w:before="33" w:after="33"/>
                  </w:pPr>
                </w:p>
              </w:tc>
            </w:tr>
            <w:tr w14:paraId="5AD92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noWrap/>
                  <w:vAlign w:val="center"/>
                </w:tcPr>
                <w:p w14:paraId="59C02E19">
                  <w:pPr>
                    <w:pStyle w:val="51"/>
                    <w:spacing w:before="33" w:after="33"/>
                  </w:pPr>
                  <w:r>
                    <w:t>1</w:t>
                  </w:r>
                </w:p>
              </w:tc>
              <w:tc>
                <w:tcPr>
                  <w:tcW w:w="784" w:type="dxa"/>
                  <w:noWrap/>
                  <w:vAlign w:val="center"/>
                </w:tcPr>
                <w:p w14:paraId="0DD89E84">
                  <w:pPr>
                    <w:pStyle w:val="51"/>
                    <w:spacing w:before="33" w:after="33"/>
                  </w:pPr>
                  <w:r>
                    <w:t>生活</w:t>
                  </w:r>
                </w:p>
                <w:p w14:paraId="6CE44586">
                  <w:pPr>
                    <w:pStyle w:val="51"/>
                    <w:spacing w:before="33" w:after="33"/>
                  </w:pPr>
                  <w:r>
                    <w:t>污水</w:t>
                  </w:r>
                </w:p>
              </w:tc>
              <w:tc>
                <w:tcPr>
                  <w:tcW w:w="1506" w:type="dxa"/>
                  <w:noWrap/>
                  <w:vAlign w:val="center"/>
                </w:tcPr>
                <w:p w14:paraId="28AB4CB6">
                  <w:pPr>
                    <w:pStyle w:val="51"/>
                    <w:spacing w:before="33" w:after="33"/>
                    <w:rPr>
                      <w:rFonts w:hint="default" w:eastAsia="宋体"/>
                      <w:lang w:val="en-US" w:eastAsia="zh-CN"/>
                    </w:rPr>
                  </w:pPr>
                  <w:r>
                    <w:rPr>
                      <w:rFonts w:hint="eastAsia"/>
                    </w:rPr>
                    <w:t>pH、</w:t>
                  </w:r>
                  <w:r>
                    <w:t>COD</w:t>
                  </w:r>
                  <w:r>
                    <w:rPr>
                      <w:highlight w:val="none"/>
                    </w:rPr>
                    <w:t>、</w:t>
                  </w:r>
                  <w:r>
                    <w:rPr>
                      <w:rFonts w:hint="eastAsia"/>
                      <w:highlight w:val="none"/>
                    </w:rPr>
                    <w:t>BOD</w:t>
                  </w:r>
                  <w:r>
                    <w:rPr>
                      <w:rFonts w:hint="eastAsia"/>
                      <w:highlight w:val="none"/>
                      <w:vertAlign w:val="subscript"/>
                    </w:rPr>
                    <w:t>5</w:t>
                  </w:r>
                  <w:r>
                    <w:rPr>
                      <w:highlight w:val="none"/>
                    </w:rPr>
                    <w:t>、NH</w:t>
                  </w:r>
                  <w:r>
                    <w:rPr>
                      <w:highlight w:val="none"/>
                      <w:vertAlign w:val="subscript"/>
                    </w:rPr>
                    <w:t>3</w:t>
                  </w:r>
                  <w:r>
                    <w:rPr>
                      <w:highlight w:val="none"/>
                    </w:rPr>
                    <w:t>-N</w:t>
                  </w:r>
                  <w:r>
                    <w:t>、SS</w:t>
                  </w:r>
                  <w:r>
                    <w:rPr>
                      <w:rFonts w:hint="eastAsia"/>
                      <w:lang w:eastAsia="zh-CN"/>
                    </w:rPr>
                    <w:t>、</w:t>
                  </w:r>
                  <w:r>
                    <w:rPr>
                      <w:rFonts w:hint="eastAsia"/>
                      <w:lang w:val="en-US" w:eastAsia="zh-CN"/>
                    </w:rPr>
                    <w:t>TP、TN</w:t>
                  </w:r>
                </w:p>
              </w:tc>
              <w:tc>
                <w:tcPr>
                  <w:tcW w:w="1080" w:type="dxa"/>
                  <w:noWrap/>
                  <w:vAlign w:val="center"/>
                </w:tcPr>
                <w:p w14:paraId="7D3D12E5">
                  <w:pPr>
                    <w:pStyle w:val="51"/>
                    <w:spacing w:before="33" w:after="33"/>
                  </w:pPr>
                  <w:r>
                    <w:rPr>
                      <w:rFonts w:hint="eastAsia"/>
                      <w:color w:val="auto"/>
                      <w:highlight w:val="none"/>
                      <w:lang w:val="en-US" w:eastAsia="zh-CN"/>
                    </w:rPr>
                    <w:t>淮南经济</w:t>
                  </w:r>
                  <w:r>
                    <w:rPr>
                      <w:rFonts w:hint="eastAsia"/>
                      <w:color w:val="auto"/>
                      <w:highlight w:val="none"/>
                    </w:rPr>
                    <w:t>开发区污水处理厂</w:t>
                  </w:r>
                </w:p>
              </w:tc>
              <w:tc>
                <w:tcPr>
                  <w:tcW w:w="894" w:type="dxa"/>
                  <w:noWrap/>
                  <w:vAlign w:val="center"/>
                </w:tcPr>
                <w:p w14:paraId="27E6DCF9">
                  <w:pPr>
                    <w:pStyle w:val="51"/>
                    <w:spacing w:before="33" w:after="33"/>
                  </w:pPr>
                  <w:r>
                    <w:rPr>
                      <w:rFonts w:hint="eastAsia"/>
                    </w:rPr>
                    <w:t>间断性排放</w:t>
                  </w:r>
                </w:p>
              </w:tc>
              <w:tc>
                <w:tcPr>
                  <w:tcW w:w="933" w:type="dxa"/>
                  <w:noWrap/>
                  <w:vAlign w:val="center"/>
                </w:tcPr>
                <w:p w14:paraId="69C896BD">
                  <w:pPr>
                    <w:pStyle w:val="51"/>
                    <w:spacing w:before="33" w:after="33"/>
                  </w:pPr>
                  <w:r>
                    <w:t>化粪池</w:t>
                  </w:r>
                </w:p>
              </w:tc>
              <w:tc>
                <w:tcPr>
                  <w:tcW w:w="933" w:type="dxa"/>
                  <w:noWrap/>
                  <w:vAlign w:val="center"/>
                </w:tcPr>
                <w:p w14:paraId="05849A49">
                  <w:pPr>
                    <w:pStyle w:val="51"/>
                    <w:spacing w:before="33" w:after="33"/>
                  </w:pPr>
                  <w:r>
                    <w:rPr>
                      <w:rFonts w:hint="eastAsia"/>
                    </w:rPr>
                    <w:t>沉淀</w:t>
                  </w:r>
                </w:p>
              </w:tc>
              <w:tc>
                <w:tcPr>
                  <w:tcW w:w="854" w:type="dxa"/>
                  <w:noWrap/>
                  <w:vAlign w:val="center"/>
                </w:tcPr>
                <w:p w14:paraId="6F9CF462">
                  <w:pPr>
                    <w:pStyle w:val="51"/>
                    <w:spacing w:before="33" w:after="33"/>
                  </w:pPr>
                  <w:r>
                    <w:t>可行</w:t>
                  </w:r>
                </w:p>
              </w:tc>
              <w:tc>
                <w:tcPr>
                  <w:tcW w:w="720" w:type="dxa"/>
                  <w:noWrap/>
                  <w:vAlign w:val="center"/>
                </w:tcPr>
                <w:p w14:paraId="06709B07">
                  <w:pPr>
                    <w:pStyle w:val="51"/>
                    <w:spacing w:before="33" w:after="33"/>
                  </w:pPr>
                  <w:r>
                    <w:rPr>
                      <w:rFonts w:hint="eastAsia"/>
                    </w:rPr>
                    <w:t>一般排放口</w:t>
                  </w:r>
                </w:p>
              </w:tc>
            </w:tr>
          </w:tbl>
          <w:p w14:paraId="5685264F">
            <w:pPr>
              <w:pStyle w:val="44"/>
              <w:rPr>
                <w:rFonts w:hint="default"/>
              </w:rPr>
            </w:pPr>
            <w:r>
              <w:t>表4-1</w:t>
            </w:r>
            <w:r>
              <w:rPr>
                <w:rFonts w:hint="eastAsia"/>
                <w:lang w:val="en-US" w:eastAsia="zh-CN"/>
              </w:rPr>
              <w:t>8</w:t>
            </w:r>
            <w:r>
              <w:t xml:space="preserve"> 废水排放口基本情况表</w:t>
            </w:r>
          </w:p>
          <w:tbl>
            <w:tblPr>
              <w:tblStyle w:val="26"/>
              <w:tblW w:w="8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734"/>
              <w:gridCol w:w="1019"/>
              <w:gridCol w:w="872"/>
              <w:gridCol w:w="827"/>
              <w:gridCol w:w="830"/>
              <w:gridCol w:w="691"/>
              <w:gridCol w:w="710"/>
              <w:gridCol w:w="1762"/>
            </w:tblGrid>
            <w:tr w14:paraId="3511F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495" w:type="pct"/>
                  <w:noWrap/>
                  <w:vAlign w:val="center"/>
                </w:tcPr>
                <w:p w14:paraId="024462D2">
                  <w:pPr>
                    <w:pStyle w:val="51"/>
                    <w:spacing w:before="33" w:after="33"/>
                  </w:pPr>
                  <w:r>
                    <w:rPr>
                      <w:rFonts w:hint="eastAsia"/>
                    </w:rPr>
                    <w:t>排放口编号</w:t>
                  </w:r>
                </w:p>
              </w:tc>
              <w:tc>
                <w:tcPr>
                  <w:tcW w:w="444" w:type="pct"/>
                  <w:noWrap/>
                  <w:vAlign w:val="center"/>
                </w:tcPr>
                <w:p w14:paraId="0E8EBAF2">
                  <w:pPr>
                    <w:pStyle w:val="51"/>
                    <w:spacing w:before="33" w:after="33"/>
                  </w:pPr>
                  <w:r>
                    <w:rPr>
                      <w:rFonts w:hint="eastAsia"/>
                    </w:rPr>
                    <w:t>排放口名称</w:t>
                  </w:r>
                </w:p>
              </w:tc>
              <w:tc>
                <w:tcPr>
                  <w:tcW w:w="616" w:type="pct"/>
                  <w:noWrap/>
                  <w:vAlign w:val="center"/>
                </w:tcPr>
                <w:p w14:paraId="267F233B">
                  <w:pPr>
                    <w:pStyle w:val="51"/>
                    <w:spacing w:before="33" w:after="33"/>
                  </w:pPr>
                  <w:r>
                    <w:rPr>
                      <w:rFonts w:hint="eastAsia"/>
                    </w:rPr>
                    <w:t>排放口地理坐标</w:t>
                  </w:r>
                </w:p>
              </w:tc>
              <w:tc>
                <w:tcPr>
                  <w:tcW w:w="527" w:type="pct"/>
                  <w:noWrap/>
                  <w:vAlign w:val="center"/>
                </w:tcPr>
                <w:p w14:paraId="7F28C45C">
                  <w:pPr>
                    <w:pStyle w:val="51"/>
                    <w:spacing w:before="33" w:after="33"/>
                  </w:pPr>
                  <w:r>
                    <w:rPr>
                      <w:rFonts w:hint="eastAsia"/>
                    </w:rPr>
                    <w:t>污染物</w:t>
                  </w:r>
                </w:p>
              </w:tc>
              <w:tc>
                <w:tcPr>
                  <w:tcW w:w="500" w:type="pct"/>
                  <w:noWrap/>
                  <w:vAlign w:val="center"/>
                </w:tcPr>
                <w:p w14:paraId="0B08A113">
                  <w:pPr>
                    <w:pStyle w:val="51"/>
                    <w:spacing w:before="33" w:after="33"/>
                  </w:pPr>
                  <w:r>
                    <w:rPr>
                      <w:rFonts w:hint="eastAsia"/>
                    </w:rPr>
                    <w:t>排放方式</w:t>
                  </w:r>
                </w:p>
              </w:tc>
              <w:tc>
                <w:tcPr>
                  <w:tcW w:w="502" w:type="pct"/>
                  <w:noWrap/>
                  <w:vAlign w:val="center"/>
                </w:tcPr>
                <w:p w14:paraId="44F12F9F">
                  <w:pPr>
                    <w:pStyle w:val="51"/>
                    <w:spacing w:before="33" w:after="33"/>
                  </w:pPr>
                  <w:r>
                    <w:rPr>
                      <w:rFonts w:hint="eastAsia"/>
                    </w:rPr>
                    <w:t>排放去向</w:t>
                  </w:r>
                </w:p>
              </w:tc>
              <w:tc>
                <w:tcPr>
                  <w:tcW w:w="418" w:type="pct"/>
                  <w:noWrap/>
                  <w:vAlign w:val="center"/>
                </w:tcPr>
                <w:p w14:paraId="5FE95FE8">
                  <w:pPr>
                    <w:pStyle w:val="51"/>
                    <w:spacing w:before="33" w:after="33"/>
                  </w:pPr>
                  <w:r>
                    <w:rPr>
                      <w:rFonts w:hint="eastAsia"/>
                    </w:rPr>
                    <w:t>排放规律</w:t>
                  </w:r>
                </w:p>
              </w:tc>
              <w:tc>
                <w:tcPr>
                  <w:tcW w:w="429" w:type="pct"/>
                  <w:noWrap/>
                  <w:vAlign w:val="center"/>
                </w:tcPr>
                <w:p w14:paraId="4107A127">
                  <w:pPr>
                    <w:pStyle w:val="51"/>
                    <w:spacing w:before="33" w:after="33"/>
                  </w:pPr>
                  <w:r>
                    <w:rPr>
                      <w:rFonts w:hint="eastAsia"/>
                    </w:rPr>
                    <w:t>排放口类型</w:t>
                  </w:r>
                </w:p>
              </w:tc>
              <w:tc>
                <w:tcPr>
                  <w:tcW w:w="1065" w:type="pct"/>
                  <w:noWrap/>
                  <w:vAlign w:val="center"/>
                </w:tcPr>
                <w:p w14:paraId="13AE169F">
                  <w:pPr>
                    <w:pStyle w:val="51"/>
                    <w:spacing w:before="33" w:after="33"/>
                  </w:pPr>
                  <w:r>
                    <w:rPr>
                      <w:rFonts w:hint="eastAsia"/>
                    </w:rPr>
                    <w:t>排放标准</w:t>
                  </w:r>
                </w:p>
              </w:tc>
            </w:tr>
            <w:tr w14:paraId="44A1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7" w:hRule="atLeast"/>
                <w:jc w:val="center"/>
              </w:trPr>
              <w:tc>
                <w:tcPr>
                  <w:tcW w:w="495" w:type="pct"/>
                  <w:noWrap/>
                  <w:vAlign w:val="center"/>
                </w:tcPr>
                <w:p w14:paraId="1421D497">
                  <w:pPr>
                    <w:pStyle w:val="51"/>
                    <w:spacing w:before="33" w:after="33"/>
                  </w:pPr>
                  <w:r>
                    <w:t>DW001</w:t>
                  </w:r>
                </w:p>
              </w:tc>
              <w:tc>
                <w:tcPr>
                  <w:tcW w:w="444" w:type="pct"/>
                  <w:noWrap/>
                  <w:vAlign w:val="center"/>
                </w:tcPr>
                <w:p w14:paraId="72FBD78D">
                  <w:pPr>
                    <w:pStyle w:val="51"/>
                    <w:spacing w:before="33" w:after="33"/>
                  </w:pPr>
                  <w:r>
                    <w:t>废水总排口</w:t>
                  </w:r>
                </w:p>
              </w:tc>
              <w:tc>
                <w:tcPr>
                  <w:tcW w:w="616" w:type="pct"/>
                  <w:noWrap/>
                  <w:vAlign w:val="center"/>
                </w:tcPr>
                <w:p w14:paraId="5B5C578E">
                  <w:pPr>
                    <w:pStyle w:val="51"/>
                    <w:spacing w:before="33" w:after="33"/>
                  </w:pPr>
                  <w:r>
                    <w:rPr>
                      <w:rFonts w:hint="eastAsia"/>
                      <w:color w:val="auto"/>
                      <w:highlight w:val="none"/>
                    </w:rPr>
                    <w:t>11</w:t>
                  </w:r>
                  <w:r>
                    <w:rPr>
                      <w:rFonts w:hint="eastAsia"/>
                      <w:color w:val="auto"/>
                      <w:highlight w:val="none"/>
                      <w:lang w:val="en-US" w:eastAsia="zh-CN"/>
                    </w:rPr>
                    <w:t>7.087929，</w:t>
                  </w:r>
                  <w:r>
                    <w:rPr>
                      <w:rFonts w:hint="eastAsia"/>
                      <w:color w:val="auto"/>
                      <w:highlight w:val="none"/>
                    </w:rPr>
                    <w:t>32.</w:t>
                  </w:r>
                  <w:r>
                    <w:rPr>
                      <w:rFonts w:hint="eastAsia"/>
                      <w:color w:val="auto"/>
                      <w:highlight w:val="none"/>
                      <w:lang w:val="en-US" w:eastAsia="zh-CN"/>
                    </w:rPr>
                    <w:t>637988</w:t>
                  </w:r>
                </w:p>
              </w:tc>
              <w:tc>
                <w:tcPr>
                  <w:tcW w:w="527" w:type="pct"/>
                  <w:noWrap/>
                  <w:vAlign w:val="center"/>
                </w:tcPr>
                <w:p w14:paraId="0A30B129">
                  <w:pPr>
                    <w:pStyle w:val="51"/>
                    <w:spacing w:before="33" w:after="33"/>
                    <w:rPr>
                      <w:rFonts w:hint="eastAsia" w:eastAsia="宋体"/>
                      <w:lang w:eastAsia="zh-CN"/>
                    </w:rPr>
                  </w:pPr>
                  <w:r>
                    <w:t>pH</w:t>
                  </w:r>
                  <w:r>
                    <w:rPr>
                      <w:rFonts w:hint="eastAsia"/>
                    </w:rPr>
                    <w:t>、</w:t>
                  </w:r>
                  <w:r>
                    <w:t>COD、氨氮</w:t>
                  </w:r>
                  <w:r>
                    <w:rPr>
                      <w:rFonts w:hint="eastAsia"/>
                    </w:rPr>
                    <w:t>、</w:t>
                  </w:r>
                  <w:r>
                    <w:t>SS</w:t>
                  </w:r>
                  <w:r>
                    <w:rPr>
                      <w:rFonts w:hint="eastAsia"/>
                    </w:rPr>
                    <w:t>、</w:t>
                  </w:r>
                  <w:r>
                    <w:rPr>
                      <w:highlight w:val="none"/>
                    </w:rPr>
                    <w:t>BOD</w:t>
                  </w:r>
                  <w:r>
                    <w:rPr>
                      <w:highlight w:val="none"/>
                      <w:vertAlign w:val="subscript"/>
                    </w:rPr>
                    <w:t>5</w:t>
                  </w:r>
                  <w:r>
                    <w:rPr>
                      <w:rFonts w:hint="eastAsia"/>
                      <w:highlight w:val="none"/>
                      <w:vertAlign w:val="subscript"/>
                      <w:lang w:eastAsia="zh-CN"/>
                    </w:rPr>
                    <w:t>、</w:t>
                  </w:r>
                  <w:r>
                    <w:rPr>
                      <w:rFonts w:hint="eastAsia"/>
                      <w:lang w:val="en-US" w:eastAsia="zh-CN"/>
                    </w:rPr>
                    <w:t>TP、TN</w:t>
                  </w:r>
                </w:p>
              </w:tc>
              <w:tc>
                <w:tcPr>
                  <w:tcW w:w="500" w:type="pct"/>
                  <w:noWrap/>
                  <w:vAlign w:val="center"/>
                </w:tcPr>
                <w:p w14:paraId="796AC5A9">
                  <w:pPr>
                    <w:pStyle w:val="51"/>
                    <w:spacing w:before="33" w:after="33"/>
                  </w:pPr>
                  <w:r>
                    <w:t>间接排放</w:t>
                  </w:r>
                </w:p>
              </w:tc>
              <w:tc>
                <w:tcPr>
                  <w:tcW w:w="502" w:type="pct"/>
                  <w:noWrap/>
                  <w:vAlign w:val="center"/>
                </w:tcPr>
                <w:p w14:paraId="4D60A407">
                  <w:pPr>
                    <w:pStyle w:val="51"/>
                    <w:spacing w:before="33" w:after="33"/>
                  </w:pPr>
                  <w:r>
                    <w:rPr>
                      <w:rFonts w:hint="eastAsia"/>
                      <w:color w:val="auto"/>
                      <w:highlight w:val="none"/>
                      <w:lang w:val="en-US" w:eastAsia="zh-CN"/>
                    </w:rPr>
                    <w:t>淮南经济</w:t>
                  </w:r>
                  <w:r>
                    <w:rPr>
                      <w:rFonts w:hint="eastAsia"/>
                      <w:color w:val="auto"/>
                      <w:highlight w:val="none"/>
                    </w:rPr>
                    <w:t>开发区污水处理厂</w:t>
                  </w:r>
                </w:p>
              </w:tc>
              <w:tc>
                <w:tcPr>
                  <w:tcW w:w="418" w:type="pct"/>
                  <w:noWrap/>
                  <w:vAlign w:val="center"/>
                </w:tcPr>
                <w:p w14:paraId="0E499F96">
                  <w:pPr>
                    <w:pStyle w:val="51"/>
                    <w:spacing w:before="33" w:after="33"/>
                  </w:pPr>
                  <w:r>
                    <w:rPr>
                      <w:rFonts w:hint="eastAsia"/>
                    </w:rPr>
                    <w:t>间断排放</w:t>
                  </w:r>
                </w:p>
              </w:tc>
              <w:tc>
                <w:tcPr>
                  <w:tcW w:w="429" w:type="pct"/>
                  <w:noWrap/>
                  <w:vAlign w:val="center"/>
                </w:tcPr>
                <w:p w14:paraId="3268F6B1">
                  <w:pPr>
                    <w:pStyle w:val="51"/>
                    <w:spacing w:before="33" w:after="33"/>
                  </w:pPr>
                  <w:r>
                    <w:rPr>
                      <w:rFonts w:hint="eastAsia"/>
                    </w:rPr>
                    <w:t>一般排放口</w:t>
                  </w:r>
                </w:p>
              </w:tc>
              <w:tc>
                <w:tcPr>
                  <w:tcW w:w="1065" w:type="pct"/>
                  <w:noWrap/>
                  <w:vAlign w:val="center"/>
                </w:tcPr>
                <w:p w14:paraId="1D830BD5">
                  <w:pPr>
                    <w:pStyle w:val="51"/>
                    <w:spacing w:before="33" w:after="33"/>
                    <w:rPr>
                      <w:rFonts w:hint="default" w:eastAsia="宋体"/>
                      <w:lang w:val="en-US" w:eastAsia="zh-CN"/>
                    </w:rPr>
                  </w:pPr>
                  <w:r>
                    <w:rPr>
                      <w:rFonts w:hint="eastAsia"/>
                      <w:color w:val="auto"/>
                      <w:highlight w:val="none"/>
                      <w:lang w:val="en-US" w:eastAsia="zh-CN"/>
                    </w:rPr>
                    <w:t>淮南经济</w:t>
                  </w:r>
                  <w:r>
                    <w:rPr>
                      <w:rFonts w:hint="eastAsia"/>
                      <w:color w:val="auto"/>
                      <w:highlight w:val="none"/>
                    </w:rPr>
                    <w:t>开发区污水处理厂（三万吨污水处理厂）</w:t>
                  </w:r>
                  <w:r>
                    <w:rPr>
                      <w:rFonts w:hint="eastAsia"/>
                      <w:color w:val="auto"/>
                      <w:highlight w:val="none"/>
                      <w:lang w:val="en-US" w:eastAsia="zh-CN"/>
                    </w:rPr>
                    <w:t>接管限值</w:t>
                  </w:r>
                </w:p>
              </w:tc>
            </w:tr>
          </w:tbl>
          <w:p w14:paraId="7C962C85">
            <w:pPr>
              <w:bidi w:val="0"/>
              <w:rPr>
                <w:b/>
                <w:bCs/>
                <w:color w:val="auto"/>
              </w:rPr>
            </w:pPr>
            <w:r>
              <w:rPr>
                <w:rFonts w:hint="eastAsia"/>
                <w:b/>
                <w:bCs/>
                <w:color w:val="auto"/>
                <w:lang w:val="en-US" w:eastAsia="zh-CN"/>
              </w:rPr>
              <w:t>4、废水</w:t>
            </w:r>
            <w:r>
              <w:rPr>
                <w:b/>
                <w:bCs/>
                <w:color w:val="auto"/>
              </w:rPr>
              <w:t>处理依托</w:t>
            </w:r>
            <w:r>
              <w:rPr>
                <w:rFonts w:hint="eastAsia"/>
                <w:b/>
                <w:bCs/>
                <w:color w:val="auto"/>
              </w:rPr>
              <w:t>园区污水处理厂处理</w:t>
            </w:r>
            <w:r>
              <w:rPr>
                <w:b/>
                <w:bCs/>
                <w:color w:val="auto"/>
              </w:rPr>
              <w:t>可行性</w:t>
            </w:r>
            <w:r>
              <w:rPr>
                <w:rFonts w:hint="eastAsia"/>
                <w:b/>
                <w:bCs/>
                <w:color w:val="auto"/>
              </w:rPr>
              <w:t>分析</w:t>
            </w:r>
          </w:p>
          <w:p w14:paraId="1A0EDDB5">
            <w:pPr>
              <w:bidi w:val="0"/>
              <w:rPr>
                <w:b/>
                <w:bCs/>
                <w:color w:val="auto"/>
              </w:rPr>
            </w:pPr>
            <w:r>
              <w:rPr>
                <w:rFonts w:hint="eastAsia"/>
                <w:b/>
                <w:bCs/>
                <w:color w:val="auto"/>
                <w:lang w:eastAsia="zh-CN"/>
              </w:rPr>
              <w:t>（</w:t>
            </w:r>
            <w:r>
              <w:rPr>
                <w:rFonts w:hint="eastAsia"/>
                <w:b/>
                <w:bCs/>
                <w:color w:val="auto"/>
                <w:lang w:val="en-US" w:eastAsia="zh-CN"/>
              </w:rPr>
              <w:t>1</w:t>
            </w:r>
            <w:r>
              <w:rPr>
                <w:rFonts w:hint="eastAsia"/>
                <w:b/>
                <w:bCs/>
                <w:color w:val="auto"/>
                <w:lang w:eastAsia="zh-CN"/>
              </w:rPr>
              <w:t>）</w:t>
            </w:r>
            <w:r>
              <w:rPr>
                <w:rFonts w:hint="eastAsia"/>
                <w:b/>
                <w:bCs/>
                <w:color w:val="auto"/>
              </w:rPr>
              <w:t>淮南现代产业园园区污水处理厂</w:t>
            </w:r>
            <w:r>
              <w:rPr>
                <w:b/>
                <w:bCs/>
                <w:color w:val="auto"/>
              </w:rPr>
              <w:t>简述</w:t>
            </w:r>
          </w:p>
          <w:p w14:paraId="3DA4B8FF">
            <w:pPr>
              <w:bidi w:val="0"/>
              <w:rPr>
                <w:color w:val="auto"/>
                <w:highlight w:val="none"/>
              </w:rPr>
            </w:pPr>
            <w:r>
              <w:rPr>
                <w:color w:val="auto"/>
                <w:highlight w:val="none"/>
              </w:rPr>
              <w:t>淮南经济技术开发区污水处理厂</w:t>
            </w:r>
            <w:r>
              <w:rPr>
                <w:rFonts w:hint="eastAsia"/>
                <w:color w:val="auto"/>
                <w:highlight w:val="none"/>
                <w:lang w:eastAsia="zh-CN"/>
              </w:rPr>
              <w:t>（</w:t>
            </w:r>
            <w:r>
              <w:rPr>
                <w:rFonts w:hint="eastAsia"/>
                <w:color w:val="auto"/>
                <w:highlight w:val="none"/>
              </w:rPr>
              <w:t>三万吨污水处理厂</w:t>
            </w:r>
            <w:r>
              <w:rPr>
                <w:rFonts w:hint="eastAsia"/>
                <w:color w:val="auto"/>
                <w:highlight w:val="none"/>
                <w:lang w:eastAsia="zh-CN"/>
              </w:rPr>
              <w:t>）</w:t>
            </w:r>
            <w:r>
              <w:rPr>
                <w:color w:val="auto"/>
                <w:highlight w:val="none"/>
              </w:rPr>
              <w:t>位于淮南经济技术开发区吉安路和华兴路交叉口，处理规模为30000m</w:t>
            </w:r>
            <w:r>
              <w:rPr>
                <w:color w:val="auto"/>
                <w:highlight w:val="none"/>
                <w:vertAlign w:val="superscript"/>
              </w:rPr>
              <w:t>3</w:t>
            </w:r>
            <w:r>
              <w:rPr>
                <w:color w:val="auto"/>
                <w:highlight w:val="none"/>
              </w:rPr>
              <w:t>/d的工业污水处理厂。</w:t>
            </w:r>
          </w:p>
          <w:p w14:paraId="19CA9227">
            <w:pPr>
              <w:bidi w:val="0"/>
              <w:rPr>
                <w:b/>
                <w:bCs/>
                <w:color w:val="auto"/>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eastAsia"/>
                <w:b/>
                <w:bCs/>
                <w:color w:val="auto"/>
              </w:rPr>
              <w:t>污水处理厂</w:t>
            </w:r>
            <w:r>
              <w:rPr>
                <w:b/>
                <w:bCs/>
                <w:color w:val="auto"/>
              </w:rPr>
              <w:t>收水范围</w:t>
            </w:r>
          </w:p>
          <w:p w14:paraId="75843C79">
            <w:pPr>
              <w:bidi w:val="0"/>
              <w:rPr>
                <w:color w:val="auto"/>
                <w:highlight w:val="none"/>
              </w:rPr>
            </w:pPr>
            <w:r>
              <w:rPr>
                <w:color w:val="auto"/>
                <w:highlight w:val="none"/>
              </w:rPr>
              <w:t>淮南经济技术开发区污水处理厂</w:t>
            </w:r>
            <w:r>
              <w:rPr>
                <w:rFonts w:hint="eastAsia"/>
                <w:color w:val="auto"/>
                <w:highlight w:val="none"/>
                <w:lang w:eastAsia="zh-CN"/>
              </w:rPr>
              <w:t>（</w:t>
            </w:r>
            <w:r>
              <w:rPr>
                <w:rFonts w:hint="eastAsia"/>
                <w:color w:val="auto"/>
                <w:highlight w:val="none"/>
              </w:rPr>
              <w:t>三万吨污水处理厂</w:t>
            </w:r>
            <w:r>
              <w:rPr>
                <w:rFonts w:hint="eastAsia"/>
                <w:color w:val="auto"/>
                <w:highlight w:val="none"/>
                <w:lang w:eastAsia="zh-CN"/>
              </w:rPr>
              <w:t>）</w:t>
            </w:r>
            <w:r>
              <w:rPr>
                <w:color w:val="auto"/>
                <w:highlight w:val="none"/>
              </w:rPr>
              <w:t>服务范围主要为整个淮南经济技术开发区的工业废水和生活污水及大通区的部分工业废水和生活污水</w:t>
            </w:r>
            <w:r>
              <w:rPr>
                <w:rFonts w:hint="eastAsia"/>
                <w:color w:val="auto"/>
                <w:highlight w:val="none"/>
                <w:lang w:eastAsia="zh-CN"/>
              </w:rPr>
              <w:t>（</w:t>
            </w:r>
            <w:r>
              <w:rPr>
                <w:color w:val="auto"/>
                <w:highlight w:val="none"/>
              </w:rPr>
              <w:t>大通区的废水占处理总量的10%左右</w:t>
            </w:r>
            <w:r>
              <w:rPr>
                <w:rFonts w:hint="eastAsia"/>
                <w:color w:val="auto"/>
                <w:highlight w:val="none"/>
                <w:lang w:eastAsia="zh-CN"/>
              </w:rPr>
              <w:t>）</w:t>
            </w:r>
            <w:r>
              <w:rPr>
                <w:color w:val="auto"/>
                <w:highlight w:val="none"/>
              </w:rPr>
              <w:t>。</w:t>
            </w:r>
          </w:p>
          <w:p w14:paraId="6F6268C5">
            <w:pPr>
              <w:bidi w:val="0"/>
              <w:rPr>
                <w:b/>
                <w:bCs/>
                <w:color w:val="auto"/>
              </w:rPr>
            </w:pPr>
            <w:r>
              <w:rPr>
                <w:rFonts w:hint="eastAsia"/>
                <w:b/>
                <w:bCs/>
                <w:color w:val="auto"/>
                <w:lang w:eastAsia="zh-CN"/>
              </w:rPr>
              <w:t>（</w:t>
            </w:r>
            <w:r>
              <w:rPr>
                <w:rFonts w:hint="eastAsia"/>
                <w:b/>
                <w:bCs/>
                <w:color w:val="auto"/>
                <w:lang w:val="en-US" w:eastAsia="zh-CN"/>
              </w:rPr>
              <w:t>3</w:t>
            </w:r>
            <w:r>
              <w:rPr>
                <w:rFonts w:hint="eastAsia"/>
                <w:b/>
                <w:bCs/>
                <w:color w:val="auto"/>
                <w:lang w:eastAsia="zh-CN"/>
              </w:rPr>
              <w:t>）</w:t>
            </w:r>
            <w:r>
              <w:rPr>
                <w:rFonts w:hint="eastAsia"/>
                <w:b/>
                <w:bCs/>
                <w:color w:val="auto"/>
              </w:rPr>
              <w:t>处理</w:t>
            </w:r>
            <w:r>
              <w:rPr>
                <w:b/>
                <w:bCs/>
                <w:color w:val="auto"/>
              </w:rPr>
              <w:t>工艺</w:t>
            </w:r>
          </w:p>
          <w:p w14:paraId="693E5979">
            <w:pPr>
              <w:bidi w:val="0"/>
              <w:rPr>
                <w:rFonts w:hint="eastAsia" w:eastAsia="宋体"/>
                <w:color w:val="auto"/>
                <w:highlight w:val="none"/>
                <w:lang w:eastAsia="zh-CN"/>
              </w:rPr>
            </w:pPr>
            <w:r>
              <w:rPr>
                <w:rFonts w:hint="eastAsia"/>
                <w:color w:val="auto"/>
              </w:rPr>
              <w:t>淮南经济技术开发区污水处理厂</w:t>
            </w:r>
            <w:r>
              <w:rPr>
                <w:rFonts w:hint="eastAsia"/>
                <w:color w:val="auto"/>
                <w:lang w:eastAsia="zh-CN"/>
              </w:rPr>
              <w:t>（</w:t>
            </w:r>
            <w:r>
              <w:rPr>
                <w:rFonts w:hint="eastAsia"/>
                <w:color w:val="auto"/>
                <w:highlight w:val="none"/>
              </w:rPr>
              <w:t>三万吨污水处理厂</w:t>
            </w:r>
            <w:r>
              <w:rPr>
                <w:rFonts w:hint="eastAsia"/>
                <w:color w:val="auto"/>
                <w:lang w:eastAsia="zh-CN"/>
              </w:rPr>
              <w:t>）</w:t>
            </w:r>
            <w:r>
              <w:rPr>
                <w:rFonts w:hint="eastAsia"/>
                <w:color w:val="auto"/>
              </w:rPr>
              <w:t>采用</w:t>
            </w:r>
            <w:r>
              <w:rPr>
                <w:rFonts w:hint="eastAsia"/>
                <w:color w:val="auto"/>
                <w:lang w:eastAsia="zh-CN"/>
              </w:rPr>
              <w:t>“</w:t>
            </w:r>
            <w:r>
              <w:rPr>
                <w:rFonts w:hint="eastAsia"/>
                <w:color w:val="auto"/>
              </w:rPr>
              <w:t>调节+水解酸化+Bardenpho工艺+芬顿氧化+混凝沉淀+复合滤料滤池+次氯酸钠消毒处理工艺</w:t>
            </w:r>
            <w:r>
              <w:rPr>
                <w:rFonts w:hint="eastAsia"/>
                <w:color w:val="auto"/>
                <w:lang w:eastAsia="zh-CN"/>
              </w:rPr>
              <w:t>”</w:t>
            </w:r>
            <w:r>
              <w:rPr>
                <w:rFonts w:hint="eastAsia"/>
                <w:color w:val="auto"/>
              </w:rPr>
              <w:t>。污水处理厂工程工艺流程见下图</w:t>
            </w:r>
            <w:r>
              <w:rPr>
                <w:rFonts w:hint="eastAsia"/>
                <w:color w:val="auto"/>
                <w:lang w:eastAsia="zh-CN"/>
              </w:rPr>
              <w:t>：</w:t>
            </w:r>
            <w:r>
              <w:rPr>
                <w:color w:val="auto"/>
              </w:rPr>
              <w:drawing>
                <wp:inline distT="0" distB="0" distL="114300" distR="114300">
                  <wp:extent cx="4958080" cy="2881630"/>
                  <wp:effectExtent l="0" t="0" r="13970" b="1397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6"/>
                          <a:stretch>
                            <a:fillRect/>
                          </a:stretch>
                        </pic:blipFill>
                        <pic:spPr>
                          <a:xfrm>
                            <a:off x="0" y="0"/>
                            <a:ext cx="4958080" cy="2881630"/>
                          </a:xfrm>
                          <a:prstGeom prst="rect">
                            <a:avLst/>
                          </a:prstGeom>
                          <a:noFill/>
                          <a:ln>
                            <a:noFill/>
                          </a:ln>
                        </pic:spPr>
                      </pic:pic>
                    </a:graphicData>
                  </a:graphic>
                </wp:inline>
              </w:drawing>
            </w:r>
          </w:p>
          <w:p w14:paraId="53E1AA18">
            <w:pPr>
              <w:wordWrap/>
              <w:bidi w:val="0"/>
              <w:ind w:left="0" w:leftChars="0" w:firstLine="0" w:firstLineChars="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图4-1 淮南经济</w:t>
            </w:r>
            <w:r>
              <w:rPr>
                <w:rFonts w:hint="eastAsia" w:ascii="Times New Roman" w:hAnsi="Times New Roman" w:eastAsia="宋体" w:cs="Times New Roman"/>
                <w:b/>
                <w:bCs/>
                <w:color w:val="auto"/>
                <w:highlight w:val="none"/>
              </w:rPr>
              <w:t>开发区污水处理厂（三万吨污水处理厂）</w:t>
            </w:r>
            <w:r>
              <w:rPr>
                <w:rFonts w:hint="eastAsia" w:ascii="Times New Roman" w:hAnsi="Times New Roman" w:eastAsia="宋体" w:cs="Times New Roman"/>
                <w:b/>
                <w:bCs/>
                <w:color w:val="auto"/>
                <w:highlight w:val="none"/>
                <w:lang w:val="en-US" w:eastAsia="zh-CN"/>
              </w:rPr>
              <w:t>工艺流程图</w:t>
            </w:r>
          </w:p>
          <w:p w14:paraId="48DB3DEA">
            <w:pPr>
              <w:numPr>
                <w:ilvl w:val="0"/>
                <w:numId w:val="0"/>
              </w:numPr>
              <w:bidi w:val="0"/>
              <w:ind w:leftChars="200"/>
              <w:rPr>
                <w:rFonts w:hint="eastAsia"/>
                <w:b/>
                <w:bCs/>
                <w:color w:val="auto"/>
                <w:highlight w:val="none"/>
                <w:lang w:eastAsia="zh-CN"/>
              </w:rPr>
            </w:pPr>
            <w:r>
              <w:rPr>
                <w:rFonts w:hint="eastAsia"/>
                <w:b/>
                <w:bCs/>
                <w:color w:val="auto"/>
                <w:highlight w:val="none"/>
                <w:lang w:eastAsia="zh-CN"/>
              </w:rPr>
              <w:t>（</w:t>
            </w:r>
            <w:r>
              <w:rPr>
                <w:rFonts w:hint="eastAsia"/>
                <w:b/>
                <w:bCs/>
                <w:color w:val="auto"/>
                <w:highlight w:val="none"/>
                <w:lang w:val="en-US" w:eastAsia="zh-CN"/>
              </w:rPr>
              <w:t>4</w:t>
            </w:r>
            <w:r>
              <w:rPr>
                <w:rFonts w:hint="eastAsia"/>
                <w:b/>
                <w:bCs/>
                <w:color w:val="auto"/>
                <w:highlight w:val="none"/>
                <w:lang w:eastAsia="zh-CN"/>
              </w:rPr>
              <w:t>）依托设施可行性分析</w:t>
            </w:r>
          </w:p>
          <w:p w14:paraId="1344903F">
            <w:pPr>
              <w:numPr>
                <w:ilvl w:val="0"/>
                <w:numId w:val="0"/>
              </w:numPr>
              <w:spacing w:line="360" w:lineRule="auto"/>
              <w:ind w:leftChars="200"/>
              <w:rPr>
                <w:rFonts w:hint="default"/>
                <w:b/>
                <w:bCs/>
                <w:color w:val="auto"/>
                <w:highlight w:val="none"/>
                <w:lang w:val="en-US" w:eastAsia="zh-CN"/>
              </w:rPr>
            </w:pPr>
            <w:r>
              <w:rPr>
                <w:rFonts w:hint="eastAsia"/>
                <w:b/>
                <w:bCs/>
                <w:color w:val="auto"/>
                <w:sz w:val="24"/>
                <w:szCs w:val="20"/>
                <w:lang w:val="en-US" w:eastAsia="zh-CN"/>
              </w:rPr>
              <w:t>①</w:t>
            </w:r>
            <w:r>
              <w:rPr>
                <w:b/>
                <w:bCs/>
                <w:color w:val="auto"/>
                <w:sz w:val="24"/>
                <w:szCs w:val="20"/>
              </w:rPr>
              <w:t>污水水量纳管可行</w:t>
            </w:r>
          </w:p>
          <w:p w14:paraId="1B0B6985">
            <w:pPr>
              <w:pStyle w:val="100"/>
              <w:ind w:firstLine="480"/>
              <w:rPr>
                <w:color w:val="auto"/>
              </w:rPr>
            </w:pPr>
            <w:r>
              <w:rPr>
                <w:color w:val="auto"/>
              </w:rPr>
              <w:t>项目所在区域在</w:t>
            </w:r>
            <w:r>
              <w:rPr>
                <w:rFonts w:hint="eastAsia"/>
                <w:color w:val="auto"/>
                <w:highlight w:val="none"/>
                <w:lang w:val="en-US" w:eastAsia="zh-CN"/>
              </w:rPr>
              <w:t>淮南经济</w:t>
            </w:r>
            <w:r>
              <w:rPr>
                <w:rFonts w:hint="eastAsia"/>
                <w:color w:val="auto"/>
                <w:highlight w:val="none"/>
              </w:rPr>
              <w:t>开发区污水处理厂（三万吨污水处理厂）</w:t>
            </w:r>
            <w:r>
              <w:rPr>
                <w:color w:val="auto"/>
              </w:rPr>
              <w:t>服务范围内，项目废水运营期新增污水量为</w:t>
            </w:r>
            <w:r>
              <w:rPr>
                <w:rFonts w:hint="eastAsia"/>
                <w:color w:val="auto"/>
                <w:lang w:val="en-US" w:eastAsia="zh-CN"/>
              </w:rPr>
              <w:t>2.4</w:t>
            </w:r>
            <w:r>
              <w:rPr>
                <w:color w:val="auto"/>
              </w:rPr>
              <w:t>m³/d，占淮南经济技术开发区工业污水处理厂设计处理能力3万t/d的0.00</w:t>
            </w:r>
            <w:r>
              <w:rPr>
                <w:rFonts w:hint="eastAsia"/>
                <w:color w:val="auto"/>
                <w:lang w:val="en-US" w:eastAsia="zh-CN"/>
              </w:rPr>
              <w:t>8</w:t>
            </w:r>
            <w:r>
              <w:rPr>
                <w:color w:val="auto"/>
              </w:rPr>
              <w:t>%，淮南经济技术开发区工业污水处理厂目前接收污水量为1.8万t/d，</w:t>
            </w:r>
            <w:r>
              <w:rPr>
                <w:color w:val="auto"/>
                <w:szCs w:val="20"/>
              </w:rPr>
              <w:t>从水量纳管量上讲</w:t>
            </w:r>
            <w:r>
              <w:rPr>
                <w:color w:val="auto"/>
              </w:rPr>
              <w:t>，项目废水接管进入淮南经济技术开发区工业污水处理厂可行。污水处理厂的处理能力远远大于污水产生量，因此本项目产生的污水不会对污水处理厂造成较大冲击影响。</w:t>
            </w:r>
          </w:p>
          <w:p w14:paraId="09AC1D7E">
            <w:pPr>
              <w:bidi w:val="0"/>
              <w:rPr>
                <w:b/>
                <w:bCs/>
                <w:color w:val="auto"/>
                <w:highlight w:val="none"/>
              </w:rPr>
            </w:pPr>
            <w:r>
              <w:rPr>
                <w:rFonts w:hint="eastAsia"/>
                <w:b/>
                <w:bCs/>
                <w:color w:val="auto"/>
                <w:highlight w:val="none"/>
                <w:lang w:val="en-US" w:eastAsia="zh-CN"/>
              </w:rPr>
              <w:t>②</w:t>
            </w:r>
            <w:r>
              <w:rPr>
                <w:b/>
                <w:bCs/>
                <w:color w:val="auto"/>
                <w:sz w:val="24"/>
                <w:szCs w:val="20"/>
              </w:rPr>
              <w:t>处理后尾水达标排放</w:t>
            </w:r>
          </w:p>
          <w:p w14:paraId="550A0492">
            <w:pPr>
              <w:pStyle w:val="100"/>
              <w:ind w:firstLine="480"/>
              <w:rPr>
                <w:rFonts w:hint="eastAsia"/>
                <w:color w:val="auto"/>
                <w:highlight w:val="none"/>
              </w:rPr>
            </w:pPr>
            <w:r>
              <w:rPr>
                <w:color w:val="auto"/>
                <w:szCs w:val="20"/>
              </w:rPr>
              <w:t>经深度处理后，尾水可达到</w:t>
            </w:r>
            <w:r>
              <w:rPr>
                <w:rFonts w:hint="eastAsia"/>
                <w:color w:val="auto"/>
                <w:szCs w:val="20"/>
                <w:lang w:val="en-US" w:eastAsia="zh-CN"/>
              </w:rPr>
              <w:t xml:space="preserve"> </w:t>
            </w:r>
            <w:r>
              <w:rPr>
                <w:color w:val="auto"/>
                <w:szCs w:val="20"/>
              </w:rPr>
              <w:t>《城镇污水处理厂污染物排放标准》</w:t>
            </w:r>
            <w:r>
              <w:rPr>
                <w:rFonts w:hint="eastAsia"/>
                <w:color w:val="auto"/>
                <w:szCs w:val="20"/>
                <w:lang w:eastAsia="zh-CN"/>
              </w:rPr>
              <w:t>（</w:t>
            </w:r>
            <w:r>
              <w:rPr>
                <w:color w:val="auto"/>
                <w:szCs w:val="20"/>
              </w:rPr>
              <w:t>GB18918-2002</w:t>
            </w:r>
            <w:r>
              <w:rPr>
                <w:rFonts w:hint="eastAsia"/>
                <w:color w:val="auto"/>
                <w:szCs w:val="20"/>
                <w:lang w:eastAsia="zh-CN"/>
              </w:rPr>
              <w:t>）</w:t>
            </w:r>
            <w:r>
              <w:rPr>
                <w:color w:val="auto"/>
                <w:szCs w:val="20"/>
              </w:rPr>
              <w:t>中的一级A标准的要求，经调查自运行以来</w:t>
            </w:r>
            <w:r>
              <w:rPr>
                <w:color w:val="auto"/>
              </w:rPr>
              <w:t>淮南经济技术开发区工业污水处理厂</w:t>
            </w:r>
            <w:r>
              <w:rPr>
                <w:color w:val="auto"/>
                <w:szCs w:val="20"/>
              </w:rPr>
              <w:t>出水水质均可实现稳定达标排放。</w:t>
            </w:r>
          </w:p>
          <w:p w14:paraId="79C73174">
            <w:pPr>
              <w:pStyle w:val="100"/>
              <w:ind w:firstLine="480"/>
              <w:rPr>
                <w:rFonts w:hint="eastAsia"/>
                <w:color w:val="auto"/>
              </w:rPr>
            </w:pPr>
            <w:r>
              <w:rPr>
                <w:rFonts w:hint="eastAsia"/>
                <w:color w:val="auto"/>
              </w:rPr>
              <w:t>综上，本项目废水接管淮南经济技术开发区污水处理厂是可行的。</w:t>
            </w:r>
          </w:p>
          <w:p w14:paraId="28F1769A">
            <w:pPr>
              <w:ind w:firstLine="480"/>
              <w:rPr>
                <w:rFonts w:hint="eastAsia"/>
                <w:b/>
                <w:bCs w:val="0"/>
                <w:snapToGrid w:val="0"/>
                <w:color w:val="auto"/>
                <w:kern w:val="0"/>
                <w:sz w:val="24"/>
                <w:szCs w:val="24"/>
                <w:lang w:val="en-US" w:eastAsia="zh-CN"/>
              </w:rPr>
            </w:pPr>
            <w:r>
              <w:rPr>
                <w:rFonts w:hint="eastAsia"/>
                <w:b/>
                <w:bCs w:val="0"/>
                <w:snapToGrid w:val="0"/>
                <w:color w:val="auto"/>
                <w:kern w:val="0"/>
                <w:sz w:val="24"/>
                <w:szCs w:val="24"/>
                <w:lang w:val="en-US" w:eastAsia="zh-CN"/>
              </w:rPr>
              <w:t>5、废水污染物自行监测计划</w:t>
            </w:r>
          </w:p>
          <w:p w14:paraId="6DD7B5E8">
            <w:pPr>
              <w:bidi w:val="0"/>
              <w:rPr>
                <w:rFonts w:hint="eastAsia" w:ascii="Times New Roman" w:hAnsi="Times New Roman" w:cs="Times New Roman"/>
                <w:bCs/>
                <w:color w:val="auto"/>
                <w:spacing w:val="0"/>
                <w:szCs w:val="21"/>
                <w:lang w:val="en-US" w:eastAsia="zh-CN"/>
              </w:rPr>
            </w:pPr>
            <w:r>
              <w:rPr>
                <w:color w:val="auto"/>
                <w:lang w:val="en-US" w:eastAsia="zh-CN"/>
              </w:rPr>
              <w:t>根据</w:t>
            </w:r>
            <w:r>
              <w:rPr>
                <w:rFonts w:hint="eastAsia"/>
                <w:color w:val="auto"/>
              </w:rPr>
              <w:t>《排污单位自行监测技术指南 橡胶和塑料制品》(HJ 1207-2021)</w:t>
            </w:r>
            <w:r>
              <w:rPr>
                <w:rFonts w:hint="eastAsia"/>
                <w:color w:val="auto"/>
                <w:lang w:val="en-US" w:eastAsia="zh-CN"/>
              </w:rPr>
              <w:t>，非重点排污单位间接排放生活污水无需进行自行监测；根据《排污许可证申请与核发技术规范橡胶和塑料制品工业》</w:t>
            </w:r>
            <w:r>
              <w:rPr>
                <w:rFonts w:hint="eastAsia"/>
                <w:color w:val="auto"/>
              </w:rPr>
              <w:t xml:space="preserve">(HJ </w:t>
            </w:r>
            <w:r>
              <w:rPr>
                <w:rFonts w:hint="eastAsia"/>
                <w:color w:val="auto"/>
                <w:lang w:val="en-US" w:eastAsia="zh-CN"/>
              </w:rPr>
              <w:t>1122</w:t>
            </w:r>
            <w:r>
              <w:rPr>
                <w:rFonts w:hint="eastAsia"/>
                <w:color w:val="auto"/>
              </w:rPr>
              <w:t>-202</w:t>
            </w:r>
            <w:r>
              <w:rPr>
                <w:rFonts w:hint="eastAsia"/>
                <w:color w:val="auto"/>
                <w:lang w:val="en-US" w:eastAsia="zh-CN"/>
              </w:rPr>
              <w:t>0</w:t>
            </w:r>
            <w:r>
              <w:rPr>
                <w:rFonts w:hint="eastAsia"/>
                <w:color w:val="auto"/>
              </w:rPr>
              <w:t>)</w:t>
            </w:r>
            <w:r>
              <w:rPr>
                <w:rFonts w:hint="eastAsia" w:ascii="Times New Roman" w:hAnsi="Times New Roman" w:cs="Times New Roman"/>
                <w:bCs/>
                <w:color w:val="auto"/>
                <w:spacing w:val="0"/>
                <w:szCs w:val="21"/>
                <w:lang w:val="en-US" w:eastAsia="zh-CN"/>
              </w:rPr>
              <w:t>单独排入公共污水处理系统的生活污水无需开展自行监测，但需要说明排放去向。</w:t>
            </w:r>
            <w:r>
              <w:rPr>
                <w:color w:val="auto"/>
              </w:rPr>
              <w:t>本项目污水排入淮南经济技术开发区工业污水处理厂进行处理，经处理达到《城镇污水处理厂污染物排放标准》</w:t>
            </w:r>
            <w:r>
              <w:rPr>
                <w:rFonts w:hint="eastAsia"/>
                <w:color w:val="auto"/>
                <w:lang w:eastAsia="zh-CN"/>
              </w:rPr>
              <w:t>（</w:t>
            </w:r>
            <w:r>
              <w:rPr>
                <w:color w:val="auto"/>
              </w:rPr>
              <w:t>GB18918-2002</w:t>
            </w:r>
            <w:r>
              <w:rPr>
                <w:rFonts w:hint="eastAsia"/>
                <w:color w:val="auto"/>
                <w:lang w:eastAsia="zh-CN"/>
              </w:rPr>
              <w:t>）</w:t>
            </w:r>
            <w:r>
              <w:rPr>
                <w:color w:val="auto"/>
              </w:rPr>
              <w:t>中一级A标准排入尾水排入</w:t>
            </w:r>
            <w:r>
              <w:rPr>
                <w:rFonts w:hint="eastAsia"/>
                <w:color w:val="auto"/>
                <w:lang w:val="en-US" w:eastAsia="zh-CN"/>
              </w:rPr>
              <w:t>淮河</w:t>
            </w:r>
            <w:r>
              <w:rPr>
                <w:color w:val="auto"/>
              </w:rPr>
              <w:t>。</w:t>
            </w:r>
          </w:p>
          <w:p w14:paraId="1E0DD0F9">
            <w:pPr>
              <w:spacing w:line="360" w:lineRule="auto"/>
              <w:ind w:firstLine="482" w:firstLineChars="200"/>
              <w:jc w:val="left"/>
              <w:rPr>
                <w:b/>
                <w:bCs/>
                <w:color w:val="auto"/>
                <w:sz w:val="24"/>
              </w:rPr>
            </w:pPr>
            <w:r>
              <w:rPr>
                <w:rFonts w:hint="eastAsia"/>
                <w:b/>
                <w:bCs/>
                <w:color w:val="auto"/>
                <w:sz w:val="24"/>
                <w:lang w:val="en-US" w:eastAsia="zh-CN"/>
              </w:rPr>
              <w:t>6、</w:t>
            </w:r>
            <w:r>
              <w:rPr>
                <w:b/>
                <w:bCs/>
                <w:color w:val="auto"/>
                <w:sz w:val="24"/>
              </w:rPr>
              <w:t>地表水环境影响评价结论</w:t>
            </w:r>
          </w:p>
          <w:p w14:paraId="06C94D0C">
            <w:pPr>
              <w:bidi w:val="0"/>
              <w:rPr>
                <w:rFonts w:hint="eastAsia"/>
                <w:color w:val="auto"/>
                <w:lang w:eastAsia="zh-CN"/>
              </w:rPr>
            </w:pPr>
            <w:r>
              <w:rPr>
                <w:color w:val="auto"/>
              </w:rPr>
              <w:t>本项目采用</w:t>
            </w:r>
            <w:r>
              <w:rPr>
                <w:rFonts w:hint="eastAsia"/>
                <w:color w:val="auto"/>
                <w:lang w:eastAsia="zh-CN"/>
              </w:rPr>
              <w:t>“</w:t>
            </w:r>
            <w:r>
              <w:rPr>
                <w:color w:val="auto"/>
              </w:rPr>
              <w:t>雨污分流制</w:t>
            </w:r>
            <w:r>
              <w:rPr>
                <w:rFonts w:hint="eastAsia"/>
                <w:color w:val="auto"/>
                <w:lang w:eastAsia="zh-CN"/>
              </w:rPr>
              <w:t>”</w:t>
            </w:r>
            <w:r>
              <w:rPr>
                <w:color w:val="auto"/>
              </w:rPr>
              <w:t>排水系统。雨水直接进入市政雨水管网，排入区域地表水系。项目生活污水不直接排入区域地表水环境，对区域水环境质量影响较小</w:t>
            </w:r>
            <w:r>
              <w:rPr>
                <w:rFonts w:hint="eastAsia"/>
                <w:color w:val="auto"/>
              </w:rPr>
              <w:t>。</w:t>
            </w:r>
          </w:p>
          <w:p w14:paraId="03E8B362">
            <w:pPr>
              <w:ind w:firstLine="482"/>
              <w:rPr>
                <w:b/>
                <w:bCs/>
                <w:color w:val="auto"/>
                <w:highlight w:val="none"/>
              </w:rPr>
            </w:pPr>
            <w:r>
              <w:rPr>
                <w:rFonts w:hint="eastAsia"/>
                <w:b/>
                <w:bCs/>
                <w:color w:val="auto"/>
                <w:highlight w:val="none"/>
              </w:rPr>
              <w:t>三、噪声</w:t>
            </w:r>
          </w:p>
          <w:p w14:paraId="2C4A718E">
            <w:pPr>
              <w:ind w:firstLine="480"/>
              <w:rPr>
                <w:b/>
                <w:bCs/>
                <w:color w:val="auto"/>
                <w:highlight w:val="none"/>
              </w:rPr>
            </w:pPr>
            <w:r>
              <w:rPr>
                <w:rFonts w:hint="eastAsia"/>
                <w:b/>
                <w:bCs/>
                <w:color w:val="auto"/>
                <w:highlight w:val="none"/>
              </w:rPr>
              <w:t>1、噪声源强</w:t>
            </w:r>
          </w:p>
          <w:p w14:paraId="16BFFED4">
            <w:pPr>
              <w:ind w:firstLine="480"/>
              <w:rPr>
                <w:rFonts w:hint="default" w:eastAsia="宋体"/>
                <w:color w:val="auto"/>
                <w:highlight w:val="none"/>
                <w:lang w:val="en-US" w:eastAsia="zh-CN"/>
              </w:rPr>
            </w:pPr>
            <w:r>
              <w:rPr>
                <w:color w:val="auto"/>
                <w:highlight w:val="none"/>
              </w:rPr>
              <w:t>本项目生产过程中的主要噪声源为</w:t>
            </w:r>
            <w:r>
              <w:rPr>
                <w:rFonts w:hint="eastAsia"/>
                <w:color w:val="auto"/>
                <w:highlight w:val="none"/>
              </w:rPr>
              <w:t>各生产设备</w:t>
            </w:r>
            <w:r>
              <w:rPr>
                <w:color w:val="auto"/>
                <w:highlight w:val="none"/>
              </w:rPr>
              <w:t>，</w:t>
            </w:r>
            <w:r>
              <w:rPr>
                <w:rFonts w:hint="eastAsia"/>
                <w:color w:val="auto"/>
                <w:highlight w:val="none"/>
                <w:lang w:val="en-US" w:eastAsia="zh-CN"/>
              </w:rPr>
              <w:t>新增</w:t>
            </w:r>
            <w:r>
              <w:rPr>
                <w:rFonts w:hint="eastAsia"/>
                <w:color w:val="auto"/>
                <w:highlight w:val="none"/>
              </w:rPr>
              <w:t>主要噪声源的噪声强度</w:t>
            </w:r>
            <w:r>
              <w:rPr>
                <w:rFonts w:hint="eastAsia"/>
                <w:color w:val="auto"/>
                <w:highlight w:val="none"/>
                <w:lang w:val="en-US" w:eastAsia="zh-CN"/>
              </w:rPr>
              <w:t>见下表。</w:t>
            </w:r>
          </w:p>
        </w:tc>
      </w:tr>
    </w:tbl>
    <w:p w14:paraId="7A71B8BE">
      <w:pPr>
        <w:pStyle w:val="3"/>
        <w:ind w:firstLine="667"/>
        <w:rPr>
          <w:color w:val="auto"/>
          <w:spacing w:val="6"/>
          <w:highlight w:val="none"/>
        </w:rPr>
        <w:sectPr>
          <w:pgSz w:w="11906" w:h="16838"/>
          <w:pgMar w:top="1417" w:right="1417" w:bottom="1417" w:left="1417" w:header="737" w:footer="850" w:gutter="0"/>
          <w:pgBorders>
            <w:top w:val="none" w:sz="0" w:space="0"/>
            <w:left w:val="none" w:sz="0" w:space="0"/>
            <w:bottom w:val="none" w:sz="0" w:space="0"/>
            <w:right w:val="none" w:sz="0" w:space="0"/>
          </w:pgBorders>
          <w:pgNumType w:start="1"/>
          <w:cols w:space="0" w:num="1"/>
          <w:rtlGutter w:val="0"/>
          <w:docGrid w:type="lines" w:linePitch="336"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20"/>
      </w:tblGrid>
      <w:tr w14:paraId="33E1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0" w:type="dxa"/>
          </w:tcPr>
          <w:p w14:paraId="3FF4F449">
            <w:pPr>
              <w:pStyle w:val="44"/>
              <w:bidi w:val="0"/>
            </w:pPr>
            <w:r>
              <w:rPr>
                <w:rFonts w:hint="eastAsia"/>
              </w:rPr>
              <w:t>表4-</w:t>
            </w:r>
            <w:r>
              <w:rPr>
                <w:rFonts w:hint="eastAsia"/>
                <w:lang w:val="en-US" w:eastAsia="zh-CN"/>
              </w:rPr>
              <w:t>19</w:t>
            </w:r>
            <w:r>
              <w:rPr>
                <w:rFonts w:hint="eastAsia"/>
              </w:rPr>
              <w:t xml:space="preserve">  </w:t>
            </w:r>
            <w:r>
              <w:t>项目主要噪声源排放源强（室内）</w:t>
            </w:r>
          </w:p>
          <w:tbl>
            <w:tblPr>
              <w:tblStyle w:val="26"/>
              <w:tblW w:w="138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49"/>
              <w:gridCol w:w="405"/>
              <w:gridCol w:w="915"/>
              <w:gridCol w:w="600"/>
              <w:gridCol w:w="570"/>
              <w:gridCol w:w="585"/>
              <w:gridCol w:w="480"/>
              <w:gridCol w:w="570"/>
              <w:gridCol w:w="525"/>
              <w:gridCol w:w="596"/>
              <w:gridCol w:w="462"/>
              <w:gridCol w:w="502"/>
              <w:gridCol w:w="600"/>
              <w:gridCol w:w="600"/>
              <w:gridCol w:w="585"/>
              <w:gridCol w:w="660"/>
              <w:gridCol w:w="630"/>
              <w:gridCol w:w="405"/>
              <w:gridCol w:w="514"/>
              <w:gridCol w:w="686"/>
              <w:gridCol w:w="660"/>
              <w:gridCol w:w="660"/>
              <w:gridCol w:w="628"/>
              <w:gridCol w:w="677"/>
            </w:tblGrid>
            <w:tr w14:paraId="45B3F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58C5F6E">
                  <w:pPr>
                    <w:pStyle w:val="47"/>
                    <w:bidi w:val="0"/>
                    <w:rPr>
                      <w:rFonts w:hint="eastAsia"/>
                      <w:sz w:val="18"/>
                      <w:szCs w:val="18"/>
                    </w:rPr>
                  </w:pPr>
                  <w:r>
                    <w:rPr>
                      <w:rFonts w:hint="eastAsia"/>
                      <w:sz w:val="18"/>
                      <w:szCs w:val="18"/>
                      <w:lang w:val="en-US" w:eastAsia="zh-CN"/>
                    </w:rPr>
                    <w:t>序号</w:t>
                  </w:r>
                </w:p>
              </w:tc>
              <w:tc>
                <w:tcPr>
                  <w:tcW w:w="146" w:type="pct"/>
                  <w:vMerge w:val="restart"/>
                  <w:tcBorders>
                    <w:top w:val="single" w:color="000000" w:sz="8" w:space="0"/>
                    <w:left w:val="single" w:color="000000" w:sz="8" w:space="0"/>
                    <w:bottom w:val="nil"/>
                    <w:right w:val="single" w:color="000000" w:sz="8" w:space="0"/>
                  </w:tcBorders>
                  <w:shd w:val="clear" w:color="auto" w:fill="auto"/>
                  <w:vAlign w:val="center"/>
                </w:tcPr>
                <w:p w14:paraId="0789B7B6">
                  <w:pPr>
                    <w:pStyle w:val="47"/>
                    <w:bidi w:val="0"/>
                    <w:rPr>
                      <w:rFonts w:hint="eastAsia"/>
                      <w:sz w:val="18"/>
                      <w:szCs w:val="18"/>
                    </w:rPr>
                  </w:pPr>
                  <w:r>
                    <w:rPr>
                      <w:rFonts w:hint="eastAsia"/>
                      <w:sz w:val="18"/>
                      <w:szCs w:val="18"/>
                      <w:lang w:val="en-US" w:eastAsia="zh-CN"/>
                    </w:rPr>
                    <w:t>建筑物名称</w:t>
                  </w:r>
                </w:p>
              </w:tc>
              <w:tc>
                <w:tcPr>
                  <w:tcW w:w="32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C7C9750">
                  <w:pPr>
                    <w:pStyle w:val="47"/>
                    <w:bidi w:val="0"/>
                    <w:rPr>
                      <w:rFonts w:hint="eastAsia"/>
                      <w:sz w:val="18"/>
                      <w:szCs w:val="18"/>
                    </w:rPr>
                  </w:pPr>
                  <w:r>
                    <w:rPr>
                      <w:rFonts w:hint="eastAsia"/>
                      <w:sz w:val="18"/>
                      <w:szCs w:val="18"/>
                      <w:lang w:val="en-US" w:eastAsia="zh-CN"/>
                    </w:rPr>
                    <w:t>设备名称</w:t>
                  </w:r>
                </w:p>
              </w:tc>
              <w:tc>
                <w:tcPr>
                  <w:tcW w:w="21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2BC4C8C">
                  <w:pPr>
                    <w:pStyle w:val="47"/>
                    <w:bidi w:val="0"/>
                    <w:rPr>
                      <w:rFonts w:hint="eastAsia"/>
                      <w:sz w:val="18"/>
                      <w:szCs w:val="18"/>
                    </w:rPr>
                  </w:pPr>
                  <w:r>
                    <w:rPr>
                      <w:rFonts w:hint="eastAsia"/>
                      <w:sz w:val="18"/>
                      <w:szCs w:val="18"/>
                      <w:lang w:val="en-US" w:eastAsia="zh-CN"/>
                    </w:rPr>
                    <w:t>单台噪声源强</w:t>
                  </w:r>
                  <w:r>
                    <w:rPr>
                      <w:sz w:val="18"/>
                      <w:szCs w:val="18"/>
                      <w:lang w:val="en-US" w:eastAsia="zh-CN"/>
                    </w:rPr>
                    <w:t>dB（A）/1m</w:t>
                  </w:r>
                </w:p>
              </w:tc>
              <w:tc>
                <w:tcPr>
                  <w:tcW w:w="20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12AA5E4">
                  <w:pPr>
                    <w:pStyle w:val="47"/>
                    <w:bidi w:val="0"/>
                    <w:rPr>
                      <w:rFonts w:hint="default"/>
                      <w:sz w:val="18"/>
                      <w:szCs w:val="18"/>
                      <w:lang w:val="en-US"/>
                    </w:rPr>
                  </w:pPr>
                  <w:r>
                    <w:rPr>
                      <w:rFonts w:hint="eastAsia"/>
                      <w:sz w:val="18"/>
                      <w:szCs w:val="18"/>
                      <w:lang w:val="en-US" w:eastAsia="zh-CN"/>
                    </w:rPr>
                    <w:t>数量/台</w:t>
                  </w:r>
                </w:p>
              </w:tc>
              <w:tc>
                <w:tcPr>
                  <w:tcW w:w="21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ABFF6EA">
                  <w:pPr>
                    <w:pStyle w:val="47"/>
                    <w:bidi w:val="0"/>
                    <w:rPr>
                      <w:rFonts w:hint="eastAsia"/>
                      <w:sz w:val="18"/>
                      <w:szCs w:val="18"/>
                    </w:rPr>
                  </w:pPr>
                  <w:r>
                    <w:rPr>
                      <w:rFonts w:hint="eastAsia"/>
                      <w:sz w:val="18"/>
                      <w:szCs w:val="18"/>
                      <w:lang w:val="en-US" w:eastAsia="zh-CN"/>
                    </w:rPr>
                    <w:t>声源控制措施</w:t>
                  </w:r>
                </w:p>
              </w:tc>
              <w:tc>
                <w:tcPr>
                  <w:tcW w:w="568" w:type="pct"/>
                  <w:gridSpan w:val="3"/>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AB30878">
                  <w:pPr>
                    <w:pStyle w:val="47"/>
                    <w:bidi w:val="0"/>
                    <w:rPr>
                      <w:rFonts w:hint="eastAsia"/>
                      <w:sz w:val="18"/>
                      <w:szCs w:val="18"/>
                    </w:rPr>
                  </w:pPr>
                  <w:r>
                    <w:rPr>
                      <w:rFonts w:hint="eastAsia"/>
                      <w:sz w:val="18"/>
                      <w:szCs w:val="18"/>
                      <w:lang w:val="en-US" w:eastAsia="zh-CN"/>
                    </w:rPr>
                    <w:t>空间相对位置（</w:t>
                  </w:r>
                  <w:r>
                    <w:rPr>
                      <w:sz w:val="18"/>
                      <w:szCs w:val="18"/>
                      <w:lang w:val="en-US" w:eastAsia="zh-CN"/>
                    </w:rPr>
                    <w:t>m）</w:t>
                  </w:r>
                </w:p>
              </w:tc>
              <w:tc>
                <w:tcPr>
                  <w:tcW w:w="778" w:type="pct"/>
                  <w:gridSpan w:val="4"/>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4672147">
                  <w:pPr>
                    <w:pStyle w:val="47"/>
                    <w:bidi w:val="0"/>
                    <w:rPr>
                      <w:rFonts w:hint="eastAsia"/>
                      <w:sz w:val="18"/>
                      <w:szCs w:val="18"/>
                    </w:rPr>
                  </w:pPr>
                  <w:r>
                    <w:rPr>
                      <w:rFonts w:hint="eastAsia"/>
                      <w:sz w:val="18"/>
                      <w:szCs w:val="18"/>
                      <w:lang w:val="en-US" w:eastAsia="zh-CN"/>
                    </w:rPr>
                    <w:t>距室内边界距离</w:t>
                  </w:r>
                  <w:r>
                    <w:rPr>
                      <w:sz w:val="18"/>
                      <w:szCs w:val="18"/>
                      <w:lang w:val="en-US" w:eastAsia="zh-CN"/>
                    </w:rPr>
                    <w:t>/m</w:t>
                  </w:r>
                </w:p>
              </w:tc>
              <w:tc>
                <w:tcPr>
                  <w:tcW w:w="892" w:type="pct"/>
                  <w:gridSpan w:val="4"/>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B860182">
                  <w:pPr>
                    <w:pStyle w:val="47"/>
                    <w:bidi w:val="0"/>
                    <w:rPr>
                      <w:rFonts w:hint="eastAsia"/>
                      <w:sz w:val="18"/>
                      <w:szCs w:val="18"/>
                    </w:rPr>
                  </w:pPr>
                  <w:r>
                    <w:rPr>
                      <w:rFonts w:hint="eastAsia"/>
                      <w:sz w:val="18"/>
                      <w:szCs w:val="18"/>
                      <w:lang w:val="en-US" w:eastAsia="zh-CN"/>
                    </w:rPr>
                    <w:t>距室内边界声级</w:t>
                  </w:r>
                  <w:r>
                    <w:rPr>
                      <w:sz w:val="18"/>
                      <w:szCs w:val="18"/>
                      <w:lang w:val="en-US" w:eastAsia="zh-CN"/>
                    </w:rPr>
                    <w:t>dB（A）</w:t>
                  </w:r>
                </w:p>
              </w:tc>
              <w:tc>
                <w:tcPr>
                  <w:tcW w:w="146" w:type="pct"/>
                  <w:vMerge w:val="restart"/>
                  <w:tcBorders>
                    <w:top w:val="single" w:color="000000" w:sz="8" w:space="0"/>
                    <w:left w:val="single" w:color="000000" w:sz="8" w:space="0"/>
                    <w:bottom w:val="nil"/>
                    <w:right w:val="single" w:color="000000" w:sz="8" w:space="0"/>
                  </w:tcBorders>
                  <w:shd w:val="clear" w:color="auto" w:fill="auto"/>
                  <w:vAlign w:val="center"/>
                </w:tcPr>
                <w:p w14:paraId="656F20A8">
                  <w:pPr>
                    <w:pStyle w:val="47"/>
                    <w:bidi w:val="0"/>
                    <w:rPr>
                      <w:rFonts w:hint="eastAsia"/>
                      <w:sz w:val="18"/>
                      <w:szCs w:val="18"/>
                    </w:rPr>
                  </w:pPr>
                  <w:r>
                    <w:rPr>
                      <w:rFonts w:hint="eastAsia"/>
                      <w:sz w:val="18"/>
                      <w:szCs w:val="18"/>
                      <w:lang w:val="en-US" w:eastAsia="zh-CN"/>
                    </w:rPr>
                    <w:t>运行时段</w:t>
                  </w:r>
                </w:p>
              </w:tc>
              <w:tc>
                <w:tcPr>
                  <w:tcW w:w="18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7B2CCC6">
                  <w:pPr>
                    <w:pStyle w:val="47"/>
                    <w:bidi w:val="0"/>
                    <w:rPr>
                      <w:rFonts w:hint="eastAsia"/>
                      <w:sz w:val="18"/>
                      <w:szCs w:val="18"/>
                    </w:rPr>
                  </w:pPr>
                  <w:r>
                    <w:rPr>
                      <w:rFonts w:hint="eastAsia"/>
                      <w:sz w:val="18"/>
                      <w:szCs w:val="18"/>
                      <w:lang w:val="en-US" w:eastAsia="zh-CN"/>
                    </w:rPr>
                    <w:t>建筑物插入损失</w:t>
                  </w:r>
                  <w:r>
                    <w:rPr>
                      <w:sz w:val="18"/>
                      <w:szCs w:val="18"/>
                      <w:lang w:val="en-US" w:eastAsia="zh-CN"/>
                    </w:rPr>
                    <w:t>dB（A）</w:t>
                  </w:r>
                </w:p>
              </w:tc>
              <w:tc>
                <w:tcPr>
                  <w:tcW w:w="1194" w:type="pct"/>
                  <w:gridSpan w:val="5"/>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ABA7963">
                  <w:pPr>
                    <w:pStyle w:val="47"/>
                    <w:bidi w:val="0"/>
                    <w:rPr>
                      <w:rFonts w:hint="eastAsia"/>
                      <w:sz w:val="18"/>
                      <w:szCs w:val="18"/>
                    </w:rPr>
                  </w:pPr>
                  <w:r>
                    <w:rPr>
                      <w:rFonts w:hint="eastAsia"/>
                      <w:sz w:val="18"/>
                      <w:szCs w:val="18"/>
                      <w:lang w:val="en-US" w:eastAsia="zh-CN"/>
                    </w:rPr>
                    <w:t>建筑物外损失</w:t>
                  </w:r>
                </w:p>
              </w:tc>
            </w:tr>
            <w:tr w14:paraId="4CF3D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6E3ADD0">
                  <w:pPr>
                    <w:pStyle w:val="47"/>
                    <w:bidi w:val="0"/>
                    <w:rPr>
                      <w:rFonts w:hint="eastAsia"/>
                      <w:sz w:val="18"/>
                      <w:szCs w:val="18"/>
                    </w:rPr>
                  </w:pPr>
                </w:p>
              </w:tc>
              <w:tc>
                <w:tcPr>
                  <w:tcW w:w="146" w:type="pct"/>
                  <w:vMerge w:val="continue"/>
                  <w:tcBorders>
                    <w:top w:val="single" w:color="000000" w:sz="8" w:space="0"/>
                    <w:left w:val="single" w:color="000000" w:sz="8" w:space="0"/>
                    <w:bottom w:val="nil"/>
                    <w:right w:val="single" w:color="000000" w:sz="8" w:space="0"/>
                  </w:tcBorders>
                  <w:shd w:val="clear" w:color="auto" w:fill="auto"/>
                  <w:vAlign w:val="center"/>
                </w:tcPr>
                <w:p w14:paraId="43D7470C">
                  <w:pPr>
                    <w:pStyle w:val="47"/>
                    <w:bidi w:val="0"/>
                    <w:rPr>
                      <w:rFonts w:hint="eastAsia"/>
                      <w:sz w:val="18"/>
                      <w:szCs w:val="18"/>
                    </w:rPr>
                  </w:pPr>
                </w:p>
              </w:tc>
              <w:tc>
                <w:tcPr>
                  <w:tcW w:w="32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33B10FF">
                  <w:pPr>
                    <w:pStyle w:val="47"/>
                    <w:bidi w:val="0"/>
                    <w:rPr>
                      <w:rFonts w:hint="eastAsia"/>
                      <w:sz w:val="18"/>
                      <w:szCs w:val="18"/>
                    </w:rPr>
                  </w:pPr>
                </w:p>
              </w:tc>
              <w:tc>
                <w:tcPr>
                  <w:tcW w:w="21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FC58608">
                  <w:pPr>
                    <w:pStyle w:val="47"/>
                    <w:bidi w:val="0"/>
                    <w:rPr>
                      <w:rFonts w:hint="eastAsia"/>
                      <w:sz w:val="18"/>
                      <w:szCs w:val="18"/>
                    </w:rPr>
                  </w:pPr>
                </w:p>
              </w:tc>
              <w:tc>
                <w:tcPr>
                  <w:tcW w:w="20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28197DE">
                  <w:pPr>
                    <w:pStyle w:val="47"/>
                    <w:bidi w:val="0"/>
                    <w:rPr>
                      <w:rFonts w:hint="eastAsia"/>
                      <w:sz w:val="18"/>
                      <w:szCs w:val="18"/>
                    </w:rPr>
                  </w:pPr>
                </w:p>
              </w:tc>
              <w:tc>
                <w:tcPr>
                  <w:tcW w:w="2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1433B97">
                  <w:pPr>
                    <w:pStyle w:val="47"/>
                    <w:bidi w:val="0"/>
                    <w:rPr>
                      <w:rFonts w:hint="eastAsia"/>
                      <w:sz w:val="18"/>
                      <w:szCs w:val="18"/>
                    </w:rPr>
                  </w:pPr>
                </w:p>
              </w:tc>
              <w:tc>
                <w:tcPr>
                  <w:tcW w:w="568" w:type="pct"/>
                  <w:gridSpan w:val="3"/>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38EC0EC">
                  <w:pPr>
                    <w:pStyle w:val="47"/>
                    <w:bidi w:val="0"/>
                    <w:rPr>
                      <w:rFonts w:hint="eastAsia"/>
                      <w:sz w:val="18"/>
                      <w:szCs w:val="18"/>
                    </w:rPr>
                  </w:pPr>
                </w:p>
              </w:tc>
              <w:tc>
                <w:tcPr>
                  <w:tcW w:w="778" w:type="pct"/>
                  <w:gridSpan w:val="4"/>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428FF46">
                  <w:pPr>
                    <w:pStyle w:val="47"/>
                    <w:bidi w:val="0"/>
                    <w:rPr>
                      <w:rFonts w:hint="eastAsia"/>
                      <w:sz w:val="18"/>
                      <w:szCs w:val="18"/>
                    </w:rPr>
                  </w:pPr>
                </w:p>
              </w:tc>
              <w:tc>
                <w:tcPr>
                  <w:tcW w:w="892" w:type="pct"/>
                  <w:gridSpan w:val="4"/>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D54A1BD">
                  <w:pPr>
                    <w:pStyle w:val="47"/>
                    <w:bidi w:val="0"/>
                    <w:rPr>
                      <w:rFonts w:hint="eastAsia"/>
                      <w:sz w:val="18"/>
                      <w:szCs w:val="18"/>
                    </w:rPr>
                  </w:pPr>
                </w:p>
              </w:tc>
              <w:tc>
                <w:tcPr>
                  <w:tcW w:w="146" w:type="pct"/>
                  <w:vMerge w:val="continue"/>
                  <w:tcBorders>
                    <w:top w:val="single" w:color="000000" w:sz="8" w:space="0"/>
                    <w:left w:val="single" w:color="000000" w:sz="8" w:space="0"/>
                    <w:bottom w:val="nil"/>
                    <w:right w:val="single" w:color="000000" w:sz="8" w:space="0"/>
                  </w:tcBorders>
                  <w:shd w:val="clear" w:color="auto" w:fill="auto"/>
                  <w:vAlign w:val="center"/>
                </w:tcPr>
                <w:p w14:paraId="77471884">
                  <w:pPr>
                    <w:pStyle w:val="47"/>
                    <w:bidi w:val="0"/>
                    <w:rPr>
                      <w:rFonts w:hint="eastAsia"/>
                      <w:sz w:val="18"/>
                      <w:szCs w:val="18"/>
                    </w:rPr>
                  </w:pPr>
                </w:p>
              </w:tc>
              <w:tc>
                <w:tcPr>
                  <w:tcW w:w="1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C71760C">
                  <w:pPr>
                    <w:pStyle w:val="47"/>
                    <w:bidi w:val="0"/>
                    <w:rPr>
                      <w:rFonts w:hint="eastAsia"/>
                      <w:sz w:val="18"/>
                      <w:szCs w:val="18"/>
                    </w:rPr>
                  </w:pPr>
                </w:p>
              </w:tc>
              <w:tc>
                <w:tcPr>
                  <w:tcW w:w="1194" w:type="pct"/>
                  <w:gridSpan w:val="5"/>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421B1C4">
                  <w:pPr>
                    <w:pStyle w:val="47"/>
                    <w:bidi w:val="0"/>
                    <w:rPr>
                      <w:rFonts w:hint="eastAsia"/>
                      <w:sz w:val="18"/>
                      <w:szCs w:val="18"/>
                    </w:rPr>
                  </w:pPr>
                </w:p>
              </w:tc>
            </w:tr>
            <w:tr w14:paraId="71CC1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5C27521">
                  <w:pPr>
                    <w:pStyle w:val="47"/>
                    <w:bidi w:val="0"/>
                    <w:rPr>
                      <w:rFonts w:hint="eastAsia"/>
                      <w:sz w:val="18"/>
                      <w:szCs w:val="18"/>
                    </w:rPr>
                  </w:pPr>
                </w:p>
              </w:tc>
              <w:tc>
                <w:tcPr>
                  <w:tcW w:w="146" w:type="pct"/>
                  <w:vMerge w:val="continue"/>
                  <w:tcBorders>
                    <w:top w:val="single" w:color="000000" w:sz="8" w:space="0"/>
                    <w:left w:val="single" w:color="000000" w:sz="8" w:space="0"/>
                    <w:bottom w:val="nil"/>
                    <w:right w:val="single" w:color="000000" w:sz="8" w:space="0"/>
                  </w:tcBorders>
                  <w:shd w:val="clear" w:color="auto" w:fill="auto"/>
                  <w:vAlign w:val="center"/>
                </w:tcPr>
                <w:p w14:paraId="523D7D75">
                  <w:pPr>
                    <w:pStyle w:val="47"/>
                    <w:bidi w:val="0"/>
                    <w:rPr>
                      <w:rFonts w:hint="eastAsia"/>
                      <w:sz w:val="18"/>
                      <w:szCs w:val="18"/>
                    </w:rPr>
                  </w:pPr>
                </w:p>
              </w:tc>
              <w:tc>
                <w:tcPr>
                  <w:tcW w:w="32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C07A660">
                  <w:pPr>
                    <w:pStyle w:val="47"/>
                    <w:bidi w:val="0"/>
                    <w:rPr>
                      <w:rFonts w:hint="eastAsia"/>
                      <w:sz w:val="18"/>
                      <w:szCs w:val="18"/>
                    </w:rPr>
                  </w:pPr>
                </w:p>
              </w:tc>
              <w:tc>
                <w:tcPr>
                  <w:tcW w:w="21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B2383B8">
                  <w:pPr>
                    <w:pStyle w:val="47"/>
                    <w:bidi w:val="0"/>
                    <w:rPr>
                      <w:rFonts w:hint="eastAsia"/>
                      <w:sz w:val="18"/>
                      <w:szCs w:val="18"/>
                    </w:rPr>
                  </w:pPr>
                </w:p>
              </w:tc>
              <w:tc>
                <w:tcPr>
                  <w:tcW w:w="20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338DF0E">
                  <w:pPr>
                    <w:pStyle w:val="47"/>
                    <w:bidi w:val="0"/>
                    <w:rPr>
                      <w:rFonts w:hint="eastAsia"/>
                      <w:sz w:val="18"/>
                      <w:szCs w:val="18"/>
                    </w:rPr>
                  </w:pPr>
                </w:p>
              </w:tc>
              <w:tc>
                <w:tcPr>
                  <w:tcW w:w="2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8137D9F">
                  <w:pPr>
                    <w:pStyle w:val="47"/>
                    <w:bidi w:val="0"/>
                    <w:rPr>
                      <w:rFonts w:hint="eastAsia"/>
                      <w:sz w:val="18"/>
                      <w:szCs w:val="18"/>
                    </w:rPr>
                  </w:pPr>
                </w:p>
              </w:tc>
              <w:tc>
                <w:tcPr>
                  <w:tcW w:w="568" w:type="pct"/>
                  <w:gridSpan w:val="3"/>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7264636">
                  <w:pPr>
                    <w:pStyle w:val="47"/>
                    <w:bidi w:val="0"/>
                    <w:rPr>
                      <w:rFonts w:hint="eastAsia"/>
                      <w:sz w:val="18"/>
                      <w:szCs w:val="18"/>
                    </w:rPr>
                  </w:pPr>
                </w:p>
              </w:tc>
              <w:tc>
                <w:tcPr>
                  <w:tcW w:w="778" w:type="pct"/>
                  <w:gridSpan w:val="4"/>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DD36194">
                  <w:pPr>
                    <w:pStyle w:val="47"/>
                    <w:bidi w:val="0"/>
                    <w:rPr>
                      <w:rFonts w:hint="eastAsia"/>
                      <w:sz w:val="18"/>
                      <w:szCs w:val="18"/>
                    </w:rPr>
                  </w:pPr>
                </w:p>
              </w:tc>
              <w:tc>
                <w:tcPr>
                  <w:tcW w:w="892" w:type="pct"/>
                  <w:gridSpan w:val="4"/>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3224DA5">
                  <w:pPr>
                    <w:pStyle w:val="47"/>
                    <w:bidi w:val="0"/>
                    <w:rPr>
                      <w:rFonts w:hint="eastAsia"/>
                      <w:sz w:val="18"/>
                      <w:szCs w:val="18"/>
                    </w:rPr>
                  </w:pPr>
                </w:p>
              </w:tc>
              <w:tc>
                <w:tcPr>
                  <w:tcW w:w="146" w:type="pct"/>
                  <w:vMerge w:val="continue"/>
                  <w:tcBorders>
                    <w:top w:val="single" w:color="000000" w:sz="8" w:space="0"/>
                    <w:left w:val="single" w:color="000000" w:sz="8" w:space="0"/>
                    <w:bottom w:val="nil"/>
                    <w:right w:val="single" w:color="000000" w:sz="8" w:space="0"/>
                  </w:tcBorders>
                  <w:shd w:val="clear" w:color="auto" w:fill="auto"/>
                  <w:vAlign w:val="center"/>
                </w:tcPr>
                <w:p w14:paraId="2374CAF3">
                  <w:pPr>
                    <w:pStyle w:val="47"/>
                    <w:bidi w:val="0"/>
                    <w:rPr>
                      <w:rFonts w:hint="eastAsia"/>
                      <w:sz w:val="18"/>
                      <w:szCs w:val="18"/>
                    </w:rPr>
                  </w:pPr>
                </w:p>
              </w:tc>
              <w:tc>
                <w:tcPr>
                  <w:tcW w:w="1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EBB3A0D">
                  <w:pPr>
                    <w:pStyle w:val="47"/>
                    <w:bidi w:val="0"/>
                    <w:rPr>
                      <w:rFonts w:hint="eastAsia"/>
                      <w:sz w:val="18"/>
                      <w:szCs w:val="18"/>
                    </w:rPr>
                  </w:pPr>
                </w:p>
              </w:tc>
              <w:tc>
                <w:tcPr>
                  <w:tcW w:w="1194" w:type="pct"/>
                  <w:gridSpan w:val="5"/>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61AA2B0">
                  <w:pPr>
                    <w:pStyle w:val="47"/>
                    <w:bidi w:val="0"/>
                    <w:rPr>
                      <w:rFonts w:hint="eastAsia"/>
                      <w:sz w:val="18"/>
                      <w:szCs w:val="18"/>
                    </w:rPr>
                  </w:pPr>
                </w:p>
              </w:tc>
            </w:tr>
            <w:tr w14:paraId="396D2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E49EE49">
                  <w:pPr>
                    <w:pStyle w:val="47"/>
                    <w:bidi w:val="0"/>
                    <w:rPr>
                      <w:rFonts w:hint="eastAsia"/>
                      <w:sz w:val="18"/>
                      <w:szCs w:val="18"/>
                    </w:rPr>
                  </w:pPr>
                </w:p>
              </w:tc>
              <w:tc>
                <w:tcPr>
                  <w:tcW w:w="146" w:type="pct"/>
                  <w:vMerge w:val="continue"/>
                  <w:tcBorders>
                    <w:top w:val="single" w:color="000000" w:sz="8" w:space="0"/>
                    <w:left w:val="single" w:color="000000" w:sz="8" w:space="0"/>
                    <w:bottom w:val="nil"/>
                    <w:right w:val="single" w:color="000000" w:sz="8" w:space="0"/>
                  </w:tcBorders>
                  <w:shd w:val="clear" w:color="auto" w:fill="auto"/>
                  <w:vAlign w:val="center"/>
                </w:tcPr>
                <w:p w14:paraId="37A0CC61">
                  <w:pPr>
                    <w:pStyle w:val="47"/>
                    <w:bidi w:val="0"/>
                    <w:rPr>
                      <w:rFonts w:hint="eastAsia"/>
                      <w:sz w:val="18"/>
                      <w:szCs w:val="18"/>
                    </w:rPr>
                  </w:pPr>
                </w:p>
              </w:tc>
              <w:tc>
                <w:tcPr>
                  <w:tcW w:w="32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98B3FFE">
                  <w:pPr>
                    <w:pStyle w:val="47"/>
                    <w:bidi w:val="0"/>
                    <w:rPr>
                      <w:rFonts w:hint="eastAsia"/>
                      <w:sz w:val="18"/>
                      <w:szCs w:val="18"/>
                    </w:rPr>
                  </w:pPr>
                </w:p>
              </w:tc>
              <w:tc>
                <w:tcPr>
                  <w:tcW w:w="21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E3DA694">
                  <w:pPr>
                    <w:pStyle w:val="47"/>
                    <w:bidi w:val="0"/>
                    <w:rPr>
                      <w:rFonts w:hint="eastAsia"/>
                      <w:sz w:val="18"/>
                      <w:szCs w:val="18"/>
                    </w:rPr>
                  </w:pPr>
                </w:p>
              </w:tc>
              <w:tc>
                <w:tcPr>
                  <w:tcW w:w="20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D92AB83">
                  <w:pPr>
                    <w:pStyle w:val="47"/>
                    <w:bidi w:val="0"/>
                    <w:rPr>
                      <w:rFonts w:hint="eastAsia"/>
                      <w:sz w:val="18"/>
                      <w:szCs w:val="18"/>
                    </w:rPr>
                  </w:pPr>
                </w:p>
              </w:tc>
              <w:tc>
                <w:tcPr>
                  <w:tcW w:w="2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9D6171E">
                  <w:pPr>
                    <w:pStyle w:val="47"/>
                    <w:bidi w:val="0"/>
                    <w:rPr>
                      <w:rFonts w:hint="eastAsia"/>
                      <w:sz w:val="18"/>
                      <w:szCs w:val="18"/>
                    </w:rPr>
                  </w:pPr>
                </w:p>
              </w:tc>
              <w:tc>
                <w:tcPr>
                  <w:tcW w:w="568" w:type="pct"/>
                  <w:gridSpan w:val="3"/>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E03F723">
                  <w:pPr>
                    <w:pStyle w:val="47"/>
                    <w:bidi w:val="0"/>
                    <w:rPr>
                      <w:rFonts w:hint="eastAsia"/>
                      <w:sz w:val="18"/>
                      <w:szCs w:val="18"/>
                    </w:rPr>
                  </w:pPr>
                </w:p>
              </w:tc>
              <w:tc>
                <w:tcPr>
                  <w:tcW w:w="778" w:type="pct"/>
                  <w:gridSpan w:val="4"/>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DC6B2E7">
                  <w:pPr>
                    <w:pStyle w:val="47"/>
                    <w:bidi w:val="0"/>
                    <w:rPr>
                      <w:rFonts w:hint="eastAsia"/>
                      <w:sz w:val="18"/>
                      <w:szCs w:val="18"/>
                    </w:rPr>
                  </w:pPr>
                </w:p>
              </w:tc>
              <w:tc>
                <w:tcPr>
                  <w:tcW w:w="892" w:type="pct"/>
                  <w:gridSpan w:val="4"/>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E0CEDC2">
                  <w:pPr>
                    <w:pStyle w:val="47"/>
                    <w:bidi w:val="0"/>
                    <w:rPr>
                      <w:rFonts w:hint="eastAsia"/>
                      <w:sz w:val="18"/>
                      <w:szCs w:val="18"/>
                    </w:rPr>
                  </w:pPr>
                </w:p>
              </w:tc>
              <w:tc>
                <w:tcPr>
                  <w:tcW w:w="146" w:type="pct"/>
                  <w:vMerge w:val="continue"/>
                  <w:tcBorders>
                    <w:top w:val="single" w:color="000000" w:sz="8" w:space="0"/>
                    <w:left w:val="single" w:color="000000" w:sz="8" w:space="0"/>
                    <w:bottom w:val="nil"/>
                    <w:right w:val="single" w:color="000000" w:sz="8" w:space="0"/>
                  </w:tcBorders>
                  <w:shd w:val="clear" w:color="auto" w:fill="auto"/>
                  <w:vAlign w:val="center"/>
                </w:tcPr>
                <w:p w14:paraId="6AC18F45">
                  <w:pPr>
                    <w:pStyle w:val="47"/>
                    <w:bidi w:val="0"/>
                    <w:rPr>
                      <w:rFonts w:hint="eastAsia"/>
                      <w:sz w:val="18"/>
                      <w:szCs w:val="18"/>
                    </w:rPr>
                  </w:pPr>
                </w:p>
              </w:tc>
              <w:tc>
                <w:tcPr>
                  <w:tcW w:w="1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71DA838">
                  <w:pPr>
                    <w:pStyle w:val="47"/>
                    <w:bidi w:val="0"/>
                    <w:rPr>
                      <w:rFonts w:hint="eastAsia"/>
                      <w:sz w:val="18"/>
                      <w:szCs w:val="18"/>
                    </w:rPr>
                  </w:pPr>
                </w:p>
              </w:tc>
              <w:tc>
                <w:tcPr>
                  <w:tcW w:w="1194" w:type="pct"/>
                  <w:gridSpan w:val="5"/>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C1E8913">
                  <w:pPr>
                    <w:pStyle w:val="47"/>
                    <w:bidi w:val="0"/>
                    <w:rPr>
                      <w:rFonts w:hint="eastAsia"/>
                      <w:sz w:val="18"/>
                      <w:szCs w:val="18"/>
                    </w:rPr>
                  </w:pPr>
                </w:p>
              </w:tc>
            </w:tr>
            <w:tr w14:paraId="7E22F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2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6B9CE2A">
                  <w:pPr>
                    <w:pStyle w:val="47"/>
                    <w:bidi w:val="0"/>
                    <w:rPr>
                      <w:rFonts w:hint="eastAsia"/>
                      <w:sz w:val="18"/>
                      <w:szCs w:val="18"/>
                    </w:rPr>
                  </w:pPr>
                </w:p>
              </w:tc>
              <w:tc>
                <w:tcPr>
                  <w:tcW w:w="146" w:type="pct"/>
                  <w:vMerge w:val="continue"/>
                  <w:tcBorders>
                    <w:top w:val="single" w:color="000000" w:sz="8" w:space="0"/>
                    <w:left w:val="single" w:color="000000" w:sz="8" w:space="0"/>
                    <w:bottom w:val="nil"/>
                    <w:right w:val="single" w:color="000000" w:sz="8" w:space="0"/>
                  </w:tcBorders>
                  <w:shd w:val="clear" w:color="auto" w:fill="auto"/>
                  <w:vAlign w:val="center"/>
                </w:tcPr>
                <w:p w14:paraId="37CBEC71">
                  <w:pPr>
                    <w:pStyle w:val="47"/>
                    <w:bidi w:val="0"/>
                    <w:rPr>
                      <w:rFonts w:hint="eastAsia"/>
                      <w:sz w:val="18"/>
                      <w:szCs w:val="18"/>
                    </w:rPr>
                  </w:pPr>
                </w:p>
              </w:tc>
              <w:tc>
                <w:tcPr>
                  <w:tcW w:w="32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A3849FD">
                  <w:pPr>
                    <w:pStyle w:val="47"/>
                    <w:bidi w:val="0"/>
                    <w:rPr>
                      <w:rFonts w:hint="eastAsia"/>
                      <w:sz w:val="18"/>
                      <w:szCs w:val="18"/>
                    </w:rPr>
                  </w:pPr>
                </w:p>
              </w:tc>
              <w:tc>
                <w:tcPr>
                  <w:tcW w:w="21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DE5EE33">
                  <w:pPr>
                    <w:pStyle w:val="47"/>
                    <w:bidi w:val="0"/>
                    <w:rPr>
                      <w:rFonts w:hint="eastAsia"/>
                      <w:sz w:val="18"/>
                      <w:szCs w:val="18"/>
                    </w:rPr>
                  </w:pPr>
                </w:p>
              </w:tc>
              <w:tc>
                <w:tcPr>
                  <w:tcW w:w="20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D53E5B1">
                  <w:pPr>
                    <w:pStyle w:val="47"/>
                    <w:bidi w:val="0"/>
                    <w:rPr>
                      <w:rFonts w:hint="eastAsia"/>
                      <w:sz w:val="18"/>
                      <w:szCs w:val="18"/>
                    </w:rPr>
                  </w:pPr>
                </w:p>
              </w:tc>
              <w:tc>
                <w:tcPr>
                  <w:tcW w:w="2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48D2227">
                  <w:pPr>
                    <w:pStyle w:val="47"/>
                    <w:bidi w:val="0"/>
                    <w:rPr>
                      <w:rFonts w:hint="eastAsia"/>
                      <w:sz w:val="18"/>
                      <w:szCs w:val="18"/>
                    </w:rPr>
                  </w:pPr>
                </w:p>
              </w:tc>
              <w:tc>
                <w:tcPr>
                  <w:tcW w:w="568" w:type="pct"/>
                  <w:gridSpan w:val="3"/>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44A040F">
                  <w:pPr>
                    <w:pStyle w:val="47"/>
                    <w:bidi w:val="0"/>
                    <w:rPr>
                      <w:rFonts w:hint="eastAsia"/>
                      <w:sz w:val="18"/>
                      <w:szCs w:val="18"/>
                    </w:rPr>
                  </w:pPr>
                </w:p>
              </w:tc>
              <w:tc>
                <w:tcPr>
                  <w:tcW w:w="778" w:type="pct"/>
                  <w:gridSpan w:val="4"/>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2CDFF4A">
                  <w:pPr>
                    <w:pStyle w:val="47"/>
                    <w:bidi w:val="0"/>
                    <w:rPr>
                      <w:rFonts w:hint="eastAsia"/>
                      <w:sz w:val="18"/>
                      <w:szCs w:val="18"/>
                    </w:rPr>
                  </w:pPr>
                </w:p>
              </w:tc>
              <w:tc>
                <w:tcPr>
                  <w:tcW w:w="892" w:type="pct"/>
                  <w:gridSpan w:val="4"/>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34373DE">
                  <w:pPr>
                    <w:pStyle w:val="47"/>
                    <w:bidi w:val="0"/>
                    <w:rPr>
                      <w:rFonts w:hint="eastAsia"/>
                      <w:sz w:val="18"/>
                      <w:szCs w:val="18"/>
                    </w:rPr>
                  </w:pPr>
                </w:p>
              </w:tc>
              <w:tc>
                <w:tcPr>
                  <w:tcW w:w="146" w:type="pct"/>
                  <w:vMerge w:val="continue"/>
                  <w:tcBorders>
                    <w:top w:val="single" w:color="000000" w:sz="8" w:space="0"/>
                    <w:left w:val="single" w:color="000000" w:sz="8" w:space="0"/>
                    <w:bottom w:val="nil"/>
                    <w:right w:val="single" w:color="000000" w:sz="8" w:space="0"/>
                  </w:tcBorders>
                  <w:shd w:val="clear" w:color="auto" w:fill="auto"/>
                  <w:vAlign w:val="center"/>
                </w:tcPr>
                <w:p w14:paraId="46E85C59">
                  <w:pPr>
                    <w:pStyle w:val="47"/>
                    <w:bidi w:val="0"/>
                    <w:rPr>
                      <w:rFonts w:hint="eastAsia"/>
                      <w:sz w:val="18"/>
                      <w:szCs w:val="18"/>
                    </w:rPr>
                  </w:pPr>
                </w:p>
              </w:tc>
              <w:tc>
                <w:tcPr>
                  <w:tcW w:w="1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5D59FB4">
                  <w:pPr>
                    <w:pStyle w:val="47"/>
                    <w:bidi w:val="0"/>
                    <w:rPr>
                      <w:rFonts w:hint="eastAsia"/>
                      <w:sz w:val="18"/>
                      <w:szCs w:val="18"/>
                    </w:rPr>
                  </w:pPr>
                </w:p>
              </w:tc>
              <w:tc>
                <w:tcPr>
                  <w:tcW w:w="949" w:type="pct"/>
                  <w:gridSpan w:val="4"/>
                  <w:tcBorders>
                    <w:top w:val="nil"/>
                    <w:left w:val="single" w:color="000000" w:sz="8" w:space="0"/>
                    <w:bottom w:val="single" w:color="000000" w:sz="8" w:space="0"/>
                    <w:right w:val="single" w:color="000000" w:sz="8" w:space="0"/>
                  </w:tcBorders>
                  <w:shd w:val="clear" w:color="auto" w:fill="auto"/>
                  <w:vAlign w:val="center"/>
                </w:tcPr>
                <w:p w14:paraId="118F00BE">
                  <w:pPr>
                    <w:pStyle w:val="47"/>
                    <w:bidi w:val="0"/>
                    <w:rPr>
                      <w:rFonts w:hint="eastAsia"/>
                      <w:sz w:val="18"/>
                      <w:szCs w:val="18"/>
                    </w:rPr>
                  </w:pPr>
                  <w:r>
                    <w:rPr>
                      <w:rFonts w:hint="eastAsia"/>
                      <w:sz w:val="18"/>
                      <w:szCs w:val="18"/>
                      <w:lang w:val="en-US" w:eastAsia="zh-CN"/>
                    </w:rPr>
                    <w:t>声压级</w:t>
                  </w:r>
                  <w:r>
                    <w:rPr>
                      <w:sz w:val="18"/>
                      <w:szCs w:val="18"/>
                      <w:lang w:val="en-US" w:eastAsia="zh-CN"/>
                    </w:rPr>
                    <w:t>dB（A）</w:t>
                  </w:r>
                </w:p>
              </w:tc>
              <w:tc>
                <w:tcPr>
                  <w:tcW w:w="24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577465D">
                  <w:pPr>
                    <w:pStyle w:val="47"/>
                    <w:bidi w:val="0"/>
                    <w:rPr>
                      <w:rFonts w:hint="eastAsia"/>
                      <w:sz w:val="18"/>
                      <w:szCs w:val="18"/>
                    </w:rPr>
                  </w:pPr>
                  <w:r>
                    <w:rPr>
                      <w:rFonts w:hint="eastAsia"/>
                      <w:sz w:val="18"/>
                      <w:szCs w:val="18"/>
                      <w:lang w:val="en-US" w:eastAsia="zh-CN"/>
                    </w:rPr>
                    <w:t>建筑物外距离m</w:t>
                  </w:r>
                </w:p>
              </w:tc>
            </w:tr>
            <w:tr w14:paraId="7E1FE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B382176">
                  <w:pPr>
                    <w:pStyle w:val="47"/>
                    <w:bidi w:val="0"/>
                    <w:rPr>
                      <w:rFonts w:hint="eastAsia"/>
                      <w:sz w:val="18"/>
                      <w:szCs w:val="18"/>
                    </w:rPr>
                  </w:pPr>
                </w:p>
              </w:tc>
              <w:tc>
                <w:tcPr>
                  <w:tcW w:w="146" w:type="pct"/>
                  <w:vMerge w:val="continue"/>
                  <w:tcBorders>
                    <w:top w:val="single" w:color="000000" w:sz="8" w:space="0"/>
                    <w:left w:val="single" w:color="000000" w:sz="8" w:space="0"/>
                    <w:bottom w:val="nil"/>
                    <w:right w:val="single" w:color="000000" w:sz="8" w:space="0"/>
                  </w:tcBorders>
                  <w:shd w:val="clear" w:color="auto" w:fill="auto"/>
                  <w:vAlign w:val="center"/>
                </w:tcPr>
                <w:p w14:paraId="54919EB3">
                  <w:pPr>
                    <w:pStyle w:val="47"/>
                    <w:bidi w:val="0"/>
                    <w:rPr>
                      <w:rFonts w:hint="eastAsia"/>
                      <w:sz w:val="18"/>
                      <w:szCs w:val="18"/>
                    </w:rPr>
                  </w:pPr>
                </w:p>
              </w:tc>
              <w:tc>
                <w:tcPr>
                  <w:tcW w:w="32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D08033F">
                  <w:pPr>
                    <w:pStyle w:val="47"/>
                    <w:bidi w:val="0"/>
                    <w:rPr>
                      <w:rFonts w:hint="eastAsia"/>
                      <w:sz w:val="18"/>
                      <w:szCs w:val="18"/>
                    </w:rPr>
                  </w:pPr>
                </w:p>
              </w:tc>
              <w:tc>
                <w:tcPr>
                  <w:tcW w:w="21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3387784">
                  <w:pPr>
                    <w:pStyle w:val="47"/>
                    <w:bidi w:val="0"/>
                    <w:rPr>
                      <w:rFonts w:hint="eastAsia"/>
                      <w:sz w:val="18"/>
                      <w:szCs w:val="18"/>
                    </w:rPr>
                  </w:pPr>
                </w:p>
              </w:tc>
              <w:tc>
                <w:tcPr>
                  <w:tcW w:w="20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07EFBF4">
                  <w:pPr>
                    <w:pStyle w:val="47"/>
                    <w:bidi w:val="0"/>
                    <w:rPr>
                      <w:rFonts w:hint="eastAsia"/>
                      <w:sz w:val="18"/>
                      <w:szCs w:val="18"/>
                    </w:rPr>
                  </w:pPr>
                </w:p>
              </w:tc>
              <w:tc>
                <w:tcPr>
                  <w:tcW w:w="2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D2D25A4">
                  <w:pPr>
                    <w:pStyle w:val="47"/>
                    <w:bidi w:val="0"/>
                    <w:rPr>
                      <w:rFonts w:hint="eastAsia"/>
                      <w:sz w:val="18"/>
                      <w:szCs w:val="18"/>
                    </w:rPr>
                  </w:pPr>
                </w:p>
              </w:tc>
              <w:tc>
                <w:tcPr>
                  <w:tcW w:w="173" w:type="pct"/>
                  <w:tcBorders>
                    <w:top w:val="nil"/>
                    <w:left w:val="single" w:color="000000" w:sz="8" w:space="0"/>
                    <w:bottom w:val="single" w:color="000000" w:sz="8" w:space="0"/>
                    <w:right w:val="single" w:color="000000" w:sz="8" w:space="0"/>
                  </w:tcBorders>
                  <w:shd w:val="clear" w:color="auto" w:fill="auto"/>
                  <w:vAlign w:val="center"/>
                </w:tcPr>
                <w:p w14:paraId="52AA7299">
                  <w:pPr>
                    <w:pStyle w:val="47"/>
                    <w:bidi w:val="0"/>
                    <w:rPr>
                      <w:rFonts w:hint="default"/>
                      <w:sz w:val="18"/>
                      <w:szCs w:val="18"/>
                    </w:rPr>
                  </w:pPr>
                  <w:r>
                    <w:rPr>
                      <w:rFonts w:hint="default"/>
                      <w:sz w:val="18"/>
                      <w:szCs w:val="18"/>
                      <w:lang w:val="en-US" w:eastAsia="zh-CN"/>
                    </w:rPr>
                    <w:t>X</w:t>
                  </w:r>
                </w:p>
              </w:tc>
              <w:tc>
                <w:tcPr>
                  <w:tcW w:w="205" w:type="pct"/>
                  <w:tcBorders>
                    <w:top w:val="nil"/>
                    <w:left w:val="single" w:color="000000" w:sz="8" w:space="0"/>
                    <w:bottom w:val="single" w:color="000000" w:sz="8" w:space="0"/>
                    <w:right w:val="single" w:color="000000" w:sz="8" w:space="0"/>
                  </w:tcBorders>
                  <w:shd w:val="clear" w:color="auto" w:fill="auto"/>
                  <w:vAlign w:val="center"/>
                </w:tcPr>
                <w:p w14:paraId="4E137CC9">
                  <w:pPr>
                    <w:pStyle w:val="47"/>
                    <w:bidi w:val="0"/>
                    <w:rPr>
                      <w:rFonts w:hint="default"/>
                      <w:sz w:val="18"/>
                      <w:szCs w:val="18"/>
                    </w:rPr>
                  </w:pPr>
                  <w:r>
                    <w:rPr>
                      <w:rFonts w:hint="default"/>
                      <w:sz w:val="18"/>
                      <w:szCs w:val="18"/>
                      <w:lang w:val="en-US" w:eastAsia="zh-CN"/>
                    </w:rPr>
                    <w:t>Y</w:t>
                  </w:r>
                </w:p>
              </w:tc>
              <w:tc>
                <w:tcPr>
                  <w:tcW w:w="189" w:type="pct"/>
                  <w:tcBorders>
                    <w:top w:val="nil"/>
                    <w:left w:val="single" w:color="000000" w:sz="8" w:space="0"/>
                    <w:bottom w:val="single" w:color="000000" w:sz="8" w:space="0"/>
                    <w:right w:val="single" w:color="000000" w:sz="8" w:space="0"/>
                  </w:tcBorders>
                  <w:shd w:val="clear" w:color="auto" w:fill="auto"/>
                  <w:vAlign w:val="center"/>
                </w:tcPr>
                <w:p w14:paraId="1140E245">
                  <w:pPr>
                    <w:pStyle w:val="47"/>
                    <w:bidi w:val="0"/>
                    <w:rPr>
                      <w:rFonts w:hint="default"/>
                      <w:sz w:val="18"/>
                      <w:szCs w:val="18"/>
                    </w:rPr>
                  </w:pPr>
                  <w:r>
                    <w:rPr>
                      <w:rFonts w:hint="default"/>
                      <w:sz w:val="18"/>
                      <w:szCs w:val="18"/>
                      <w:lang w:val="en-US" w:eastAsia="zh-CN"/>
                    </w:rPr>
                    <w:t>Z</w:t>
                  </w:r>
                </w:p>
              </w:tc>
              <w:tc>
                <w:tcPr>
                  <w:tcW w:w="214" w:type="pct"/>
                  <w:tcBorders>
                    <w:top w:val="nil"/>
                    <w:left w:val="single" w:color="000000" w:sz="8" w:space="0"/>
                    <w:bottom w:val="single" w:color="000000" w:sz="8" w:space="0"/>
                    <w:right w:val="single" w:color="000000" w:sz="8" w:space="0"/>
                  </w:tcBorders>
                  <w:shd w:val="clear" w:color="auto" w:fill="auto"/>
                  <w:vAlign w:val="center"/>
                </w:tcPr>
                <w:p w14:paraId="142823ED">
                  <w:pPr>
                    <w:pStyle w:val="47"/>
                    <w:bidi w:val="0"/>
                    <w:rPr>
                      <w:rFonts w:hint="default"/>
                      <w:sz w:val="18"/>
                      <w:szCs w:val="18"/>
                    </w:rPr>
                  </w:pPr>
                  <w:r>
                    <w:rPr>
                      <w:rFonts w:hint="default"/>
                      <w:sz w:val="18"/>
                      <w:szCs w:val="18"/>
                      <w:lang w:val="en-US" w:eastAsia="zh-CN"/>
                    </w:rPr>
                    <w:t>E</w:t>
                  </w:r>
                </w:p>
              </w:tc>
              <w:tc>
                <w:tcPr>
                  <w:tcW w:w="166" w:type="pct"/>
                  <w:tcBorders>
                    <w:top w:val="nil"/>
                    <w:left w:val="single" w:color="000000" w:sz="8" w:space="0"/>
                    <w:bottom w:val="single" w:color="000000" w:sz="8" w:space="0"/>
                    <w:right w:val="single" w:color="000000" w:sz="8" w:space="0"/>
                  </w:tcBorders>
                  <w:shd w:val="clear" w:color="auto" w:fill="auto"/>
                  <w:vAlign w:val="center"/>
                </w:tcPr>
                <w:p w14:paraId="78F79626">
                  <w:pPr>
                    <w:pStyle w:val="47"/>
                    <w:bidi w:val="0"/>
                    <w:rPr>
                      <w:rFonts w:hint="default"/>
                      <w:sz w:val="18"/>
                      <w:szCs w:val="18"/>
                    </w:rPr>
                  </w:pPr>
                  <w:r>
                    <w:rPr>
                      <w:rFonts w:hint="default"/>
                      <w:sz w:val="18"/>
                      <w:szCs w:val="18"/>
                      <w:lang w:val="en-US" w:eastAsia="zh-CN"/>
                    </w:rPr>
                    <w:t>W</w:t>
                  </w:r>
                </w:p>
              </w:tc>
              <w:tc>
                <w:tcPr>
                  <w:tcW w:w="181" w:type="pct"/>
                  <w:tcBorders>
                    <w:top w:val="nil"/>
                    <w:left w:val="single" w:color="000000" w:sz="8" w:space="0"/>
                    <w:bottom w:val="single" w:color="000000" w:sz="8" w:space="0"/>
                    <w:right w:val="single" w:color="000000" w:sz="8" w:space="0"/>
                  </w:tcBorders>
                  <w:shd w:val="clear" w:color="auto" w:fill="auto"/>
                  <w:vAlign w:val="center"/>
                </w:tcPr>
                <w:p w14:paraId="772069D1">
                  <w:pPr>
                    <w:pStyle w:val="47"/>
                    <w:bidi w:val="0"/>
                    <w:rPr>
                      <w:rFonts w:hint="default"/>
                      <w:sz w:val="18"/>
                      <w:szCs w:val="18"/>
                    </w:rPr>
                  </w:pPr>
                  <w:r>
                    <w:rPr>
                      <w:rFonts w:hint="default"/>
                      <w:sz w:val="18"/>
                      <w:szCs w:val="18"/>
                      <w:lang w:val="en-US" w:eastAsia="zh-CN"/>
                    </w:rPr>
                    <w:t>S</w:t>
                  </w:r>
                </w:p>
              </w:tc>
              <w:tc>
                <w:tcPr>
                  <w:tcW w:w="216" w:type="pct"/>
                  <w:tcBorders>
                    <w:top w:val="nil"/>
                    <w:left w:val="single" w:color="000000" w:sz="8" w:space="0"/>
                    <w:bottom w:val="single" w:color="000000" w:sz="8" w:space="0"/>
                    <w:right w:val="single" w:color="000000" w:sz="8" w:space="0"/>
                  </w:tcBorders>
                  <w:shd w:val="clear" w:color="auto" w:fill="auto"/>
                  <w:vAlign w:val="center"/>
                </w:tcPr>
                <w:p w14:paraId="591CC781">
                  <w:pPr>
                    <w:pStyle w:val="47"/>
                    <w:bidi w:val="0"/>
                    <w:rPr>
                      <w:rFonts w:hint="default"/>
                      <w:sz w:val="18"/>
                      <w:szCs w:val="18"/>
                    </w:rPr>
                  </w:pPr>
                  <w:r>
                    <w:rPr>
                      <w:rFonts w:hint="default"/>
                      <w:sz w:val="18"/>
                      <w:szCs w:val="18"/>
                      <w:lang w:val="en-US" w:eastAsia="zh-CN"/>
                    </w:rPr>
                    <w:t>N</w:t>
                  </w:r>
                </w:p>
              </w:tc>
              <w:tc>
                <w:tcPr>
                  <w:tcW w:w="2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45746A4">
                  <w:pPr>
                    <w:pStyle w:val="47"/>
                    <w:bidi w:val="0"/>
                    <w:rPr>
                      <w:rFonts w:hint="default"/>
                      <w:sz w:val="18"/>
                      <w:szCs w:val="18"/>
                    </w:rPr>
                  </w:pPr>
                  <w:r>
                    <w:rPr>
                      <w:rFonts w:hint="default"/>
                      <w:sz w:val="18"/>
                      <w:szCs w:val="18"/>
                      <w:lang w:val="en-US" w:eastAsia="zh-CN"/>
                    </w:rPr>
                    <w:t>E</w:t>
                  </w:r>
                </w:p>
              </w:tc>
              <w:tc>
                <w:tcPr>
                  <w:tcW w:w="21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F8810C5">
                  <w:pPr>
                    <w:pStyle w:val="47"/>
                    <w:bidi w:val="0"/>
                    <w:rPr>
                      <w:rFonts w:hint="default"/>
                      <w:sz w:val="18"/>
                      <w:szCs w:val="18"/>
                    </w:rPr>
                  </w:pPr>
                  <w:r>
                    <w:rPr>
                      <w:rFonts w:hint="default"/>
                      <w:sz w:val="18"/>
                      <w:szCs w:val="18"/>
                      <w:lang w:val="en-US" w:eastAsia="zh-CN"/>
                    </w:rPr>
                    <w:t>W</w:t>
                  </w:r>
                </w:p>
              </w:tc>
              <w:tc>
                <w:tcPr>
                  <w:tcW w:w="23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E307550">
                  <w:pPr>
                    <w:pStyle w:val="47"/>
                    <w:bidi w:val="0"/>
                    <w:rPr>
                      <w:rFonts w:hint="default"/>
                      <w:sz w:val="18"/>
                      <w:szCs w:val="18"/>
                    </w:rPr>
                  </w:pPr>
                  <w:r>
                    <w:rPr>
                      <w:rFonts w:hint="default"/>
                      <w:sz w:val="18"/>
                      <w:szCs w:val="18"/>
                      <w:lang w:val="en-US" w:eastAsia="zh-CN"/>
                    </w:rPr>
                    <w:t>S</w:t>
                  </w:r>
                </w:p>
              </w:tc>
              <w:tc>
                <w:tcPr>
                  <w:tcW w:w="22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5984936">
                  <w:pPr>
                    <w:pStyle w:val="47"/>
                    <w:bidi w:val="0"/>
                    <w:rPr>
                      <w:rFonts w:hint="default"/>
                      <w:sz w:val="18"/>
                      <w:szCs w:val="18"/>
                    </w:rPr>
                  </w:pPr>
                  <w:r>
                    <w:rPr>
                      <w:rFonts w:hint="default"/>
                      <w:sz w:val="18"/>
                      <w:szCs w:val="18"/>
                      <w:lang w:val="en-US" w:eastAsia="zh-CN"/>
                    </w:rPr>
                    <w:t>N</w:t>
                  </w:r>
                </w:p>
              </w:tc>
              <w:tc>
                <w:tcPr>
                  <w:tcW w:w="146" w:type="pct"/>
                  <w:vMerge w:val="continue"/>
                  <w:tcBorders>
                    <w:top w:val="single" w:color="000000" w:sz="8" w:space="0"/>
                    <w:left w:val="single" w:color="000000" w:sz="8" w:space="0"/>
                    <w:bottom w:val="nil"/>
                    <w:right w:val="single" w:color="000000" w:sz="8" w:space="0"/>
                  </w:tcBorders>
                  <w:shd w:val="clear" w:color="auto" w:fill="auto"/>
                  <w:vAlign w:val="center"/>
                </w:tcPr>
                <w:p w14:paraId="3FAA0664">
                  <w:pPr>
                    <w:pStyle w:val="47"/>
                    <w:bidi w:val="0"/>
                    <w:rPr>
                      <w:rFonts w:hint="eastAsia"/>
                      <w:sz w:val="18"/>
                      <w:szCs w:val="18"/>
                    </w:rPr>
                  </w:pPr>
                </w:p>
              </w:tc>
              <w:tc>
                <w:tcPr>
                  <w:tcW w:w="1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FD7982C">
                  <w:pPr>
                    <w:pStyle w:val="47"/>
                    <w:bidi w:val="0"/>
                    <w:rPr>
                      <w:rFonts w:hint="eastAsia"/>
                      <w:sz w:val="18"/>
                      <w:szCs w:val="18"/>
                    </w:rPr>
                  </w:pPr>
                </w:p>
              </w:tc>
              <w:tc>
                <w:tcPr>
                  <w:tcW w:w="24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C3B6F55">
                  <w:pPr>
                    <w:pStyle w:val="47"/>
                    <w:bidi w:val="0"/>
                    <w:rPr>
                      <w:rFonts w:hint="default"/>
                      <w:sz w:val="18"/>
                      <w:szCs w:val="18"/>
                    </w:rPr>
                  </w:pPr>
                  <w:r>
                    <w:rPr>
                      <w:rFonts w:hint="default"/>
                      <w:sz w:val="18"/>
                      <w:szCs w:val="18"/>
                      <w:lang w:val="en-US" w:eastAsia="zh-CN"/>
                    </w:rPr>
                    <w:t>E</w:t>
                  </w:r>
                </w:p>
              </w:tc>
              <w:tc>
                <w:tcPr>
                  <w:tcW w:w="23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4A6F5D0">
                  <w:pPr>
                    <w:pStyle w:val="47"/>
                    <w:bidi w:val="0"/>
                    <w:rPr>
                      <w:rFonts w:hint="default"/>
                      <w:sz w:val="18"/>
                      <w:szCs w:val="18"/>
                    </w:rPr>
                  </w:pPr>
                  <w:r>
                    <w:rPr>
                      <w:rFonts w:hint="default"/>
                      <w:sz w:val="18"/>
                      <w:szCs w:val="18"/>
                      <w:lang w:val="en-US" w:eastAsia="zh-CN"/>
                    </w:rPr>
                    <w:t>W</w:t>
                  </w:r>
                </w:p>
              </w:tc>
              <w:tc>
                <w:tcPr>
                  <w:tcW w:w="23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DAC8CC8">
                  <w:pPr>
                    <w:pStyle w:val="47"/>
                    <w:bidi w:val="0"/>
                    <w:rPr>
                      <w:rFonts w:hint="default"/>
                      <w:sz w:val="18"/>
                      <w:szCs w:val="18"/>
                    </w:rPr>
                  </w:pPr>
                  <w:r>
                    <w:rPr>
                      <w:rFonts w:hint="default"/>
                      <w:sz w:val="18"/>
                      <w:szCs w:val="18"/>
                      <w:lang w:val="en-US" w:eastAsia="zh-CN"/>
                    </w:rPr>
                    <w:t>S</w:t>
                  </w:r>
                </w:p>
              </w:tc>
              <w:tc>
                <w:tcPr>
                  <w:tcW w:w="22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3FACA90">
                  <w:pPr>
                    <w:pStyle w:val="47"/>
                    <w:bidi w:val="0"/>
                    <w:rPr>
                      <w:rFonts w:hint="default"/>
                      <w:sz w:val="18"/>
                      <w:szCs w:val="18"/>
                    </w:rPr>
                  </w:pPr>
                  <w:r>
                    <w:rPr>
                      <w:rFonts w:hint="default"/>
                      <w:sz w:val="18"/>
                      <w:szCs w:val="18"/>
                      <w:lang w:val="en-US" w:eastAsia="zh-CN"/>
                    </w:rPr>
                    <w:t>N</w:t>
                  </w:r>
                </w:p>
              </w:tc>
              <w:tc>
                <w:tcPr>
                  <w:tcW w:w="24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5C94571">
                  <w:pPr>
                    <w:pStyle w:val="47"/>
                    <w:bidi w:val="0"/>
                    <w:rPr>
                      <w:rFonts w:hint="eastAsia"/>
                      <w:sz w:val="18"/>
                      <w:szCs w:val="18"/>
                    </w:rPr>
                  </w:pPr>
                </w:p>
              </w:tc>
            </w:tr>
            <w:tr w14:paraId="718CE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125" w:type="pct"/>
                  <w:tcBorders>
                    <w:top w:val="nil"/>
                    <w:left w:val="single" w:color="000000" w:sz="8" w:space="0"/>
                    <w:bottom w:val="single" w:color="000000" w:sz="8" w:space="0"/>
                    <w:right w:val="nil"/>
                  </w:tcBorders>
                  <w:shd w:val="clear" w:color="auto" w:fill="auto"/>
                  <w:vAlign w:val="center"/>
                </w:tcPr>
                <w:p w14:paraId="7FFF233B">
                  <w:pPr>
                    <w:pStyle w:val="47"/>
                    <w:bidi w:val="0"/>
                    <w:rPr>
                      <w:rFonts w:hint="default"/>
                      <w:sz w:val="18"/>
                      <w:szCs w:val="18"/>
                    </w:rPr>
                  </w:pPr>
                  <w:r>
                    <w:rPr>
                      <w:rFonts w:hint="default"/>
                      <w:sz w:val="18"/>
                      <w:szCs w:val="18"/>
                      <w:lang w:val="en-US" w:eastAsia="zh-CN"/>
                    </w:rPr>
                    <w:t>1</w:t>
                  </w:r>
                </w:p>
              </w:tc>
              <w:tc>
                <w:tcPr>
                  <w:tcW w:w="146" w:type="pct"/>
                  <w:vMerge w:val="restart"/>
                  <w:tcBorders>
                    <w:top w:val="single" w:color="000000" w:sz="8" w:space="0"/>
                    <w:left w:val="single" w:color="000000" w:sz="8" w:space="0"/>
                    <w:bottom w:val="nil"/>
                    <w:right w:val="single" w:color="000000" w:sz="8" w:space="0"/>
                  </w:tcBorders>
                  <w:shd w:val="clear" w:color="auto" w:fill="auto"/>
                  <w:vAlign w:val="center"/>
                </w:tcPr>
                <w:p w14:paraId="21BD4042">
                  <w:pPr>
                    <w:pStyle w:val="47"/>
                    <w:bidi w:val="0"/>
                    <w:rPr>
                      <w:rFonts w:hint="default"/>
                      <w:sz w:val="18"/>
                      <w:szCs w:val="18"/>
                    </w:rPr>
                  </w:pPr>
                  <w:r>
                    <w:rPr>
                      <w:rFonts w:hint="default"/>
                      <w:sz w:val="18"/>
                      <w:szCs w:val="18"/>
                      <w:lang w:val="en-US" w:eastAsia="zh-CN"/>
                    </w:rPr>
                    <w:t>1#</w:t>
                  </w:r>
                  <w:r>
                    <w:rPr>
                      <w:sz w:val="18"/>
                      <w:szCs w:val="18"/>
                      <w:lang w:val="en-US" w:eastAsia="zh-CN"/>
                    </w:rPr>
                    <w:t>厂房</w:t>
                  </w:r>
                </w:p>
              </w:tc>
              <w:tc>
                <w:tcPr>
                  <w:tcW w:w="329" w:type="pct"/>
                  <w:tcBorders>
                    <w:top w:val="nil"/>
                    <w:left w:val="nil"/>
                    <w:bottom w:val="single" w:color="000000" w:sz="8" w:space="0"/>
                    <w:right w:val="single" w:color="000000" w:sz="8" w:space="0"/>
                  </w:tcBorders>
                  <w:shd w:val="clear" w:color="auto" w:fill="auto"/>
                  <w:vAlign w:val="center"/>
                </w:tcPr>
                <w:p w14:paraId="7ABE2FD1">
                  <w:pPr>
                    <w:pStyle w:val="47"/>
                    <w:bidi w:val="0"/>
                    <w:rPr>
                      <w:rFonts w:hint="eastAsia"/>
                      <w:sz w:val="18"/>
                      <w:szCs w:val="18"/>
                    </w:rPr>
                  </w:pPr>
                  <w:r>
                    <w:rPr>
                      <w:rFonts w:hint="eastAsia"/>
                      <w:sz w:val="18"/>
                      <w:szCs w:val="18"/>
                      <w:lang w:val="en-US" w:eastAsia="zh-CN"/>
                    </w:rPr>
                    <w:t>自动成型机</w:t>
                  </w:r>
                </w:p>
              </w:tc>
              <w:tc>
                <w:tcPr>
                  <w:tcW w:w="216" w:type="pct"/>
                  <w:tcBorders>
                    <w:top w:val="nil"/>
                    <w:left w:val="single" w:color="000000" w:sz="8" w:space="0"/>
                    <w:bottom w:val="single" w:color="000000" w:sz="8" w:space="0"/>
                    <w:right w:val="single" w:color="000000" w:sz="8" w:space="0"/>
                  </w:tcBorders>
                  <w:shd w:val="clear" w:color="auto" w:fill="auto"/>
                  <w:vAlign w:val="center"/>
                </w:tcPr>
                <w:p w14:paraId="2935489A">
                  <w:pPr>
                    <w:pStyle w:val="47"/>
                    <w:bidi w:val="0"/>
                    <w:rPr>
                      <w:rFonts w:hint="default"/>
                      <w:sz w:val="18"/>
                      <w:szCs w:val="18"/>
                    </w:rPr>
                  </w:pPr>
                  <w:r>
                    <w:rPr>
                      <w:rFonts w:hint="default"/>
                      <w:sz w:val="18"/>
                      <w:szCs w:val="18"/>
                      <w:lang w:val="en-US" w:eastAsia="zh-CN"/>
                    </w:rPr>
                    <w:t>80</w:t>
                  </w:r>
                </w:p>
              </w:tc>
              <w:tc>
                <w:tcPr>
                  <w:tcW w:w="205" w:type="pct"/>
                  <w:tcBorders>
                    <w:top w:val="nil"/>
                    <w:left w:val="single" w:color="000000" w:sz="8" w:space="0"/>
                    <w:bottom w:val="single" w:color="000000" w:sz="8" w:space="0"/>
                    <w:right w:val="nil"/>
                  </w:tcBorders>
                  <w:shd w:val="clear" w:color="auto" w:fill="auto"/>
                  <w:vAlign w:val="center"/>
                </w:tcPr>
                <w:p w14:paraId="5C2B75FF">
                  <w:pPr>
                    <w:pStyle w:val="47"/>
                    <w:bidi w:val="0"/>
                    <w:rPr>
                      <w:rFonts w:hint="default"/>
                      <w:sz w:val="18"/>
                      <w:szCs w:val="18"/>
                    </w:rPr>
                  </w:pPr>
                  <w:r>
                    <w:rPr>
                      <w:rFonts w:hint="default"/>
                      <w:sz w:val="18"/>
                      <w:szCs w:val="18"/>
                      <w:lang w:val="en-US" w:eastAsia="zh-CN"/>
                    </w:rPr>
                    <w:t>20</w:t>
                  </w:r>
                </w:p>
              </w:tc>
              <w:tc>
                <w:tcPr>
                  <w:tcW w:w="21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123C638">
                  <w:pPr>
                    <w:pStyle w:val="47"/>
                    <w:bidi w:val="0"/>
                    <w:rPr>
                      <w:rFonts w:hint="eastAsia"/>
                      <w:sz w:val="18"/>
                      <w:szCs w:val="18"/>
                    </w:rPr>
                  </w:pPr>
                  <w:r>
                    <w:rPr>
                      <w:rFonts w:hint="eastAsia"/>
                      <w:sz w:val="18"/>
                      <w:szCs w:val="18"/>
                      <w:lang w:val="en-US" w:eastAsia="zh-CN"/>
                    </w:rPr>
                    <w:t>设备基础安装减震垫，消声器、厂房隔声等</w:t>
                  </w:r>
                </w:p>
              </w:tc>
              <w:tc>
                <w:tcPr>
                  <w:tcW w:w="173" w:type="pct"/>
                  <w:tcBorders>
                    <w:top w:val="nil"/>
                    <w:left w:val="nil"/>
                    <w:bottom w:val="single" w:color="000000" w:sz="8" w:space="0"/>
                    <w:right w:val="single" w:color="000000" w:sz="8" w:space="0"/>
                  </w:tcBorders>
                  <w:shd w:val="clear" w:color="auto" w:fill="auto"/>
                  <w:vAlign w:val="center"/>
                </w:tcPr>
                <w:p w14:paraId="0031EF1F">
                  <w:pPr>
                    <w:pStyle w:val="47"/>
                    <w:bidi w:val="0"/>
                    <w:rPr>
                      <w:rFonts w:hint="default"/>
                      <w:sz w:val="18"/>
                      <w:szCs w:val="18"/>
                    </w:rPr>
                  </w:pPr>
                  <w:r>
                    <w:rPr>
                      <w:rFonts w:hint="default"/>
                      <w:sz w:val="18"/>
                      <w:szCs w:val="18"/>
                      <w:lang w:val="en-US" w:eastAsia="zh-CN"/>
                    </w:rPr>
                    <w:t>35</w:t>
                  </w:r>
                </w:p>
              </w:tc>
              <w:tc>
                <w:tcPr>
                  <w:tcW w:w="205" w:type="pct"/>
                  <w:tcBorders>
                    <w:top w:val="nil"/>
                    <w:left w:val="single" w:color="000000" w:sz="8" w:space="0"/>
                    <w:bottom w:val="single" w:color="000000" w:sz="8" w:space="0"/>
                    <w:right w:val="single" w:color="000000" w:sz="8" w:space="0"/>
                  </w:tcBorders>
                  <w:shd w:val="clear" w:color="auto" w:fill="auto"/>
                  <w:vAlign w:val="center"/>
                </w:tcPr>
                <w:p w14:paraId="24F6C538">
                  <w:pPr>
                    <w:pStyle w:val="47"/>
                    <w:bidi w:val="0"/>
                    <w:rPr>
                      <w:rFonts w:hint="default"/>
                      <w:sz w:val="18"/>
                      <w:szCs w:val="18"/>
                    </w:rPr>
                  </w:pPr>
                  <w:r>
                    <w:rPr>
                      <w:rFonts w:hint="default"/>
                      <w:sz w:val="18"/>
                      <w:szCs w:val="18"/>
                      <w:lang w:val="en-US" w:eastAsia="zh-CN"/>
                    </w:rPr>
                    <w:t>3.8</w:t>
                  </w:r>
                </w:p>
              </w:tc>
              <w:tc>
                <w:tcPr>
                  <w:tcW w:w="189" w:type="pct"/>
                  <w:tcBorders>
                    <w:top w:val="nil"/>
                    <w:left w:val="single" w:color="000000" w:sz="8" w:space="0"/>
                    <w:bottom w:val="single" w:color="000000" w:sz="8" w:space="0"/>
                    <w:right w:val="single" w:color="000000" w:sz="8" w:space="0"/>
                  </w:tcBorders>
                  <w:shd w:val="clear" w:color="auto" w:fill="auto"/>
                  <w:vAlign w:val="center"/>
                </w:tcPr>
                <w:p w14:paraId="11F72C4A">
                  <w:pPr>
                    <w:pStyle w:val="47"/>
                    <w:bidi w:val="0"/>
                    <w:rPr>
                      <w:rFonts w:hint="default"/>
                      <w:sz w:val="18"/>
                      <w:szCs w:val="18"/>
                    </w:rPr>
                  </w:pPr>
                  <w:r>
                    <w:rPr>
                      <w:rFonts w:hint="default"/>
                      <w:sz w:val="18"/>
                      <w:szCs w:val="18"/>
                      <w:lang w:val="en-US" w:eastAsia="zh-CN"/>
                    </w:rPr>
                    <w:t>4</w:t>
                  </w:r>
                </w:p>
              </w:tc>
              <w:tc>
                <w:tcPr>
                  <w:tcW w:w="214" w:type="pct"/>
                  <w:tcBorders>
                    <w:top w:val="nil"/>
                    <w:left w:val="single" w:color="000000" w:sz="8" w:space="0"/>
                    <w:bottom w:val="single" w:color="000000" w:sz="8" w:space="0"/>
                    <w:right w:val="single" w:color="000000" w:sz="8" w:space="0"/>
                  </w:tcBorders>
                  <w:shd w:val="clear" w:color="auto" w:fill="auto"/>
                  <w:vAlign w:val="center"/>
                </w:tcPr>
                <w:p w14:paraId="07F8B6CF">
                  <w:pPr>
                    <w:pStyle w:val="47"/>
                    <w:bidi w:val="0"/>
                    <w:rPr>
                      <w:rFonts w:hint="default"/>
                      <w:sz w:val="18"/>
                      <w:szCs w:val="18"/>
                    </w:rPr>
                  </w:pPr>
                  <w:r>
                    <w:rPr>
                      <w:rFonts w:hint="default"/>
                      <w:sz w:val="18"/>
                      <w:szCs w:val="18"/>
                      <w:lang w:val="en-US" w:eastAsia="zh-CN"/>
                    </w:rPr>
                    <w:t>34.5</w:t>
                  </w:r>
                </w:p>
              </w:tc>
              <w:tc>
                <w:tcPr>
                  <w:tcW w:w="166" w:type="pct"/>
                  <w:tcBorders>
                    <w:top w:val="nil"/>
                    <w:left w:val="single" w:color="000000" w:sz="8" w:space="0"/>
                    <w:bottom w:val="single" w:color="000000" w:sz="8" w:space="0"/>
                    <w:right w:val="single" w:color="000000" w:sz="8" w:space="0"/>
                  </w:tcBorders>
                  <w:shd w:val="clear" w:color="auto" w:fill="auto"/>
                  <w:vAlign w:val="center"/>
                </w:tcPr>
                <w:p w14:paraId="091D42A3">
                  <w:pPr>
                    <w:pStyle w:val="47"/>
                    <w:bidi w:val="0"/>
                    <w:rPr>
                      <w:rFonts w:hint="default"/>
                      <w:sz w:val="18"/>
                      <w:szCs w:val="18"/>
                    </w:rPr>
                  </w:pPr>
                  <w:r>
                    <w:rPr>
                      <w:rFonts w:hint="default"/>
                      <w:sz w:val="18"/>
                      <w:szCs w:val="18"/>
                      <w:lang w:val="en-US" w:eastAsia="zh-CN"/>
                    </w:rPr>
                    <w:t>35</w:t>
                  </w:r>
                </w:p>
              </w:tc>
              <w:tc>
                <w:tcPr>
                  <w:tcW w:w="181" w:type="pct"/>
                  <w:tcBorders>
                    <w:top w:val="nil"/>
                    <w:left w:val="single" w:color="000000" w:sz="8" w:space="0"/>
                    <w:bottom w:val="single" w:color="000000" w:sz="8" w:space="0"/>
                    <w:right w:val="single" w:color="000000" w:sz="8" w:space="0"/>
                  </w:tcBorders>
                  <w:shd w:val="clear" w:color="auto" w:fill="auto"/>
                  <w:vAlign w:val="center"/>
                </w:tcPr>
                <w:p w14:paraId="25444825">
                  <w:pPr>
                    <w:pStyle w:val="47"/>
                    <w:bidi w:val="0"/>
                    <w:rPr>
                      <w:rFonts w:hint="default"/>
                      <w:sz w:val="18"/>
                      <w:szCs w:val="18"/>
                    </w:rPr>
                  </w:pPr>
                  <w:r>
                    <w:rPr>
                      <w:rFonts w:hint="default"/>
                      <w:sz w:val="18"/>
                      <w:szCs w:val="18"/>
                      <w:lang w:val="en-US" w:eastAsia="zh-CN"/>
                    </w:rPr>
                    <w:t>3.8</w:t>
                  </w:r>
                </w:p>
              </w:tc>
              <w:tc>
                <w:tcPr>
                  <w:tcW w:w="216" w:type="pct"/>
                  <w:tcBorders>
                    <w:top w:val="nil"/>
                    <w:left w:val="single" w:color="000000" w:sz="8" w:space="0"/>
                    <w:bottom w:val="single" w:color="000000" w:sz="8" w:space="0"/>
                    <w:right w:val="single" w:color="000000" w:sz="8" w:space="0"/>
                  </w:tcBorders>
                  <w:shd w:val="clear" w:color="auto" w:fill="auto"/>
                  <w:vAlign w:val="center"/>
                </w:tcPr>
                <w:p w14:paraId="73715BDB">
                  <w:pPr>
                    <w:pStyle w:val="47"/>
                    <w:bidi w:val="0"/>
                    <w:rPr>
                      <w:rFonts w:hint="default"/>
                      <w:sz w:val="18"/>
                      <w:szCs w:val="18"/>
                    </w:rPr>
                  </w:pPr>
                  <w:r>
                    <w:rPr>
                      <w:rFonts w:hint="default"/>
                      <w:sz w:val="18"/>
                      <w:szCs w:val="18"/>
                      <w:lang w:val="en-US" w:eastAsia="zh-CN"/>
                    </w:rPr>
                    <w:t>40.2</w:t>
                  </w:r>
                </w:p>
              </w:tc>
              <w:tc>
                <w:tcPr>
                  <w:tcW w:w="216" w:type="pct"/>
                  <w:tcBorders>
                    <w:top w:val="nil"/>
                    <w:left w:val="single" w:color="000000" w:sz="8" w:space="0"/>
                    <w:bottom w:val="single" w:color="000000" w:sz="8" w:space="0"/>
                    <w:right w:val="single" w:color="000000" w:sz="8" w:space="0"/>
                  </w:tcBorders>
                  <w:shd w:val="clear" w:color="auto" w:fill="auto"/>
                  <w:vAlign w:val="center"/>
                </w:tcPr>
                <w:p w14:paraId="3987C657">
                  <w:pPr>
                    <w:pStyle w:val="47"/>
                    <w:bidi w:val="0"/>
                    <w:rPr>
                      <w:rFonts w:hint="default"/>
                      <w:sz w:val="18"/>
                      <w:szCs w:val="18"/>
                    </w:rPr>
                  </w:pPr>
                  <w:r>
                    <w:rPr>
                      <w:rFonts w:hint="default"/>
                      <w:sz w:val="18"/>
                      <w:szCs w:val="18"/>
                      <w:lang w:val="en-US" w:eastAsia="zh-CN"/>
                    </w:rPr>
                    <w:t>47.5</w:t>
                  </w:r>
                </w:p>
              </w:tc>
              <w:tc>
                <w:tcPr>
                  <w:tcW w:w="210" w:type="pct"/>
                  <w:tcBorders>
                    <w:top w:val="nil"/>
                    <w:left w:val="single" w:color="000000" w:sz="8" w:space="0"/>
                    <w:bottom w:val="single" w:color="000000" w:sz="8" w:space="0"/>
                    <w:right w:val="single" w:color="000000" w:sz="8" w:space="0"/>
                  </w:tcBorders>
                  <w:shd w:val="clear" w:color="auto" w:fill="auto"/>
                  <w:vAlign w:val="center"/>
                </w:tcPr>
                <w:p w14:paraId="6178D54C">
                  <w:pPr>
                    <w:pStyle w:val="47"/>
                    <w:bidi w:val="0"/>
                    <w:rPr>
                      <w:rFonts w:hint="default"/>
                      <w:sz w:val="18"/>
                      <w:szCs w:val="18"/>
                    </w:rPr>
                  </w:pPr>
                  <w:r>
                    <w:rPr>
                      <w:rFonts w:hint="default"/>
                      <w:sz w:val="18"/>
                      <w:szCs w:val="18"/>
                      <w:lang w:val="en-US" w:eastAsia="zh-CN"/>
                    </w:rPr>
                    <w:t>47.5</w:t>
                  </w:r>
                </w:p>
              </w:tc>
              <w:tc>
                <w:tcPr>
                  <w:tcW w:w="238" w:type="pct"/>
                  <w:tcBorders>
                    <w:top w:val="nil"/>
                    <w:left w:val="single" w:color="000000" w:sz="8" w:space="0"/>
                    <w:bottom w:val="single" w:color="000000" w:sz="8" w:space="0"/>
                    <w:right w:val="single" w:color="000000" w:sz="8" w:space="0"/>
                  </w:tcBorders>
                  <w:shd w:val="clear" w:color="auto" w:fill="auto"/>
                  <w:vAlign w:val="center"/>
                </w:tcPr>
                <w:p w14:paraId="06DEB3D9">
                  <w:pPr>
                    <w:pStyle w:val="47"/>
                    <w:bidi w:val="0"/>
                    <w:rPr>
                      <w:rFonts w:hint="default"/>
                      <w:sz w:val="18"/>
                      <w:szCs w:val="18"/>
                      <w:lang w:val="en-US"/>
                    </w:rPr>
                  </w:pPr>
                  <w:r>
                    <w:rPr>
                      <w:rFonts w:hint="default"/>
                      <w:sz w:val="18"/>
                      <w:szCs w:val="18"/>
                      <w:lang w:val="en-US" w:eastAsia="zh-CN"/>
                    </w:rPr>
                    <w:t>57.</w:t>
                  </w:r>
                  <w:r>
                    <w:rPr>
                      <w:rFonts w:hint="eastAsia"/>
                      <w:sz w:val="18"/>
                      <w:szCs w:val="18"/>
                      <w:lang w:val="en-US" w:eastAsia="zh-CN"/>
                    </w:rPr>
                    <w:t>8</w:t>
                  </w:r>
                </w:p>
              </w:tc>
              <w:tc>
                <w:tcPr>
                  <w:tcW w:w="227" w:type="pct"/>
                  <w:tcBorders>
                    <w:top w:val="nil"/>
                    <w:left w:val="single" w:color="000000" w:sz="8" w:space="0"/>
                    <w:bottom w:val="single" w:color="000000" w:sz="8" w:space="0"/>
                    <w:right w:val="nil"/>
                  </w:tcBorders>
                  <w:shd w:val="clear" w:color="auto" w:fill="auto"/>
                  <w:vAlign w:val="center"/>
                </w:tcPr>
                <w:p w14:paraId="3A1B87CC">
                  <w:pPr>
                    <w:pStyle w:val="47"/>
                    <w:bidi w:val="0"/>
                    <w:rPr>
                      <w:rFonts w:hint="default"/>
                      <w:sz w:val="18"/>
                      <w:szCs w:val="18"/>
                      <w:lang w:val="en-US"/>
                    </w:rPr>
                  </w:pPr>
                  <w:r>
                    <w:rPr>
                      <w:rFonts w:hint="default"/>
                      <w:sz w:val="18"/>
                      <w:szCs w:val="18"/>
                      <w:lang w:val="en-US" w:eastAsia="zh-CN"/>
                    </w:rPr>
                    <w:t>47.</w:t>
                  </w:r>
                  <w:r>
                    <w:rPr>
                      <w:rFonts w:hint="eastAsia"/>
                      <w:sz w:val="18"/>
                      <w:szCs w:val="18"/>
                      <w:lang w:val="en-US" w:eastAsia="zh-CN"/>
                    </w:rPr>
                    <w:t>4</w:t>
                  </w:r>
                </w:p>
              </w:tc>
              <w:tc>
                <w:tcPr>
                  <w:tcW w:w="14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67D1D35">
                  <w:pPr>
                    <w:pStyle w:val="47"/>
                    <w:bidi w:val="0"/>
                    <w:rPr>
                      <w:rFonts w:hint="eastAsia"/>
                      <w:sz w:val="18"/>
                      <w:szCs w:val="18"/>
                    </w:rPr>
                  </w:pPr>
                  <w:r>
                    <w:rPr>
                      <w:rFonts w:hint="eastAsia"/>
                      <w:sz w:val="18"/>
                      <w:szCs w:val="18"/>
                      <w:lang w:val="en-US" w:eastAsia="zh-CN"/>
                    </w:rPr>
                    <w:t>全天</w:t>
                  </w:r>
                </w:p>
              </w:tc>
              <w:tc>
                <w:tcPr>
                  <w:tcW w:w="185" w:type="pct"/>
                  <w:tcBorders>
                    <w:top w:val="nil"/>
                    <w:left w:val="nil"/>
                    <w:bottom w:val="single" w:color="000000" w:sz="8" w:space="0"/>
                    <w:right w:val="single" w:color="000000" w:sz="8" w:space="0"/>
                  </w:tcBorders>
                  <w:shd w:val="clear" w:color="auto" w:fill="auto"/>
                  <w:vAlign w:val="center"/>
                </w:tcPr>
                <w:p w14:paraId="5AB80B6E">
                  <w:pPr>
                    <w:pStyle w:val="47"/>
                    <w:bidi w:val="0"/>
                    <w:rPr>
                      <w:rFonts w:hint="default"/>
                      <w:sz w:val="18"/>
                      <w:szCs w:val="18"/>
                    </w:rPr>
                  </w:pPr>
                  <w:r>
                    <w:rPr>
                      <w:rFonts w:hint="default"/>
                      <w:sz w:val="18"/>
                      <w:szCs w:val="18"/>
                      <w:lang w:val="en-US" w:eastAsia="zh-CN"/>
                    </w:rPr>
                    <w:t>10</w:t>
                  </w:r>
                </w:p>
              </w:tc>
              <w:tc>
                <w:tcPr>
                  <w:tcW w:w="247" w:type="pct"/>
                  <w:tcBorders>
                    <w:top w:val="nil"/>
                    <w:left w:val="single" w:color="000000" w:sz="8" w:space="0"/>
                    <w:bottom w:val="single" w:color="000000" w:sz="8" w:space="0"/>
                    <w:right w:val="single" w:color="000000" w:sz="8" w:space="0"/>
                  </w:tcBorders>
                  <w:shd w:val="clear" w:color="auto" w:fill="auto"/>
                  <w:vAlign w:val="center"/>
                </w:tcPr>
                <w:p w14:paraId="47BE194D">
                  <w:pPr>
                    <w:pStyle w:val="47"/>
                    <w:bidi w:val="0"/>
                    <w:rPr>
                      <w:rFonts w:hint="default"/>
                      <w:sz w:val="18"/>
                      <w:szCs w:val="18"/>
                    </w:rPr>
                  </w:pPr>
                  <w:r>
                    <w:rPr>
                      <w:rFonts w:hint="default"/>
                      <w:sz w:val="18"/>
                      <w:szCs w:val="18"/>
                      <w:lang w:val="en-US" w:eastAsia="zh-CN"/>
                    </w:rPr>
                    <w:t>44.5</w:t>
                  </w:r>
                </w:p>
              </w:tc>
              <w:tc>
                <w:tcPr>
                  <w:tcW w:w="238" w:type="pct"/>
                  <w:tcBorders>
                    <w:top w:val="nil"/>
                    <w:left w:val="single" w:color="000000" w:sz="8" w:space="0"/>
                    <w:bottom w:val="single" w:color="000000" w:sz="8" w:space="0"/>
                    <w:right w:val="single" w:color="000000" w:sz="8" w:space="0"/>
                  </w:tcBorders>
                  <w:shd w:val="clear" w:color="auto" w:fill="auto"/>
                  <w:vAlign w:val="center"/>
                </w:tcPr>
                <w:p w14:paraId="1AD7FEF5">
                  <w:pPr>
                    <w:pStyle w:val="47"/>
                    <w:bidi w:val="0"/>
                    <w:rPr>
                      <w:rFonts w:hint="default"/>
                      <w:sz w:val="18"/>
                      <w:szCs w:val="18"/>
                    </w:rPr>
                  </w:pPr>
                  <w:r>
                    <w:rPr>
                      <w:rFonts w:hint="default"/>
                      <w:sz w:val="18"/>
                      <w:szCs w:val="18"/>
                      <w:lang w:val="en-US" w:eastAsia="zh-CN"/>
                    </w:rPr>
                    <w:t>44.5</w:t>
                  </w:r>
                </w:p>
              </w:tc>
              <w:tc>
                <w:tcPr>
                  <w:tcW w:w="238" w:type="pct"/>
                  <w:tcBorders>
                    <w:top w:val="nil"/>
                    <w:left w:val="single" w:color="000000" w:sz="8" w:space="0"/>
                    <w:bottom w:val="single" w:color="000000" w:sz="8" w:space="0"/>
                    <w:right w:val="single" w:color="000000" w:sz="8" w:space="0"/>
                  </w:tcBorders>
                  <w:shd w:val="clear" w:color="auto" w:fill="auto"/>
                  <w:vAlign w:val="center"/>
                </w:tcPr>
                <w:p w14:paraId="43B228CA">
                  <w:pPr>
                    <w:pStyle w:val="47"/>
                    <w:bidi w:val="0"/>
                    <w:rPr>
                      <w:rFonts w:hint="default"/>
                      <w:sz w:val="18"/>
                      <w:szCs w:val="18"/>
                    </w:rPr>
                  </w:pPr>
                  <w:r>
                    <w:rPr>
                      <w:rFonts w:hint="default"/>
                      <w:sz w:val="18"/>
                      <w:szCs w:val="18"/>
                      <w:lang w:val="en-US" w:eastAsia="zh-CN"/>
                    </w:rPr>
                    <w:t>49.1</w:t>
                  </w:r>
                </w:p>
              </w:tc>
              <w:tc>
                <w:tcPr>
                  <w:tcW w:w="226" w:type="pct"/>
                  <w:tcBorders>
                    <w:top w:val="nil"/>
                    <w:left w:val="single" w:color="000000" w:sz="8" w:space="0"/>
                    <w:bottom w:val="single" w:color="000000" w:sz="8" w:space="0"/>
                    <w:right w:val="single" w:color="000000" w:sz="8" w:space="0"/>
                  </w:tcBorders>
                  <w:shd w:val="clear" w:color="auto" w:fill="auto"/>
                  <w:vAlign w:val="center"/>
                </w:tcPr>
                <w:p w14:paraId="3C5A96EE">
                  <w:pPr>
                    <w:pStyle w:val="47"/>
                    <w:bidi w:val="0"/>
                    <w:rPr>
                      <w:rFonts w:hint="default"/>
                      <w:sz w:val="18"/>
                      <w:szCs w:val="18"/>
                      <w:lang w:val="en-US"/>
                    </w:rPr>
                  </w:pPr>
                  <w:r>
                    <w:rPr>
                      <w:rFonts w:hint="eastAsia"/>
                      <w:sz w:val="18"/>
                      <w:szCs w:val="18"/>
                      <w:lang w:val="en-US" w:eastAsia="zh-CN"/>
                    </w:rPr>
                    <w:t>44.4</w:t>
                  </w:r>
                </w:p>
              </w:tc>
              <w:tc>
                <w:tcPr>
                  <w:tcW w:w="244" w:type="pct"/>
                  <w:tcBorders>
                    <w:top w:val="nil"/>
                    <w:left w:val="single" w:color="000000" w:sz="8" w:space="0"/>
                    <w:bottom w:val="single" w:color="000000" w:sz="8" w:space="0"/>
                    <w:right w:val="single" w:color="000000" w:sz="8" w:space="0"/>
                  </w:tcBorders>
                  <w:shd w:val="clear" w:color="auto" w:fill="auto"/>
                  <w:vAlign w:val="center"/>
                </w:tcPr>
                <w:p w14:paraId="6081ED49">
                  <w:pPr>
                    <w:pStyle w:val="47"/>
                    <w:bidi w:val="0"/>
                    <w:rPr>
                      <w:rFonts w:hint="default"/>
                      <w:sz w:val="18"/>
                      <w:szCs w:val="18"/>
                    </w:rPr>
                  </w:pPr>
                  <w:r>
                    <w:rPr>
                      <w:rFonts w:hint="default"/>
                      <w:sz w:val="18"/>
                      <w:szCs w:val="18"/>
                      <w:lang w:val="en-US" w:eastAsia="zh-CN"/>
                    </w:rPr>
                    <w:t>1</w:t>
                  </w:r>
                </w:p>
              </w:tc>
            </w:tr>
            <w:tr w14:paraId="4B08B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25" w:type="pct"/>
                  <w:tcBorders>
                    <w:top w:val="nil"/>
                    <w:left w:val="single" w:color="000000" w:sz="8" w:space="0"/>
                    <w:bottom w:val="single" w:color="000000" w:sz="8" w:space="0"/>
                    <w:right w:val="nil"/>
                  </w:tcBorders>
                  <w:shd w:val="clear" w:color="auto" w:fill="auto"/>
                  <w:vAlign w:val="center"/>
                </w:tcPr>
                <w:p w14:paraId="53110F97">
                  <w:pPr>
                    <w:pStyle w:val="47"/>
                    <w:bidi w:val="0"/>
                    <w:rPr>
                      <w:rFonts w:hint="default"/>
                      <w:sz w:val="18"/>
                      <w:szCs w:val="18"/>
                    </w:rPr>
                  </w:pPr>
                  <w:r>
                    <w:rPr>
                      <w:rFonts w:hint="default"/>
                      <w:sz w:val="18"/>
                      <w:szCs w:val="18"/>
                      <w:lang w:val="en-US" w:eastAsia="zh-CN"/>
                    </w:rPr>
                    <w:t>2</w:t>
                  </w:r>
                </w:p>
              </w:tc>
              <w:tc>
                <w:tcPr>
                  <w:tcW w:w="146" w:type="pct"/>
                  <w:vMerge w:val="continue"/>
                  <w:tcBorders>
                    <w:top w:val="single" w:color="000000" w:sz="8" w:space="0"/>
                    <w:left w:val="single" w:color="000000" w:sz="8" w:space="0"/>
                    <w:bottom w:val="nil"/>
                    <w:right w:val="single" w:color="000000" w:sz="8" w:space="0"/>
                  </w:tcBorders>
                  <w:shd w:val="clear" w:color="auto" w:fill="auto"/>
                  <w:vAlign w:val="center"/>
                </w:tcPr>
                <w:p w14:paraId="0BB19BBE">
                  <w:pPr>
                    <w:pStyle w:val="47"/>
                    <w:bidi w:val="0"/>
                    <w:rPr>
                      <w:rFonts w:hint="default"/>
                      <w:sz w:val="18"/>
                      <w:szCs w:val="18"/>
                    </w:rPr>
                  </w:pPr>
                </w:p>
              </w:tc>
              <w:tc>
                <w:tcPr>
                  <w:tcW w:w="329" w:type="pct"/>
                  <w:tcBorders>
                    <w:top w:val="nil"/>
                    <w:left w:val="nil"/>
                    <w:bottom w:val="single" w:color="000000" w:sz="8" w:space="0"/>
                    <w:right w:val="single" w:color="000000" w:sz="8" w:space="0"/>
                  </w:tcBorders>
                  <w:shd w:val="clear" w:color="auto" w:fill="auto"/>
                  <w:vAlign w:val="center"/>
                </w:tcPr>
                <w:p w14:paraId="140CFAD7">
                  <w:pPr>
                    <w:pStyle w:val="47"/>
                    <w:bidi w:val="0"/>
                    <w:rPr>
                      <w:rFonts w:hint="eastAsia"/>
                      <w:sz w:val="18"/>
                      <w:szCs w:val="18"/>
                    </w:rPr>
                  </w:pPr>
                  <w:r>
                    <w:rPr>
                      <w:rFonts w:hint="eastAsia"/>
                      <w:sz w:val="18"/>
                      <w:szCs w:val="18"/>
                      <w:lang w:val="en-US" w:eastAsia="zh-CN"/>
                    </w:rPr>
                    <w:t>全自动间歇式发泡机</w:t>
                  </w:r>
                </w:p>
              </w:tc>
              <w:tc>
                <w:tcPr>
                  <w:tcW w:w="216" w:type="pct"/>
                  <w:tcBorders>
                    <w:top w:val="nil"/>
                    <w:left w:val="single" w:color="000000" w:sz="8" w:space="0"/>
                    <w:bottom w:val="single" w:color="000000" w:sz="8" w:space="0"/>
                    <w:right w:val="single" w:color="000000" w:sz="8" w:space="0"/>
                  </w:tcBorders>
                  <w:shd w:val="clear" w:color="auto" w:fill="auto"/>
                  <w:vAlign w:val="center"/>
                </w:tcPr>
                <w:p w14:paraId="1C213B9A">
                  <w:pPr>
                    <w:pStyle w:val="47"/>
                    <w:bidi w:val="0"/>
                    <w:rPr>
                      <w:rFonts w:hint="eastAsia"/>
                      <w:sz w:val="18"/>
                      <w:szCs w:val="18"/>
                    </w:rPr>
                  </w:pPr>
                  <w:r>
                    <w:rPr>
                      <w:rFonts w:hint="eastAsia"/>
                      <w:sz w:val="18"/>
                      <w:szCs w:val="18"/>
                      <w:lang w:val="en-US" w:eastAsia="zh-CN"/>
                    </w:rPr>
                    <w:t>75</w:t>
                  </w:r>
                </w:p>
              </w:tc>
              <w:tc>
                <w:tcPr>
                  <w:tcW w:w="205" w:type="pct"/>
                  <w:tcBorders>
                    <w:top w:val="nil"/>
                    <w:left w:val="single" w:color="000000" w:sz="8" w:space="0"/>
                    <w:bottom w:val="single" w:color="000000" w:sz="8" w:space="0"/>
                    <w:right w:val="nil"/>
                  </w:tcBorders>
                  <w:shd w:val="clear" w:color="auto" w:fill="auto"/>
                  <w:vAlign w:val="center"/>
                </w:tcPr>
                <w:p w14:paraId="3A0DF2B8">
                  <w:pPr>
                    <w:pStyle w:val="47"/>
                    <w:bidi w:val="0"/>
                    <w:rPr>
                      <w:rFonts w:hint="eastAsia"/>
                      <w:sz w:val="18"/>
                      <w:szCs w:val="18"/>
                    </w:rPr>
                  </w:pPr>
                  <w:r>
                    <w:rPr>
                      <w:rFonts w:hint="eastAsia"/>
                      <w:sz w:val="18"/>
                      <w:szCs w:val="18"/>
                      <w:lang w:val="en-US" w:eastAsia="zh-CN"/>
                    </w:rPr>
                    <w:t>2</w:t>
                  </w:r>
                </w:p>
              </w:tc>
              <w:tc>
                <w:tcPr>
                  <w:tcW w:w="2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B1CCC78">
                  <w:pPr>
                    <w:pStyle w:val="47"/>
                    <w:bidi w:val="0"/>
                    <w:rPr>
                      <w:rFonts w:hint="eastAsia"/>
                      <w:sz w:val="18"/>
                      <w:szCs w:val="18"/>
                    </w:rPr>
                  </w:pPr>
                </w:p>
              </w:tc>
              <w:tc>
                <w:tcPr>
                  <w:tcW w:w="173" w:type="pct"/>
                  <w:tcBorders>
                    <w:top w:val="nil"/>
                    <w:left w:val="nil"/>
                    <w:bottom w:val="single" w:color="000000" w:sz="8" w:space="0"/>
                    <w:right w:val="single" w:color="000000" w:sz="8" w:space="0"/>
                  </w:tcBorders>
                  <w:shd w:val="clear" w:color="auto" w:fill="auto"/>
                  <w:vAlign w:val="center"/>
                </w:tcPr>
                <w:p w14:paraId="79ADB707">
                  <w:pPr>
                    <w:pStyle w:val="47"/>
                    <w:bidi w:val="0"/>
                    <w:rPr>
                      <w:rFonts w:hint="eastAsia"/>
                      <w:sz w:val="18"/>
                      <w:szCs w:val="18"/>
                    </w:rPr>
                  </w:pPr>
                  <w:r>
                    <w:rPr>
                      <w:rFonts w:hint="eastAsia"/>
                      <w:sz w:val="18"/>
                      <w:szCs w:val="18"/>
                      <w:lang w:val="en-US" w:eastAsia="zh-CN"/>
                    </w:rPr>
                    <w:t>34</w:t>
                  </w:r>
                </w:p>
              </w:tc>
              <w:tc>
                <w:tcPr>
                  <w:tcW w:w="205" w:type="pct"/>
                  <w:tcBorders>
                    <w:top w:val="nil"/>
                    <w:left w:val="single" w:color="000000" w:sz="8" w:space="0"/>
                    <w:bottom w:val="single" w:color="000000" w:sz="8" w:space="0"/>
                    <w:right w:val="single" w:color="000000" w:sz="8" w:space="0"/>
                  </w:tcBorders>
                  <w:shd w:val="clear" w:color="auto" w:fill="auto"/>
                  <w:vAlign w:val="center"/>
                </w:tcPr>
                <w:p w14:paraId="37567386">
                  <w:pPr>
                    <w:pStyle w:val="47"/>
                    <w:bidi w:val="0"/>
                    <w:rPr>
                      <w:rFonts w:hint="eastAsia"/>
                      <w:sz w:val="18"/>
                      <w:szCs w:val="18"/>
                    </w:rPr>
                  </w:pPr>
                  <w:r>
                    <w:rPr>
                      <w:rFonts w:hint="eastAsia"/>
                      <w:sz w:val="18"/>
                      <w:szCs w:val="18"/>
                      <w:lang w:val="en-US" w:eastAsia="zh-CN"/>
                    </w:rPr>
                    <w:t>21</w:t>
                  </w:r>
                </w:p>
              </w:tc>
              <w:tc>
                <w:tcPr>
                  <w:tcW w:w="189" w:type="pct"/>
                  <w:tcBorders>
                    <w:top w:val="nil"/>
                    <w:left w:val="single" w:color="000000" w:sz="8" w:space="0"/>
                    <w:bottom w:val="single" w:color="000000" w:sz="8" w:space="0"/>
                    <w:right w:val="single" w:color="000000" w:sz="8" w:space="0"/>
                  </w:tcBorders>
                  <w:shd w:val="clear" w:color="auto" w:fill="auto"/>
                  <w:vAlign w:val="center"/>
                </w:tcPr>
                <w:p w14:paraId="0D454AA8">
                  <w:pPr>
                    <w:pStyle w:val="47"/>
                    <w:bidi w:val="0"/>
                    <w:rPr>
                      <w:rFonts w:hint="eastAsia"/>
                      <w:sz w:val="18"/>
                      <w:szCs w:val="18"/>
                    </w:rPr>
                  </w:pPr>
                  <w:r>
                    <w:rPr>
                      <w:rFonts w:hint="eastAsia"/>
                      <w:sz w:val="18"/>
                      <w:szCs w:val="18"/>
                      <w:lang w:val="en-US" w:eastAsia="zh-CN"/>
                    </w:rPr>
                    <w:t>4.5</w:t>
                  </w:r>
                </w:p>
              </w:tc>
              <w:tc>
                <w:tcPr>
                  <w:tcW w:w="214" w:type="pct"/>
                  <w:tcBorders>
                    <w:top w:val="nil"/>
                    <w:left w:val="single" w:color="000000" w:sz="8" w:space="0"/>
                    <w:bottom w:val="single" w:color="000000" w:sz="8" w:space="0"/>
                    <w:right w:val="single" w:color="000000" w:sz="8" w:space="0"/>
                  </w:tcBorders>
                  <w:shd w:val="clear" w:color="auto" w:fill="auto"/>
                  <w:vAlign w:val="center"/>
                </w:tcPr>
                <w:p w14:paraId="0A5FBA4D">
                  <w:pPr>
                    <w:pStyle w:val="47"/>
                    <w:bidi w:val="0"/>
                    <w:rPr>
                      <w:rFonts w:hint="default"/>
                      <w:sz w:val="18"/>
                      <w:szCs w:val="18"/>
                    </w:rPr>
                  </w:pPr>
                  <w:r>
                    <w:rPr>
                      <w:rFonts w:hint="default"/>
                      <w:sz w:val="18"/>
                      <w:szCs w:val="18"/>
                      <w:lang w:val="en-US" w:eastAsia="zh-CN"/>
                    </w:rPr>
                    <w:t>35.5</w:t>
                  </w:r>
                </w:p>
              </w:tc>
              <w:tc>
                <w:tcPr>
                  <w:tcW w:w="166" w:type="pct"/>
                  <w:tcBorders>
                    <w:top w:val="nil"/>
                    <w:left w:val="single" w:color="000000" w:sz="8" w:space="0"/>
                    <w:bottom w:val="single" w:color="000000" w:sz="8" w:space="0"/>
                    <w:right w:val="single" w:color="000000" w:sz="8" w:space="0"/>
                  </w:tcBorders>
                  <w:shd w:val="clear" w:color="auto" w:fill="auto"/>
                  <w:vAlign w:val="center"/>
                </w:tcPr>
                <w:p w14:paraId="2BAE75AD">
                  <w:pPr>
                    <w:pStyle w:val="47"/>
                    <w:bidi w:val="0"/>
                    <w:rPr>
                      <w:rFonts w:hint="default"/>
                      <w:sz w:val="18"/>
                      <w:szCs w:val="18"/>
                    </w:rPr>
                  </w:pPr>
                  <w:r>
                    <w:rPr>
                      <w:rFonts w:hint="default"/>
                      <w:sz w:val="18"/>
                      <w:szCs w:val="18"/>
                      <w:lang w:val="en-US" w:eastAsia="zh-CN"/>
                    </w:rPr>
                    <w:t>35</w:t>
                  </w:r>
                </w:p>
              </w:tc>
              <w:tc>
                <w:tcPr>
                  <w:tcW w:w="181" w:type="pct"/>
                  <w:tcBorders>
                    <w:top w:val="nil"/>
                    <w:left w:val="single" w:color="000000" w:sz="8" w:space="0"/>
                    <w:bottom w:val="single" w:color="000000" w:sz="8" w:space="0"/>
                    <w:right w:val="single" w:color="000000" w:sz="8" w:space="0"/>
                  </w:tcBorders>
                  <w:shd w:val="clear" w:color="auto" w:fill="auto"/>
                  <w:vAlign w:val="center"/>
                </w:tcPr>
                <w:p w14:paraId="30849AF3">
                  <w:pPr>
                    <w:pStyle w:val="47"/>
                    <w:bidi w:val="0"/>
                    <w:rPr>
                      <w:rFonts w:hint="default"/>
                      <w:sz w:val="18"/>
                      <w:szCs w:val="18"/>
                    </w:rPr>
                  </w:pPr>
                  <w:r>
                    <w:rPr>
                      <w:rFonts w:hint="default"/>
                      <w:sz w:val="18"/>
                      <w:szCs w:val="18"/>
                      <w:lang w:val="en-US" w:eastAsia="zh-CN"/>
                    </w:rPr>
                    <w:t>3.8</w:t>
                  </w:r>
                </w:p>
              </w:tc>
              <w:tc>
                <w:tcPr>
                  <w:tcW w:w="216" w:type="pct"/>
                  <w:tcBorders>
                    <w:top w:val="nil"/>
                    <w:left w:val="single" w:color="000000" w:sz="8" w:space="0"/>
                    <w:bottom w:val="single" w:color="000000" w:sz="8" w:space="0"/>
                    <w:right w:val="single" w:color="000000" w:sz="8" w:space="0"/>
                  </w:tcBorders>
                  <w:shd w:val="clear" w:color="auto" w:fill="auto"/>
                  <w:vAlign w:val="center"/>
                </w:tcPr>
                <w:p w14:paraId="6E46DF42">
                  <w:pPr>
                    <w:pStyle w:val="47"/>
                    <w:bidi w:val="0"/>
                    <w:rPr>
                      <w:rFonts w:hint="default"/>
                      <w:sz w:val="18"/>
                      <w:szCs w:val="18"/>
                    </w:rPr>
                  </w:pPr>
                  <w:r>
                    <w:rPr>
                      <w:rFonts w:hint="default"/>
                      <w:sz w:val="18"/>
                      <w:szCs w:val="18"/>
                      <w:lang w:val="en-US" w:eastAsia="zh-CN"/>
                    </w:rPr>
                    <w:t>23</w:t>
                  </w:r>
                </w:p>
              </w:tc>
              <w:tc>
                <w:tcPr>
                  <w:tcW w:w="216" w:type="pct"/>
                  <w:tcBorders>
                    <w:top w:val="nil"/>
                    <w:left w:val="single" w:color="000000" w:sz="8" w:space="0"/>
                    <w:bottom w:val="single" w:color="000000" w:sz="8" w:space="0"/>
                    <w:right w:val="single" w:color="000000" w:sz="8" w:space="0"/>
                  </w:tcBorders>
                  <w:shd w:val="clear" w:color="auto" w:fill="auto"/>
                  <w:vAlign w:val="center"/>
                </w:tcPr>
                <w:p w14:paraId="17702FC8">
                  <w:pPr>
                    <w:pStyle w:val="47"/>
                    <w:bidi w:val="0"/>
                    <w:rPr>
                      <w:rFonts w:hint="default"/>
                      <w:sz w:val="18"/>
                      <w:szCs w:val="18"/>
                      <w:lang w:val="en-US"/>
                    </w:rPr>
                  </w:pPr>
                  <w:r>
                    <w:rPr>
                      <w:rFonts w:hint="default"/>
                      <w:sz w:val="18"/>
                      <w:szCs w:val="18"/>
                      <w:lang w:val="en-US" w:eastAsia="zh-CN"/>
                    </w:rPr>
                    <w:t>42.</w:t>
                  </w:r>
                  <w:r>
                    <w:rPr>
                      <w:rFonts w:hint="eastAsia"/>
                      <w:sz w:val="18"/>
                      <w:szCs w:val="18"/>
                      <w:lang w:val="en-US" w:eastAsia="zh-CN"/>
                    </w:rPr>
                    <w:t>5</w:t>
                  </w:r>
                </w:p>
              </w:tc>
              <w:tc>
                <w:tcPr>
                  <w:tcW w:w="210" w:type="pct"/>
                  <w:tcBorders>
                    <w:top w:val="nil"/>
                    <w:left w:val="single" w:color="000000" w:sz="8" w:space="0"/>
                    <w:bottom w:val="single" w:color="000000" w:sz="8" w:space="0"/>
                    <w:right w:val="single" w:color="000000" w:sz="8" w:space="0"/>
                  </w:tcBorders>
                  <w:shd w:val="clear" w:color="auto" w:fill="auto"/>
                  <w:vAlign w:val="center"/>
                </w:tcPr>
                <w:p w14:paraId="6B7EA57D">
                  <w:pPr>
                    <w:pStyle w:val="47"/>
                    <w:bidi w:val="0"/>
                    <w:rPr>
                      <w:rFonts w:hint="default"/>
                      <w:sz w:val="18"/>
                      <w:szCs w:val="18"/>
                    </w:rPr>
                  </w:pPr>
                  <w:r>
                    <w:rPr>
                      <w:rFonts w:hint="default"/>
                      <w:sz w:val="18"/>
                      <w:szCs w:val="18"/>
                      <w:lang w:val="en-US" w:eastAsia="zh-CN"/>
                    </w:rPr>
                    <w:t>42.5</w:t>
                  </w:r>
                </w:p>
              </w:tc>
              <w:tc>
                <w:tcPr>
                  <w:tcW w:w="238" w:type="pct"/>
                  <w:tcBorders>
                    <w:top w:val="nil"/>
                    <w:left w:val="single" w:color="000000" w:sz="8" w:space="0"/>
                    <w:bottom w:val="single" w:color="000000" w:sz="8" w:space="0"/>
                    <w:right w:val="single" w:color="000000" w:sz="8" w:space="0"/>
                  </w:tcBorders>
                  <w:shd w:val="clear" w:color="auto" w:fill="auto"/>
                  <w:vAlign w:val="center"/>
                </w:tcPr>
                <w:p w14:paraId="2029673A">
                  <w:pPr>
                    <w:pStyle w:val="47"/>
                    <w:bidi w:val="0"/>
                    <w:rPr>
                      <w:rFonts w:hint="default"/>
                      <w:sz w:val="18"/>
                      <w:szCs w:val="18"/>
                      <w:lang w:val="en-US"/>
                    </w:rPr>
                  </w:pPr>
                  <w:r>
                    <w:rPr>
                      <w:rFonts w:hint="default"/>
                      <w:sz w:val="18"/>
                      <w:szCs w:val="18"/>
                      <w:lang w:val="en-US" w:eastAsia="zh-CN"/>
                    </w:rPr>
                    <w:t>52.</w:t>
                  </w:r>
                  <w:r>
                    <w:rPr>
                      <w:rFonts w:hint="eastAsia"/>
                      <w:sz w:val="18"/>
                      <w:szCs w:val="18"/>
                      <w:lang w:val="en-US" w:eastAsia="zh-CN"/>
                    </w:rPr>
                    <w:t>8</w:t>
                  </w:r>
                </w:p>
              </w:tc>
              <w:tc>
                <w:tcPr>
                  <w:tcW w:w="227" w:type="pct"/>
                  <w:tcBorders>
                    <w:top w:val="nil"/>
                    <w:left w:val="single" w:color="000000" w:sz="8" w:space="0"/>
                    <w:bottom w:val="single" w:color="000000" w:sz="8" w:space="0"/>
                    <w:right w:val="nil"/>
                  </w:tcBorders>
                  <w:shd w:val="clear" w:color="auto" w:fill="auto"/>
                  <w:vAlign w:val="center"/>
                </w:tcPr>
                <w:p w14:paraId="73AD6E97">
                  <w:pPr>
                    <w:pStyle w:val="47"/>
                    <w:bidi w:val="0"/>
                    <w:rPr>
                      <w:rFonts w:hint="default"/>
                      <w:sz w:val="18"/>
                      <w:szCs w:val="18"/>
                    </w:rPr>
                  </w:pPr>
                  <w:r>
                    <w:rPr>
                      <w:rFonts w:hint="default"/>
                      <w:sz w:val="18"/>
                      <w:szCs w:val="18"/>
                      <w:lang w:val="en-US" w:eastAsia="zh-CN"/>
                    </w:rPr>
                    <w:t>43.1</w:t>
                  </w:r>
                </w:p>
              </w:tc>
              <w:tc>
                <w:tcPr>
                  <w:tcW w:w="1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B63E0A4">
                  <w:pPr>
                    <w:pStyle w:val="47"/>
                    <w:bidi w:val="0"/>
                    <w:rPr>
                      <w:rFonts w:hint="eastAsia"/>
                      <w:sz w:val="18"/>
                      <w:szCs w:val="18"/>
                    </w:rPr>
                  </w:pPr>
                </w:p>
              </w:tc>
              <w:tc>
                <w:tcPr>
                  <w:tcW w:w="185" w:type="pct"/>
                  <w:tcBorders>
                    <w:top w:val="nil"/>
                    <w:left w:val="nil"/>
                    <w:bottom w:val="single" w:color="000000" w:sz="8" w:space="0"/>
                    <w:right w:val="single" w:color="000000" w:sz="8" w:space="0"/>
                  </w:tcBorders>
                  <w:shd w:val="clear" w:color="auto" w:fill="auto"/>
                  <w:vAlign w:val="center"/>
                </w:tcPr>
                <w:p w14:paraId="2EC4728E">
                  <w:pPr>
                    <w:pStyle w:val="47"/>
                    <w:bidi w:val="0"/>
                    <w:rPr>
                      <w:rFonts w:hint="eastAsia"/>
                      <w:sz w:val="18"/>
                      <w:szCs w:val="18"/>
                    </w:rPr>
                  </w:pPr>
                  <w:r>
                    <w:rPr>
                      <w:rFonts w:hint="eastAsia"/>
                      <w:sz w:val="18"/>
                      <w:szCs w:val="18"/>
                      <w:lang w:val="en-US" w:eastAsia="zh-CN"/>
                    </w:rPr>
                    <w:t>10</w:t>
                  </w:r>
                </w:p>
              </w:tc>
              <w:tc>
                <w:tcPr>
                  <w:tcW w:w="247" w:type="pct"/>
                  <w:tcBorders>
                    <w:top w:val="nil"/>
                    <w:left w:val="single" w:color="000000" w:sz="8" w:space="0"/>
                    <w:bottom w:val="single" w:color="000000" w:sz="8" w:space="0"/>
                    <w:right w:val="single" w:color="000000" w:sz="8" w:space="0"/>
                  </w:tcBorders>
                  <w:shd w:val="clear" w:color="auto" w:fill="auto"/>
                  <w:vAlign w:val="center"/>
                </w:tcPr>
                <w:p w14:paraId="359DA23F">
                  <w:pPr>
                    <w:pStyle w:val="47"/>
                    <w:bidi w:val="0"/>
                    <w:rPr>
                      <w:rFonts w:hint="default"/>
                      <w:sz w:val="18"/>
                      <w:szCs w:val="18"/>
                    </w:rPr>
                  </w:pPr>
                  <w:r>
                    <w:rPr>
                      <w:rFonts w:hint="default"/>
                      <w:sz w:val="18"/>
                      <w:szCs w:val="18"/>
                      <w:lang w:val="en-US" w:eastAsia="zh-CN"/>
                    </w:rPr>
                    <w:t>29.</w:t>
                  </w:r>
                  <w:r>
                    <w:rPr>
                      <w:rFonts w:hint="eastAsia"/>
                      <w:sz w:val="18"/>
                      <w:szCs w:val="18"/>
                      <w:lang w:val="en-US" w:eastAsia="zh-CN"/>
                    </w:rPr>
                    <w:t>5</w:t>
                  </w:r>
                </w:p>
              </w:tc>
              <w:tc>
                <w:tcPr>
                  <w:tcW w:w="238" w:type="pct"/>
                  <w:tcBorders>
                    <w:top w:val="nil"/>
                    <w:left w:val="single" w:color="000000" w:sz="8" w:space="0"/>
                    <w:bottom w:val="single" w:color="000000" w:sz="8" w:space="0"/>
                    <w:right w:val="single" w:color="000000" w:sz="8" w:space="0"/>
                  </w:tcBorders>
                  <w:shd w:val="clear" w:color="auto" w:fill="auto"/>
                  <w:vAlign w:val="center"/>
                </w:tcPr>
                <w:p w14:paraId="5D79C46E">
                  <w:pPr>
                    <w:pStyle w:val="47"/>
                    <w:bidi w:val="0"/>
                    <w:rPr>
                      <w:rFonts w:hint="default"/>
                      <w:sz w:val="18"/>
                      <w:szCs w:val="18"/>
                    </w:rPr>
                  </w:pPr>
                  <w:r>
                    <w:rPr>
                      <w:rFonts w:hint="default"/>
                      <w:sz w:val="18"/>
                      <w:szCs w:val="18"/>
                      <w:lang w:val="en-US" w:eastAsia="zh-CN"/>
                    </w:rPr>
                    <w:t>29.5</w:t>
                  </w:r>
                </w:p>
              </w:tc>
              <w:tc>
                <w:tcPr>
                  <w:tcW w:w="238" w:type="pct"/>
                  <w:tcBorders>
                    <w:top w:val="nil"/>
                    <w:left w:val="single" w:color="000000" w:sz="8" w:space="0"/>
                    <w:bottom w:val="single" w:color="000000" w:sz="8" w:space="0"/>
                    <w:right w:val="single" w:color="000000" w:sz="8" w:space="0"/>
                  </w:tcBorders>
                  <w:shd w:val="clear" w:color="auto" w:fill="auto"/>
                  <w:vAlign w:val="center"/>
                </w:tcPr>
                <w:p w14:paraId="5D834A5F">
                  <w:pPr>
                    <w:pStyle w:val="47"/>
                    <w:bidi w:val="0"/>
                    <w:rPr>
                      <w:rFonts w:hint="default"/>
                      <w:sz w:val="18"/>
                      <w:szCs w:val="18"/>
                    </w:rPr>
                  </w:pPr>
                  <w:r>
                    <w:rPr>
                      <w:rFonts w:hint="default"/>
                      <w:sz w:val="18"/>
                      <w:szCs w:val="18"/>
                      <w:lang w:val="en-US" w:eastAsia="zh-CN"/>
                    </w:rPr>
                    <w:t>43.7</w:t>
                  </w:r>
                </w:p>
              </w:tc>
              <w:tc>
                <w:tcPr>
                  <w:tcW w:w="226" w:type="pct"/>
                  <w:tcBorders>
                    <w:top w:val="nil"/>
                    <w:left w:val="single" w:color="000000" w:sz="8" w:space="0"/>
                    <w:bottom w:val="single" w:color="000000" w:sz="8" w:space="0"/>
                    <w:right w:val="single" w:color="000000" w:sz="8" w:space="0"/>
                  </w:tcBorders>
                  <w:shd w:val="clear" w:color="auto" w:fill="auto"/>
                  <w:vAlign w:val="center"/>
                </w:tcPr>
                <w:p w14:paraId="540E3BC0">
                  <w:pPr>
                    <w:pStyle w:val="47"/>
                    <w:bidi w:val="0"/>
                    <w:rPr>
                      <w:rFonts w:hint="default"/>
                      <w:sz w:val="18"/>
                      <w:szCs w:val="18"/>
                    </w:rPr>
                  </w:pPr>
                  <w:r>
                    <w:rPr>
                      <w:rFonts w:hint="default"/>
                      <w:sz w:val="18"/>
                      <w:szCs w:val="18"/>
                      <w:lang w:val="en-US" w:eastAsia="zh-CN"/>
                    </w:rPr>
                    <w:t>30.1</w:t>
                  </w:r>
                </w:p>
              </w:tc>
              <w:tc>
                <w:tcPr>
                  <w:tcW w:w="244" w:type="pct"/>
                  <w:tcBorders>
                    <w:top w:val="nil"/>
                    <w:left w:val="single" w:color="000000" w:sz="8" w:space="0"/>
                    <w:bottom w:val="single" w:color="000000" w:sz="8" w:space="0"/>
                    <w:right w:val="single" w:color="000000" w:sz="8" w:space="0"/>
                  </w:tcBorders>
                  <w:shd w:val="clear" w:color="auto" w:fill="auto"/>
                  <w:vAlign w:val="center"/>
                </w:tcPr>
                <w:p w14:paraId="51F6F34B">
                  <w:pPr>
                    <w:pStyle w:val="47"/>
                    <w:bidi w:val="0"/>
                    <w:rPr>
                      <w:rFonts w:hint="eastAsia"/>
                      <w:sz w:val="18"/>
                      <w:szCs w:val="18"/>
                    </w:rPr>
                  </w:pPr>
                  <w:r>
                    <w:rPr>
                      <w:rFonts w:hint="eastAsia"/>
                      <w:sz w:val="18"/>
                      <w:szCs w:val="18"/>
                      <w:lang w:val="en-US" w:eastAsia="zh-CN"/>
                    </w:rPr>
                    <w:t>1</w:t>
                  </w:r>
                </w:p>
              </w:tc>
            </w:tr>
            <w:tr w14:paraId="2001E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25" w:type="pct"/>
                  <w:tcBorders>
                    <w:top w:val="nil"/>
                    <w:left w:val="single" w:color="000000" w:sz="8" w:space="0"/>
                    <w:bottom w:val="single" w:color="auto" w:sz="4" w:space="0"/>
                    <w:right w:val="nil"/>
                  </w:tcBorders>
                  <w:shd w:val="clear" w:color="auto" w:fill="auto"/>
                  <w:vAlign w:val="center"/>
                </w:tcPr>
                <w:p w14:paraId="44AB2911">
                  <w:pPr>
                    <w:pStyle w:val="47"/>
                    <w:bidi w:val="0"/>
                    <w:rPr>
                      <w:rFonts w:hint="default"/>
                      <w:sz w:val="18"/>
                      <w:szCs w:val="18"/>
                    </w:rPr>
                  </w:pPr>
                  <w:r>
                    <w:rPr>
                      <w:rFonts w:hint="default"/>
                      <w:sz w:val="18"/>
                      <w:szCs w:val="18"/>
                      <w:lang w:val="en-US" w:eastAsia="zh-CN"/>
                    </w:rPr>
                    <w:t>3</w:t>
                  </w:r>
                </w:p>
              </w:tc>
              <w:tc>
                <w:tcPr>
                  <w:tcW w:w="146" w:type="pct"/>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14:paraId="411E0023">
                  <w:pPr>
                    <w:pStyle w:val="47"/>
                    <w:bidi w:val="0"/>
                    <w:rPr>
                      <w:rFonts w:hint="default"/>
                      <w:sz w:val="18"/>
                      <w:szCs w:val="18"/>
                    </w:rPr>
                  </w:pPr>
                </w:p>
              </w:tc>
              <w:tc>
                <w:tcPr>
                  <w:tcW w:w="329" w:type="pct"/>
                  <w:tcBorders>
                    <w:top w:val="nil"/>
                    <w:left w:val="nil"/>
                    <w:bottom w:val="single" w:color="auto" w:sz="4" w:space="0"/>
                    <w:right w:val="single" w:color="000000" w:sz="8" w:space="0"/>
                  </w:tcBorders>
                  <w:shd w:val="clear" w:color="auto" w:fill="auto"/>
                  <w:vAlign w:val="center"/>
                </w:tcPr>
                <w:p w14:paraId="20A3FDC4">
                  <w:pPr>
                    <w:pStyle w:val="47"/>
                    <w:bidi w:val="0"/>
                    <w:rPr>
                      <w:rFonts w:hint="eastAsia"/>
                      <w:sz w:val="18"/>
                      <w:szCs w:val="18"/>
                    </w:rPr>
                  </w:pPr>
                  <w:r>
                    <w:rPr>
                      <w:rFonts w:hint="eastAsia"/>
                      <w:sz w:val="18"/>
                      <w:szCs w:val="18"/>
                      <w:lang w:val="en-US" w:eastAsia="zh-CN"/>
                    </w:rPr>
                    <w:t>流化干燥机</w:t>
                  </w:r>
                </w:p>
              </w:tc>
              <w:tc>
                <w:tcPr>
                  <w:tcW w:w="216" w:type="pct"/>
                  <w:tcBorders>
                    <w:top w:val="nil"/>
                    <w:left w:val="single" w:color="000000" w:sz="8" w:space="0"/>
                    <w:bottom w:val="single" w:color="auto" w:sz="4" w:space="0"/>
                    <w:right w:val="single" w:color="000000" w:sz="8" w:space="0"/>
                  </w:tcBorders>
                  <w:shd w:val="clear" w:color="auto" w:fill="auto"/>
                  <w:vAlign w:val="center"/>
                </w:tcPr>
                <w:p w14:paraId="72EFD2EE">
                  <w:pPr>
                    <w:pStyle w:val="47"/>
                    <w:bidi w:val="0"/>
                    <w:rPr>
                      <w:rFonts w:hint="eastAsia"/>
                      <w:sz w:val="18"/>
                      <w:szCs w:val="18"/>
                    </w:rPr>
                  </w:pPr>
                  <w:r>
                    <w:rPr>
                      <w:rFonts w:hint="eastAsia"/>
                      <w:sz w:val="18"/>
                      <w:szCs w:val="18"/>
                      <w:lang w:val="en-US" w:eastAsia="zh-CN"/>
                    </w:rPr>
                    <w:t>70</w:t>
                  </w:r>
                </w:p>
              </w:tc>
              <w:tc>
                <w:tcPr>
                  <w:tcW w:w="205" w:type="pct"/>
                  <w:tcBorders>
                    <w:top w:val="nil"/>
                    <w:left w:val="single" w:color="000000" w:sz="8" w:space="0"/>
                    <w:bottom w:val="single" w:color="auto" w:sz="4" w:space="0"/>
                    <w:right w:val="nil"/>
                  </w:tcBorders>
                  <w:shd w:val="clear" w:color="auto" w:fill="auto"/>
                  <w:vAlign w:val="center"/>
                </w:tcPr>
                <w:p w14:paraId="02501AE0">
                  <w:pPr>
                    <w:pStyle w:val="47"/>
                    <w:bidi w:val="0"/>
                    <w:rPr>
                      <w:rFonts w:hint="eastAsia"/>
                      <w:sz w:val="18"/>
                      <w:szCs w:val="18"/>
                    </w:rPr>
                  </w:pPr>
                  <w:r>
                    <w:rPr>
                      <w:rFonts w:hint="eastAsia"/>
                      <w:sz w:val="18"/>
                      <w:szCs w:val="18"/>
                      <w:lang w:val="en-US" w:eastAsia="zh-CN"/>
                    </w:rPr>
                    <w:t>2</w:t>
                  </w:r>
                </w:p>
              </w:tc>
              <w:tc>
                <w:tcPr>
                  <w:tcW w:w="210" w:type="pct"/>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14:paraId="32E9DAFD">
                  <w:pPr>
                    <w:pStyle w:val="47"/>
                    <w:bidi w:val="0"/>
                    <w:rPr>
                      <w:rFonts w:hint="eastAsia"/>
                      <w:sz w:val="18"/>
                      <w:szCs w:val="18"/>
                    </w:rPr>
                  </w:pPr>
                </w:p>
              </w:tc>
              <w:tc>
                <w:tcPr>
                  <w:tcW w:w="173" w:type="pct"/>
                  <w:tcBorders>
                    <w:top w:val="nil"/>
                    <w:left w:val="nil"/>
                    <w:bottom w:val="single" w:color="auto" w:sz="4" w:space="0"/>
                    <w:right w:val="single" w:color="000000" w:sz="8" w:space="0"/>
                  </w:tcBorders>
                  <w:shd w:val="clear" w:color="auto" w:fill="auto"/>
                  <w:vAlign w:val="center"/>
                </w:tcPr>
                <w:p w14:paraId="258D9B52">
                  <w:pPr>
                    <w:pStyle w:val="47"/>
                    <w:bidi w:val="0"/>
                    <w:rPr>
                      <w:rFonts w:hint="eastAsia"/>
                      <w:sz w:val="18"/>
                      <w:szCs w:val="18"/>
                    </w:rPr>
                  </w:pPr>
                  <w:r>
                    <w:rPr>
                      <w:rFonts w:hint="eastAsia"/>
                      <w:sz w:val="18"/>
                      <w:szCs w:val="18"/>
                      <w:lang w:val="en-US" w:eastAsia="zh-CN"/>
                    </w:rPr>
                    <w:t>18</w:t>
                  </w:r>
                </w:p>
              </w:tc>
              <w:tc>
                <w:tcPr>
                  <w:tcW w:w="205" w:type="pct"/>
                  <w:tcBorders>
                    <w:top w:val="nil"/>
                    <w:left w:val="single" w:color="000000" w:sz="8" w:space="0"/>
                    <w:bottom w:val="single" w:color="auto" w:sz="4" w:space="0"/>
                    <w:right w:val="single" w:color="000000" w:sz="8" w:space="0"/>
                  </w:tcBorders>
                  <w:shd w:val="clear" w:color="auto" w:fill="auto"/>
                  <w:vAlign w:val="center"/>
                </w:tcPr>
                <w:p w14:paraId="1EE57204">
                  <w:pPr>
                    <w:pStyle w:val="47"/>
                    <w:bidi w:val="0"/>
                    <w:rPr>
                      <w:rFonts w:hint="eastAsia"/>
                      <w:sz w:val="18"/>
                      <w:szCs w:val="18"/>
                    </w:rPr>
                  </w:pPr>
                  <w:r>
                    <w:rPr>
                      <w:rFonts w:hint="eastAsia"/>
                      <w:sz w:val="18"/>
                      <w:szCs w:val="18"/>
                      <w:lang w:val="en-US" w:eastAsia="zh-CN"/>
                    </w:rPr>
                    <w:t>21</w:t>
                  </w:r>
                </w:p>
              </w:tc>
              <w:tc>
                <w:tcPr>
                  <w:tcW w:w="189" w:type="pct"/>
                  <w:tcBorders>
                    <w:top w:val="nil"/>
                    <w:left w:val="single" w:color="000000" w:sz="8" w:space="0"/>
                    <w:bottom w:val="single" w:color="auto" w:sz="4" w:space="0"/>
                    <w:right w:val="single" w:color="000000" w:sz="8" w:space="0"/>
                  </w:tcBorders>
                  <w:shd w:val="clear" w:color="auto" w:fill="auto"/>
                  <w:vAlign w:val="center"/>
                </w:tcPr>
                <w:p w14:paraId="570AE768">
                  <w:pPr>
                    <w:pStyle w:val="47"/>
                    <w:bidi w:val="0"/>
                    <w:rPr>
                      <w:rFonts w:hint="eastAsia"/>
                      <w:sz w:val="18"/>
                      <w:szCs w:val="18"/>
                    </w:rPr>
                  </w:pPr>
                  <w:r>
                    <w:rPr>
                      <w:rFonts w:hint="eastAsia"/>
                      <w:sz w:val="18"/>
                      <w:szCs w:val="18"/>
                      <w:lang w:val="en-US" w:eastAsia="zh-CN"/>
                    </w:rPr>
                    <w:t>3.5</w:t>
                  </w:r>
                </w:p>
              </w:tc>
              <w:tc>
                <w:tcPr>
                  <w:tcW w:w="214" w:type="pct"/>
                  <w:tcBorders>
                    <w:top w:val="nil"/>
                    <w:left w:val="single" w:color="000000" w:sz="8" w:space="0"/>
                    <w:bottom w:val="single" w:color="auto" w:sz="4" w:space="0"/>
                    <w:right w:val="single" w:color="000000" w:sz="8" w:space="0"/>
                  </w:tcBorders>
                  <w:shd w:val="clear" w:color="auto" w:fill="auto"/>
                  <w:vAlign w:val="center"/>
                </w:tcPr>
                <w:p w14:paraId="05166D46">
                  <w:pPr>
                    <w:pStyle w:val="47"/>
                    <w:bidi w:val="0"/>
                    <w:rPr>
                      <w:rFonts w:hint="default"/>
                      <w:sz w:val="18"/>
                      <w:szCs w:val="18"/>
                    </w:rPr>
                  </w:pPr>
                  <w:r>
                    <w:rPr>
                      <w:rFonts w:hint="default"/>
                      <w:sz w:val="18"/>
                      <w:szCs w:val="18"/>
                      <w:lang w:val="en-US" w:eastAsia="zh-CN"/>
                    </w:rPr>
                    <w:t>51.5</w:t>
                  </w:r>
                </w:p>
              </w:tc>
              <w:tc>
                <w:tcPr>
                  <w:tcW w:w="166" w:type="pct"/>
                  <w:tcBorders>
                    <w:top w:val="nil"/>
                    <w:left w:val="single" w:color="000000" w:sz="8" w:space="0"/>
                    <w:bottom w:val="single" w:color="auto" w:sz="4" w:space="0"/>
                    <w:right w:val="single" w:color="000000" w:sz="8" w:space="0"/>
                  </w:tcBorders>
                  <w:shd w:val="clear" w:color="auto" w:fill="auto"/>
                  <w:vAlign w:val="center"/>
                </w:tcPr>
                <w:p w14:paraId="5218270C">
                  <w:pPr>
                    <w:pStyle w:val="47"/>
                    <w:bidi w:val="0"/>
                    <w:rPr>
                      <w:rFonts w:hint="default"/>
                      <w:sz w:val="18"/>
                      <w:szCs w:val="18"/>
                    </w:rPr>
                  </w:pPr>
                  <w:r>
                    <w:rPr>
                      <w:rFonts w:hint="default"/>
                      <w:sz w:val="18"/>
                      <w:szCs w:val="18"/>
                      <w:lang w:val="en-US" w:eastAsia="zh-CN"/>
                    </w:rPr>
                    <w:t>35</w:t>
                  </w:r>
                </w:p>
              </w:tc>
              <w:tc>
                <w:tcPr>
                  <w:tcW w:w="181" w:type="pct"/>
                  <w:tcBorders>
                    <w:top w:val="nil"/>
                    <w:left w:val="single" w:color="000000" w:sz="8" w:space="0"/>
                    <w:bottom w:val="single" w:color="auto" w:sz="4" w:space="0"/>
                    <w:right w:val="single" w:color="000000" w:sz="8" w:space="0"/>
                  </w:tcBorders>
                  <w:shd w:val="clear" w:color="auto" w:fill="auto"/>
                  <w:vAlign w:val="center"/>
                </w:tcPr>
                <w:p w14:paraId="67E99099">
                  <w:pPr>
                    <w:pStyle w:val="47"/>
                    <w:bidi w:val="0"/>
                    <w:rPr>
                      <w:rFonts w:hint="default"/>
                      <w:sz w:val="18"/>
                      <w:szCs w:val="18"/>
                    </w:rPr>
                  </w:pPr>
                  <w:r>
                    <w:rPr>
                      <w:rFonts w:hint="default"/>
                      <w:sz w:val="18"/>
                      <w:szCs w:val="18"/>
                      <w:lang w:val="en-US" w:eastAsia="zh-CN"/>
                    </w:rPr>
                    <w:t>3.8</w:t>
                  </w:r>
                </w:p>
              </w:tc>
              <w:tc>
                <w:tcPr>
                  <w:tcW w:w="216" w:type="pct"/>
                  <w:tcBorders>
                    <w:top w:val="nil"/>
                    <w:left w:val="single" w:color="000000" w:sz="8" w:space="0"/>
                    <w:bottom w:val="single" w:color="auto" w:sz="4" w:space="0"/>
                    <w:right w:val="single" w:color="000000" w:sz="8" w:space="0"/>
                  </w:tcBorders>
                  <w:shd w:val="clear" w:color="auto" w:fill="auto"/>
                  <w:vAlign w:val="center"/>
                </w:tcPr>
                <w:p w14:paraId="4E384D86">
                  <w:pPr>
                    <w:pStyle w:val="47"/>
                    <w:bidi w:val="0"/>
                    <w:rPr>
                      <w:rFonts w:hint="default"/>
                      <w:sz w:val="18"/>
                      <w:szCs w:val="18"/>
                    </w:rPr>
                  </w:pPr>
                  <w:r>
                    <w:rPr>
                      <w:rFonts w:hint="default"/>
                      <w:sz w:val="18"/>
                      <w:szCs w:val="18"/>
                      <w:lang w:val="en-US" w:eastAsia="zh-CN"/>
                    </w:rPr>
                    <w:t>23</w:t>
                  </w:r>
                </w:p>
              </w:tc>
              <w:tc>
                <w:tcPr>
                  <w:tcW w:w="216" w:type="pct"/>
                  <w:tcBorders>
                    <w:top w:val="nil"/>
                    <w:left w:val="single" w:color="000000" w:sz="8" w:space="0"/>
                    <w:bottom w:val="single" w:color="auto" w:sz="4" w:space="0"/>
                    <w:right w:val="single" w:color="000000" w:sz="8" w:space="0"/>
                  </w:tcBorders>
                  <w:shd w:val="clear" w:color="auto" w:fill="auto"/>
                  <w:vAlign w:val="center"/>
                </w:tcPr>
                <w:p w14:paraId="76BC7207">
                  <w:pPr>
                    <w:pStyle w:val="47"/>
                    <w:bidi w:val="0"/>
                    <w:rPr>
                      <w:rFonts w:hint="default"/>
                      <w:sz w:val="18"/>
                      <w:szCs w:val="18"/>
                    </w:rPr>
                  </w:pPr>
                  <w:r>
                    <w:rPr>
                      <w:rFonts w:hint="default"/>
                      <w:sz w:val="18"/>
                      <w:szCs w:val="18"/>
                      <w:lang w:val="en-US" w:eastAsia="zh-CN"/>
                    </w:rPr>
                    <w:t>37.2</w:t>
                  </w:r>
                </w:p>
              </w:tc>
              <w:tc>
                <w:tcPr>
                  <w:tcW w:w="210" w:type="pct"/>
                  <w:tcBorders>
                    <w:top w:val="nil"/>
                    <w:left w:val="single" w:color="000000" w:sz="8" w:space="0"/>
                    <w:bottom w:val="single" w:color="auto" w:sz="4" w:space="0"/>
                    <w:right w:val="single" w:color="000000" w:sz="8" w:space="0"/>
                  </w:tcBorders>
                  <w:shd w:val="clear" w:color="auto" w:fill="auto"/>
                  <w:vAlign w:val="center"/>
                </w:tcPr>
                <w:p w14:paraId="5792E4F3">
                  <w:pPr>
                    <w:pStyle w:val="47"/>
                    <w:bidi w:val="0"/>
                    <w:rPr>
                      <w:rFonts w:hint="default"/>
                      <w:sz w:val="18"/>
                      <w:szCs w:val="18"/>
                    </w:rPr>
                  </w:pPr>
                  <w:r>
                    <w:rPr>
                      <w:rFonts w:hint="default"/>
                      <w:sz w:val="18"/>
                      <w:szCs w:val="18"/>
                      <w:lang w:val="en-US" w:eastAsia="zh-CN"/>
                    </w:rPr>
                    <w:t>37.5</w:t>
                  </w:r>
                </w:p>
              </w:tc>
              <w:tc>
                <w:tcPr>
                  <w:tcW w:w="238" w:type="pct"/>
                  <w:tcBorders>
                    <w:top w:val="nil"/>
                    <w:left w:val="single" w:color="000000" w:sz="8" w:space="0"/>
                    <w:bottom w:val="single" w:color="auto" w:sz="4" w:space="0"/>
                    <w:right w:val="single" w:color="000000" w:sz="8" w:space="0"/>
                  </w:tcBorders>
                  <w:shd w:val="clear" w:color="auto" w:fill="auto"/>
                  <w:vAlign w:val="center"/>
                </w:tcPr>
                <w:p w14:paraId="1E6C20E7">
                  <w:pPr>
                    <w:pStyle w:val="47"/>
                    <w:bidi w:val="0"/>
                    <w:rPr>
                      <w:rFonts w:hint="default"/>
                      <w:sz w:val="18"/>
                      <w:szCs w:val="18"/>
                      <w:lang w:val="en-US"/>
                    </w:rPr>
                  </w:pPr>
                  <w:r>
                    <w:rPr>
                      <w:rFonts w:hint="default"/>
                      <w:sz w:val="18"/>
                      <w:szCs w:val="18"/>
                      <w:lang w:val="en-US" w:eastAsia="zh-CN"/>
                    </w:rPr>
                    <w:t>47.</w:t>
                  </w:r>
                  <w:r>
                    <w:rPr>
                      <w:rFonts w:hint="eastAsia"/>
                      <w:sz w:val="18"/>
                      <w:szCs w:val="18"/>
                      <w:lang w:val="en-US" w:eastAsia="zh-CN"/>
                    </w:rPr>
                    <w:t>8</w:t>
                  </w:r>
                </w:p>
              </w:tc>
              <w:tc>
                <w:tcPr>
                  <w:tcW w:w="227" w:type="pct"/>
                  <w:tcBorders>
                    <w:top w:val="nil"/>
                    <w:left w:val="single" w:color="000000" w:sz="8" w:space="0"/>
                    <w:bottom w:val="single" w:color="auto" w:sz="4" w:space="0"/>
                    <w:right w:val="nil"/>
                  </w:tcBorders>
                  <w:shd w:val="clear" w:color="auto" w:fill="auto"/>
                  <w:vAlign w:val="center"/>
                </w:tcPr>
                <w:p w14:paraId="3514D202">
                  <w:pPr>
                    <w:pStyle w:val="47"/>
                    <w:bidi w:val="0"/>
                    <w:rPr>
                      <w:rFonts w:hint="default"/>
                      <w:sz w:val="18"/>
                      <w:szCs w:val="18"/>
                    </w:rPr>
                  </w:pPr>
                  <w:r>
                    <w:rPr>
                      <w:rFonts w:hint="default"/>
                      <w:sz w:val="18"/>
                      <w:szCs w:val="18"/>
                      <w:lang w:val="en-US" w:eastAsia="zh-CN"/>
                    </w:rPr>
                    <w:t>38.1</w:t>
                  </w:r>
                </w:p>
              </w:tc>
              <w:tc>
                <w:tcPr>
                  <w:tcW w:w="146" w:type="pct"/>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14:paraId="2D510B3B">
                  <w:pPr>
                    <w:pStyle w:val="47"/>
                    <w:bidi w:val="0"/>
                    <w:rPr>
                      <w:rFonts w:hint="eastAsia"/>
                      <w:sz w:val="18"/>
                      <w:szCs w:val="18"/>
                    </w:rPr>
                  </w:pPr>
                </w:p>
              </w:tc>
              <w:tc>
                <w:tcPr>
                  <w:tcW w:w="185" w:type="pct"/>
                  <w:tcBorders>
                    <w:top w:val="nil"/>
                    <w:left w:val="nil"/>
                    <w:bottom w:val="single" w:color="auto" w:sz="4" w:space="0"/>
                    <w:right w:val="single" w:color="000000" w:sz="8" w:space="0"/>
                  </w:tcBorders>
                  <w:shd w:val="clear" w:color="auto" w:fill="auto"/>
                  <w:vAlign w:val="center"/>
                </w:tcPr>
                <w:p w14:paraId="28C7746E">
                  <w:pPr>
                    <w:pStyle w:val="47"/>
                    <w:bidi w:val="0"/>
                    <w:rPr>
                      <w:rFonts w:hint="eastAsia"/>
                      <w:sz w:val="18"/>
                      <w:szCs w:val="18"/>
                    </w:rPr>
                  </w:pPr>
                  <w:r>
                    <w:rPr>
                      <w:rFonts w:hint="eastAsia"/>
                      <w:sz w:val="18"/>
                      <w:szCs w:val="18"/>
                      <w:lang w:val="en-US" w:eastAsia="zh-CN"/>
                    </w:rPr>
                    <w:t>10</w:t>
                  </w:r>
                </w:p>
              </w:tc>
              <w:tc>
                <w:tcPr>
                  <w:tcW w:w="247" w:type="pct"/>
                  <w:tcBorders>
                    <w:top w:val="nil"/>
                    <w:left w:val="single" w:color="000000" w:sz="8" w:space="0"/>
                    <w:bottom w:val="single" w:color="auto" w:sz="4" w:space="0"/>
                    <w:right w:val="single" w:color="000000" w:sz="8" w:space="0"/>
                  </w:tcBorders>
                  <w:shd w:val="clear" w:color="auto" w:fill="auto"/>
                  <w:vAlign w:val="center"/>
                </w:tcPr>
                <w:p w14:paraId="144A1B0A">
                  <w:pPr>
                    <w:pStyle w:val="47"/>
                    <w:bidi w:val="0"/>
                    <w:rPr>
                      <w:rFonts w:hint="default"/>
                      <w:sz w:val="18"/>
                      <w:szCs w:val="18"/>
                    </w:rPr>
                  </w:pPr>
                  <w:r>
                    <w:rPr>
                      <w:rFonts w:hint="default"/>
                      <w:sz w:val="18"/>
                      <w:szCs w:val="18"/>
                      <w:lang w:val="en-US" w:eastAsia="zh-CN"/>
                    </w:rPr>
                    <w:t>24.</w:t>
                  </w:r>
                  <w:r>
                    <w:rPr>
                      <w:rFonts w:hint="eastAsia"/>
                      <w:sz w:val="18"/>
                      <w:szCs w:val="18"/>
                      <w:lang w:val="en-US" w:eastAsia="zh-CN"/>
                    </w:rPr>
                    <w:t>2</w:t>
                  </w:r>
                </w:p>
              </w:tc>
              <w:tc>
                <w:tcPr>
                  <w:tcW w:w="238" w:type="pct"/>
                  <w:tcBorders>
                    <w:top w:val="nil"/>
                    <w:left w:val="single" w:color="000000" w:sz="8" w:space="0"/>
                    <w:bottom w:val="single" w:color="auto" w:sz="4" w:space="0"/>
                    <w:right w:val="single" w:color="000000" w:sz="8" w:space="0"/>
                  </w:tcBorders>
                  <w:shd w:val="clear" w:color="auto" w:fill="auto"/>
                  <w:vAlign w:val="center"/>
                </w:tcPr>
                <w:p w14:paraId="308E054E">
                  <w:pPr>
                    <w:pStyle w:val="47"/>
                    <w:bidi w:val="0"/>
                    <w:rPr>
                      <w:rFonts w:hint="default"/>
                      <w:sz w:val="18"/>
                      <w:szCs w:val="18"/>
                    </w:rPr>
                  </w:pPr>
                  <w:r>
                    <w:rPr>
                      <w:rFonts w:hint="default"/>
                      <w:sz w:val="18"/>
                      <w:szCs w:val="18"/>
                      <w:lang w:val="en-US" w:eastAsia="zh-CN"/>
                    </w:rPr>
                    <w:t>24.5</w:t>
                  </w:r>
                </w:p>
              </w:tc>
              <w:tc>
                <w:tcPr>
                  <w:tcW w:w="238" w:type="pct"/>
                  <w:tcBorders>
                    <w:top w:val="nil"/>
                    <w:left w:val="single" w:color="000000" w:sz="8" w:space="0"/>
                    <w:bottom w:val="single" w:color="auto" w:sz="4" w:space="0"/>
                    <w:right w:val="single" w:color="000000" w:sz="8" w:space="0"/>
                  </w:tcBorders>
                  <w:shd w:val="clear" w:color="auto" w:fill="auto"/>
                  <w:vAlign w:val="center"/>
                </w:tcPr>
                <w:p w14:paraId="729C440B">
                  <w:pPr>
                    <w:pStyle w:val="47"/>
                    <w:bidi w:val="0"/>
                    <w:rPr>
                      <w:rFonts w:hint="default"/>
                      <w:sz w:val="18"/>
                      <w:szCs w:val="18"/>
                    </w:rPr>
                  </w:pPr>
                  <w:r>
                    <w:rPr>
                      <w:rFonts w:hint="default"/>
                      <w:sz w:val="18"/>
                      <w:szCs w:val="18"/>
                      <w:lang w:val="en-US" w:eastAsia="zh-CN"/>
                    </w:rPr>
                    <w:t>38.0</w:t>
                  </w:r>
                </w:p>
              </w:tc>
              <w:tc>
                <w:tcPr>
                  <w:tcW w:w="226" w:type="pct"/>
                  <w:tcBorders>
                    <w:top w:val="nil"/>
                    <w:left w:val="single" w:color="000000" w:sz="8" w:space="0"/>
                    <w:bottom w:val="single" w:color="auto" w:sz="4" w:space="0"/>
                    <w:right w:val="single" w:color="000000" w:sz="8" w:space="0"/>
                  </w:tcBorders>
                  <w:shd w:val="clear" w:color="auto" w:fill="auto"/>
                  <w:vAlign w:val="center"/>
                </w:tcPr>
                <w:p w14:paraId="3C54A843">
                  <w:pPr>
                    <w:pStyle w:val="47"/>
                    <w:bidi w:val="0"/>
                    <w:rPr>
                      <w:rFonts w:hint="default"/>
                      <w:sz w:val="18"/>
                      <w:szCs w:val="18"/>
                    </w:rPr>
                  </w:pPr>
                  <w:r>
                    <w:rPr>
                      <w:rFonts w:hint="default"/>
                      <w:sz w:val="18"/>
                      <w:szCs w:val="18"/>
                      <w:lang w:val="en-US" w:eastAsia="zh-CN"/>
                    </w:rPr>
                    <w:t>25.1</w:t>
                  </w:r>
                </w:p>
              </w:tc>
              <w:tc>
                <w:tcPr>
                  <w:tcW w:w="244" w:type="pct"/>
                  <w:tcBorders>
                    <w:top w:val="nil"/>
                    <w:left w:val="single" w:color="000000" w:sz="8" w:space="0"/>
                    <w:bottom w:val="single" w:color="auto" w:sz="4" w:space="0"/>
                    <w:right w:val="single" w:color="000000" w:sz="8" w:space="0"/>
                  </w:tcBorders>
                  <w:shd w:val="clear" w:color="auto" w:fill="auto"/>
                  <w:vAlign w:val="center"/>
                </w:tcPr>
                <w:p w14:paraId="63FFAF60">
                  <w:pPr>
                    <w:pStyle w:val="47"/>
                    <w:bidi w:val="0"/>
                    <w:rPr>
                      <w:rFonts w:hint="default"/>
                      <w:sz w:val="18"/>
                      <w:szCs w:val="18"/>
                    </w:rPr>
                  </w:pPr>
                  <w:r>
                    <w:rPr>
                      <w:rFonts w:hint="default"/>
                      <w:sz w:val="18"/>
                      <w:szCs w:val="18"/>
                      <w:lang w:val="en-US" w:eastAsia="zh-CN"/>
                    </w:rPr>
                    <w:t>1</w:t>
                  </w:r>
                </w:p>
              </w:tc>
            </w:tr>
            <w:tr w14:paraId="6DBDA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5" w:type="pct"/>
                  <w:tcBorders>
                    <w:top w:val="single" w:color="auto" w:sz="4" w:space="0"/>
                    <w:left w:val="single" w:color="auto" w:sz="4" w:space="0"/>
                    <w:bottom w:val="single" w:color="auto" w:sz="4" w:space="0"/>
                    <w:right w:val="single" w:color="auto" w:sz="4" w:space="0"/>
                  </w:tcBorders>
                  <w:shd w:val="clear" w:color="auto" w:fill="auto"/>
                  <w:vAlign w:val="center"/>
                </w:tcPr>
                <w:p w14:paraId="36CFD5F9">
                  <w:pPr>
                    <w:pStyle w:val="47"/>
                    <w:bidi w:val="0"/>
                    <w:rPr>
                      <w:rFonts w:hint="default"/>
                      <w:sz w:val="18"/>
                      <w:szCs w:val="18"/>
                    </w:rPr>
                  </w:pPr>
                  <w:r>
                    <w:rPr>
                      <w:rFonts w:hint="default"/>
                      <w:sz w:val="18"/>
                      <w:szCs w:val="18"/>
                      <w:lang w:val="en-US" w:eastAsia="zh-CN"/>
                    </w:rPr>
                    <w:t>4</w:t>
                  </w:r>
                </w:p>
              </w:tc>
              <w:tc>
                <w:tcPr>
                  <w:tcW w:w="14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ECB563F">
                  <w:pPr>
                    <w:pStyle w:val="47"/>
                    <w:bidi w:val="0"/>
                    <w:rPr>
                      <w:rFonts w:hint="eastAsia"/>
                      <w:sz w:val="18"/>
                      <w:szCs w:val="18"/>
                    </w:rPr>
                  </w:pPr>
                  <w:r>
                    <w:rPr>
                      <w:rFonts w:hint="eastAsia"/>
                      <w:sz w:val="18"/>
                      <w:szCs w:val="18"/>
                      <w:lang w:val="en-US" w:eastAsia="zh-CN"/>
                    </w:rPr>
                    <w:t>2#厂房</w:t>
                  </w:r>
                </w:p>
              </w:tc>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14:paraId="74D6E083">
                  <w:pPr>
                    <w:pStyle w:val="47"/>
                    <w:bidi w:val="0"/>
                    <w:rPr>
                      <w:rFonts w:hint="eastAsia"/>
                      <w:sz w:val="18"/>
                      <w:szCs w:val="18"/>
                    </w:rPr>
                  </w:pPr>
                  <w:r>
                    <w:rPr>
                      <w:rFonts w:hint="eastAsia"/>
                      <w:sz w:val="18"/>
                      <w:szCs w:val="18"/>
                      <w:lang w:val="en-US" w:eastAsia="zh-CN"/>
                    </w:rPr>
                    <w:t>预压罐</w:t>
                  </w:r>
                </w:p>
              </w:tc>
              <w:tc>
                <w:tcPr>
                  <w:tcW w:w="216" w:type="pct"/>
                  <w:tcBorders>
                    <w:top w:val="single" w:color="auto" w:sz="4" w:space="0"/>
                    <w:left w:val="single" w:color="auto" w:sz="4" w:space="0"/>
                    <w:bottom w:val="single" w:color="auto" w:sz="4" w:space="0"/>
                    <w:right w:val="single" w:color="auto" w:sz="4" w:space="0"/>
                  </w:tcBorders>
                  <w:shd w:val="clear" w:color="auto" w:fill="auto"/>
                  <w:vAlign w:val="center"/>
                </w:tcPr>
                <w:p w14:paraId="40FA086D">
                  <w:pPr>
                    <w:pStyle w:val="47"/>
                    <w:bidi w:val="0"/>
                    <w:rPr>
                      <w:rFonts w:hint="eastAsia"/>
                      <w:sz w:val="18"/>
                      <w:szCs w:val="18"/>
                    </w:rPr>
                  </w:pPr>
                  <w:r>
                    <w:rPr>
                      <w:rFonts w:hint="eastAsia"/>
                      <w:sz w:val="18"/>
                      <w:szCs w:val="18"/>
                      <w:lang w:val="en-US" w:eastAsia="zh-CN"/>
                    </w:rPr>
                    <w:t>75</w:t>
                  </w:r>
                </w:p>
              </w:tc>
              <w:tc>
                <w:tcPr>
                  <w:tcW w:w="205" w:type="pct"/>
                  <w:tcBorders>
                    <w:top w:val="single" w:color="auto" w:sz="4" w:space="0"/>
                    <w:left w:val="single" w:color="auto" w:sz="4" w:space="0"/>
                    <w:bottom w:val="single" w:color="auto" w:sz="4" w:space="0"/>
                    <w:right w:val="single" w:color="auto" w:sz="4" w:space="0"/>
                  </w:tcBorders>
                  <w:shd w:val="clear" w:color="auto" w:fill="auto"/>
                  <w:vAlign w:val="center"/>
                </w:tcPr>
                <w:p w14:paraId="7D1F375E">
                  <w:pPr>
                    <w:pStyle w:val="47"/>
                    <w:bidi w:val="0"/>
                    <w:rPr>
                      <w:rFonts w:hint="eastAsia"/>
                      <w:sz w:val="18"/>
                      <w:szCs w:val="18"/>
                    </w:rPr>
                  </w:pPr>
                  <w:r>
                    <w:rPr>
                      <w:rFonts w:hint="eastAsia"/>
                      <w:sz w:val="18"/>
                      <w:szCs w:val="18"/>
                      <w:lang w:val="en-US" w:eastAsia="zh-CN"/>
                    </w:rPr>
                    <w:t>2</w:t>
                  </w:r>
                </w:p>
              </w:tc>
              <w:tc>
                <w:tcPr>
                  <w:tcW w:w="21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AC0082">
                  <w:pPr>
                    <w:pStyle w:val="47"/>
                    <w:bidi w:val="0"/>
                    <w:rPr>
                      <w:rFonts w:hint="eastAsia"/>
                      <w:sz w:val="18"/>
                      <w:szCs w:val="18"/>
                    </w:rPr>
                  </w:pPr>
                </w:p>
              </w:tc>
              <w:tc>
                <w:tcPr>
                  <w:tcW w:w="173" w:type="pct"/>
                  <w:tcBorders>
                    <w:top w:val="single" w:color="auto" w:sz="4" w:space="0"/>
                    <w:left w:val="single" w:color="auto" w:sz="4" w:space="0"/>
                    <w:bottom w:val="single" w:color="auto" w:sz="4" w:space="0"/>
                    <w:right w:val="single" w:color="auto" w:sz="4" w:space="0"/>
                  </w:tcBorders>
                  <w:shd w:val="clear" w:color="auto" w:fill="auto"/>
                  <w:vAlign w:val="center"/>
                </w:tcPr>
                <w:p w14:paraId="78600679">
                  <w:pPr>
                    <w:pStyle w:val="47"/>
                    <w:bidi w:val="0"/>
                    <w:rPr>
                      <w:rFonts w:hint="eastAsia"/>
                      <w:sz w:val="18"/>
                      <w:szCs w:val="18"/>
                    </w:rPr>
                  </w:pPr>
                  <w:r>
                    <w:rPr>
                      <w:rFonts w:hint="eastAsia"/>
                      <w:sz w:val="18"/>
                      <w:szCs w:val="18"/>
                      <w:lang w:val="en-US" w:eastAsia="zh-CN"/>
                    </w:rPr>
                    <w:t>50</w:t>
                  </w:r>
                </w:p>
              </w:tc>
              <w:tc>
                <w:tcPr>
                  <w:tcW w:w="205" w:type="pct"/>
                  <w:tcBorders>
                    <w:top w:val="single" w:color="auto" w:sz="4" w:space="0"/>
                    <w:left w:val="single" w:color="auto" w:sz="4" w:space="0"/>
                    <w:bottom w:val="single" w:color="auto" w:sz="4" w:space="0"/>
                    <w:right w:val="single" w:color="auto" w:sz="4" w:space="0"/>
                  </w:tcBorders>
                  <w:shd w:val="clear" w:color="auto" w:fill="auto"/>
                  <w:vAlign w:val="center"/>
                </w:tcPr>
                <w:p w14:paraId="3C79DF92">
                  <w:pPr>
                    <w:pStyle w:val="47"/>
                    <w:bidi w:val="0"/>
                    <w:rPr>
                      <w:rFonts w:hint="eastAsia"/>
                      <w:sz w:val="18"/>
                      <w:szCs w:val="18"/>
                    </w:rPr>
                  </w:pPr>
                  <w:r>
                    <w:rPr>
                      <w:rFonts w:hint="eastAsia"/>
                      <w:sz w:val="18"/>
                      <w:szCs w:val="18"/>
                      <w:lang w:val="en-US" w:eastAsia="zh-CN"/>
                    </w:rPr>
                    <w:t>9.5</w:t>
                  </w:r>
                </w:p>
              </w:tc>
              <w:tc>
                <w:tcPr>
                  <w:tcW w:w="189" w:type="pct"/>
                  <w:tcBorders>
                    <w:top w:val="single" w:color="auto" w:sz="4" w:space="0"/>
                    <w:left w:val="single" w:color="auto" w:sz="4" w:space="0"/>
                    <w:bottom w:val="single" w:color="auto" w:sz="4" w:space="0"/>
                    <w:right w:val="single" w:color="auto" w:sz="4" w:space="0"/>
                  </w:tcBorders>
                  <w:shd w:val="clear" w:color="auto" w:fill="auto"/>
                  <w:vAlign w:val="center"/>
                </w:tcPr>
                <w:p w14:paraId="3C5CFB1E">
                  <w:pPr>
                    <w:pStyle w:val="47"/>
                    <w:bidi w:val="0"/>
                    <w:rPr>
                      <w:rFonts w:hint="eastAsia"/>
                      <w:sz w:val="18"/>
                      <w:szCs w:val="18"/>
                    </w:rPr>
                  </w:pPr>
                  <w:r>
                    <w:rPr>
                      <w:rFonts w:hint="eastAsia"/>
                      <w:sz w:val="18"/>
                      <w:szCs w:val="18"/>
                      <w:lang w:val="en-US" w:eastAsia="zh-CN"/>
                    </w:rPr>
                    <w:t>4.5</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3A288BD6">
                  <w:pPr>
                    <w:pStyle w:val="47"/>
                    <w:bidi w:val="0"/>
                    <w:rPr>
                      <w:rFonts w:hint="default"/>
                      <w:sz w:val="18"/>
                      <w:szCs w:val="18"/>
                    </w:rPr>
                  </w:pPr>
                  <w:r>
                    <w:rPr>
                      <w:rFonts w:hint="default"/>
                      <w:sz w:val="18"/>
                      <w:szCs w:val="18"/>
                      <w:lang w:val="en-US" w:eastAsia="zh-CN"/>
                    </w:rPr>
                    <w:t>19.5</w:t>
                  </w:r>
                </w:p>
              </w:tc>
              <w:tc>
                <w:tcPr>
                  <w:tcW w:w="166" w:type="pct"/>
                  <w:tcBorders>
                    <w:top w:val="single" w:color="auto" w:sz="4" w:space="0"/>
                    <w:left w:val="single" w:color="auto" w:sz="4" w:space="0"/>
                    <w:bottom w:val="single" w:color="auto" w:sz="4" w:space="0"/>
                    <w:right w:val="single" w:color="auto" w:sz="4" w:space="0"/>
                  </w:tcBorders>
                  <w:shd w:val="clear" w:color="auto" w:fill="auto"/>
                  <w:vAlign w:val="center"/>
                </w:tcPr>
                <w:p w14:paraId="6C766F8A">
                  <w:pPr>
                    <w:pStyle w:val="47"/>
                    <w:bidi w:val="0"/>
                    <w:rPr>
                      <w:rFonts w:hint="default"/>
                      <w:sz w:val="18"/>
                      <w:szCs w:val="18"/>
                    </w:rPr>
                  </w:pPr>
                  <w:r>
                    <w:rPr>
                      <w:rFonts w:hint="default"/>
                      <w:sz w:val="18"/>
                      <w:szCs w:val="18"/>
                      <w:lang w:val="en-US" w:eastAsia="zh-CN"/>
                    </w:rPr>
                    <w:t>50</w:t>
                  </w:r>
                </w:p>
              </w:tc>
              <w:tc>
                <w:tcPr>
                  <w:tcW w:w="181" w:type="pct"/>
                  <w:tcBorders>
                    <w:top w:val="single" w:color="auto" w:sz="4" w:space="0"/>
                    <w:left w:val="single" w:color="auto" w:sz="4" w:space="0"/>
                    <w:bottom w:val="single" w:color="auto" w:sz="4" w:space="0"/>
                    <w:right w:val="single" w:color="auto" w:sz="4" w:space="0"/>
                  </w:tcBorders>
                  <w:shd w:val="clear" w:color="auto" w:fill="auto"/>
                  <w:vAlign w:val="center"/>
                </w:tcPr>
                <w:p w14:paraId="7C03D5A4">
                  <w:pPr>
                    <w:pStyle w:val="47"/>
                    <w:bidi w:val="0"/>
                    <w:rPr>
                      <w:rFonts w:hint="default"/>
                      <w:sz w:val="18"/>
                      <w:szCs w:val="18"/>
                      <w:lang w:val="en-US"/>
                    </w:rPr>
                  </w:pPr>
                  <w:r>
                    <w:rPr>
                      <w:rFonts w:hint="eastAsia"/>
                      <w:sz w:val="18"/>
                      <w:szCs w:val="18"/>
                      <w:lang w:val="en-US" w:eastAsia="zh-CN"/>
                    </w:rPr>
                    <w:t>19</w:t>
                  </w:r>
                </w:p>
              </w:tc>
              <w:tc>
                <w:tcPr>
                  <w:tcW w:w="216" w:type="pct"/>
                  <w:tcBorders>
                    <w:top w:val="single" w:color="auto" w:sz="4" w:space="0"/>
                    <w:left w:val="single" w:color="auto" w:sz="4" w:space="0"/>
                    <w:bottom w:val="single" w:color="auto" w:sz="4" w:space="0"/>
                    <w:right w:val="single" w:color="auto" w:sz="4" w:space="0"/>
                  </w:tcBorders>
                  <w:shd w:val="clear" w:color="auto" w:fill="auto"/>
                  <w:vAlign w:val="center"/>
                </w:tcPr>
                <w:p w14:paraId="445A7507">
                  <w:pPr>
                    <w:pStyle w:val="47"/>
                    <w:bidi w:val="0"/>
                    <w:rPr>
                      <w:rFonts w:hint="default"/>
                      <w:sz w:val="18"/>
                      <w:szCs w:val="18"/>
                      <w:lang w:val="en-US"/>
                    </w:rPr>
                  </w:pPr>
                  <w:r>
                    <w:rPr>
                      <w:rFonts w:hint="eastAsia"/>
                      <w:sz w:val="18"/>
                      <w:szCs w:val="18"/>
                      <w:lang w:val="en-US" w:eastAsia="zh-CN"/>
                    </w:rPr>
                    <w:t>10</w:t>
                  </w:r>
                </w:p>
              </w:tc>
              <w:tc>
                <w:tcPr>
                  <w:tcW w:w="216" w:type="pct"/>
                  <w:tcBorders>
                    <w:top w:val="single" w:color="auto" w:sz="4" w:space="0"/>
                    <w:left w:val="single" w:color="auto" w:sz="4" w:space="0"/>
                    <w:bottom w:val="single" w:color="auto" w:sz="4" w:space="0"/>
                    <w:right w:val="single" w:color="auto" w:sz="4" w:space="0"/>
                  </w:tcBorders>
                  <w:shd w:val="clear" w:color="auto" w:fill="auto"/>
                  <w:vAlign w:val="center"/>
                </w:tcPr>
                <w:p w14:paraId="4F55076E">
                  <w:pPr>
                    <w:pStyle w:val="47"/>
                    <w:bidi w:val="0"/>
                    <w:rPr>
                      <w:rFonts w:hint="default"/>
                      <w:sz w:val="18"/>
                      <w:szCs w:val="18"/>
                      <w:lang w:val="en-US"/>
                    </w:rPr>
                  </w:pPr>
                  <w:r>
                    <w:rPr>
                      <w:rFonts w:hint="default"/>
                      <w:sz w:val="18"/>
                      <w:szCs w:val="18"/>
                      <w:lang w:val="en-US" w:eastAsia="zh-CN"/>
                    </w:rPr>
                    <w:t>44.</w:t>
                  </w:r>
                  <w:r>
                    <w:rPr>
                      <w:rFonts w:hint="eastAsia"/>
                      <w:sz w:val="18"/>
                      <w:szCs w:val="18"/>
                      <w:lang w:val="en-US" w:eastAsia="zh-CN"/>
                    </w:rPr>
                    <w:t>6</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14:paraId="55A47BBC">
                  <w:pPr>
                    <w:pStyle w:val="47"/>
                    <w:bidi w:val="0"/>
                    <w:rPr>
                      <w:rFonts w:hint="default"/>
                      <w:sz w:val="18"/>
                      <w:szCs w:val="18"/>
                    </w:rPr>
                  </w:pPr>
                  <w:r>
                    <w:rPr>
                      <w:rFonts w:hint="default"/>
                      <w:sz w:val="18"/>
                      <w:szCs w:val="18"/>
                      <w:lang w:val="en-US" w:eastAsia="zh-CN"/>
                    </w:rPr>
                    <w:t>43.6</w:t>
                  </w:r>
                </w:p>
              </w:tc>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14:paraId="3FDC42DC">
                  <w:pPr>
                    <w:pStyle w:val="47"/>
                    <w:bidi w:val="0"/>
                    <w:rPr>
                      <w:rFonts w:hint="default"/>
                      <w:sz w:val="18"/>
                      <w:szCs w:val="18"/>
                      <w:lang w:val="en-US"/>
                    </w:rPr>
                  </w:pPr>
                  <w:r>
                    <w:rPr>
                      <w:rFonts w:hint="eastAsia"/>
                      <w:sz w:val="18"/>
                      <w:szCs w:val="18"/>
                      <w:lang w:val="en-US" w:eastAsia="zh-CN"/>
                    </w:rPr>
                    <w:t>44.6</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01D64CE0">
                  <w:pPr>
                    <w:pStyle w:val="47"/>
                    <w:bidi w:val="0"/>
                    <w:rPr>
                      <w:rFonts w:hint="default"/>
                      <w:sz w:val="18"/>
                      <w:szCs w:val="18"/>
                      <w:lang w:val="en-US"/>
                    </w:rPr>
                  </w:pPr>
                  <w:r>
                    <w:rPr>
                      <w:rFonts w:hint="eastAsia"/>
                      <w:sz w:val="18"/>
                      <w:szCs w:val="18"/>
                      <w:lang w:val="en-US" w:eastAsia="zh-CN"/>
                    </w:rPr>
                    <w:t>46.7</w:t>
                  </w:r>
                </w:p>
              </w:tc>
              <w:tc>
                <w:tcPr>
                  <w:tcW w:w="1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E2F63A">
                  <w:pPr>
                    <w:pStyle w:val="47"/>
                    <w:bidi w:val="0"/>
                    <w:rPr>
                      <w:rFonts w:hint="eastAsia"/>
                      <w:sz w:val="18"/>
                      <w:szCs w:val="18"/>
                    </w:rPr>
                  </w:pPr>
                </w:p>
              </w:tc>
              <w:tc>
                <w:tcPr>
                  <w:tcW w:w="185" w:type="pct"/>
                  <w:tcBorders>
                    <w:top w:val="single" w:color="auto" w:sz="4" w:space="0"/>
                    <w:left w:val="single" w:color="auto" w:sz="4" w:space="0"/>
                    <w:bottom w:val="single" w:color="auto" w:sz="4" w:space="0"/>
                    <w:right w:val="single" w:color="auto" w:sz="4" w:space="0"/>
                  </w:tcBorders>
                  <w:shd w:val="clear" w:color="auto" w:fill="auto"/>
                  <w:vAlign w:val="center"/>
                </w:tcPr>
                <w:p w14:paraId="7B5E99B7">
                  <w:pPr>
                    <w:pStyle w:val="47"/>
                    <w:bidi w:val="0"/>
                    <w:rPr>
                      <w:rFonts w:hint="eastAsia"/>
                      <w:sz w:val="18"/>
                      <w:szCs w:val="18"/>
                    </w:rPr>
                  </w:pPr>
                  <w:r>
                    <w:rPr>
                      <w:rFonts w:hint="eastAsia"/>
                      <w:sz w:val="18"/>
                      <w:szCs w:val="18"/>
                      <w:lang w:val="en-US" w:eastAsia="zh-CN"/>
                    </w:rPr>
                    <w:t>10</w:t>
                  </w:r>
                </w:p>
              </w:tc>
              <w:tc>
                <w:tcPr>
                  <w:tcW w:w="247" w:type="pct"/>
                  <w:tcBorders>
                    <w:top w:val="single" w:color="auto" w:sz="4" w:space="0"/>
                    <w:left w:val="single" w:color="auto" w:sz="4" w:space="0"/>
                    <w:bottom w:val="single" w:color="auto" w:sz="4" w:space="0"/>
                    <w:right w:val="single" w:color="auto" w:sz="4" w:space="0"/>
                  </w:tcBorders>
                  <w:shd w:val="clear" w:color="auto" w:fill="auto"/>
                  <w:vAlign w:val="center"/>
                </w:tcPr>
                <w:p w14:paraId="6B2DE8D7">
                  <w:pPr>
                    <w:pStyle w:val="47"/>
                    <w:bidi w:val="0"/>
                    <w:rPr>
                      <w:rFonts w:hint="default"/>
                      <w:sz w:val="18"/>
                      <w:szCs w:val="18"/>
                    </w:rPr>
                  </w:pPr>
                  <w:r>
                    <w:rPr>
                      <w:rFonts w:hint="default"/>
                      <w:sz w:val="18"/>
                      <w:szCs w:val="18"/>
                      <w:lang w:val="en-US" w:eastAsia="zh-CN"/>
                    </w:rPr>
                    <w:t>31.6</w:t>
                  </w:r>
                </w:p>
              </w:tc>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14:paraId="1B768253">
                  <w:pPr>
                    <w:pStyle w:val="47"/>
                    <w:bidi w:val="0"/>
                    <w:rPr>
                      <w:rFonts w:hint="default"/>
                      <w:sz w:val="18"/>
                      <w:szCs w:val="18"/>
                      <w:lang w:val="en-US"/>
                    </w:rPr>
                  </w:pPr>
                  <w:r>
                    <w:rPr>
                      <w:rFonts w:hint="default"/>
                      <w:sz w:val="18"/>
                      <w:szCs w:val="18"/>
                      <w:lang w:val="en-US" w:eastAsia="zh-CN"/>
                    </w:rPr>
                    <w:t>30.</w:t>
                  </w:r>
                  <w:r>
                    <w:rPr>
                      <w:rFonts w:hint="eastAsia"/>
                      <w:sz w:val="18"/>
                      <w:szCs w:val="18"/>
                      <w:lang w:val="en-US" w:eastAsia="zh-CN"/>
                    </w:rPr>
                    <w:t>7</w:t>
                  </w:r>
                </w:p>
              </w:tc>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14:paraId="7CBF57DC">
                  <w:pPr>
                    <w:pStyle w:val="47"/>
                    <w:bidi w:val="0"/>
                    <w:rPr>
                      <w:rFonts w:hint="default"/>
                      <w:sz w:val="18"/>
                      <w:szCs w:val="18"/>
                      <w:lang w:val="en-US"/>
                    </w:rPr>
                  </w:pPr>
                  <w:r>
                    <w:rPr>
                      <w:rFonts w:hint="default"/>
                      <w:sz w:val="18"/>
                      <w:szCs w:val="18"/>
                      <w:lang w:val="en-US" w:eastAsia="zh-CN"/>
                    </w:rPr>
                    <w:t>45.</w:t>
                  </w:r>
                  <w:r>
                    <w:rPr>
                      <w:rFonts w:hint="eastAsia"/>
                      <w:sz w:val="18"/>
                      <w:szCs w:val="18"/>
                      <w:lang w:val="en-US" w:eastAsia="zh-CN"/>
                    </w:rPr>
                    <w:t>1</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40A80C37">
                  <w:pPr>
                    <w:pStyle w:val="47"/>
                    <w:bidi w:val="0"/>
                    <w:rPr>
                      <w:rFonts w:hint="default"/>
                      <w:sz w:val="18"/>
                      <w:szCs w:val="18"/>
                      <w:lang w:val="en-US"/>
                    </w:rPr>
                  </w:pPr>
                  <w:r>
                    <w:rPr>
                      <w:rFonts w:hint="default"/>
                      <w:sz w:val="18"/>
                      <w:szCs w:val="18"/>
                      <w:lang w:val="en-US" w:eastAsia="zh-CN"/>
                    </w:rPr>
                    <w:t>3</w:t>
                  </w:r>
                  <w:r>
                    <w:rPr>
                      <w:rFonts w:hint="eastAsia"/>
                      <w:sz w:val="18"/>
                      <w:szCs w:val="18"/>
                      <w:lang w:val="en-US" w:eastAsia="zh-CN"/>
                    </w:rPr>
                    <w:t>3.8</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14:paraId="1140E1AC">
                  <w:pPr>
                    <w:pStyle w:val="47"/>
                    <w:bidi w:val="0"/>
                    <w:rPr>
                      <w:rFonts w:hint="default"/>
                      <w:sz w:val="18"/>
                      <w:szCs w:val="18"/>
                    </w:rPr>
                  </w:pPr>
                  <w:r>
                    <w:rPr>
                      <w:rFonts w:hint="default"/>
                      <w:sz w:val="18"/>
                      <w:szCs w:val="18"/>
                      <w:lang w:val="en-US" w:eastAsia="zh-CN"/>
                    </w:rPr>
                    <w:t>1</w:t>
                  </w:r>
                </w:p>
              </w:tc>
            </w:tr>
            <w:tr w14:paraId="796C5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25" w:type="pct"/>
                  <w:tcBorders>
                    <w:top w:val="single" w:color="auto" w:sz="4" w:space="0"/>
                    <w:left w:val="single" w:color="auto" w:sz="4" w:space="0"/>
                    <w:bottom w:val="single" w:color="auto" w:sz="4" w:space="0"/>
                    <w:right w:val="single" w:color="auto" w:sz="4" w:space="0"/>
                  </w:tcBorders>
                  <w:shd w:val="clear" w:color="auto" w:fill="auto"/>
                  <w:vAlign w:val="center"/>
                </w:tcPr>
                <w:p w14:paraId="1598F5BF">
                  <w:pPr>
                    <w:pStyle w:val="47"/>
                    <w:bidi w:val="0"/>
                    <w:rPr>
                      <w:rFonts w:hint="default"/>
                      <w:sz w:val="18"/>
                      <w:szCs w:val="18"/>
                    </w:rPr>
                  </w:pPr>
                  <w:r>
                    <w:rPr>
                      <w:rFonts w:hint="default"/>
                      <w:sz w:val="18"/>
                      <w:szCs w:val="18"/>
                      <w:lang w:val="en-US" w:eastAsia="zh-CN"/>
                    </w:rPr>
                    <w:t>5</w:t>
                  </w:r>
                </w:p>
              </w:tc>
              <w:tc>
                <w:tcPr>
                  <w:tcW w:w="14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0D32A9E">
                  <w:pPr>
                    <w:pStyle w:val="47"/>
                    <w:bidi w:val="0"/>
                    <w:rPr>
                      <w:rFonts w:hint="eastAsia"/>
                      <w:sz w:val="18"/>
                      <w:szCs w:val="18"/>
                    </w:rPr>
                  </w:pPr>
                </w:p>
              </w:tc>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14:paraId="17F811F3">
                  <w:pPr>
                    <w:pStyle w:val="47"/>
                    <w:bidi w:val="0"/>
                    <w:rPr>
                      <w:rFonts w:hint="eastAsia"/>
                      <w:sz w:val="18"/>
                      <w:szCs w:val="18"/>
                    </w:rPr>
                  </w:pPr>
                  <w:r>
                    <w:rPr>
                      <w:rFonts w:hint="eastAsia"/>
                      <w:sz w:val="18"/>
                      <w:szCs w:val="18"/>
                      <w:lang w:val="en-US" w:eastAsia="zh-CN"/>
                    </w:rPr>
                    <w:t>预压控制系统</w:t>
                  </w:r>
                </w:p>
              </w:tc>
              <w:tc>
                <w:tcPr>
                  <w:tcW w:w="216" w:type="pct"/>
                  <w:tcBorders>
                    <w:top w:val="single" w:color="auto" w:sz="4" w:space="0"/>
                    <w:left w:val="single" w:color="auto" w:sz="4" w:space="0"/>
                    <w:bottom w:val="single" w:color="auto" w:sz="4" w:space="0"/>
                    <w:right w:val="single" w:color="auto" w:sz="4" w:space="0"/>
                  </w:tcBorders>
                  <w:shd w:val="clear" w:color="auto" w:fill="auto"/>
                  <w:vAlign w:val="center"/>
                </w:tcPr>
                <w:p w14:paraId="38136F13">
                  <w:pPr>
                    <w:pStyle w:val="47"/>
                    <w:bidi w:val="0"/>
                    <w:rPr>
                      <w:rFonts w:hint="eastAsia"/>
                      <w:sz w:val="18"/>
                      <w:szCs w:val="18"/>
                    </w:rPr>
                  </w:pPr>
                  <w:r>
                    <w:rPr>
                      <w:rFonts w:hint="eastAsia"/>
                      <w:sz w:val="18"/>
                      <w:szCs w:val="18"/>
                      <w:lang w:val="en-US" w:eastAsia="zh-CN"/>
                    </w:rPr>
                    <w:t>70</w:t>
                  </w:r>
                </w:p>
              </w:tc>
              <w:tc>
                <w:tcPr>
                  <w:tcW w:w="205" w:type="pct"/>
                  <w:tcBorders>
                    <w:top w:val="single" w:color="auto" w:sz="4" w:space="0"/>
                    <w:left w:val="single" w:color="auto" w:sz="4" w:space="0"/>
                    <w:bottom w:val="single" w:color="auto" w:sz="4" w:space="0"/>
                    <w:right w:val="single" w:color="auto" w:sz="4" w:space="0"/>
                  </w:tcBorders>
                  <w:shd w:val="clear" w:color="auto" w:fill="auto"/>
                  <w:vAlign w:val="center"/>
                </w:tcPr>
                <w:p w14:paraId="5201B6C4">
                  <w:pPr>
                    <w:pStyle w:val="47"/>
                    <w:bidi w:val="0"/>
                    <w:rPr>
                      <w:rFonts w:hint="eastAsia"/>
                      <w:sz w:val="18"/>
                      <w:szCs w:val="18"/>
                    </w:rPr>
                  </w:pPr>
                  <w:r>
                    <w:rPr>
                      <w:rFonts w:hint="eastAsia"/>
                      <w:sz w:val="18"/>
                      <w:szCs w:val="18"/>
                      <w:lang w:val="en-US" w:eastAsia="zh-CN"/>
                    </w:rPr>
                    <w:t>1</w:t>
                  </w:r>
                </w:p>
              </w:tc>
              <w:tc>
                <w:tcPr>
                  <w:tcW w:w="21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846A0C">
                  <w:pPr>
                    <w:pStyle w:val="47"/>
                    <w:bidi w:val="0"/>
                    <w:rPr>
                      <w:rFonts w:hint="eastAsia"/>
                      <w:sz w:val="18"/>
                      <w:szCs w:val="18"/>
                    </w:rPr>
                  </w:pPr>
                </w:p>
              </w:tc>
              <w:tc>
                <w:tcPr>
                  <w:tcW w:w="173" w:type="pct"/>
                  <w:tcBorders>
                    <w:top w:val="single" w:color="auto" w:sz="4" w:space="0"/>
                    <w:left w:val="single" w:color="auto" w:sz="4" w:space="0"/>
                    <w:bottom w:val="single" w:color="auto" w:sz="4" w:space="0"/>
                    <w:right w:val="single" w:color="auto" w:sz="4" w:space="0"/>
                  </w:tcBorders>
                  <w:shd w:val="clear" w:color="auto" w:fill="auto"/>
                  <w:vAlign w:val="center"/>
                </w:tcPr>
                <w:p w14:paraId="48AD0E39">
                  <w:pPr>
                    <w:pStyle w:val="47"/>
                    <w:bidi w:val="0"/>
                    <w:rPr>
                      <w:rFonts w:hint="default"/>
                      <w:sz w:val="18"/>
                      <w:szCs w:val="18"/>
                      <w:lang w:val="en-US"/>
                    </w:rPr>
                  </w:pPr>
                  <w:r>
                    <w:rPr>
                      <w:rFonts w:hint="eastAsia"/>
                      <w:sz w:val="18"/>
                      <w:szCs w:val="18"/>
                      <w:lang w:val="en-US" w:eastAsia="zh-CN"/>
                    </w:rPr>
                    <w:t>45</w:t>
                  </w:r>
                </w:p>
              </w:tc>
              <w:tc>
                <w:tcPr>
                  <w:tcW w:w="205" w:type="pct"/>
                  <w:tcBorders>
                    <w:top w:val="single" w:color="auto" w:sz="4" w:space="0"/>
                    <w:left w:val="single" w:color="auto" w:sz="4" w:space="0"/>
                    <w:bottom w:val="single" w:color="auto" w:sz="4" w:space="0"/>
                    <w:right w:val="single" w:color="auto" w:sz="4" w:space="0"/>
                  </w:tcBorders>
                  <w:shd w:val="clear" w:color="auto" w:fill="auto"/>
                  <w:vAlign w:val="center"/>
                </w:tcPr>
                <w:p w14:paraId="6EDC4C4A">
                  <w:pPr>
                    <w:pStyle w:val="47"/>
                    <w:bidi w:val="0"/>
                    <w:rPr>
                      <w:rFonts w:hint="eastAsia"/>
                      <w:sz w:val="18"/>
                      <w:szCs w:val="18"/>
                    </w:rPr>
                  </w:pPr>
                  <w:r>
                    <w:rPr>
                      <w:rFonts w:hint="eastAsia"/>
                      <w:sz w:val="18"/>
                      <w:szCs w:val="18"/>
                      <w:lang w:val="en-US" w:eastAsia="zh-CN"/>
                    </w:rPr>
                    <w:t>14</w:t>
                  </w:r>
                </w:p>
              </w:tc>
              <w:tc>
                <w:tcPr>
                  <w:tcW w:w="189" w:type="pct"/>
                  <w:tcBorders>
                    <w:top w:val="single" w:color="auto" w:sz="4" w:space="0"/>
                    <w:left w:val="single" w:color="auto" w:sz="4" w:space="0"/>
                    <w:bottom w:val="single" w:color="auto" w:sz="4" w:space="0"/>
                    <w:right w:val="single" w:color="auto" w:sz="4" w:space="0"/>
                  </w:tcBorders>
                  <w:shd w:val="clear" w:color="auto" w:fill="auto"/>
                  <w:vAlign w:val="center"/>
                </w:tcPr>
                <w:p w14:paraId="06C40A31">
                  <w:pPr>
                    <w:pStyle w:val="47"/>
                    <w:bidi w:val="0"/>
                    <w:rPr>
                      <w:rFonts w:hint="eastAsia"/>
                      <w:sz w:val="18"/>
                      <w:szCs w:val="18"/>
                    </w:rPr>
                  </w:pPr>
                  <w:r>
                    <w:rPr>
                      <w:rFonts w:hint="eastAsia"/>
                      <w:sz w:val="18"/>
                      <w:szCs w:val="18"/>
                      <w:lang w:val="en-US" w:eastAsia="zh-CN"/>
                    </w:rPr>
                    <w:t>3.5</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00FA77D5">
                  <w:pPr>
                    <w:pStyle w:val="47"/>
                    <w:bidi w:val="0"/>
                    <w:rPr>
                      <w:rFonts w:hint="default"/>
                      <w:sz w:val="18"/>
                      <w:szCs w:val="18"/>
                      <w:lang w:val="en-US"/>
                    </w:rPr>
                  </w:pPr>
                  <w:r>
                    <w:rPr>
                      <w:rFonts w:hint="eastAsia"/>
                      <w:sz w:val="18"/>
                      <w:szCs w:val="18"/>
                      <w:lang w:val="en-US" w:eastAsia="zh-CN"/>
                    </w:rPr>
                    <w:t>24.5</w:t>
                  </w:r>
                </w:p>
              </w:tc>
              <w:tc>
                <w:tcPr>
                  <w:tcW w:w="166" w:type="pct"/>
                  <w:tcBorders>
                    <w:top w:val="single" w:color="auto" w:sz="4" w:space="0"/>
                    <w:left w:val="single" w:color="auto" w:sz="4" w:space="0"/>
                    <w:bottom w:val="single" w:color="auto" w:sz="4" w:space="0"/>
                    <w:right w:val="single" w:color="auto" w:sz="4" w:space="0"/>
                  </w:tcBorders>
                  <w:shd w:val="clear" w:color="auto" w:fill="auto"/>
                  <w:vAlign w:val="center"/>
                </w:tcPr>
                <w:p w14:paraId="56CA0E99">
                  <w:pPr>
                    <w:pStyle w:val="47"/>
                    <w:bidi w:val="0"/>
                    <w:rPr>
                      <w:rFonts w:hint="default"/>
                      <w:sz w:val="18"/>
                      <w:szCs w:val="18"/>
                    </w:rPr>
                  </w:pPr>
                  <w:r>
                    <w:rPr>
                      <w:rFonts w:hint="default"/>
                      <w:sz w:val="18"/>
                      <w:szCs w:val="18"/>
                      <w:lang w:val="en-US" w:eastAsia="zh-CN"/>
                    </w:rPr>
                    <w:t>50</w:t>
                  </w:r>
                </w:p>
              </w:tc>
              <w:tc>
                <w:tcPr>
                  <w:tcW w:w="181" w:type="pct"/>
                  <w:tcBorders>
                    <w:top w:val="single" w:color="auto" w:sz="4" w:space="0"/>
                    <w:left w:val="single" w:color="auto" w:sz="4" w:space="0"/>
                    <w:bottom w:val="single" w:color="auto" w:sz="4" w:space="0"/>
                    <w:right w:val="single" w:color="auto" w:sz="4" w:space="0"/>
                  </w:tcBorders>
                  <w:shd w:val="clear" w:color="auto" w:fill="auto"/>
                  <w:vAlign w:val="center"/>
                </w:tcPr>
                <w:p w14:paraId="5D769FBB">
                  <w:pPr>
                    <w:pStyle w:val="47"/>
                    <w:bidi w:val="0"/>
                    <w:rPr>
                      <w:rFonts w:hint="default" w:eastAsia="宋体"/>
                      <w:sz w:val="18"/>
                      <w:szCs w:val="18"/>
                      <w:lang w:val="en-US" w:eastAsia="zh-CN"/>
                    </w:rPr>
                  </w:pPr>
                  <w:r>
                    <w:rPr>
                      <w:rFonts w:hint="eastAsia"/>
                      <w:sz w:val="18"/>
                      <w:szCs w:val="18"/>
                      <w:lang w:val="en-US" w:eastAsia="zh-CN"/>
                    </w:rPr>
                    <w:t>19</w:t>
                  </w:r>
                </w:p>
              </w:tc>
              <w:tc>
                <w:tcPr>
                  <w:tcW w:w="216" w:type="pct"/>
                  <w:tcBorders>
                    <w:top w:val="single" w:color="auto" w:sz="4" w:space="0"/>
                    <w:left w:val="single" w:color="auto" w:sz="4" w:space="0"/>
                    <w:bottom w:val="single" w:color="auto" w:sz="4" w:space="0"/>
                    <w:right w:val="single" w:color="auto" w:sz="4" w:space="0"/>
                  </w:tcBorders>
                  <w:shd w:val="clear" w:color="auto" w:fill="auto"/>
                  <w:vAlign w:val="center"/>
                </w:tcPr>
                <w:p w14:paraId="6698EE3E">
                  <w:pPr>
                    <w:pStyle w:val="47"/>
                    <w:bidi w:val="0"/>
                    <w:rPr>
                      <w:rFonts w:hint="default"/>
                      <w:sz w:val="18"/>
                      <w:szCs w:val="18"/>
                    </w:rPr>
                  </w:pPr>
                  <w:r>
                    <w:rPr>
                      <w:rFonts w:hint="default"/>
                      <w:sz w:val="18"/>
                      <w:szCs w:val="18"/>
                      <w:lang w:val="en-US" w:eastAsia="zh-CN"/>
                    </w:rPr>
                    <w:t>15</w:t>
                  </w:r>
                </w:p>
              </w:tc>
              <w:tc>
                <w:tcPr>
                  <w:tcW w:w="216" w:type="pct"/>
                  <w:tcBorders>
                    <w:top w:val="single" w:color="auto" w:sz="4" w:space="0"/>
                    <w:left w:val="single" w:color="auto" w:sz="4" w:space="0"/>
                    <w:bottom w:val="single" w:color="auto" w:sz="4" w:space="0"/>
                    <w:right w:val="single" w:color="auto" w:sz="4" w:space="0"/>
                  </w:tcBorders>
                  <w:shd w:val="clear" w:color="auto" w:fill="auto"/>
                  <w:vAlign w:val="center"/>
                </w:tcPr>
                <w:p w14:paraId="281E240B">
                  <w:pPr>
                    <w:pStyle w:val="47"/>
                    <w:bidi w:val="0"/>
                    <w:rPr>
                      <w:rFonts w:hint="default"/>
                      <w:sz w:val="18"/>
                      <w:szCs w:val="18"/>
                      <w:lang w:val="en-US"/>
                    </w:rPr>
                  </w:pPr>
                  <w:r>
                    <w:rPr>
                      <w:rFonts w:hint="default"/>
                      <w:sz w:val="18"/>
                      <w:szCs w:val="18"/>
                      <w:lang w:val="en-US" w:eastAsia="zh-CN"/>
                    </w:rPr>
                    <w:t>39.</w:t>
                  </w:r>
                  <w:r>
                    <w:rPr>
                      <w:rFonts w:hint="eastAsia"/>
                      <w:sz w:val="18"/>
                      <w:szCs w:val="18"/>
                      <w:lang w:val="en-US" w:eastAsia="zh-CN"/>
                    </w:rPr>
                    <w:t>2</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14:paraId="3C750A92">
                  <w:pPr>
                    <w:pStyle w:val="47"/>
                    <w:bidi w:val="0"/>
                    <w:rPr>
                      <w:rFonts w:hint="default"/>
                      <w:sz w:val="18"/>
                      <w:szCs w:val="18"/>
                    </w:rPr>
                  </w:pPr>
                  <w:r>
                    <w:rPr>
                      <w:rFonts w:hint="default"/>
                      <w:sz w:val="18"/>
                      <w:szCs w:val="18"/>
                      <w:lang w:val="en-US" w:eastAsia="zh-CN"/>
                    </w:rPr>
                    <w:t>38.6</w:t>
                  </w:r>
                </w:p>
              </w:tc>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14:paraId="6910A7FE">
                  <w:pPr>
                    <w:pStyle w:val="47"/>
                    <w:bidi w:val="0"/>
                    <w:rPr>
                      <w:rFonts w:hint="default"/>
                      <w:sz w:val="18"/>
                      <w:szCs w:val="18"/>
                      <w:lang w:val="en-US"/>
                    </w:rPr>
                  </w:pPr>
                  <w:r>
                    <w:rPr>
                      <w:rFonts w:hint="eastAsia"/>
                      <w:sz w:val="18"/>
                      <w:szCs w:val="18"/>
                      <w:lang w:val="en-US" w:eastAsia="zh-CN"/>
                    </w:rPr>
                    <w:t>39.6</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67858AF7">
                  <w:pPr>
                    <w:pStyle w:val="47"/>
                    <w:bidi w:val="0"/>
                    <w:rPr>
                      <w:rFonts w:hint="default"/>
                      <w:sz w:val="18"/>
                      <w:szCs w:val="18"/>
                    </w:rPr>
                  </w:pPr>
                  <w:r>
                    <w:rPr>
                      <w:rFonts w:hint="default"/>
                      <w:sz w:val="18"/>
                      <w:szCs w:val="18"/>
                      <w:lang w:val="en-US" w:eastAsia="zh-CN"/>
                    </w:rPr>
                    <w:t>40.2</w:t>
                  </w:r>
                </w:p>
              </w:tc>
              <w:tc>
                <w:tcPr>
                  <w:tcW w:w="1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A698F3">
                  <w:pPr>
                    <w:pStyle w:val="47"/>
                    <w:bidi w:val="0"/>
                    <w:rPr>
                      <w:rFonts w:hint="eastAsia"/>
                      <w:sz w:val="18"/>
                      <w:szCs w:val="18"/>
                    </w:rPr>
                  </w:pPr>
                </w:p>
              </w:tc>
              <w:tc>
                <w:tcPr>
                  <w:tcW w:w="185" w:type="pct"/>
                  <w:tcBorders>
                    <w:top w:val="single" w:color="auto" w:sz="4" w:space="0"/>
                    <w:left w:val="single" w:color="auto" w:sz="4" w:space="0"/>
                    <w:bottom w:val="single" w:color="auto" w:sz="4" w:space="0"/>
                    <w:right w:val="single" w:color="auto" w:sz="4" w:space="0"/>
                  </w:tcBorders>
                  <w:shd w:val="clear" w:color="auto" w:fill="auto"/>
                  <w:vAlign w:val="center"/>
                </w:tcPr>
                <w:p w14:paraId="39A576E6">
                  <w:pPr>
                    <w:pStyle w:val="47"/>
                    <w:bidi w:val="0"/>
                    <w:rPr>
                      <w:rFonts w:hint="eastAsia"/>
                      <w:sz w:val="18"/>
                      <w:szCs w:val="18"/>
                    </w:rPr>
                  </w:pPr>
                  <w:r>
                    <w:rPr>
                      <w:rFonts w:hint="eastAsia"/>
                      <w:sz w:val="18"/>
                      <w:szCs w:val="18"/>
                      <w:lang w:val="en-US" w:eastAsia="zh-CN"/>
                    </w:rPr>
                    <w:t>10</w:t>
                  </w:r>
                </w:p>
              </w:tc>
              <w:tc>
                <w:tcPr>
                  <w:tcW w:w="247" w:type="pct"/>
                  <w:tcBorders>
                    <w:top w:val="single" w:color="auto" w:sz="4" w:space="0"/>
                    <w:left w:val="single" w:color="auto" w:sz="4" w:space="0"/>
                    <w:bottom w:val="single" w:color="auto" w:sz="4" w:space="0"/>
                    <w:right w:val="single" w:color="auto" w:sz="4" w:space="0"/>
                  </w:tcBorders>
                  <w:shd w:val="clear" w:color="auto" w:fill="auto"/>
                  <w:vAlign w:val="center"/>
                </w:tcPr>
                <w:p w14:paraId="176DFE10">
                  <w:pPr>
                    <w:pStyle w:val="47"/>
                    <w:bidi w:val="0"/>
                    <w:rPr>
                      <w:rFonts w:hint="default"/>
                      <w:sz w:val="18"/>
                      <w:szCs w:val="18"/>
                      <w:lang w:val="en-US"/>
                    </w:rPr>
                  </w:pPr>
                  <w:r>
                    <w:rPr>
                      <w:rFonts w:hint="eastAsia"/>
                      <w:sz w:val="18"/>
                      <w:szCs w:val="18"/>
                      <w:lang w:val="en-US" w:eastAsia="zh-CN"/>
                    </w:rPr>
                    <w:t>23.2</w:t>
                  </w:r>
                </w:p>
              </w:tc>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14:paraId="34FBFE81">
                  <w:pPr>
                    <w:pStyle w:val="47"/>
                    <w:bidi w:val="0"/>
                    <w:rPr>
                      <w:rFonts w:hint="default"/>
                      <w:sz w:val="18"/>
                      <w:szCs w:val="18"/>
                      <w:lang w:val="en-US"/>
                    </w:rPr>
                  </w:pPr>
                  <w:r>
                    <w:rPr>
                      <w:rFonts w:hint="eastAsia"/>
                      <w:sz w:val="18"/>
                      <w:szCs w:val="18"/>
                      <w:lang w:val="en-US" w:eastAsia="zh-CN"/>
                    </w:rPr>
                    <w:t>22.6</w:t>
                  </w:r>
                </w:p>
              </w:tc>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14:paraId="1B758E30">
                  <w:pPr>
                    <w:pStyle w:val="47"/>
                    <w:bidi w:val="0"/>
                    <w:rPr>
                      <w:rFonts w:hint="default"/>
                      <w:sz w:val="18"/>
                      <w:szCs w:val="18"/>
                      <w:lang w:val="en-US"/>
                    </w:rPr>
                  </w:pPr>
                  <w:r>
                    <w:rPr>
                      <w:rFonts w:hint="default"/>
                      <w:sz w:val="18"/>
                      <w:szCs w:val="18"/>
                      <w:lang w:val="en-US" w:eastAsia="zh-CN"/>
                    </w:rPr>
                    <w:t>39.</w:t>
                  </w:r>
                  <w:r>
                    <w:rPr>
                      <w:rFonts w:hint="eastAsia"/>
                      <w:sz w:val="18"/>
                      <w:szCs w:val="18"/>
                      <w:lang w:val="en-US" w:eastAsia="zh-CN"/>
                    </w:rPr>
                    <w:t>2</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19CF93E6">
                  <w:pPr>
                    <w:pStyle w:val="47"/>
                    <w:bidi w:val="0"/>
                    <w:rPr>
                      <w:rFonts w:hint="default"/>
                      <w:sz w:val="18"/>
                      <w:szCs w:val="18"/>
                    </w:rPr>
                  </w:pPr>
                  <w:r>
                    <w:rPr>
                      <w:rFonts w:hint="default"/>
                      <w:sz w:val="18"/>
                      <w:szCs w:val="18"/>
                      <w:lang w:val="en-US" w:eastAsia="zh-CN"/>
                    </w:rPr>
                    <w:t>24.2</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14:paraId="47494120">
                  <w:pPr>
                    <w:pStyle w:val="47"/>
                    <w:bidi w:val="0"/>
                    <w:rPr>
                      <w:rFonts w:hint="default"/>
                      <w:sz w:val="18"/>
                      <w:szCs w:val="18"/>
                    </w:rPr>
                  </w:pPr>
                  <w:r>
                    <w:rPr>
                      <w:rFonts w:hint="default"/>
                      <w:sz w:val="18"/>
                      <w:szCs w:val="18"/>
                      <w:lang w:val="en-US" w:eastAsia="zh-CN"/>
                    </w:rPr>
                    <w:t>1</w:t>
                  </w:r>
                </w:p>
              </w:tc>
            </w:tr>
            <w:tr w14:paraId="6B2DC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25" w:type="pct"/>
                  <w:tcBorders>
                    <w:top w:val="single" w:color="auto" w:sz="4" w:space="0"/>
                    <w:left w:val="single" w:color="auto" w:sz="4" w:space="0"/>
                    <w:bottom w:val="single" w:color="auto" w:sz="4" w:space="0"/>
                    <w:right w:val="single" w:color="auto" w:sz="4" w:space="0"/>
                  </w:tcBorders>
                  <w:shd w:val="clear" w:color="auto" w:fill="auto"/>
                  <w:vAlign w:val="center"/>
                </w:tcPr>
                <w:p w14:paraId="727F6AB9">
                  <w:pPr>
                    <w:pStyle w:val="47"/>
                    <w:bidi w:val="0"/>
                    <w:rPr>
                      <w:rFonts w:hint="default"/>
                      <w:sz w:val="18"/>
                      <w:szCs w:val="18"/>
                    </w:rPr>
                  </w:pPr>
                  <w:r>
                    <w:rPr>
                      <w:rFonts w:hint="default"/>
                      <w:sz w:val="18"/>
                      <w:szCs w:val="18"/>
                      <w:lang w:val="en-US" w:eastAsia="zh-CN"/>
                    </w:rPr>
                    <w:t>6</w:t>
                  </w:r>
                </w:p>
              </w:tc>
              <w:tc>
                <w:tcPr>
                  <w:tcW w:w="14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9D9D34F">
                  <w:pPr>
                    <w:pStyle w:val="47"/>
                    <w:bidi w:val="0"/>
                    <w:rPr>
                      <w:rFonts w:hint="eastAsia"/>
                      <w:sz w:val="18"/>
                      <w:szCs w:val="18"/>
                    </w:rPr>
                  </w:pPr>
                </w:p>
              </w:tc>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14:paraId="1A2F02C2">
                  <w:pPr>
                    <w:pStyle w:val="47"/>
                    <w:bidi w:val="0"/>
                    <w:rPr>
                      <w:rFonts w:hint="eastAsia"/>
                      <w:sz w:val="18"/>
                      <w:szCs w:val="18"/>
                    </w:rPr>
                  </w:pPr>
                  <w:r>
                    <w:rPr>
                      <w:rFonts w:hint="eastAsia"/>
                      <w:sz w:val="18"/>
                      <w:szCs w:val="18"/>
                      <w:lang w:val="en-US" w:eastAsia="zh-CN"/>
                    </w:rPr>
                    <w:t>自动成型机</w:t>
                  </w:r>
                </w:p>
              </w:tc>
              <w:tc>
                <w:tcPr>
                  <w:tcW w:w="216" w:type="pct"/>
                  <w:tcBorders>
                    <w:top w:val="single" w:color="auto" w:sz="4" w:space="0"/>
                    <w:left w:val="single" w:color="auto" w:sz="4" w:space="0"/>
                    <w:bottom w:val="single" w:color="auto" w:sz="4" w:space="0"/>
                    <w:right w:val="single" w:color="auto" w:sz="4" w:space="0"/>
                  </w:tcBorders>
                  <w:shd w:val="clear" w:color="auto" w:fill="auto"/>
                  <w:vAlign w:val="center"/>
                </w:tcPr>
                <w:p w14:paraId="120BFE94">
                  <w:pPr>
                    <w:pStyle w:val="47"/>
                    <w:bidi w:val="0"/>
                    <w:rPr>
                      <w:rFonts w:hint="eastAsia"/>
                      <w:sz w:val="18"/>
                      <w:szCs w:val="18"/>
                    </w:rPr>
                  </w:pPr>
                  <w:r>
                    <w:rPr>
                      <w:rFonts w:hint="eastAsia"/>
                      <w:sz w:val="18"/>
                      <w:szCs w:val="18"/>
                      <w:lang w:val="en-US" w:eastAsia="zh-CN"/>
                    </w:rPr>
                    <w:t>80</w:t>
                  </w:r>
                </w:p>
              </w:tc>
              <w:tc>
                <w:tcPr>
                  <w:tcW w:w="205" w:type="pct"/>
                  <w:tcBorders>
                    <w:top w:val="single" w:color="auto" w:sz="4" w:space="0"/>
                    <w:left w:val="single" w:color="auto" w:sz="4" w:space="0"/>
                    <w:bottom w:val="single" w:color="auto" w:sz="4" w:space="0"/>
                    <w:right w:val="single" w:color="auto" w:sz="4" w:space="0"/>
                  </w:tcBorders>
                  <w:shd w:val="clear" w:color="auto" w:fill="auto"/>
                  <w:vAlign w:val="center"/>
                </w:tcPr>
                <w:p w14:paraId="03C5FC85">
                  <w:pPr>
                    <w:pStyle w:val="47"/>
                    <w:bidi w:val="0"/>
                    <w:rPr>
                      <w:rFonts w:hint="eastAsia"/>
                      <w:sz w:val="18"/>
                      <w:szCs w:val="18"/>
                    </w:rPr>
                  </w:pPr>
                  <w:r>
                    <w:rPr>
                      <w:rFonts w:hint="eastAsia"/>
                      <w:sz w:val="18"/>
                      <w:szCs w:val="18"/>
                      <w:lang w:val="en-US" w:eastAsia="zh-CN"/>
                    </w:rPr>
                    <w:t>10</w:t>
                  </w:r>
                </w:p>
              </w:tc>
              <w:tc>
                <w:tcPr>
                  <w:tcW w:w="21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56444D">
                  <w:pPr>
                    <w:pStyle w:val="47"/>
                    <w:bidi w:val="0"/>
                    <w:rPr>
                      <w:rFonts w:hint="eastAsia"/>
                      <w:sz w:val="18"/>
                      <w:szCs w:val="18"/>
                    </w:rPr>
                  </w:pPr>
                </w:p>
              </w:tc>
              <w:tc>
                <w:tcPr>
                  <w:tcW w:w="173" w:type="pct"/>
                  <w:tcBorders>
                    <w:top w:val="single" w:color="auto" w:sz="4" w:space="0"/>
                    <w:left w:val="single" w:color="auto" w:sz="4" w:space="0"/>
                    <w:bottom w:val="single" w:color="auto" w:sz="4" w:space="0"/>
                    <w:right w:val="single" w:color="auto" w:sz="4" w:space="0"/>
                  </w:tcBorders>
                  <w:shd w:val="clear" w:color="auto" w:fill="auto"/>
                  <w:vAlign w:val="center"/>
                </w:tcPr>
                <w:p w14:paraId="67A39969">
                  <w:pPr>
                    <w:pStyle w:val="47"/>
                    <w:bidi w:val="0"/>
                    <w:rPr>
                      <w:rFonts w:hint="default"/>
                      <w:sz w:val="18"/>
                      <w:szCs w:val="18"/>
                      <w:lang w:val="en-US"/>
                    </w:rPr>
                  </w:pPr>
                  <w:r>
                    <w:rPr>
                      <w:rFonts w:hint="eastAsia"/>
                      <w:sz w:val="18"/>
                      <w:szCs w:val="18"/>
                      <w:lang w:val="en-US" w:eastAsia="zh-CN"/>
                    </w:rPr>
                    <w:t>20</w:t>
                  </w:r>
                </w:p>
              </w:tc>
              <w:tc>
                <w:tcPr>
                  <w:tcW w:w="205" w:type="pct"/>
                  <w:tcBorders>
                    <w:top w:val="single" w:color="auto" w:sz="4" w:space="0"/>
                    <w:left w:val="single" w:color="auto" w:sz="4" w:space="0"/>
                    <w:bottom w:val="single" w:color="auto" w:sz="4" w:space="0"/>
                    <w:right w:val="single" w:color="auto" w:sz="4" w:space="0"/>
                  </w:tcBorders>
                  <w:shd w:val="clear" w:color="auto" w:fill="auto"/>
                  <w:vAlign w:val="center"/>
                </w:tcPr>
                <w:p w14:paraId="6146F2BD">
                  <w:pPr>
                    <w:pStyle w:val="47"/>
                    <w:bidi w:val="0"/>
                    <w:rPr>
                      <w:rFonts w:hint="default"/>
                      <w:sz w:val="18"/>
                      <w:szCs w:val="18"/>
                      <w:lang w:val="en-US"/>
                    </w:rPr>
                  </w:pPr>
                  <w:r>
                    <w:rPr>
                      <w:rFonts w:hint="eastAsia"/>
                      <w:sz w:val="18"/>
                      <w:szCs w:val="18"/>
                      <w:lang w:val="en-US" w:eastAsia="zh-CN"/>
                    </w:rPr>
                    <w:t>4.5</w:t>
                  </w:r>
                </w:p>
              </w:tc>
              <w:tc>
                <w:tcPr>
                  <w:tcW w:w="189" w:type="pct"/>
                  <w:tcBorders>
                    <w:top w:val="single" w:color="auto" w:sz="4" w:space="0"/>
                    <w:left w:val="single" w:color="auto" w:sz="4" w:space="0"/>
                    <w:bottom w:val="single" w:color="auto" w:sz="4" w:space="0"/>
                    <w:right w:val="single" w:color="auto" w:sz="4" w:space="0"/>
                  </w:tcBorders>
                  <w:shd w:val="clear" w:color="auto" w:fill="auto"/>
                  <w:vAlign w:val="center"/>
                </w:tcPr>
                <w:p w14:paraId="21EC910C">
                  <w:pPr>
                    <w:pStyle w:val="47"/>
                    <w:bidi w:val="0"/>
                    <w:rPr>
                      <w:rFonts w:hint="eastAsia"/>
                      <w:sz w:val="18"/>
                      <w:szCs w:val="18"/>
                    </w:rPr>
                  </w:pPr>
                  <w:r>
                    <w:rPr>
                      <w:rFonts w:hint="eastAsia"/>
                      <w:sz w:val="18"/>
                      <w:szCs w:val="18"/>
                      <w:lang w:val="en-US" w:eastAsia="zh-CN"/>
                    </w:rPr>
                    <w:t>4</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255299E3">
                  <w:pPr>
                    <w:pStyle w:val="47"/>
                    <w:bidi w:val="0"/>
                    <w:rPr>
                      <w:rFonts w:hint="default" w:eastAsia="宋体"/>
                      <w:sz w:val="18"/>
                      <w:szCs w:val="18"/>
                      <w:lang w:val="en-US" w:eastAsia="zh-CN"/>
                    </w:rPr>
                  </w:pPr>
                  <w:r>
                    <w:rPr>
                      <w:rFonts w:hint="eastAsia"/>
                      <w:sz w:val="18"/>
                      <w:szCs w:val="18"/>
                      <w:lang w:val="en-US" w:eastAsia="zh-CN"/>
                    </w:rPr>
                    <w:t>49.5</w:t>
                  </w:r>
                </w:p>
              </w:tc>
              <w:tc>
                <w:tcPr>
                  <w:tcW w:w="166" w:type="pct"/>
                  <w:tcBorders>
                    <w:top w:val="single" w:color="auto" w:sz="4" w:space="0"/>
                    <w:left w:val="single" w:color="auto" w:sz="4" w:space="0"/>
                    <w:bottom w:val="single" w:color="auto" w:sz="4" w:space="0"/>
                    <w:right w:val="single" w:color="auto" w:sz="4" w:space="0"/>
                  </w:tcBorders>
                  <w:shd w:val="clear" w:color="auto" w:fill="auto"/>
                  <w:vAlign w:val="center"/>
                </w:tcPr>
                <w:p w14:paraId="450634F2">
                  <w:pPr>
                    <w:pStyle w:val="47"/>
                    <w:bidi w:val="0"/>
                    <w:rPr>
                      <w:rFonts w:hint="default"/>
                      <w:sz w:val="18"/>
                      <w:szCs w:val="18"/>
                    </w:rPr>
                  </w:pPr>
                  <w:r>
                    <w:rPr>
                      <w:rFonts w:hint="default"/>
                      <w:sz w:val="18"/>
                      <w:szCs w:val="18"/>
                      <w:lang w:val="en-US" w:eastAsia="zh-CN"/>
                    </w:rPr>
                    <w:t>50</w:t>
                  </w:r>
                </w:p>
              </w:tc>
              <w:tc>
                <w:tcPr>
                  <w:tcW w:w="181" w:type="pct"/>
                  <w:tcBorders>
                    <w:top w:val="single" w:color="auto" w:sz="4" w:space="0"/>
                    <w:left w:val="single" w:color="auto" w:sz="4" w:space="0"/>
                    <w:bottom w:val="single" w:color="auto" w:sz="4" w:space="0"/>
                    <w:right w:val="single" w:color="auto" w:sz="4" w:space="0"/>
                  </w:tcBorders>
                  <w:shd w:val="clear" w:color="auto" w:fill="auto"/>
                  <w:vAlign w:val="center"/>
                </w:tcPr>
                <w:p w14:paraId="2D8A1FA2">
                  <w:pPr>
                    <w:pStyle w:val="47"/>
                    <w:bidi w:val="0"/>
                    <w:rPr>
                      <w:rFonts w:hint="default" w:eastAsia="宋体"/>
                      <w:sz w:val="18"/>
                      <w:szCs w:val="18"/>
                      <w:lang w:val="en-US" w:eastAsia="zh-CN"/>
                    </w:rPr>
                  </w:pPr>
                  <w:r>
                    <w:rPr>
                      <w:rFonts w:hint="eastAsia"/>
                      <w:sz w:val="18"/>
                      <w:szCs w:val="18"/>
                      <w:lang w:val="en-US" w:eastAsia="zh-CN"/>
                    </w:rPr>
                    <w:t>19</w:t>
                  </w:r>
                </w:p>
              </w:tc>
              <w:tc>
                <w:tcPr>
                  <w:tcW w:w="216" w:type="pct"/>
                  <w:tcBorders>
                    <w:top w:val="single" w:color="auto" w:sz="4" w:space="0"/>
                    <w:left w:val="single" w:color="auto" w:sz="4" w:space="0"/>
                    <w:bottom w:val="single" w:color="auto" w:sz="4" w:space="0"/>
                    <w:right w:val="single" w:color="auto" w:sz="4" w:space="0"/>
                  </w:tcBorders>
                  <w:shd w:val="clear" w:color="auto" w:fill="auto"/>
                  <w:vAlign w:val="center"/>
                </w:tcPr>
                <w:p w14:paraId="714E37CC">
                  <w:pPr>
                    <w:pStyle w:val="47"/>
                    <w:bidi w:val="0"/>
                    <w:rPr>
                      <w:rFonts w:hint="default"/>
                      <w:sz w:val="18"/>
                      <w:szCs w:val="18"/>
                      <w:lang w:val="en-US"/>
                    </w:rPr>
                  </w:pPr>
                  <w:r>
                    <w:rPr>
                      <w:rFonts w:hint="eastAsia"/>
                      <w:sz w:val="18"/>
                      <w:szCs w:val="18"/>
                      <w:lang w:val="en-US" w:eastAsia="zh-CN"/>
                    </w:rPr>
                    <w:t>24.5</w:t>
                  </w:r>
                </w:p>
              </w:tc>
              <w:tc>
                <w:tcPr>
                  <w:tcW w:w="216" w:type="pct"/>
                  <w:tcBorders>
                    <w:top w:val="single" w:color="auto" w:sz="4" w:space="0"/>
                    <w:left w:val="single" w:color="auto" w:sz="4" w:space="0"/>
                    <w:bottom w:val="single" w:color="auto" w:sz="4" w:space="0"/>
                    <w:right w:val="single" w:color="auto" w:sz="4" w:space="0"/>
                  </w:tcBorders>
                  <w:shd w:val="clear" w:color="auto" w:fill="auto"/>
                  <w:vAlign w:val="center"/>
                </w:tcPr>
                <w:p w14:paraId="447F1297">
                  <w:pPr>
                    <w:pStyle w:val="47"/>
                    <w:bidi w:val="0"/>
                    <w:rPr>
                      <w:rFonts w:hint="default"/>
                      <w:sz w:val="18"/>
                      <w:szCs w:val="18"/>
                      <w:lang w:val="en-US"/>
                    </w:rPr>
                  </w:pPr>
                  <w:r>
                    <w:rPr>
                      <w:rFonts w:hint="eastAsia"/>
                      <w:sz w:val="18"/>
                      <w:szCs w:val="18"/>
                      <w:lang w:val="en-US" w:eastAsia="zh-CN"/>
                    </w:rPr>
                    <w:t>48.6</w:t>
                  </w:r>
                </w:p>
              </w:tc>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14:paraId="080FF81B">
                  <w:pPr>
                    <w:pStyle w:val="47"/>
                    <w:bidi w:val="0"/>
                    <w:rPr>
                      <w:rFonts w:hint="default"/>
                      <w:sz w:val="18"/>
                      <w:szCs w:val="18"/>
                    </w:rPr>
                  </w:pPr>
                  <w:r>
                    <w:rPr>
                      <w:rFonts w:hint="default"/>
                      <w:sz w:val="18"/>
                      <w:szCs w:val="18"/>
                      <w:lang w:val="en-US" w:eastAsia="zh-CN"/>
                    </w:rPr>
                    <w:t>48.6</w:t>
                  </w:r>
                </w:p>
              </w:tc>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14:paraId="570D5E11">
                  <w:pPr>
                    <w:pStyle w:val="47"/>
                    <w:bidi w:val="0"/>
                    <w:rPr>
                      <w:rFonts w:hint="default"/>
                      <w:sz w:val="18"/>
                      <w:szCs w:val="18"/>
                      <w:lang w:val="en-US"/>
                    </w:rPr>
                  </w:pPr>
                  <w:r>
                    <w:rPr>
                      <w:rFonts w:hint="eastAsia"/>
                      <w:sz w:val="18"/>
                      <w:szCs w:val="18"/>
                      <w:lang w:val="en-US" w:eastAsia="zh-CN"/>
                    </w:rPr>
                    <w:t>49.6</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5BBCA0CA">
                  <w:pPr>
                    <w:pStyle w:val="47"/>
                    <w:bidi w:val="0"/>
                    <w:rPr>
                      <w:rFonts w:hint="default"/>
                      <w:sz w:val="18"/>
                      <w:szCs w:val="18"/>
                      <w:lang w:val="en-US"/>
                    </w:rPr>
                  </w:pPr>
                  <w:r>
                    <w:rPr>
                      <w:rFonts w:hint="eastAsia"/>
                      <w:sz w:val="18"/>
                      <w:szCs w:val="18"/>
                      <w:lang w:val="en-US" w:eastAsia="zh-CN"/>
                    </w:rPr>
                    <w:t>49.2</w:t>
                  </w:r>
                </w:p>
              </w:tc>
              <w:tc>
                <w:tcPr>
                  <w:tcW w:w="1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3B4926">
                  <w:pPr>
                    <w:pStyle w:val="47"/>
                    <w:bidi w:val="0"/>
                    <w:rPr>
                      <w:rFonts w:hint="eastAsia"/>
                      <w:sz w:val="18"/>
                      <w:szCs w:val="18"/>
                    </w:rPr>
                  </w:pPr>
                </w:p>
              </w:tc>
              <w:tc>
                <w:tcPr>
                  <w:tcW w:w="185" w:type="pct"/>
                  <w:tcBorders>
                    <w:top w:val="single" w:color="auto" w:sz="4" w:space="0"/>
                    <w:left w:val="single" w:color="auto" w:sz="4" w:space="0"/>
                    <w:bottom w:val="single" w:color="auto" w:sz="4" w:space="0"/>
                    <w:right w:val="single" w:color="auto" w:sz="4" w:space="0"/>
                  </w:tcBorders>
                  <w:shd w:val="clear" w:color="auto" w:fill="auto"/>
                  <w:vAlign w:val="center"/>
                </w:tcPr>
                <w:p w14:paraId="0A89657F">
                  <w:pPr>
                    <w:pStyle w:val="47"/>
                    <w:bidi w:val="0"/>
                    <w:rPr>
                      <w:rFonts w:hint="eastAsia"/>
                      <w:sz w:val="18"/>
                      <w:szCs w:val="18"/>
                    </w:rPr>
                  </w:pPr>
                  <w:r>
                    <w:rPr>
                      <w:rFonts w:hint="eastAsia"/>
                      <w:sz w:val="18"/>
                      <w:szCs w:val="18"/>
                      <w:lang w:val="en-US" w:eastAsia="zh-CN"/>
                    </w:rPr>
                    <w:t>10</w:t>
                  </w:r>
                </w:p>
              </w:tc>
              <w:tc>
                <w:tcPr>
                  <w:tcW w:w="247" w:type="pct"/>
                  <w:tcBorders>
                    <w:top w:val="single" w:color="auto" w:sz="4" w:space="0"/>
                    <w:left w:val="single" w:color="auto" w:sz="4" w:space="0"/>
                    <w:bottom w:val="single" w:color="auto" w:sz="4" w:space="0"/>
                    <w:right w:val="single" w:color="auto" w:sz="4" w:space="0"/>
                  </w:tcBorders>
                  <w:shd w:val="clear" w:color="auto" w:fill="auto"/>
                  <w:vAlign w:val="center"/>
                </w:tcPr>
                <w:p w14:paraId="2AC01891">
                  <w:pPr>
                    <w:pStyle w:val="47"/>
                    <w:bidi w:val="0"/>
                    <w:rPr>
                      <w:rFonts w:hint="default"/>
                      <w:sz w:val="18"/>
                      <w:szCs w:val="18"/>
                      <w:lang w:val="en-US"/>
                    </w:rPr>
                  </w:pPr>
                  <w:r>
                    <w:rPr>
                      <w:rFonts w:hint="eastAsia"/>
                      <w:sz w:val="18"/>
                      <w:szCs w:val="18"/>
                      <w:lang w:val="en-US" w:eastAsia="zh-CN"/>
                    </w:rPr>
                    <w:t>42.6</w:t>
                  </w:r>
                </w:p>
              </w:tc>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14:paraId="1B1BA87D">
                  <w:pPr>
                    <w:pStyle w:val="47"/>
                    <w:bidi w:val="0"/>
                    <w:rPr>
                      <w:rFonts w:hint="default"/>
                      <w:sz w:val="18"/>
                      <w:szCs w:val="18"/>
                    </w:rPr>
                  </w:pPr>
                  <w:r>
                    <w:rPr>
                      <w:rFonts w:hint="default"/>
                      <w:sz w:val="18"/>
                      <w:szCs w:val="18"/>
                      <w:lang w:val="en-US" w:eastAsia="zh-CN"/>
                    </w:rPr>
                    <w:t>42.6</w:t>
                  </w:r>
                </w:p>
              </w:tc>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14:paraId="069DA7ED">
                  <w:pPr>
                    <w:pStyle w:val="47"/>
                    <w:bidi w:val="0"/>
                    <w:rPr>
                      <w:rFonts w:hint="default"/>
                      <w:sz w:val="18"/>
                      <w:szCs w:val="18"/>
                      <w:lang w:val="en-US"/>
                    </w:rPr>
                  </w:pPr>
                  <w:r>
                    <w:rPr>
                      <w:rFonts w:hint="eastAsia"/>
                      <w:sz w:val="18"/>
                      <w:szCs w:val="18"/>
                      <w:lang w:val="en-US" w:eastAsia="zh-CN"/>
                    </w:rPr>
                    <w:t>49.6</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2AA310E8">
                  <w:pPr>
                    <w:pStyle w:val="47"/>
                    <w:bidi w:val="0"/>
                    <w:rPr>
                      <w:rFonts w:hint="default"/>
                      <w:sz w:val="18"/>
                      <w:szCs w:val="18"/>
                      <w:lang w:val="en-US"/>
                    </w:rPr>
                  </w:pPr>
                  <w:r>
                    <w:rPr>
                      <w:rFonts w:hint="eastAsia"/>
                      <w:sz w:val="18"/>
                      <w:szCs w:val="18"/>
                      <w:lang w:val="en-US" w:eastAsia="zh-CN"/>
                    </w:rPr>
                    <w:t>43.2</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14:paraId="0F23E753">
                  <w:pPr>
                    <w:pStyle w:val="47"/>
                    <w:bidi w:val="0"/>
                    <w:rPr>
                      <w:rFonts w:hint="default"/>
                      <w:sz w:val="18"/>
                      <w:szCs w:val="18"/>
                    </w:rPr>
                  </w:pPr>
                  <w:r>
                    <w:rPr>
                      <w:rFonts w:hint="default"/>
                      <w:sz w:val="18"/>
                      <w:szCs w:val="18"/>
                      <w:lang w:val="en-US" w:eastAsia="zh-CN"/>
                    </w:rPr>
                    <w:t>1</w:t>
                  </w:r>
                </w:p>
              </w:tc>
            </w:tr>
            <w:tr w14:paraId="6205B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5000" w:type="pct"/>
                  <w:gridSpan w:val="24"/>
                  <w:tcBorders>
                    <w:top w:val="single" w:color="auto" w:sz="4" w:space="0"/>
                    <w:left w:val="single" w:color="auto" w:sz="4" w:space="0"/>
                    <w:bottom w:val="single" w:color="auto" w:sz="4" w:space="0"/>
                    <w:right w:val="single" w:color="auto" w:sz="4" w:space="0"/>
                  </w:tcBorders>
                  <w:shd w:val="clear" w:color="auto" w:fill="auto"/>
                  <w:vAlign w:val="center"/>
                </w:tcPr>
                <w:p w14:paraId="7BF2B39F">
                  <w:pPr>
                    <w:spacing w:line="300" w:lineRule="atLeast"/>
                    <w:ind w:left="0" w:leftChars="0" w:firstLine="0" w:firstLineChars="0"/>
                    <w:jc w:val="left"/>
                    <w:rPr>
                      <w:rFonts w:hint="default"/>
                      <w:sz w:val="18"/>
                      <w:szCs w:val="18"/>
                      <w:lang w:val="en-US" w:eastAsia="zh-CN"/>
                    </w:rPr>
                  </w:pPr>
                  <w:r>
                    <w:rPr>
                      <w:rFonts w:hint="eastAsia"/>
                      <w:b w:val="0"/>
                      <w:bCs w:val="0"/>
                      <w:sz w:val="18"/>
                      <w:szCs w:val="18"/>
                      <w:highlight w:val="none"/>
                      <w:lang w:val="en-US" w:eastAsia="zh-CN"/>
                    </w:rPr>
                    <w:t>备注：①以各厂房西南点为原点；②</w:t>
                  </w:r>
                  <w:r>
                    <w:rPr>
                      <w:rFonts w:hint="eastAsia"/>
                      <w:b w:val="0"/>
                      <w:bCs w:val="0"/>
                      <w:color w:val="auto"/>
                      <w:sz w:val="18"/>
                      <w:szCs w:val="18"/>
                    </w:rPr>
                    <w:t>项目同类型设备有大致相同的源强、尺寸，位于</w:t>
                  </w:r>
                  <w:r>
                    <w:rPr>
                      <w:rFonts w:hint="eastAsia"/>
                      <w:b w:val="0"/>
                      <w:bCs w:val="0"/>
                      <w:color w:val="auto"/>
                      <w:sz w:val="18"/>
                      <w:szCs w:val="18"/>
                      <w:lang w:eastAsia="zh-CN"/>
                    </w:rPr>
                    <w:t>同一</w:t>
                  </w:r>
                  <w:r>
                    <w:rPr>
                      <w:rFonts w:hint="eastAsia"/>
                      <w:b w:val="0"/>
                      <w:bCs w:val="0"/>
                      <w:color w:val="auto"/>
                      <w:sz w:val="18"/>
                      <w:szCs w:val="18"/>
                    </w:rPr>
                    <w:t>车间内，传播条件相同，且声源至车间各边界距离均大于自身最大几何尺寸的两倍，因此众多相同类型设备同类型等效为一个设备，坐标为等效坐标点位置，其噪声级叠加计算。</w:t>
                  </w:r>
                </w:p>
              </w:tc>
            </w:tr>
          </w:tbl>
          <w:p w14:paraId="425B2392">
            <w:pPr>
              <w:pStyle w:val="42"/>
              <w:ind w:firstLine="0" w:firstLineChars="0"/>
              <w:jc w:val="center"/>
              <w:rPr>
                <w:rFonts w:hint="eastAsia"/>
                <w:b/>
                <w:color w:val="000000" w:themeColor="text1"/>
                <w:kern w:val="0"/>
                <w:szCs w:val="21"/>
                <w:lang w:val="en-GB"/>
                <w14:textFill>
                  <w14:solidFill>
                    <w14:schemeClr w14:val="tx1"/>
                  </w14:solidFill>
                </w14:textFill>
              </w:rPr>
            </w:pPr>
          </w:p>
          <w:p w14:paraId="1DC0F653">
            <w:pPr>
              <w:pStyle w:val="42"/>
              <w:ind w:firstLine="0" w:firstLineChars="0"/>
              <w:jc w:val="center"/>
              <w:rPr>
                <w:rFonts w:hint="eastAsia"/>
                <w:b/>
                <w:color w:val="000000" w:themeColor="text1"/>
                <w:kern w:val="0"/>
                <w:szCs w:val="21"/>
                <w:lang w:val="en-GB"/>
                <w14:textFill>
                  <w14:solidFill>
                    <w14:schemeClr w14:val="tx1"/>
                  </w14:solidFill>
                </w14:textFill>
              </w:rPr>
            </w:pPr>
          </w:p>
          <w:p w14:paraId="003DC352">
            <w:pPr>
              <w:pStyle w:val="42"/>
              <w:ind w:firstLine="0" w:firstLineChars="0"/>
              <w:jc w:val="center"/>
              <w:rPr>
                <w:rFonts w:hint="eastAsia"/>
                <w:b/>
                <w:color w:val="000000" w:themeColor="text1"/>
                <w:kern w:val="0"/>
                <w:szCs w:val="21"/>
                <w:lang w:val="en-GB"/>
                <w14:textFill>
                  <w14:solidFill>
                    <w14:schemeClr w14:val="tx1"/>
                  </w14:solidFill>
                </w14:textFill>
              </w:rPr>
            </w:pPr>
          </w:p>
          <w:p w14:paraId="23468BAD">
            <w:pPr>
              <w:pStyle w:val="42"/>
              <w:ind w:firstLine="0" w:firstLineChars="0"/>
              <w:jc w:val="center"/>
              <w:rPr>
                <w:rFonts w:hint="eastAsia"/>
                <w:b/>
                <w:color w:val="000000" w:themeColor="text1"/>
                <w:kern w:val="0"/>
                <w:szCs w:val="21"/>
                <w:lang w:val="en-GB"/>
                <w14:textFill>
                  <w14:solidFill>
                    <w14:schemeClr w14:val="tx1"/>
                  </w14:solidFill>
                </w14:textFill>
              </w:rPr>
            </w:pPr>
          </w:p>
          <w:p w14:paraId="4D051103">
            <w:pPr>
              <w:pStyle w:val="42"/>
              <w:ind w:firstLine="0" w:firstLineChars="0"/>
              <w:jc w:val="center"/>
              <w:rPr>
                <w:b/>
                <w:color w:val="000000" w:themeColor="text1"/>
                <w:kern w:val="0"/>
                <w:szCs w:val="21"/>
                <w14:textFill>
                  <w14:solidFill>
                    <w14:schemeClr w14:val="tx1"/>
                  </w14:solidFill>
                </w14:textFill>
              </w:rPr>
            </w:pPr>
            <w:r>
              <w:rPr>
                <w:rFonts w:hint="eastAsia"/>
                <w:b/>
                <w:color w:val="000000" w:themeColor="text1"/>
                <w:kern w:val="0"/>
                <w:szCs w:val="21"/>
                <w:lang w:val="en-GB"/>
                <w14:textFill>
                  <w14:solidFill>
                    <w14:schemeClr w14:val="tx1"/>
                  </w14:solidFill>
                </w14:textFill>
              </w:rPr>
              <w:t>表4-</w:t>
            </w:r>
            <w:r>
              <w:rPr>
                <w:rFonts w:hint="eastAsia"/>
                <w:b/>
                <w:color w:val="000000" w:themeColor="text1"/>
                <w:kern w:val="0"/>
                <w:szCs w:val="21"/>
                <w:lang w:val="en-US" w:eastAsia="zh-CN"/>
                <w14:textFill>
                  <w14:solidFill>
                    <w14:schemeClr w14:val="tx1"/>
                  </w14:solidFill>
                </w14:textFill>
              </w:rPr>
              <w:t>20</w:t>
            </w:r>
            <w:r>
              <w:rPr>
                <w:rFonts w:hint="eastAsia"/>
                <w:b/>
                <w:color w:val="000000" w:themeColor="text1"/>
                <w:kern w:val="0"/>
                <w:szCs w:val="21"/>
                <w:lang w:val="en-GB"/>
                <w14:textFill>
                  <w14:solidFill>
                    <w14:schemeClr w14:val="tx1"/>
                  </w14:solidFill>
                </w14:textFill>
              </w:rPr>
              <w:t>设备</w:t>
            </w:r>
            <w:r>
              <w:rPr>
                <w:rFonts w:hint="eastAsia"/>
                <w:b/>
                <w:color w:val="000000" w:themeColor="text1"/>
                <w:kern w:val="0"/>
                <w:szCs w:val="21"/>
                <w14:textFill>
                  <w14:solidFill>
                    <w14:schemeClr w14:val="tx1"/>
                  </w14:solidFill>
                </w14:textFill>
              </w:rPr>
              <w:t>噪声源强调查清单（室外声源）</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72"/>
              <w:gridCol w:w="2877"/>
              <w:gridCol w:w="1635"/>
              <w:gridCol w:w="1440"/>
              <w:gridCol w:w="1920"/>
              <w:gridCol w:w="2445"/>
              <w:gridCol w:w="2025"/>
              <w:gridCol w:w="873"/>
            </w:tblGrid>
            <w:tr w14:paraId="7B2A2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5" w:type="pct"/>
                  <w:vMerge w:val="restart"/>
                  <w:noWrap/>
                  <w:vAlign w:val="center"/>
                </w:tcPr>
                <w:p w14:paraId="31927127">
                  <w:pPr>
                    <w:pStyle w:val="47"/>
                    <w:bidi w:val="0"/>
                    <w:rPr>
                      <w:rFonts w:hint="default"/>
                    </w:rPr>
                  </w:pPr>
                  <w:r>
                    <w:t>序号</w:t>
                  </w:r>
                </w:p>
              </w:tc>
              <w:tc>
                <w:tcPr>
                  <w:tcW w:w="1028" w:type="pct"/>
                  <w:vMerge w:val="restart"/>
                  <w:noWrap/>
                  <w:vAlign w:val="center"/>
                </w:tcPr>
                <w:p w14:paraId="69445D71">
                  <w:pPr>
                    <w:pStyle w:val="47"/>
                    <w:bidi w:val="0"/>
                    <w:rPr>
                      <w:rFonts w:hint="default"/>
                    </w:rPr>
                  </w:pPr>
                  <w:r>
                    <w:t>声源名称</w:t>
                  </w:r>
                </w:p>
              </w:tc>
              <w:tc>
                <w:tcPr>
                  <w:tcW w:w="1785" w:type="pct"/>
                  <w:gridSpan w:val="3"/>
                  <w:noWrap/>
                  <w:vAlign w:val="center"/>
                </w:tcPr>
                <w:p w14:paraId="282554EF">
                  <w:pPr>
                    <w:pStyle w:val="47"/>
                    <w:bidi w:val="0"/>
                    <w:rPr>
                      <w:rFonts w:hint="default"/>
                    </w:rPr>
                  </w:pPr>
                  <w:r>
                    <w:t>空间相对位置/m</w:t>
                  </w:r>
                </w:p>
              </w:tc>
              <w:tc>
                <w:tcPr>
                  <w:tcW w:w="874" w:type="pct"/>
                  <w:noWrap/>
                  <w:vAlign w:val="center"/>
                </w:tcPr>
                <w:p w14:paraId="79A8196F">
                  <w:pPr>
                    <w:pStyle w:val="47"/>
                    <w:bidi w:val="0"/>
                    <w:rPr>
                      <w:rFonts w:hint="default"/>
                    </w:rPr>
                  </w:pPr>
                  <w:r>
                    <w:t>声源源强</w:t>
                  </w:r>
                </w:p>
              </w:tc>
              <w:tc>
                <w:tcPr>
                  <w:tcW w:w="723" w:type="pct"/>
                  <w:vMerge w:val="restart"/>
                  <w:noWrap/>
                  <w:vAlign w:val="center"/>
                </w:tcPr>
                <w:p w14:paraId="1E3A7CF6">
                  <w:pPr>
                    <w:pStyle w:val="47"/>
                    <w:bidi w:val="0"/>
                    <w:rPr>
                      <w:rFonts w:hint="default"/>
                    </w:rPr>
                  </w:pPr>
                  <w:r>
                    <w:t>声源控制措施</w:t>
                  </w:r>
                </w:p>
              </w:tc>
              <w:tc>
                <w:tcPr>
                  <w:tcW w:w="312" w:type="pct"/>
                  <w:vMerge w:val="restart"/>
                  <w:noWrap/>
                  <w:vAlign w:val="center"/>
                </w:tcPr>
                <w:p w14:paraId="4BCEADE6">
                  <w:pPr>
                    <w:pStyle w:val="47"/>
                    <w:bidi w:val="0"/>
                    <w:rPr>
                      <w:rFonts w:hint="default"/>
                    </w:rPr>
                  </w:pPr>
                  <w:r>
                    <w:t>运行</w:t>
                  </w:r>
                </w:p>
                <w:p w14:paraId="441B2233">
                  <w:pPr>
                    <w:pStyle w:val="47"/>
                    <w:bidi w:val="0"/>
                    <w:rPr>
                      <w:rFonts w:hint="default"/>
                    </w:rPr>
                  </w:pPr>
                  <w:r>
                    <w:t>时段</w:t>
                  </w:r>
                </w:p>
              </w:tc>
            </w:tr>
            <w:tr w14:paraId="6651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5" w:type="pct"/>
                  <w:vMerge w:val="continue"/>
                  <w:noWrap/>
                  <w:vAlign w:val="center"/>
                </w:tcPr>
                <w:p w14:paraId="57F8EB6E">
                  <w:pPr>
                    <w:pStyle w:val="47"/>
                    <w:bidi w:val="0"/>
                    <w:rPr>
                      <w:rFonts w:hint="default"/>
                    </w:rPr>
                  </w:pPr>
                </w:p>
              </w:tc>
              <w:tc>
                <w:tcPr>
                  <w:tcW w:w="1028" w:type="pct"/>
                  <w:vMerge w:val="continue"/>
                  <w:noWrap/>
                  <w:vAlign w:val="center"/>
                </w:tcPr>
                <w:p w14:paraId="359873E6">
                  <w:pPr>
                    <w:pStyle w:val="47"/>
                    <w:bidi w:val="0"/>
                    <w:rPr>
                      <w:rFonts w:hint="default"/>
                    </w:rPr>
                  </w:pPr>
                </w:p>
              </w:tc>
              <w:tc>
                <w:tcPr>
                  <w:tcW w:w="584" w:type="pct"/>
                  <w:noWrap/>
                  <w:vAlign w:val="center"/>
                </w:tcPr>
                <w:p w14:paraId="41DA5E72">
                  <w:pPr>
                    <w:pStyle w:val="47"/>
                    <w:bidi w:val="0"/>
                    <w:rPr>
                      <w:rFonts w:hint="default"/>
                    </w:rPr>
                  </w:pPr>
                  <w:r>
                    <w:t>X</w:t>
                  </w:r>
                </w:p>
              </w:tc>
              <w:tc>
                <w:tcPr>
                  <w:tcW w:w="514" w:type="pct"/>
                  <w:noWrap/>
                  <w:vAlign w:val="center"/>
                </w:tcPr>
                <w:p w14:paraId="2BBF1614">
                  <w:pPr>
                    <w:pStyle w:val="47"/>
                    <w:bidi w:val="0"/>
                    <w:rPr>
                      <w:rFonts w:hint="default"/>
                    </w:rPr>
                  </w:pPr>
                  <w:r>
                    <w:t>Y</w:t>
                  </w:r>
                </w:p>
              </w:tc>
              <w:tc>
                <w:tcPr>
                  <w:tcW w:w="686" w:type="pct"/>
                  <w:noWrap/>
                  <w:vAlign w:val="center"/>
                </w:tcPr>
                <w:p w14:paraId="464FC68D">
                  <w:pPr>
                    <w:pStyle w:val="47"/>
                    <w:bidi w:val="0"/>
                    <w:rPr>
                      <w:rFonts w:hint="default"/>
                    </w:rPr>
                  </w:pPr>
                  <w:r>
                    <w:t>Z</w:t>
                  </w:r>
                </w:p>
              </w:tc>
              <w:tc>
                <w:tcPr>
                  <w:tcW w:w="874" w:type="pct"/>
                  <w:noWrap/>
                  <w:vAlign w:val="center"/>
                </w:tcPr>
                <w:p w14:paraId="1EC98997">
                  <w:pPr>
                    <w:pStyle w:val="47"/>
                    <w:bidi w:val="0"/>
                    <w:rPr>
                      <w:rFonts w:hint="default"/>
                    </w:rPr>
                  </w:pPr>
                  <w:r>
                    <w:t>声功率级/dB(A)</w:t>
                  </w:r>
                </w:p>
              </w:tc>
              <w:tc>
                <w:tcPr>
                  <w:tcW w:w="723" w:type="pct"/>
                  <w:vMerge w:val="continue"/>
                  <w:noWrap/>
                  <w:vAlign w:val="center"/>
                </w:tcPr>
                <w:p w14:paraId="4384602A">
                  <w:pPr>
                    <w:pStyle w:val="47"/>
                    <w:bidi w:val="0"/>
                    <w:rPr>
                      <w:rFonts w:hint="default"/>
                    </w:rPr>
                  </w:pPr>
                </w:p>
              </w:tc>
              <w:tc>
                <w:tcPr>
                  <w:tcW w:w="312" w:type="pct"/>
                  <w:vMerge w:val="continue"/>
                  <w:noWrap/>
                  <w:vAlign w:val="center"/>
                </w:tcPr>
                <w:p w14:paraId="1B09E2EC">
                  <w:pPr>
                    <w:pStyle w:val="47"/>
                    <w:bidi w:val="0"/>
                    <w:rPr>
                      <w:rFonts w:hint="default"/>
                    </w:rPr>
                  </w:pPr>
                </w:p>
              </w:tc>
            </w:tr>
            <w:tr w14:paraId="3EA0C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75" w:type="pct"/>
                  <w:noWrap/>
                  <w:vAlign w:val="center"/>
                </w:tcPr>
                <w:p w14:paraId="3EDBBCE7">
                  <w:pPr>
                    <w:pStyle w:val="47"/>
                    <w:bidi w:val="0"/>
                    <w:rPr>
                      <w:rFonts w:hint="default"/>
                    </w:rPr>
                  </w:pPr>
                  <w:r>
                    <w:t>1</w:t>
                  </w:r>
                </w:p>
              </w:tc>
              <w:tc>
                <w:tcPr>
                  <w:tcW w:w="1028" w:type="pct"/>
                  <w:noWrap/>
                  <w:vAlign w:val="center"/>
                </w:tcPr>
                <w:p w14:paraId="407B2E17">
                  <w:pPr>
                    <w:pStyle w:val="47"/>
                    <w:bidi w:val="0"/>
                    <w:rPr>
                      <w:rFonts w:hint="default"/>
                    </w:rPr>
                  </w:pPr>
                  <w:r>
                    <w:rPr>
                      <w:rFonts w:hint="eastAsia"/>
                      <w:lang w:val="en-US" w:eastAsia="zh-CN"/>
                    </w:rPr>
                    <w:t>EPS包装材料生产线</w:t>
                  </w:r>
                  <w:r>
                    <w:t>风机</w:t>
                  </w:r>
                </w:p>
              </w:tc>
              <w:tc>
                <w:tcPr>
                  <w:tcW w:w="584" w:type="pct"/>
                  <w:noWrap/>
                  <w:vAlign w:val="center"/>
                </w:tcPr>
                <w:p w14:paraId="263E8EE7">
                  <w:pPr>
                    <w:pStyle w:val="47"/>
                    <w:bidi w:val="0"/>
                    <w:rPr>
                      <w:rFonts w:hint="default"/>
                      <w:lang w:val="en-US" w:eastAsia="zh-CN"/>
                    </w:rPr>
                  </w:pPr>
                  <w:r>
                    <w:rPr>
                      <w:rFonts w:hint="eastAsia"/>
                      <w:lang w:val="en-US" w:eastAsia="zh-CN"/>
                    </w:rPr>
                    <w:t>69.5</w:t>
                  </w:r>
                </w:p>
              </w:tc>
              <w:tc>
                <w:tcPr>
                  <w:tcW w:w="514" w:type="pct"/>
                  <w:noWrap/>
                  <w:vAlign w:val="center"/>
                </w:tcPr>
                <w:p w14:paraId="258C395F">
                  <w:pPr>
                    <w:pStyle w:val="47"/>
                    <w:bidi w:val="0"/>
                    <w:rPr>
                      <w:rFonts w:hint="default"/>
                      <w:lang w:val="en-US" w:eastAsia="zh-CN"/>
                    </w:rPr>
                  </w:pPr>
                  <w:r>
                    <w:rPr>
                      <w:rFonts w:hint="eastAsia"/>
                      <w:lang w:val="en-US" w:eastAsia="zh-CN"/>
                    </w:rPr>
                    <w:t>-2.5</w:t>
                  </w:r>
                </w:p>
              </w:tc>
              <w:tc>
                <w:tcPr>
                  <w:tcW w:w="686" w:type="pct"/>
                  <w:noWrap/>
                  <w:vAlign w:val="center"/>
                </w:tcPr>
                <w:p w14:paraId="2A46E849">
                  <w:pPr>
                    <w:pStyle w:val="47"/>
                    <w:bidi w:val="0"/>
                    <w:rPr>
                      <w:rFonts w:hint="default"/>
                    </w:rPr>
                  </w:pPr>
                  <w:r>
                    <w:t>0.5</w:t>
                  </w:r>
                </w:p>
              </w:tc>
              <w:tc>
                <w:tcPr>
                  <w:tcW w:w="874" w:type="pct"/>
                  <w:noWrap/>
                  <w:vAlign w:val="center"/>
                </w:tcPr>
                <w:p w14:paraId="6BF7CD02">
                  <w:pPr>
                    <w:pStyle w:val="47"/>
                    <w:bidi w:val="0"/>
                    <w:rPr>
                      <w:rFonts w:hint="default"/>
                    </w:rPr>
                  </w:pPr>
                  <w:r>
                    <w:t>80</w:t>
                  </w:r>
                </w:p>
              </w:tc>
              <w:tc>
                <w:tcPr>
                  <w:tcW w:w="723" w:type="pct"/>
                  <w:vMerge w:val="restart"/>
                  <w:noWrap/>
                  <w:vAlign w:val="center"/>
                </w:tcPr>
                <w:p w14:paraId="2EE90E6F">
                  <w:pPr>
                    <w:pStyle w:val="47"/>
                    <w:bidi w:val="0"/>
                    <w:rPr>
                      <w:rFonts w:hint="default"/>
                      <w:lang w:val="en-US" w:eastAsia="zh-CN"/>
                    </w:rPr>
                  </w:pPr>
                  <w:r>
                    <w:t>设备基础安装减震垫</w:t>
                  </w:r>
                  <w:r>
                    <w:rPr>
                      <w:rFonts w:hint="eastAsia"/>
                      <w:lang w:eastAsia="zh-CN"/>
                    </w:rPr>
                    <w:t>、</w:t>
                  </w:r>
                  <w:r>
                    <w:rPr>
                      <w:rFonts w:hint="eastAsia"/>
                      <w:lang w:val="en-US" w:eastAsia="zh-CN"/>
                    </w:rPr>
                    <w:t>隔声</w:t>
                  </w:r>
                </w:p>
              </w:tc>
              <w:tc>
                <w:tcPr>
                  <w:tcW w:w="312" w:type="pct"/>
                  <w:vMerge w:val="restart"/>
                  <w:noWrap/>
                  <w:vAlign w:val="center"/>
                </w:tcPr>
                <w:p w14:paraId="26F2969B">
                  <w:pPr>
                    <w:pStyle w:val="47"/>
                    <w:bidi w:val="0"/>
                    <w:rPr>
                      <w:rFonts w:hint="eastAsia"/>
                      <w:lang w:eastAsia="zh-CN"/>
                    </w:rPr>
                  </w:pPr>
                  <w:r>
                    <w:rPr>
                      <w:rFonts w:hint="eastAsia"/>
                      <w:lang w:val="en-US" w:eastAsia="zh-CN"/>
                    </w:rPr>
                    <w:t>全天</w:t>
                  </w:r>
                </w:p>
              </w:tc>
            </w:tr>
            <w:tr w14:paraId="77360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5" w:type="pct"/>
                  <w:noWrap/>
                  <w:vAlign w:val="center"/>
                </w:tcPr>
                <w:p w14:paraId="2756D39C">
                  <w:pPr>
                    <w:pStyle w:val="47"/>
                    <w:bidi w:val="0"/>
                    <w:rPr>
                      <w:rFonts w:hint="eastAsia"/>
                      <w:lang w:val="en-US" w:eastAsia="zh-CN"/>
                    </w:rPr>
                  </w:pPr>
                  <w:r>
                    <w:rPr>
                      <w:rFonts w:hint="eastAsia"/>
                      <w:lang w:val="en-US" w:eastAsia="zh-CN"/>
                    </w:rPr>
                    <w:t>2</w:t>
                  </w:r>
                </w:p>
              </w:tc>
              <w:tc>
                <w:tcPr>
                  <w:tcW w:w="1028" w:type="pct"/>
                  <w:noWrap/>
                  <w:vAlign w:val="center"/>
                </w:tcPr>
                <w:p w14:paraId="0A5C730E">
                  <w:pPr>
                    <w:pStyle w:val="47"/>
                    <w:bidi w:val="0"/>
                    <w:rPr>
                      <w:rFonts w:hint="default"/>
                      <w:lang w:val="en-US" w:eastAsia="zh-CN"/>
                    </w:rPr>
                  </w:pPr>
                  <w:r>
                    <w:rPr>
                      <w:rFonts w:hint="eastAsia"/>
                      <w:lang w:val="en-US" w:eastAsia="zh-CN"/>
                    </w:rPr>
                    <w:t>EPS包装材料生产线空压机</w:t>
                  </w:r>
                </w:p>
              </w:tc>
              <w:tc>
                <w:tcPr>
                  <w:tcW w:w="584" w:type="pct"/>
                  <w:noWrap/>
                  <w:vAlign w:val="center"/>
                </w:tcPr>
                <w:p w14:paraId="44255B58">
                  <w:pPr>
                    <w:pStyle w:val="47"/>
                    <w:bidi w:val="0"/>
                    <w:rPr>
                      <w:rFonts w:hint="default"/>
                      <w:lang w:val="en-US" w:eastAsia="zh-CN"/>
                    </w:rPr>
                  </w:pPr>
                  <w:r>
                    <w:rPr>
                      <w:rFonts w:hint="eastAsia"/>
                      <w:lang w:val="en-US" w:eastAsia="zh-CN"/>
                    </w:rPr>
                    <w:t>40</w:t>
                  </w:r>
                </w:p>
              </w:tc>
              <w:tc>
                <w:tcPr>
                  <w:tcW w:w="514" w:type="pct"/>
                  <w:noWrap/>
                  <w:vAlign w:val="center"/>
                </w:tcPr>
                <w:p w14:paraId="661DAF66">
                  <w:pPr>
                    <w:pStyle w:val="47"/>
                    <w:bidi w:val="0"/>
                    <w:rPr>
                      <w:rFonts w:hint="default"/>
                      <w:lang w:val="en-US" w:eastAsia="zh-CN"/>
                    </w:rPr>
                  </w:pPr>
                  <w:r>
                    <w:rPr>
                      <w:rFonts w:hint="eastAsia"/>
                      <w:lang w:val="en-US" w:eastAsia="zh-CN"/>
                    </w:rPr>
                    <w:t>-2.5</w:t>
                  </w:r>
                </w:p>
              </w:tc>
              <w:tc>
                <w:tcPr>
                  <w:tcW w:w="686" w:type="pct"/>
                  <w:noWrap/>
                  <w:vAlign w:val="center"/>
                </w:tcPr>
                <w:p w14:paraId="0999A937">
                  <w:pPr>
                    <w:pStyle w:val="47"/>
                    <w:bidi w:val="0"/>
                    <w:rPr>
                      <w:rFonts w:hint="default"/>
                      <w:lang w:val="en-US" w:eastAsia="zh-CN"/>
                    </w:rPr>
                  </w:pPr>
                  <w:r>
                    <w:rPr>
                      <w:rFonts w:hint="eastAsia"/>
                      <w:lang w:val="en-US" w:eastAsia="zh-CN"/>
                    </w:rPr>
                    <w:t>0.5</w:t>
                  </w:r>
                </w:p>
              </w:tc>
              <w:tc>
                <w:tcPr>
                  <w:tcW w:w="874" w:type="pct"/>
                  <w:noWrap/>
                  <w:vAlign w:val="center"/>
                </w:tcPr>
                <w:p w14:paraId="7A137CF6">
                  <w:pPr>
                    <w:pStyle w:val="47"/>
                    <w:bidi w:val="0"/>
                    <w:rPr>
                      <w:rFonts w:hint="default"/>
                      <w:lang w:val="en-US" w:eastAsia="zh-CN"/>
                    </w:rPr>
                  </w:pPr>
                  <w:r>
                    <w:rPr>
                      <w:rFonts w:hint="eastAsia"/>
                      <w:lang w:val="en-US" w:eastAsia="zh-CN"/>
                    </w:rPr>
                    <w:t>85</w:t>
                  </w:r>
                </w:p>
              </w:tc>
              <w:tc>
                <w:tcPr>
                  <w:tcW w:w="723" w:type="pct"/>
                  <w:vMerge w:val="continue"/>
                  <w:noWrap/>
                  <w:vAlign w:val="center"/>
                </w:tcPr>
                <w:p w14:paraId="3013C359">
                  <w:pPr>
                    <w:pStyle w:val="47"/>
                    <w:bidi w:val="0"/>
                  </w:pPr>
                </w:p>
              </w:tc>
              <w:tc>
                <w:tcPr>
                  <w:tcW w:w="312" w:type="pct"/>
                  <w:vMerge w:val="continue"/>
                  <w:noWrap/>
                  <w:vAlign w:val="center"/>
                </w:tcPr>
                <w:p w14:paraId="1160F228">
                  <w:pPr>
                    <w:pStyle w:val="47"/>
                    <w:bidi w:val="0"/>
                    <w:rPr>
                      <w:rFonts w:hint="eastAsia"/>
                      <w:lang w:val="en-US" w:eastAsia="zh-CN"/>
                    </w:rPr>
                  </w:pPr>
                </w:p>
              </w:tc>
            </w:tr>
            <w:tr w14:paraId="204C6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5" w:type="pct"/>
                  <w:noWrap/>
                  <w:vAlign w:val="center"/>
                </w:tcPr>
                <w:p w14:paraId="1447D49A">
                  <w:pPr>
                    <w:pStyle w:val="47"/>
                    <w:bidi w:val="0"/>
                    <w:rPr>
                      <w:rFonts w:hint="default"/>
                      <w:lang w:val="en-US" w:eastAsia="zh-CN"/>
                    </w:rPr>
                  </w:pPr>
                  <w:r>
                    <w:rPr>
                      <w:rFonts w:hint="eastAsia"/>
                      <w:lang w:val="en-US" w:eastAsia="zh-CN"/>
                    </w:rPr>
                    <w:t>3</w:t>
                  </w:r>
                </w:p>
              </w:tc>
              <w:tc>
                <w:tcPr>
                  <w:tcW w:w="1028" w:type="pct"/>
                  <w:noWrap/>
                  <w:vAlign w:val="center"/>
                </w:tcPr>
                <w:p w14:paraId="6555ADE9">
                  <w:pPr>
                    <w:pStyle w:val="47"/>
                    <w:bidi w:val="0"/>
                    <w:rPr>
                      <w:rFonts w:hint="default"/>
                      <w:lang w:val="en-US" w:eastAsia="zh-CN"/>
                    </w:rPr>
                  </w:pPr>
                  <w:r>
                    <w:rPr>
                      <w:rFonts w:hint="eastAsia"/>
                      <w:lang w:val="en-US" w:eastAsia="zh-CN"/>
                    </w:rPr>
                    <w:t>EPS包装材料生产线冷却塔</w:t>
                  </w:r>
                </w:p>
              </w:tc>
              <w:tc>
                <w:tcPr>
                  <w:tcW w:w="584" w:type="pct"/>
                  <w:noWrap/>
                  <w:vAlign w:val="center"/>
                </w:tcPr>
                <w:p w14:paraId="0B22C200">
                  <w:pPr>
                    <w:pStyle w:val="47"/>
                    <w:bidi w:val="0"/>
                    <w:rPr>
                      <w:rFonts w:hint="default"/>
                      <w:lang w:val="en-US" w:eastAsia="zh-CN"/>
                    </w:rPr>
                  </w:pPr>
                  <w:r>
                    <w:rPr>
                      <w:rFonts w:hint="eastAsia"/>
                      <w:lang w:val="en-US" w:eastAsia="zh-CN"/>
                    </w:rPr>
                    <w:t>31.5</w:t>
                  </w:r>
                </w:p>
              </w:tc>
              <w:tc>
                <w:tcPr>
                  <w:tcW w:w="514" w:type="pct"/>
                  <w:noWrap/>
                  <w:vAlign w:val="center"/>
                </w:tcPr>
                <w:p w14:paraId="0A1F4876">
                  <w:pPr>
                    <w:pStyle w:val="47"/>
                    <w:bidi w:val="0"/>
                    <w:rPr>
                      <w:rFonts w:hint="default"/>
                      <w:lang w:val="en-US" w:eastAsia="zh-CN"/>
                    </w:rPr>
                  </w:pPr>
                  <w:r>
                    <w:rPr>
                      <w:rFonts w:hint="eastAsia"/>
                      <w:lang w:val="en-US" w:eastAsia="zh-CN"/>
                    </w:rPr>
                    <w:t>-3.0</w:t>
                  </w:r>
                </w:p>
              </w:tc>
              <w:tc>
                <w:tcPr>
                  <w:tcW w:w="686" w:type="pct"/>
                  <w:noWrap/>
                  <w:vAlign w:val="center"/>
                </w:tcPr>
                <w:p w14:paraId="0A45A735">
                  <w:pPr>
                    <w:pStyle w:val="47"/>
                    <w:bidi w:val="0"/>
                    <w:rPr>
                      <w:rFonts w:hint="default"/>
                      <w:lang w:val="en-US" w:eastAsia="zh-CN"/>
                    </w:rPr>
                  </w:pPr>
                  <w:r>
                    <w:rPr>
                      <w:rFonts w:hint="eastAsia"/>
                      <w:lang w:val="en-US" w:eastAsia="zh-CN"/>
                    </w:rPr>
                    <w:t>1.0</w:t>
                  </w:r>
                </w:p>
              </w:tc>
              <w:tc>
                <w:tcPr>
                  <w:tcW w:w="874" w:type="pct"/>
                  <w:noWrap/>
                  <w:vAlign w:val="center"/>
                </w:tcPr>
                <w:p w14:paraId="2C429EF7">
                  <w:pPr>
                    <w:pStyle w:val="47"/>
                    <w:bidi w:val="0"/>
                    <w:rPr>
                      <w:rFonts w:hint="default"/>
                      <w:lang w:val="en-US" w:eastAsia="zh-CN"/>
                    </w:rPr>
                  </w:pPr>
                  <w:r>
                    <w:rPr>
                      <w:rFonts w:hint="eastAsia"/>
                      <w:lang w:val="en-US" w:eastAsia="zh-CN"/>
                    </w:rPr>
                    <w:t>85</w:t>
                  </w:r>
                </w:p>
              </w:tc>
              <w:tc>
                <w:tcPr>
                  <w:tcW w:w="723" w:type="pct"/>
                  <w:vMerge w:val="continue"/>
                  <w:noWrap/>
                  <w:vAlign w:val="center"/>
                </w:tcPr>
                <w:p w14:paraId="752A4804">
                  <w:pPr>
                    <w:pStyle w:val="47"/>
                    <w:bidi w:val="0"/>
                  </w:pPr>
                </w:p>
              </w:tc>
              <w:tc>
                <w:tcPr>
                  <w:tcW w:w="312" w:type="pct"/>
                  <w:vMerge w:val="continue"/>
                  <w:noWrap/>
                  <w:vAlign w:val="center"/>
                </w:tcPr>
                <w:p w14:paraId="4D9BD204">
                  <w:pPr>
                    <w:pStyle w:val="47"/>
                    <w:bidi w:val="0"/>
                    <w:rPr>
                      <w:rFonts w:hint="eastAsia"/>
                      <w:lang w:val="en-US" w:eastAsia="zh-CN"/>
                    </w:rPr>
                  </w:pPr>
                </w:p>
              </w:tc>
            </w:tr>
            <w:tr w14:paraId="2889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5" w:type="pct"/>
                  <w:noWrap/>
                  <w:vAlign w:val="center"/>
                </w:tcPr>
                <w:p w14:paraId="6606EC8C">
                  <w:pPr>
                    <w:pStyle w:val="47"/>
                    <w:bidi w:val="0"/>
                    <w:rPr>
                      <w:rFonts w:hint="eastAsia"/>
                      <w:lang w:val="en-US" w:eastAsia="zh-CN"/>
                    </w:rPr>
                  </w:pPr>
                  <w:r>
                    <w:rPr>
                      <w:rFonts w:hint="eastAsia"/>
                      <w:lang w:val="en-US" w:eastAsia="zh-CN"/>
                    </w:rPr>
                    <w:t>4</w:t>
                  </w:r>
                </w:p>
              </w:tc>
              <w:tc>
                <w:tcPr>
                  <w:tcW w:w="1028" w:type="pct"/>
                  <w:noWrap/>
                  <w:vAlign w:val="center"/>
                </w:tcPr>
                <w:p w14:paraId="766C6DC1">
                  <w:pPr>
                    <w:pStyle w:val="47"/>
                    <w:bidi w:val="0"/>
                    <w:rPr>
                      <w:rFonts w:hint="default"/>
                    </w:rPr>
                  </w:pPr>
                  <w:r>
                    <w:rPr>
                      <w:rFonts w:hint="eastAsia"/>
                      <w:lang w:val="en-US" w:eastAsia="zh-CN"/>
                    </w:rPr>
                    <w:t>EPP汽车零配件生产线</w:t>
                  </w:r>
                  <w:r>
                    <w:t>风机</w:t>
                  </w:r>
                </w:p>
              </w:tc>
              <w:tc>
                <w:tcPr>
                  <w:tcW w:w="584" w:type="pct"/>
                  <w:noWrap/>
                  <w:vAlign w:val="center"/>
                </w:tcPr>
                <w:p w14:paraId="6CF15150">
                  <w:pPr>
                    <w:pStyle w:val="47"/>
                    <w:bidi w:val="0"/>
                    <w:rPr>
                      <w:rFonts w:hint="default"/>
                      <w:lang w:val="en-US" w:eastAsia="zh-CN"/>
                    </w:rPr>
                  </w:pPr>
                  <w:r>
                    <w:rPr>
                      <w:rFonts w:hint="eastAsia"/>
                      <w:lang w:val="en-US" w:eastAsia="zh-CN"/>
                    </w:rPr>
                    <w:t>71.5</w:t>
                  </w:r>
                </w:p>
              </w:tc>
              <w:tc>
                <w:tcPr>
                  <w:tcW w:w="514" w:type="pct"/>
                  <w:noWrap/>
                  <w:vAlign w:val="center"/>
                </w:tcPr>
                <w:p w14:paraId="5A537B52">
                  <w:pPr>
                    <w:pStyle w:val="47"/>
                    <w:bidi w:val="0"/>
                    <w:rPr>
                      <w:rFonts w:hint="default"/>
                      <w:lang w:val="en-US" w:eastAsia="zh-CN"/>
                    </w:rPr>
                  </w:pPr>
                  <w:r>
                    <w:rPr>
                      <w:rFonts w:hint="eastAsia"/>
                      <w:lang w:val="en-US" w:eastAsia="zh-CN"/>
                    </w:rPr>
                    <w:t>47</w:t>
                  </w:r>
                </w:p>
              </w:tc>
              <w:tc>
                <w:tcPr>
                  <w:tcW w:w="686" w:type="pct"/>
                  <w:noWrap/>
                  <w:vAlign w:val="center"/>
                </w:tcPr>
                <w:p w14:paraId="14864481">
                  <w:pPr>
                    <w:pStyle w:val="47"/>
                    <w:bidi w:val="0"/>
                    <w:rPr>
                      <w:rFonts w:hint="default"/>
                    </w:rPr>
                  </w:pPr>
                  <w:r>
                    <w:t>0.5</w:t>
                  </w:r>
                </w:p>
              </w:tc>
              <w:tc>
                <w:tcPr>
                  <w:tcW w:w="874" w:type="pct"/>
                  <w:noWrap/>
                  <w:vAlign w:val="center"/>
                </w:tcPr>
                <w:p w14:paraId="63AC4CED">
                  <w:pPr>
                    <w:pStyle w:val="47"/>
                    <w:bidi w:val="0"/>
                    <w:rPr>
                      <w:rFonts w:hint="default"/>
                    </w:rPr>
                  </w:pPr>
                  <w:r>
                    <w:t>80</w:t>
                  </w:r>
                </w:p>
              </w:tc>
              <w:tc>
                <w:tcPr>
                  <w:tcW w:w="723" w:type="pct"/>
                  <w:vMerge w:val="continue"/>
                  <w:noWrap/>
                  <w:vAlign w:val="center"/>
                </w:tcPr>
                <w:p w14:paraId="3254A9D7">
                  <w:pPr>
                    <w:pStyle w:val="47"/>
                    <w:bidi w:val="0"/>
                    <w:rPr>
                      <w:rFonts w:hint="default"/>
                    </w:rPr>
                  </w:pPr>
                </w:p>
              </w:tc>
              <w:tc>
                <w:tcPr>
                  <w:tcW w:w="312" w:type="pct"/>
                  <w:vMerge w:val="continue"/>
                  <w:noWrap/>
                  <w:vAlign w:val="center"/>
                </w:tcPr>
                <w:p w14:paraId="6125DFA7">
                  <w:pPr>
                    <w:pStyle w:val="47"/>
                    <w:bidi w:val="0"/>
                    <w:rPr>
                      <w:rFonts w:hint="default"/>
                    </w:rPr>
                  </w:pPr>
                </w:p>
              </w:tc>
            </w:tr>
            <w:tr w14:paraId="1585D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5" w:type="pct"/>
                  <w:noWrap/>
                  <w:vAlign w:val="center"/>
                </w:tcPr>
                <w:p w14:paraId="0EA7AFC3">
                  <w:pPr>
                    <w:pStyle w:val="47"/>
                    <w:bidi w:val="0"/>
                    <w:rPr>
                      <w:rFonts w:hint="eastAsia"/>
                      <w:lang w:val="en-US" w:eastAsia="zh-CN"/>
                    </w:rPr>
                  </w:pPr>
                  <w:r>
                    <w:rPr>
                      <w:rFonts w:hint="eastAsia"/>
                      <w:lang w:val="en-US" w:eastAsia="zh-CN"/>
                    </w:rPr>
                    <w:t>5</w:t>
                  </w:r>
                </w:p>
              </w:tc>
              <w:tc>
                <w:tcPr>
                  <w:tcW w:w="1028" w:type="pct"/>
                  <w:noWrap/>
                  <w:vAlign w:val="center"/>
                </w:tcPr>
                <w:p w14:paraId="2C892E58">
                  <w:pPr>
                    <w:pStyle w:val="47"/>
                    <w:bidi w:val="0"/>
                    <w:rPr>
                      <w:rFonts w:hint="default"/>
                      <w:lang w:val="en-US"/>
                    </w:rPr>
                  </w:pPr>
                  <w:r>
                    <w:rPr>
                      <w:rFonts w:hint="eastAsia"/>
                      <w:lang w:val="en-US" w:eastAsia="zh-CN"/>
                    </w:rPr>
                    <w:t>EPP汽车零配件生产线空压机</w:t>
                  </w:r>
                </w:p>
              </w:tc>
              <w:tc>
                <w:tcPr>
                  <w:tcW w:w="584" w:type="pct"/>
                  <w:noWrap/>
                  <w:vAlign w:val="center"/>
                </w:tcPr>
                <w:p w14:paraId="4D9C951D">
                  <w:pPr>
                    <w:pStyle w:val="47"/>
                    <w:bidi w:val="0"/>
                    <w:rPr>
                      <w:rFonts w:hint="default"/>
                      <w:lang w:val="en-US" w:eastAsia="zh-CN"/>
                    </w:rPr>
                  </w:pPr>
                  <w:r>
                    <w:rPr>
                      <w:rFonts w:hint="eastAsia"/>
                      <w:lang w:val="en-US" w:eastAsia="zh-CN"/>
                    </w:rPr>
                    <w:t>40</w:t>
                  </w:r>
                </w:p>
              </w:tc>
              <w:tc>
                <w:tcPr>
                  <w:tcW w:w="514" w:type="pct"/>
                  <w:noWrap/>
                  <w:vAlign w:val="center"/>
                </w:tcPr>
                <w:p w14:paraId="15231297">
                  <w:pPr>
                    <w:pStyle w:val="47"/>
                    <w:bidi w:val="0"/>
                    <w:rPr>
                      <w:rFonts w:hint="default"/>
                      <w:lang w:val="en-US" w:eastAsia="zh-CN"/>
                    </w:rPr>
                  </w:pPr>
                  <w:r>
                    <w:rPr>
                      <w:rFonts w:hint="eastAsia"/>
                      <w:lang w:val="en-US" w:eastAsia="zh-CN"/>
                    </w:rPr>
                    <w:t>47</w:t>
                  </w:r>
                </w:p>
              </w:tc>
              <w:tc>
                <w:tcPr>
                  <w:tcW w:w="686" w:type="pct"/>
                  <w:noWrap/>
                  <w:vAlign w:val="center"/>
                </w:tcPr>
                <w:p w14:paraId="28B2CE7B">
                  <w:pPr>
                    <w:pStyle w:val="47"/>
                    <w:bidi w:val="0"/>
                    <w:rPr>
                      <w:rFonts w:hint="default"/>
                    </w:rPr>
                  </w:pPr>
                  <w:r>
                    <w:t>0.5</w:t>
                  </w:r>
                </w:p>
              </w:tc>
              <w:tc>
                <w:tcPr>
                  <w:tcW w:w="874" w:type="pct"/>
                  <w:noWrap/>
                  <w:vAlign w:val="center"/>
                </w:tcPr>
                <w:p w14:paraId="59AA8BFD">
                  <w:pPr>
                    <w:pStyle w:val="47"/>
                    <w:bidi w:val="0"/>
                    <w:rPr>
                      <w:rFonts w:hint="default"/>
                      <w:lang w:val="en-US"/>
                    </w:rPr>
                  </w:pPr>
                  <w:r>
                    <w:rPr>
                      <w:rFonts w:hint="eastAsia"/>
                      <w:lang w:val="en-US" w:eastAsia="zh-CN"/>
                    </w:rPr>
                    <w:t>85</w:t>
                  </w:r>
                </w:p>
              </w:tc>
              <w:tc>
                <w:tcPr>
                  <w:tcW w:w="723" w:type="pct"/>
                  <w:vMerge w:val="continue"/>
                  <w:noWrap/>
                  <w:vAlign w:val="center"/>
                </w:tcPr>
                <w:p w14:paraId="0D9C7D08">
                  <w:pPr>
                    <w:pStyle w:val="47"/>
                    <w:bidi w:val="0"/>
                    <w:rPr>
                      <w:rFonts w:hint="default"/>
                    </w:rPr>
                  </w:pPr>
                </w:p>
              </w:tc>
              <w:tc>
                <w:tcPr>
                  <w:tcW w:w="312" w:type="pct"/>
                  <w:vMerge w:val="continue"/>
                  <w:noWrap/>
                  <w:vAlign w:val="center"/>
                </w:tcPr>
                <w:p w14:paraId="17C31299">
                  <w:pPr>
                    <w:pStyle w:val="47"/>
                    <w:bidi w:val="0"/>
                    <w:rPr>
                      <w:rFonts w:hint="default"/>
                    </w:rPr>
                  </w:pPr>
                </w:p>
              </w:tc>
            </w:tr>
            <w:tr w14:paraId="6164A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5" w:type="pct"/>
                  <w:noWrap/>
                  <w:vAlign w:val="center"/>
                </w:tcPr>
                <w:p w14:paraId="47D76B03">
                  <w:pPr>
                    <w:pStyle w:val="47"/>
                    <w:bidi w:val="0"/>
                    <w:rPr>
                      <w:rFonts w:hint="eastAsia"/>
                      <w:lang w:val="en-US" w:eastAsia="zh-CN"/>
                    </w:rPr>
                  </w:pPr>
                  <w:r>
                    <w:rPr>
                      <w:rFonts w:hint="eastAsia"/>
                      <w:lang w:val="en-US" w:eastAsia="zh-CN"/>
                    </w:rPr>
                    <w:t>6</w:t>
                  </w:r>
                </w:p>
              </w:tc>
              <w:tc>
                <w:tcPr>
                  <w:tcW w:w="1028" w:type="pct"/>
                  <w:noWrap/>
                  <w:vAlign w:val="center"/>
                </w:tcPr>
                <w:p w14:paraId="4E024199">
                  <w:pPr>
                    <w:pStyle w:val="47"/>
                    <w:bidi w:val="0"/>
                    <w:rPr>
                      <w:rFonts w:hint="default"/>
                      <w:lang w:val="en-US"/>
                    </w:rPr>
                  </w:pPr>
                  <w:r>
                    <w:rPr>
                      <w:rFonts w:hint="eastAsia"/>
                      <w:lang w:val="en-US" w:eastAsia="zh-CN"/>
                    </w:rPr>
                    <w:t>EPP汽车零配件生产线冷却塔</w:t>
                  </w:r>
                </w:p>
              </w:tc>
              <w:tc>
                <w:tcPr>
                  <w:tcW w:w="584" w:type="pct"/>
                  <w:noWrap/>
                  <w:vAlign w:val="center"/>
                </w:tcPr>
                <w:p w14:paraId="24E49A5F">
                  <w:pPr>
                    <w:pStyle w:val="47"/>
                    <w:bidi w:val="0"/>
                    <w:rPr>
                      <w:rFonts w:hint="default"/>
                      <w:lang w:val="en-US" w:eastAsia="zh-CN"/>
                    </w:rPr>
                  </w:pPr>
                  <w:r>
                    <w:rPr>
                      <w:rFonts w:hint="eastAsia"/>
                      <w:lang w:val="en-US" w:eastAsia="zh-CN"/>
                    </w:rPr>
                    <w:t>31.5</w:t>
                  </w:r>
                </w:p>
              </w:tc>
              <w:tc>
                <w:tcPr>
                  <w:tcW w:w="514" w:type="pct"/>
                  <w:noWrap/>
                  <w:vAlign w:val="center"/>
                </w:tcPr>
                <w:p w14:paraId="0AB38444">
                  <w:pPr>
                    <w:pStyle w:val="47"/>
                    <w:bidi w:val="0"/>
                    <w:rPr>
                      <w:rFonts w:hint="default"/>
                      <w:lang w:val="en-US" w:eastAsia="zh-CN"/>
                    </w:rPr>
                  </w:pPr>
                  <w:r>
                    <w:rPr>
                      <w:rFonts w:hint="eastAsia"/>
                      <w:lang w:val="en-US" w:eastAsia="zh-CN"/>
                    </w:rPr>
                    <w:t>47</w:t>
                  </w:r>
                </w:p>
              </w:tc>
              <w:tc>
                <w:tcPr>
                  <w:tcW w:w="686" w:type="pct"/>
                  <w:noWrap/>
                  <w:vAlign w:val="center"/>
                </w:tcPr>
                <w:p w14:paraId="5F33A31D">
                  <w:pPr>
                    <w:pStyle w:val="47"/>
                    <w:bidi w:val="0"/>
                    <w:rPr>
                      <w:rFonts w:hint="default"/>
                      <w:lang w:val="en-US" w:eastAsia="zh-CN"/>
                    </w:rPr>
                  </w:pPr>
                  <w:r>
                    <w:rPr>
                      <w:rFonts w:hint="eastAsia"/>
                      <w:lang w:val="en-US" w:eastAsia="zh-CN"/>
                    </w:rPr>
                    <w:t>1.0</w:t>
                  </w:r>
                </w:p>
              </w:tc>
              <w:tc>
                <w:tcPr>
                  <w:tcW w:w="874" w:type="pct"/>
                  <w:noWrap/>
                  <w:vAlign w:val="center"/>
                </w:tcPr>
                <w:p w14:paraId="67826481">
                  <w:pPr>
                    <w:pStyle w:val="47"/>
                    <w:bidi w:val="0"/>
                    <w:rPr>
                      <w:rFonts w:hint="default"/>
                      <w:lang w:val="en-US" w:eastAsia="zh-CN"/>
                    </w:rPr>
                  </w:pPr>
                  <w:r>
                    <w:rPr>
                      <w:rFonts w:hint="eastAsia"/>
                      <w:lang w:val="en-US" w:eastAsia="zh-CN"/>
                    </w:rPr>
                    <w:t>85</w:t>
                  </w:r>
                </w:p>
              </w:tc>
              <w:tc>
                <w:tcPr>
                  <w:tcW w:w="723" w:type="pct"/>
                  <w:vMerge w:val="continue"/>
                  <w:noWrap/>
                  <w:vAlign w:val="center"/>
                </w:tcPr>
                <w:p w14:paraId="73DE976D">
                  <w:pPr>
                    <w:pStyle w:val="47"/>
                    <w:bidi w:val="0"/>
                    <w:rPr>
                      <w:rFonts w:hint="default"/>
                    </w:rPr>
                  </w:pPr>
                </w:p>
              </w:tc>
              <w:tc>
                <w:tcPr>
                  <w:tcW w:w="312" w:type="pct"/>
                  <w:vMerge w:val="continue"/>
                  <w:noWrap/>
                  <w:vAlign w:val="center"/>
                </w:tcPr>
                <w:p w14:paraId="52E0887F">
                  <w:pPr>
                    <w:pStyle w:val="47"/>
                    <w:bidi w:val="0"/>
                    <w:rPr>
                      <w:rFonts w:hint="default"/>
                    </w:rPr>
                  </w:pPr>
                </w:p>
              </w:tc>
            </w:tr>
            <w:tr w14:paraId="179F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8"/>
                  <w:noWrap/>
                  <w:vAlign w:val="center"/>
                </w:tcPr>
                <w:p w14:paraId="422C24F5">
                  <w:pPr>
                    <w:pStyle w:val="47"/>
                    <w:bidi w:val="0"/>
                    <w:jc w:val="left"/>
                    <w:rPr>
                      <w:rFonts w:hint="eastAsia"/>
                      <w:lang w:val="en-US" w:eastAsia="zh-CN"/>
                    </w:rPr>
                  </w:pPr>
                  <w:r>
                    <w:rPr>
                      <w:rFonts w:hint="eastAsia"/>
                      <w:lang w:val="en-US" w:eastAsia="zh-CN"/>
                    </w:rPr>
                    <w:t>备注：①以1#厂房西南点为原点</w:t>
                  </w:r>
                </w:p>
              </w:tc>
            </w:tr>
          </w:tbl>
          <w:p w14:paraId="5E012D9C">
            <w:pPr>
              <w:pStyle w:val="42"/>
              <w:ind w:firstLine="0" w:firstLineChars="0"/>
              <w:jc w:val="center"/>
              <w:rPr>
                <w:rFonts w:hint="eastAsia"/>
                <w:b/>
                <w:color w:val="000000" w:themeColor="text1"/>
                <w:kern w:val="0"/>
                <w:szCs w:val="21"/>
                <w:lang w:val="en-GB"/>
                <w14:textFill>
                  <w14:solidFill>
                    <w14:schemeClr w14:val="tx1"/>
                  </w14:solidFill>
                </w14:textFill>
              </w:rPr>
            </w:pPr>
          </w:p>
          <w:p w14:paraId="4C9D7514">
            <w:pPr>
              <w:pStyle w:val="42"/>
              <w:ind w:firstLine="0" w:firstLineChars="0"/>
              <w:jc w:val="center"/>
              <w:rPr>
                <w:rFonts w:hint="eastAsia"/>
                <w:b/>
                <w:color w:val="000000" w:themeColor="text1"/>
                <w:kern w:val="0"/>
                <w:szCs w:val="21"/>
                <w:lang w:val="en-GB"/>
                <w14:textFill>
                  <w14:solidFill>
                    <w14:schemeClr w14:val="tx1"/>
                  </w14:solidFill>
                </w14:textFill>
              </w:rPr>
            </w:pPr>
          </w:p>
          <w:p w14:paraId="7FA36B97">
            <w:pPr>
              <w:pStyle w:val="42"/>
              <w:ind w:firstLine="0" w:firstLineChars="0"/>
              <w:jc w:val="center"/>
              <w:rPr>
                <w:rFonts w:hint="eastAsia"/>
                <w:b/>
                <w:color w:val="000000" w:themeColor="text1"/>
                <w:kern w:val="0"/>
                <w:szCs w:val="21"/>
                <w:lang w:val="en-GB"/>
                <w14:textFill>
                  <w14:solidFill>
                    <w14:schemeClr w14:val="tx1"/>
                  </w14:solidFill>
                </w14:textFill>
              </w:rPr>
            </w:pPr>
          </w:p>
          <w:p w14:paraId="5E8C98F2">
            <w:pPr>
              <w:pStyle w:val="42"/>
              <w:ind w:firstLine="0" w:firstLineChars="0"/>
              <w:jc w:val="center"/>
              <w:rPr>
                <w:rFonts w:hint="eastAsia"/>
                <w:b/>
                <w:color w:val="000000" w:themeColor="text1"/>
                <w:kern w:val="0"/>
                <w:szCs w:val="21"/>
                <w:lang w:val="en-GB"/>
                <w14:textFill>
                  <w14:solidFill>
                    <w14:schemeClr w14:val="tx1"/>
                  </w14:solidFill>
                </w14:textFill>
              </w:rPr>
            </w:pPr>
          </w:p>
          <w:p w14:paraId="6EAC70CD">
            <w:pPr>
              <w:pStyle w:val="42"/>
              <w:ind w:firstLine="0" w:firstLineChars="0"/>
              <w:jc w:val="center"/>
              <w:rPr>
                <w:rFonts w:hint="eastAsia"/>
                <w:b/>
                <w:color w:val="000000" w:themeColor="text1"/>
                <w:kern w:val="0"/>
                <w:szCs w:val="21"/>
                <w:lang w:val="en-GB"/>
                <w14:textFill>
                  <w14:solidFill>
                    <w14:schemeClr w14:val="tx1"/>
                  </w14:solidFill>
                </w14:textFill>
              </w:rPr>
            </w:pPr>
          </w:p>
          <w:p w14:paraId="71D66673">
            <w:pPr>
              <w:pStyle w:val="42"/>
              <w:ind w:firstLine="0" w:firstLineChars="0"/>
              <w:jc w:val="center"/>
              <w:rPr>
                <w:rFonts w:hint="eastAsia"/>
                <w:b/>
                <w:color w:val="000000" w:themeColor="text1"/>
                <w:kern w:val="0"/>
                <w:szCs w:val="21"/>
                <w:lang w:val="en-GB"/>
                <w14:textFill>
                  <w14:solidFill>
                    <w14:schemeClr w14:val="tx1"/>
                  </w14:solidFill>
                </w14:textFill>
              </w:rPr>
            </w:pPr>
          </w:p>
          <w:p w14:paraId="6EE5D80E">
            <w:pPr>
              <w:pStyle w:val="42"/>
              <w:ind w:firstLine="0" w:firstLineChars="0"/>
              <w:jc w:val="center"/>
              <w:rPr>
                <w:rFonts w:hint="eastAsia"/>
                <w:b/>
                <w:color w:val="000000" w:themeColor="text1"/>
                <w:kern w:val="0"/>
                <w:szCs w:val="21"/>
                <w:lang w:val="en-GB"/>
                <w14:textFill>
                  <w14:solidFill>
                    <w14:schemeClr w14:val="tx1"/>
                  </w14:solidFill>
                </w14:textFill>
              </w:rPr>
            </w:pPr>
          </w:p>
          <w:p w14:paraId="47277895">
            <w:pPr>
              <w:pStyle w:val="42"/>
              <w:ind w:firstLine="0" w:firstLineChars="0"/>
              <w:jc w:val="center"/>
              <w:rPr>
                <w:rFonts w:hint="eastAsia"/>
                <w:b/>
                <w:color w:val="000000" w:themeColor="text1"/>
                <w:kern w:val="0"/>
                <w:szCs w:val="21"/>
                <w:lang w:val="en-GB"/>
                <w14:textFill>
                  <w14:solidFill>
                    <w14:schemeClr w14:val="tx1"/>
                  </w14:solidFill>
                </w14:textFill>
              </w:rPr>
            </w:pPr>
          </w:p>
          <w:p w14:paraId="7178FD6A">
            <w:pPr>
              <w:pStyle w:val="42"/>
              <w:ind w:firstLine="0" w:firstLineChars="0"/>
              <w:jc w:val="center"/>
              <w:rPr>
                <w:rFonts w:hint="eastAsia"/>
                <w:b/>
                <w:color w:val="000000" w:themeColor="text1"/>
                <w:kern w:val="0"/>
                <w:szCs w:val="21"/>
                <w:lang w:val="en-GB"/>
                <w14:textFill>
                  <w14:solidFill>
                    <w14:schemeClr w14:val="tx1"/>
                  </w14:solidFill>
                </w14:textFill>
              </w:rPr>
            </w:pPr>
          </w:p>
          <w:p w14:paraId="7E617949">
            <w:pPr>
              <w:jc w:val="both"/>
            </w:pPr>
          </w:p>
        </w:tc>
      </w:tr>
    </w:tbl>
    <w:p w14:paraId="76C4DC7F">
      <w:pPr>
        <w:pStyle w:val="3"/>
        <w:ind w:firstLine="667"/>
        <w:rPr>
          <w:color w:val="auto"/>
          <w:spacing w:val="6"/>
          <w:highlight w:val="none"/>
        </w:rPr>
        <w:sectPr>
          <w:pgSz w:w="16838" w:h="11906" w:orient="landscape"/>
          <w:pgMar w:top="1417" w:right="1417" w:bottom="1417" w:left="1417" w:header="737" w:footer="850" w:gutter="0"/>
          <w:pgBorders>
            <w:top w:val="none" w:sz="0" w:space="0"/>
            <w:left w:val="none" w:sz="0" w:space="0"/>
            <w:bottom w:val="none" w:sz="0" w:space="0"/>
            <w:right w:val="none" w:sz="0" w:space="0"/>
          </w:pgBorders>
          <w:pgNumType w:start="1"/>
          <w:cols w:space="0" w:num="1"/>
          <w:rtlGutter w:val="0"/>
          <w:docGrid w:type="lines" w:linePitch="336"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8678"/>
      </w:tblGrid>
      <w:tr w14:paraId="6F0E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0" w:type="dxa"/>
          </w:tcPr>
          <w:p w14:paraId="32DB293C">
            <w:pPr>
              <w:pStyle w:val="3"/>
              <w:rPr>
                <w:color w:val="auto"/>
                <w:spacing w:val="6"/>
                <w:highlight w:val="none"/>
                <w:vertAlign w:val="baseline"/>
              </w:rPr>
            </w:pPr>
          </w:p>
        </w:tc>
        <w:tc>
          <w:tcPr>
            <w:tcW w:w="8678" w:type="dxa"/>
          </w:tcPr>
          <w:p w14:paraId="6AC0A805">
            <w:pPr>
              <w:ind w:firstLine="482"/>
              <w:jc w:val="both"/>
              <w:rPr>
                <w:b/>
                <w:bCs/>
              </w:rPr>
            </w:pPr>
            <w:r>
              <w:rPr>
                <w:rFonts w:hint="eastAsia"/>
                <w:b/>
                <w:bCs/>
              </w:rPr>
              <w:t>2、噪声防治措施</w:t>
            </w:r>
          </w:p>
          <w:p w14:paraId="7081D490">
            <w:pPr>
              <w:ind w:firstLine="480"/>
              <w:jc w:val="both"/>
            </w:pPr>
            <w:r>
              <w:rPr>
                <w:rFonts w:hint="eastAsia"/>
                <w:color w:val="000000" w:themeColor="text1"/>
                <w14:textFill>
                  <w14:solidFill>
                    <w14:schemeClr w14:val="tx1"/>
                  </w14:solidFill>
                </w14:textFill>
              </w:rPr>
              <w:t>本项目噪声主要为设备噪声及环保风机噪声，主要设备噪声源强在70-</w:t>
            </w:r>
            <w:r>
              <w:rPr>
                <w:rFonts w:hint="eastAsia"/>
                <w:color w:val="000000" w:themeColor="text1"/>
                <w:lang w:val="en-US" w:eastAsia="zh-CN"/>
                <w14:textFill>
                  <w14:solidFill>
                    <w14:schemeClr w14:val="tx1"/>
                  </w14:solidFill>
                </w14:textFill>
              </w:rPr>
              <w:t>85</w:t>
            </w:r>
            <w:r>
              <w:rPr>
                <w:rFonts w:hint="eastAsia"/>
                <w:color w:val="000000" w:themeColor="text1"/>
                <w14:textFill>
                  <w14:solidFill>
                    <w14:schemeClr w14:val="tx1"/>
                  </w14:solidFill>
                </w14:textFill>
              </w:rPr>
              <w:t>dB(A)之间。建议采取的措施为</w:t>
            </w:r>
            <w:r>
              <w:rPr>
                <w:rFonts w:hint="eastAsia"/>
              </w:rPr>
              <w:t>：</w:t>
            </w:r>
          </w:p>
          <w:p w14:paraId="7B8178AC">
            <w:pPr>
              <w:ind w:firstLine="480"/>
              <w:jc w:val="both"/>
            </w:pPr>
            <w:r>
              <w:rPr>
                <w:rFonts w:hint="eastAsia"/>
              </w:rPr>
              <w:t>1）合理布局：项目将高噪声设备尽量布置在厂区中部，通过距离衰减减轻噪声对外环境的影响。</w:t>
            </w:r>
          </w:p>
          <w:p w14:paraId="51AF25AA">
            <w:pPr>
              <w:ind w:firstLine="480"/>
              <w:jc w:val="both"/>
            </w:pPr>
            <w:r>
              <w:rPr>
                <w:rFonts w:hint="eastAsia"/>
              </w:rPr>
              <w:t>2）选择低噪声设备：在满足工艺要求的前提下应尽量采用低噪声设备。</w:t>
            </w:r>
          </w:p>
          <w:p w14:paraId="4674A299">
            <w:pPr>
              <w:ind w:firstLine="480"/>
              <w:jc w:val="both"/>
            </w:pPr>
            <w:r>
              <w:rPr>
                <w:rFonts w:hint="eastAsia"/>
              </w:rPr>
              <w:t>3）隔声、减震：建设单位根据噪声产生的性质和机理不同分别采用了隔声、减振等方式进行了降噪处理。通过安装减震垫或者墙体隔声来达到降低噪声的目的。</w:t>
            </w:r>
          </w:p>
          <w:p w14:paraId="5AAFC522">
            <w:pPr>
              <w:ind w:firstLine="480"/>
              <w:jc w:val="both"/>
            </w:pPr>
            <w:r>
              <w:rPr>
                <w:rFonts w:hint="eastAsia"/>
              </w:rPr>
              <w:t>4）强化生产管理：在营运中加强管理，制定操作规范，加强各种机械设备的维护保养，保持其具有良好的运行效果。</w:t>
            </w:r>
          </w:p>
          <w:p w14:paraId="4B248060">
            <w:pPr>
              <w:ind w:firstLine="480"/>
              <w:jc w:val="both"/>
            </w:pPr>
            <w:r>
              <w:rPr>
                <w:rFonts w:hint="eastAsia"/>
              </w:rPr>
              <w:t>通过上述措施处理后，各排放点噪声源强可下降40dB(A)左右，降噪效果较明显。</w:t>
            </w:r>
          </w:p>
          <w:p w14:paraId="3252B9D3">
            <w:pPr>
              <w:ind w:firstLine="482"/>
              <w:jc w:val="both"/>
              <w:rPr>
                <w:b/>
                <w:bCs/>
              </w:rPr>
            </w:pPr>
            <w:r>
              <w:rPr>
                <w:rFonts w:hint="eastAsia"/>
                <w:b/>
                <w:bCs/>
              </w:rPr>
              <w:t>3、噪声达标分析</w:t>
            </w:r>
          </w:p>
          <w:p w14:paraId="41AB9AC2">
            <w:pPr>
              <w:pStyle w:val="42"/>
              <w:wordWrap w:val="0"/>
              <w:ind w:firstLine="480"/>
              <w:jc w:val="both"/>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根据</w:t>
            </w:r>
            <w:r>
              <w:rPr>
                <w:rFonts w:hint="eastAsia"/>
                <w:color w:val="000000" w:themeColor="text1"/>
                <w14:textFill>
                  <w14:solidFill>
                    <w14:schemeClr w14:val="tx1"/>
                  </w14:solidFill>
                </w14:textFill>
              </w:rPr>
              <w:t>项目噪声源和环境特征，并结合《环境影响评价技术导则 声环境》</w:t>
            </w:r>
            <w:r>
              <w:rPr>
                <w:color w:val="000000" w:themeColor="text1"/>
                <w14:textFill>
                  <w14:solidFill>
                    <w14:schemeClr w14:val="tx1"/>
                  </w14:solidFill>
                </w14:textFill>
              </w:rPr>
              <w:t xml:space="preserve"> (HJ</w:t>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2021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中推荐的模型预测噪声源排放噪声随距离的衰减变化规律。预测过程中仅考虑几何发散。</w:t>
            </w:r>
          </w:p>
          <w:p w14:paraId="448C3480">
            <w:pPr>
              <w:pStyle w:val="42"/>
              <w:ind w:firstLine="482"/>
              <w:jc w:val="both"/>
              <w:rPr>
                <w:b/>
                <w:bCs/>
                <w:color w:val="000000" w:themeColor="text1"/>
                <w14:textFill>
                  <w14:solidFill>
                    <w14:schemeClr w14:val="tx1"/>
                  </w14:solidFill>
                </w14:textFill>
              </w:rPr>
            </w:pPr>
            <w:r>
              <w:rPr>
                <w:b/>
                <w:bCs/>
                <w:color w:val="000000" w:themeColor="text1"/>
                <w14:textFill>
                  <w14:solidFill>
                    <w14:schemeClr w14:val="tx1"/>
                  </w14:solidFill>
                </w14:textFill>
              </w:rPr>
              <w:t>1)</w:t>
            </w:r>
            <w:r>
              <w:rPr>
                <w:rFonts w:hint="eastAsia"/>
                <w:b/>
                <w:bCs/>
                <w:color w:val="000000" w:themeColor="text1"/>
                <w14:textFill>
                  <w14:solidFill>
                    <w14:schemeClr w14:val="tx1"/>
                  </w14:solidFill>
                </w14:textFill>
              </w:rPr>
              <w:t>室外声源</w:t>
            </w:r>
          </w:p>
          <w:p w14:paraId="0BEE6BC7">
            <w:pPr>
              <w:pStyle w:val="42"/>
              <w:ind w:firstLine="480"/>
              <w:jc w:val="both"/>
              <w:rPr>
                <w:color w:val="000000" w:themeColor="text1"/>
                <w14:textFill>
                  <w14:solidFill>
                    <w14:schemeClr w14:val="tx1"/>
                  </w14:solidFill>
                </w14:textFill>
              </w:rPr>
            </w:pPr>
            <w:r>
              <w:rPr>
                <w:color w:val="000000" w:themeColor="text1"/>
                <w14:textFill>
                  <w14:solidFill>
                    <w14:schemeClr w14:val="tx1"/>
                  </w14:solidFill>
                </w14:textFill>
              </w:rPr>
              <w:t>①</w:t>
            </w:r>
            <w:r>
              <w:rPr>
                <w:rFonts w:hint="eastAsia"/>
                <w:color w:val="000000" w:themeColor="text1"/>
                <w14:textFill>
                  <w14:solidFill>
                    <w14:schemeClr w14:val="tx1"/>
                  </w14:solidFill>
                </w14:textFill>
              </w:rPr>
              <w:t>在只考虑集合发散衰减时，按下式进行计算</w:t>
            </w:r>
          </w:p>
          <w:p w14:paraId="37DF21A1">
            <w:p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1971675" cy="552450"/>
                  <wp:effectExtent l="0" t="0" r="9525" b="0"/>
                  <wp:docPr id="15" name="图片 37" descr="1679469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7" descr="1679469513(1)"/>
                          <pic:cNvPicPr>
                            <a:picLocks noChangeAspect="1"/>
                          </pic:cNvPicPr>
                        </pic:nvPicPr>
                        <pic:blipFill>
                          <a:blip r:embed="rId27"/>
                          <a:stretch>
                            <a:fillRect/>
                          </a:stretch>
                        </pic:blipFill>
                        <pic:spPr>
                          <a:xfrm>
                            <a:off x="0" y="0"/>
                            <a:ext cx="1971675" cy="552450"/>
                          </a:xfrm>
                          <a:prstGeom prst="rect">
                            <a:avLst/>
                          </a:prstGeom>
                          <a:noFill/>
                          <a:ln>
                            <a:noFill/>
                          </a:ln>
                        </pic:spPr>
                      </pic:pic>
                    </a:graphicData>
                  </a:graphic>
                </wp:inline>
              </w:drawing>
            </w:r>
          </w:p>
          <w:p w14:paraId="6A33E746">
            <w:pPr>
              <w:pStyle w:val="42"/>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r>
              <w:rPr>
                <w:color w:val="000000" w:themeColor="text1"/>
                <w14:textFill>
                  <w14:solidFill>
                    <w14:schemeClr w14:val="tx1"/>
                  </w14:solidFill>
                </w14:textFill>
              </w:rPr>
              <w:t>LoctI—</w:t>
            </w:r>
            <w:r>
              <w:rPr>
                <w:rFonts w:hint="eastAsia"/>
                <w:color w:val="000000" w:themeColor="text1"/>
                <w14:textFill>
                  <w14:solidFill>
                    <w14:schemeClr w14:val="tx1"/>
                  </w14:solidFill>
                </w14:textFill>
              </w:rPr>
              <w:t xml:space="preserve">点声源在预测点产生的倍频带声压级； </w:t>
            </w:r>
          </w:p>
          <w:p w14:paraId="22DFC868">
            <w:pPr>
              <w:pStyle w:val="42"/>
              <w:ind w:firstLine="480"/>
              <w:jc w:val="both"/>
              <w:rPr>
                <w:color w:val="000000" w:themeColor="text1"/>
                <w14:textFill>
                  <w14:solidFill>
                    <w14:schemeClr w14:val="tx1"/>
                  </w14:solidFill>
                </w14:textFill>
              </w:rPr>
            </w:pPr>
            <w:r>
              <w:rPr>
                <w:color w:val="000000" w:themeColor="text1"/>
                <w14:textFill>
                  <w14:solidFill>
                    <w14:schemeClr w14:val="tx1"/>
                  </w14:solidFill>
                </w14:textFill>
              </w:rPr>
              <w:t>Loct(r</w:t>
            </w:r>
            <w:r>
              <w:rPr>
                <w:color w:val="000000" w:themeColor="text1"/>
                <w:vertAlign w:val="subscript"/>
                <w14:textFill>
                  <w14:solidFill>
                    <w14:schemeClr w14:val="tx1"/>
                  </w14:solidFill>
                </w14:textFill>
              </w:rPr>
              <w:t>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参考位置 </w:t>
            </w:r>
            <w:r>
              <w:rPr>
                <w:color w:val="000000" w:themeColor="text1"/>
                <w14:textFill>
                  <w14:solidFill>
                    <w14:schemeClr w14:val="tx1"/>
                  </w14:solidFill>
                </w14:textFill>
              </w:rPr>
              <w:t>r</w:t>
            </w:r>
            <w:r>
              <w:rPr>
                <w:color w:val="000000" w:themeColor="text1"/>
                <w:vertAlign w:val="subscript"/>
                <w14:textFill>
                  <w14:solidFill>
                    <w14:schemeClr w14:val="tx1"/>
                  </w14:solidFill>
                </w14:textFill>
              </w:rPr>
              <w:t>0</w:t>
            </w:r>
            <w:r>
              <w:rPr>
                <w:rFonts w:hint="eastAsia"/>
                <w:color w:val="000000" w:themeColor="text1"/>
                <w14:textFill>
                  <w14:solidFill>
                    <w14:schemeClr w14:val="tx1"/>
                  </w14:solidFill>
                </w14:textFill>
              </w:rPr>
              <w:t xml:space="preserve">处的倍频带声压级； </w:t>
            </w:r>
          </w:p>
          <w:p w14:paraId="4784D63A">
            <w:pPr>
              <w:pStyle w:val="42"/>
              <w:ind w:firstLine="480"/>
              <w:jc w:val="both"/>
              <w:rPr>
                <w:color w:val="000000" w:themeColor="text1"/>
                <w14:textFill>
                  <w14:solidFill>
                    <w14:schemeClr w14:val="tx1"/>
                  </w14:solidFill>
                </w14:textFill>
              </w:rPr>
            </w:pPr>
            <w:r>
              <w:rPr>
                <w:color w:val="000000" w:themeColor="text1"/>
                <w14:textFill>
                  <w14:solidFill>
                    <w14:schemeClr w14:val="tx1"/>
                  </w14:solidFill>
                </w14:textFill>
              </w:rPr>
              <w:t>r—</w:t>
            </w:r>
            <w:r>
              <w:rPr>
                <w:rFonts w:hint="eastAsia"/>
                <w:color w:val="000000" w:themeColor="text1"/>
                <w14:textFill>
                  <w14:solidFill>
                    <w14:schemeClr w14:val="tx1"/>
                  </w14:solidFill>
                </w14:textFill>
              </w:rPr>
              <w:t>预测点距声源的距离，</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 xml:space="preserve">； </w:t>
            </w:r>
          </w:p>
          <w:p w14:paraId="110E4A8B">
            <w:pPr>
              <w:pStyle w:val="42"/>
              <w:ind w:firstLine="480"/>
              <w:jc w:val="both"/>
              <w:rPr>
                <w:color w:val="000000" w:themeColor="text1"/>
                <w14:textFill>
                  <w14:solidFill>
                    <w14:schemeClr w14:val="tx1"/>
                  </w14:solidFill>
                </w14:textFill>
              </w:rPr>
            </w:pPr>
            <w:r>
              <w:rPr>
                <w:color w:val="000000" w:themeColor="text1"/>
                <w14:textFill>
                  <w14:solidFill>
                    <w14:schemeClr w14:val="tx1"/>
                  </w14:solidFill>
                </w14:textFill>
              </w:rPr>
              <w:t>r</w:t>
            </w:r>
            <w:r>
              <w:rPr>
                <w:color w:val="000000" w:themeColor="text1"/>
                <w:vertAlign w:val="subscript"/>
                <w14:textFill>
                  <w14:solidFill>
                    <w14:schemeClr w14:val="tx1"/>
                  </w14:solidFill>
                </w14:textFill>
              </w:rPr>
              <w:t>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参考位置距声源的距离，</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 xml:space="preserve">； </w:t>
            </w:r>
          </w:p>
          <w:p w14:paraId="602569B2">
            <w:pPr>
              <w:pStyle w:val="42"/>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如果已知声源的倍频带声功率级 </w:t>
            </w:r>
            <w:r>
              <w:rPr>
                <w:color w:val="000000" w:themeColor="text1"/>
                <w14:textFill>
                  <w14:solidFill>
                    <w14:schemeClr w14:val="tx1"/>
                  </w14:solidFill>
                </w14:textFill>
              </w:rPr>
              <w:t>Lwoct</w:t>
            </w:r>
            <w:r>
              <w:rPr>
                <w:rFonts w:hint="eastAsia"/>
                <w:color w:val="000000" w:themeColor="text1"/>
                <w14:textFill>
                  <w14:solidFill>
                    <w14:schemeClr w14:val="tx1"/>
                  </w14:solidFill>
                </w14:textFill>
              </w:rPr>
              <w:t>，且声源可看作是位于地面上的，则</w:t>
            </w:r>
          </w:p>
          <w:p w14:paraId="07FBED46">
            <w:pPr>
              <w:pStyle w:val="42"/>
              <w:ind w:firstLine="48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400300" cy="380365"/>
                  <wp:effectExtent l="0" t="0" r="0" b="63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8"/>
                          <a:stretch>
                            <a:fillRect/>
                          </a:stretch>
                        </pic:blipFill>
                        <pic:spPr>
                          <a:xfrm>
                            <a:off x="0" y="0"/>
                            <a:ext cx="2400300" cy="380365"/>
                          </a:xfrm>
                          <a:prstGeom prst="rect">
                            <a:avLst/>
                          </a:prstGeom>
                          <a:noFill/>
                          <a:ln>
                            <a:noFill/>
                          </a:ln>
                        </pic:spPr>
                      </pic:pic>
                    </a:graphicData>
                  </a:graphic>
                </wp:inline>
              </w:drawing>
            </w:r>
          </w:p>
          <w:p w14:paraId="7ECA8604">
            <w:pPr>
              <w:pStyle w:val="42"/>
              <w:ind w:firstLine="480"/>
              <w:jc w:val="both"/>
              <w:rPr>
                <w:color w:val="000000" w:themeColor="text1"/>
                <w14:textFill>
                  <w14:solidFill>
                    <w14:schemeClr w14:val="tx1"/>
                  </w14:solidFill>
                </w14:textFill>
              </w:rPr>
            </w:pPr>
            <w:r>
              <w:rPr>
                <w:color w:val="000000" w:themeColor="text1"/>
                <w14:textFill>
                  <w14:solidFill>
                    <w14:schemeClr w14:val="tx1"/>
                  </w14:solidFill>
                </w14:textFill>
              </w:rPr>
              <w:t>②</w:t>
            </w:r>
            <w:r>
              <w:rPr>
                <w:rFonts w:hint="eastAsia"/>
                <w:color w:val="000000" w:themeColor="text1"/>
                <w14:textFill>
                  <w14:solidFill>
                    <w14:schemeClr w14:val="tx1"/>
                  </w14:solidFill>
                </w14:textFill>
              </w:rPr>
              <w:t xml:space="preserve">由各倍频带声压级合成计算出该声源产生的声级 </w:t>
            </w:r>
            <w:r>
              <w:rPr>
                <w:color w:val="000000" w:themeColor="text1"/>
                <w14:textFill>
                  <w14:solidFill>
                    <w14:schemeClr w14:val="tx1"/>
                  </w14:solidFill>
                </w14:textFill>
              </w:rPr>
              <w:t>LA</w:t>
            </w:r>
            <w:r>
              <w:rPr>
                <w:rFonts w:hint="eastAsia"/>
                <w:color w:val="000000" w:themeColor="text1"/>
                <w14:textFill>
                  <w14:solidFill>
                    <w14:schemeClr w14:val="tx1"/>
                  </w14:solidFill>
                </w14:textFill>
              </w:rPr>
              <w:t xml:space="preserve">。 </w:t>
            </w:r>
          </w:p>
          <w:p w14:paraId="2F51BFBA">
            <w:pPr>
              <w:pStyle w:val="42"/>
              <w:ind w:firstLine="482"/>
              <w:jc w:val="both"/>
              <w:rPr>
                <w:b/>
                <w:bCs/>
                <w:color w:val="000000" w:themeColor="text1"/>
                <w14:textFill>
                  <w14:solidFill>
                    <w14:schemeClr w14:val="tx1"/>
                  </w14:solidFill>
                </w14:textFill>
              </w:rPr>
            </w:pPr>
            <w:r>
              <w:rPr>
                <w:b/>
                <w:bCs/>
                <w:color w:val="000000" w:themeColor="text1"/>
                <w14:textFill>
                  <w14:solidFill>
                    <w14:schemeClr w14:val="tx1"/>
                  </w14:solidFill>
                </w14:textFill>
              </w:rPr>
              <w:t>2)</w:t>
            </w:r>
            <w:r>
              <w:rPr>
                <w:rFonts w:hint="eastAsia"/>
                <w:b/>
                <w:bCs/>
                <w:color w:val="000000" w:themeColor="text1"/>
                <w14:textFill>
                  <w14:solidFill>
                    <w14:schemeClr w14:val="tx1"/>
                  </w14:solidFill>
                </w14:textFill>
              </w:rPr>
              <w:t xml:space="preserve">室内声源 </w:t>
            </w:r>
          </w:p>
          <w:p w14:paraId="305DDA68">
            <w:pPr>
              <w:pStyle w:val="42"/>
              <w:ind w:firstLine="480"/>
              <w:jc w:val="both"/>
              <w:rPr>
                <w:color w:val="000000" w:themeColor="text1"/>
                <w14:textFill>
                  <w14:solidFill>
                    <w14:schemeClr w14:val="tx1"/>
                  </w14:solidFill>
                </w14:textFill>
              </w:rPr>
            </w:pPr>
            <w:r>
              <w:rPr>
                <w:color w:val="000000" w:themeColor="text1"/>
                <w14:textFill>
                  <w14:solidFill>
                    <w14:schemeClr w14:val="tx1"/>
                  </w14:solidFill>
                </w14:textFill>
              </w:rPr>
              <w:t>①</w:t>
            </w:r>
            <w:r>
              <w:rPr>
                <w:rFonts w:hint="eastAsia"/>
                <w:color w:val="000000" w:themeColor="text1"/>
                <w14:textFill>
                  <w14:solidFill>
                    <w14:schemeClr w14:val="tx1"/>
                  </w14:solidFill>
                </w14:textFill>
              </w:rPr>
              <w:t xml:space="preserve">首先计算出某个室内靠近围护结构处的倍频带声压级： </w:t>
            </w:r>
          </w:p>
          <w:p w14:paraId="599892A6">
            <w:pPr>
              <w:pStyle w:val="42"/>
              <w:ind w:firstLine="48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713990" cy="666750"/>
                  <wp:effectExtent l="0" t="0" r="1016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9"/>
                          <a:stretch>
                            <a:fillRect/>
                          </a:stretch>
                        </pic:blipFill>
                        <pic:spPr>
                          <a:xfrm>
                            <a:off x="0" y="0"/>
                            <a:ext cx="2713990" cy="666750"/>
                          </a:xfrm>
                          <a:prstGeom prst="rect">
                            <a:avLst/>
                          </a:prstGeom>
                          <a:noFill/>
                          <a:ln>
                            <a:noFill/>
                          </a:ln>
                        </pic:spPr>
                      </pic:pic>
                    </a:graphicData>
                  </a:graphic>
                </wp:inline>
              </w:drawing>
            </w:r>
          </w:p>
          <w:p w14:paraId="60C6BF60">
            <w:pPr>
              <w:pStyle w:val="42"/>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r>
              <w:rPr>
                <w:color w:val="000000" w:themeColor="text1"/>
                <w14:textFill>
                  <w14:solidFill>
                    <w14:schemeClr w14:val="tx1"/>
                  </w14:solidFill>
                </w14:textFill>
              </w:rPr>
              <w:t>Loct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为某个室内声源在靠近围护结构处产生的倍频带声压级，</w:t>
            </w:r>
            <w:r>
              <w:rPr>
                <w:color w:val="000000" w:themeColor="text1"/>
                <w14:textFill>
                  <w14:solidFill>
                    <w14:schemeClr w14:val="tx1"/>
                  </w14:solidFill>
                </w14:textFill>
              </w:rPr>
              <w:t xml:space="preserve">Lwoct- </w:t>
            </w:r>
          </w:p>
          <w:p w14:paraId="248F559B">
            <w:pPr>
              <w:pStyle w:val="42"/>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为某个声源的倍频带声功率级，</w:t>
            </w:r>
            <w:r>
              <w:rPr>
                <w:color w:val="000000" w:themeColor="text1"/>
                <w14:textFill>
                  <w14:solidFill>
                    <w14:schemeClr w14:val="tx1"/>
                  </w14:solidFill>
                </w14:textFill>
              </w:rPr>
              <w:t xml:space="preserve">r1 </w:t>
            </w:r>
            <w:r>
              <w:rPr>
                <w:rFonts w:hint="eastAsia"/>
                <w:color w:val="000000" w:themeColor="text1"/>
                <w14:textFill>
                  <w14:solidFill>
                    <w14:schemeClr w14:val="tx1"/>
                  </w14:solidFill>
                </w14:textFill>
              </w:rPr>
              <w:t xml:space="preserve">为室内某个声源与靠近围护结构处的距离， </w:t>
            </w:r>
          </w:p>
          <w:p w14:paraId="2123CE73">
            <w:pPr>
              <w:pStyle w:val="42"/>
              <w:ind w:firstLine="480"/>
              <w:jc w:val="both"/>
              <w:rPr>
                <w:color w:val="000000" w:themeColor="text1"/>
                <w14:textFill>
                  <w14:solidFill>
                    <w14:schemeClr w14:val="tx1"/>
                  </w14:solidFill>
                </w14:textFill>
              </w:rPr>
            </w:pPr>
            <w:r>
              <w:rPr>
                <w:color w:val="000000" w:themeColor="text1"/>
                <w14:textFill>
                  <w14:solidFill>
                    <w14:schemeClr w14:val="tx1"/>
                  </w14:solidFill>
                </w14:textFill>
              </w:rPr>
              <w:t xml:space="preserve">R </w:t>
            </w:r>
            <w:r>
              <w:rPr>
                <w:rFonts w:hint="eastAsia"/>
                <w:color w:val="000000" w:themeColor="text1"/>
                <w14:textFill>
                  <w14:solidFill>
                    <w14:schemeClr w14:val="tx1"/>
                  </w14:solidFill>
                </w14:textFill>
              </w:rPr>
              <w:t>为房间常数，</w:t>
            </w:r>
            <w:r>
              <w:rPr>
                <w:color w:val="000000" w:themeColor="text1"/>
                <w14:textFill>
                  <w14:solidFill>
                    <w14:schemeClr w14:val="tx1"/>
                  </w14:solidFill>
                </w14:textFill>
              </w:rPr>
              <w:t xml:space="preserve">Q </w:t>
            </w:r>
            <w:r>
              <w:rPr>
                <w:rFonts w:hint="eastAsia"/>
                <w:color w:val="000000" w:themeColor="text1"/>
                <w14:textFill>
                  <w14:solidFill>
                    <w14:schemeClr w14:val="tx1"/>
                  </w14:solidFill>
                </w14:textFill>
              </w:rPr>
              <w:t xml:space="preserve">为方向因子。 </w:t>
            </w:r>
          </w:p>
          <w:p w14:paraId="77981A9B">
            <w:pPr>
              <w:pStyle w:val="42"/>
              <w:ind w:firstLine="480"/>
              <w:jc w:val="both"/>
              <w:rPr>
                <w:color w:val="000000" w:themeColor="text1"/>
                <w14:textFill>
                  <w14:solidFill>
                    <w14:schemeClr w14:val="tx1"/>
                  </w14:solidFill>
                </w14:textFill>
              </w:rPr>
            </w:pPr>
            <w:r>
              <w:rPr>
                <w:color w:val="000000" w:themeColor="text1"/>
                <w14:textFill>
                  <w14:solidFill>
                    <w14:schemeClr w14:val="tx1"/>
                  </w14:solidFill>
                </w14:textFill>
              </w:rPr>
              <w:t>②</w:t>
            </w:r>
            <w:r>
              <w:rPr>
                <w:rFonts w:hint="eastAsia"/>
                <w:color w:val="000000" w:themeColor="text1"/>
                <w14:textFill>
                  <w14:solidFill>
                    <w14:schemeClr w14:val="tx1"/>
                  </w14:solidFill>
                </w14:textFill>
              </w:rPr>
              <w:t xml:space="preserve">计算出所有室内声源在靠近围护结构处产生的总倍频带声压级： </w:t>
            </w:r>
            <w:r>
              <w:rPr>
                <w:color w:val="000000" w:themeColor="text1"/>
                <w14:textFill>
                  <w14:solidFill>
                    <w14:schemeClr w14:val="tx1"/>
                  </w14:solidFill>
                </w14:textFill>
              </w:rPr>
              <w:drawing>
                <wp:inline distT="0" distB="0" distL="114300" distR="114300">
                  <wp:extent cx="2542540" cy="723900"/>
                  <wp:effectExtent l="0" t="0" r="1016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30"/>
                          <a:stretch>
                            <a:fillRect/>
                          </a:stretch>
                        </pic:blipFill>
                        <pic:spPr>
                          <a:xfrm>
                            <a:off x="0" y="0"/>
                            <a:ext cx="2542540" cy="723900"/>
                          </a:xfrm>
                          <a:prstGeom prst="rect">
                            <a:avLst/>
                          </a:prstGeom>
                          <a:noFill/>
                          <a:ln>
                            <a:noFill/>
                          </a:ln>
                        </pic:spPr>
                      </pic:pic>
                    </a:graphicData>
                  </a:graphic>
                </wp:inline>
              </w:drawing>
            </w:r>
          </w:p>
          <w:p w14:paraId="21EC1EB4">
            <w:pPr>
              <w:pStyle w:val="42"/>
              <w:ind w:firstLine="480"/>
              <w:jc w:val="both"/>
              <w:rPr>
                <w:color w:val="000000" w:themeColor="text1"/>
                <w14:textFill>
                  <w14:solidFill>
                    <w14:schemeClr w14:val="tx1"/>
                  </w14:solidFill>
                </w14:textFill>
              </w:rPr>
            </w:pPr>
            <w:r>
              <w:rPr>
                <w:color w:val="000000" w:themeColor="text1"/>
                <w14:textFill>
                  <w14:solidFill>
                    <w14:schemeClr w14:val="tx1"/>
                  </w14:solidFill>
                </w14:textFill>
              </w:rPr>
              <w:t>③</w:t>
            </w:r>
            <w:r>
              <w:rPr>
                <w:rFonts w:hint="eastAsia"/>
                <w:color w:val="000000" w:themeColor="text1"/>
                <w14:textFill>
                  <w14:solidFill>
                    <w14:schemeClr w14:val="tx1"/>
                  </w14:solidFill>
                </w14:textFill>
              </w:rPr>
              <w:t xml:space="preserve">计算出室外靠近围护结构处的声压级： </w:t>
            </w:r>
          </w:p>
          <w:p w14:paraId="664E83A2">
            <w:pPr>
              <w:pStyle w:val="42"/>
              <w:ind w:firstLine="48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628265" cy="447040"/>
                  <wp:effectExtent l="0" t="0" r="635" b="1016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1"/>
                          <a:stretch>
                            <a:fillRect/>
                          </a:stretch>
                        </pic:blipFill>
                        <pic:spPr>
                          <a:xfrm>
                            <a:off x="0" y="0"/>
                            <a:ext cx="2628265" cy="447040"/>
                          </a:xfrm>
                          <a:prstGeom prst="rect">
                            <a:avLst/>
                          </a:prstGeom>
                          <a:noFill/>
                          <a:ln>
                            <a:noFill/>
                          </a:ln>
                        </pic:spPr>
                      </pic:pic>
                    </a:graphicData>
                  </a:graphic>
                </wp:inline>
              </w:drawing>
            </w:r>
          </w:p>
          <w:p w14:paraId="26174696">
            <w:pPr>
              <w:pStyle w:val="42"/>
              <w:ind w:firstLine="480"/>
              <w:jc w:val="both"/>
              <w:rPr>
                <w:color w:val="000000" w:themeColor="text1"/>
                <w14:textFill>
                  <w14:solidFill>
                    <w14:schemeClr w14:val="tx1"/>
                  </w14:solidFill>
                </w14:textFill>
              </w:rPr>
            </w:pPr>
            <w:r>
              <w:rPr>
                <w:color w:val="000000" w:themeColor="text1"/>
                <w14:textFill>
                  <w14:solidFill>
                    <w14:schemeClr w14:val="tx1"/>
                  </w14:solidFill>
                </w14:textFill>
              </w:rPr>
              <w:t>④</w:t>
            </w:r>
            <w:r>
              <w:rPr>
                <w:rFonts w:hint="eastAsia"/>
                <w:color w:val="000000" w:themeColor="text1"/>
                <w14:textFill>
                  <w14:solidFill>
                    <w14:schemeClr w14:val="tx1"/>
                  </w14:solidFill>
                </w14:textFill>
              </w:rPr>
              <w:t xml:space="preserve">将室外声级 </w:t>
            </w:r>
            <w:r>
              <w:rPr>
                <w:color w:val="000000" w:themeColor="text1"/>
                <w14:textFill>
                  <w14:solidFill>
                    <w14:schemeClr w14:val="tx1"/>
                  </w14:solidFill>
                </w14:textFill>
              </w:rPr>
              <w:t>Loct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2(T)</w:t>
            </w:r>
            <w:r>
              <w:rPr>
                <w:rFonts w:hint="eastAsia"/>
                <w:color w:val="000000" w:themeColor="text1"/>
                <w14:textFill>
                  <w14:solidFill>
                    <w14:schemeClr w14:val="tx1"/>
                  </w14:solidFill>
                </w14:textFill>
              </w:rPr>
              <w:t xml:space="preserve">和透声面积换算成等效的室外声源，计算出等效声源 </w:t>
            </w:r>
          </w:p>
          <w:p w14:paraId="5F537726">
            <w:pPr>
              <w:pStyle w:val="42"/>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第 </w:t>
            </w:r>
            <w:r>
              <w:rPr>
                <w:color w:val="000000" w:themeColor="text1"/>
                <w14:textFill>
                  <w14:solidFill>
                    <w14:schemeClr w14:val="tx1"/>
                  </w14:solidFill>
                </w14:textFill>
              </w:rPr>
              <w:t xml:space="preserve">i </w:t>
            </w:r>
            <w:r>
              <w:rPr>
                <w:rFonts w:hint="eastAsia"/>
                <w:color w:val="000000" w:themeColor="text1"/>
                <w14:textFill>
                  <w14:solidFill>
                    <w14:schemeClr w14:val="tx1"/>
                  </w14:solidFill>
                </w14:textFill>
              </w:rPr>
              <w:t xml:space="preserve">个倍频带的声功率级 </w:t>
            </w:r>
            <w:r>
              <w:rPr>
                <w:color w:val="000000" w:themeColor="text1"/>
                <w14:textFill>
                  <w14:solidFill>
                    <w14:schemeClr w14:val="tx1"/>
                  </w14:solidFill>
                </w14:textFill>
              </w:rPr>
              <w:t>Lwoct</w:t>
            </w:r>
            <w:r>
              <w:rPr>
                <w:rFonts w:hint="eastAsia"/>
                <w:color w:val="000000" w:themeColor="text1"/>
                <w14:textFill>
                  <w14:solidFill>
                    <w14:schemeClr w14:val="tx1"/>
                  </w14:solidFill>
                </w14:textFill>
              </w:rPr>
              <w:t>：</w:t>
            </w:r>
          </w:p>
          <w:p w14:paraId="3E7064F6">
            <w:pPr>
              <w:pStyle w:val="42"/>
              <w:ind w:firstLine="48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276475" cy="427990"/>
                  <wp:effectExtent l="0" t="0" r="9525" b="1016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2"/>
                          <a:stretch>
                            <a:fillRect/>
                          </a:stretch>
                        </pic:blipFill>
                        <pic:spPr>
                          <a:xfrm>
                            <a:off x="0" y="0"/>
                            <a:ext cx="2276475" cy="427990"/>
                          </a:xfrm>
                          <a:prstGeom prst="rect">
                            <a:avLst/>
                          </a:prstGeom>
                          <a:noFill/>
                          <a:ln>
                            <a:noFill/>
                          </a:ln>
                        </pic:spPr>
                      </pic:pic>
                    </a:graphicData>
                  </a:graphic>
                </wp:inline>
              </w:drawing>
            </w:r>
          </w:p>
          <w:p w14:paraId="00AD071F">
            <w:pPr>
              <w:pStyle w:val="42"/>
              <w:ind w:firstLine="480"/>
              <w:jc w:val="both"/>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式中：</w:t>
            </w:r>
            <w:r>
              <w:rPr>
                <w:color w:val="000000" w:themeColor="text1"/>
                <w14:textFill>
                  <w14:solidFill>
                    <w14:schemeClr w14:val="tx1"/>
                  </w14:solidFill>
                </w14:textFill>
              </w:rPr>
              <w:t xml:space="preserve">S </w:t>
            </w:r>
            <w:r>
              <w:rPr>
                <w:rFonts w:hint="eastAsia"/>
                <w:color w:val="000000" w:themeColor="text1"/>
                <w14:textFill>
                  <w14:solidFill>
                    <w14:schemeClr w14:val="tx1"/>
                  </w14:solidFill>
                </w14:textFill>
              </w:rPr>
              <w:t>为透声面积，m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 xml:space="preserve">。 </w:t>
            </w:r>
          </w:p>
          <w:p w14:paraId="74AF7DA1">
            <w:pPr>
              <w:pStyle w:val="42"/>
              <w:ind w:firstLine="480"/>
              <w:jc w:val="both"/>
              <w:rPr>
                <w:color w:val="000000" w:themeColor="text1"/>
                <w14:textFill>
                  <w14:solidFill>
                    <w14:schemeClr w14:val="tx1"/>
                  </w14:solidFill>
                </w14:textFill>
              </w:rPr>
            </w:pPr>
            <w:r>
              <w:rPr>
                <w:color w:val="000000" w:themeColor="text1"/>
                <w14:textFill>
                  <w14:solidFill>
                    <w14:schemeClr w14:val="tx1"/>
                  </w14:solidFill>
                </w14:textFill>
              </w:rPr>
              <w:t>⑤</w:t>
            </w:r>
            <w:r>
              <w:rPr>
                <w:rFonts w:hint="eastAsia"/>
                <w:color w:val="000000" w:themeColor="text1"/>
                <w14:textFill>
                  <w14:solidFill>
                    <w14:schemeClr w14:val="tx1"/>
                  </w14:solidFill>
                </w14:textFill>
              </w:rPr>
              <w:t xml:space="preserve">等效室外声源的位置为围护结构的位置，其倍频带声功率级为 </w:t>
            </w:r>
            <w:r>
              <w:rPr>
                <w:color w:val="000000" w:themeColor="text1"/>
                <w14:textFill>
                  <w14:solidFill>
                    <w14:schemeClr w14:val="tx1"/>
                  </w14:solidFill>
                </w14:textFill>
              </w:rPr>
              <w:t>Lwoct</w:t>
            </w:r>
            <w:r>
              <w:rPr>
                <w:rFonts w:hint="eastAsia"/>
                <w:color w:val="000000" w:themeColor="text1"/>
                <w14:textFill>
                  <w14:solidFill>
                    <w14:schemeClr w14:val="tx1"/>
                  </w14:solidFill>
                </w14:textFill>
              </w:rPr>
              <w:t xml:space="preserve">，由 </w:t>
            </w:r>
          </w:p>
          <w:p w14:paraId="0ED95040">
            <w:pPr>
              <w:pStyle w:val="42"/>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此按室外声源方法计算等效室外声源在预测点产生的声级。 </w:t>
            </w:r>
          </w:p>
          <w:p w14:paraId="497F899B">
            <w:pPr>
              <w:pStyle w:val="42"/>
              <w:ind w:firstLine="480"/>
              <w:jc w:val="both"/>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 xml:space="preserve">计算总声压级 </w:t>
            </w:r>
          </w:p>
          <w:p w14:paraId="330AEC9A">
            <w:pPr>
              <w:pStyle w:val="42"/>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设第 </w:t>
            </w:r>
            <w:r>
              <w:rPr>
                <w:color w:val="000000" w:themeColor="text1"/>
                <w14:textFill>
                  <w14:solidFill>
                    <w14:schemeClr w14:val="tx1"/>
                  </w14:solidFill>
                </w14:textFill>
              </w:rPr>
              <w:t xml:space="preserve">i </w:t>
            </w:r>
            <w:r>
              <w:rPr>
                <w:rFonts w:hint="eastAsia"/>
                <w:color w:val="000000" w:themeColor="text1"/>
                <w14:textFill>
                  <w14:solidFill>
                    <w14:schemeClr w14:val="tx1"/>
                  </w14:solidFill>
                </w14:textFill>
              </w:rPr>
              <w:t xml:space="preserve">个室外声源在预测点产生的 </w:t>
            </w:r>
            <w:r>
              <w:rPr>
                <w:color w:val="000000" w:themeColor="text1"/>
                <w14:textFill>
                  <w14:solidFill>
                    <w14:schemeClr w14:val="tx1"/>
                  </w14:solidFill>
                </w14:textFill>
              </w:rPr>
              <w:t xml:space="preserve">A </w:t>
            </w:r>
            <w:r>
              <w:rPr>
                <w:rFonts w:hint="eastAsia"/>
                <w:color w:val="000000" w:themeColor="text1"/>
                <w14:textFill>
                  <w14:solidFill>
                    <w14:schemeClr w14:val="tx1"/>
                  </w14:solidFill>
                </w14:textFill>
              </w:rPr>
              <w:t xml:space="preserve">声级为 </w:t>
            </w:r>
            <w:r>
              <w:rPr>
                <w:color w:val="000000" w:themeColor="text1"/>
                <w14:textFill>
                  <w14:solidFill>
                    <w14:schemeClr w14:val="tx1"/>
                  </w14:solidFill>
                </w14:textFill>
              </w:rPr>
              <w:t>LAin</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i</w:t>
            </w:r>
            <w:r>
              <w:rPr>
                <w:rFonts w:hint="eastAsia"/>
                <w:color w:val="000000" w:themeColor="text1"/>
                <w14:textFill>
                  <w14:solidFill>
                    <w14:schemeClr w14:val="tx1"/>
                  </w14:solidFill>
                </w14:textFill>
              </w:rPr>
              <w:t xml:space="preserve">，在 </w:t>
            </w:r>
            <w:r>
              <w:rPr>
                <w:color w:val="000000" w:themeColor="text1"/>
                <w14:textFill>
                  <w14:solidFill>
                    <w14:schemeClr w14:val="tx1"/>
                  </w14:solidFill>
                </w14:textFill>
              </w:rPr>
              <w:t xml:space="preserve">T </w:t>
            </w:r>
            <w:r>
              <w:rPr>
                <w:rFonts w:hint="eastAsia"/>
                <w:color w:val="000000" w:themeColor="text1"/>
                <w14:textFill>
                  <w14:solidFill>
                    <w14:schemeClr w14:val="tx1"/>
                  </w14:solidFill>
                </w14:textFill>
              </w:rPr>
              <w:t xml:space="preserve">时间内该声源工作 时间为 </w:t>
            </w:r>
            <w:r>
              <w:rPr>
                <w:color w:val="000000" w:themeColor="text1"/>
                <w14:textFill>
                  <w14:solidFill>
                    <w14:schemeClr w14:val="tx1"/>
                  </w14:solidFill>
                </w14:textFill>
              </w:rPr>
              <w:t>tin</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i</w:t>
            </w:r>
            <w:r>
              <w:rPr>
                <w:rFonts w:hint="eastAsia"/>
                <w:color w:val="000000" w:themeColor="text1"/>
                <w14:textFill>
                  <w14:solidFill>
                    <w14:schemeClr w14:val="tx1"/>
                  </w14:solidFill>
                </w14:textFill>
              </w:rPr>
              <w:t xml:space="preserve">；第 </w:t>
            </w:r>
            <w:r>
              <w:rPr>
                <w:color w:val="000000" w:themeColor="text1"/>
                <w14:textFill>
                  <w14:solidFill>
                    <w14:schemeClr w14:val="tx1"/>
                  </w14:solidFill>
                </w14:textFill>
              </w:rPr>
              <w:t xml:space="preserve">j </w:t>
            </w:r>
            <w:r>
              <w:rPr>
                <w:rFonts w:hint="eastAsia"/>
                <w:color w:val="000000" w:themeColor="text1"/>
                <w14:textFill>
                  <w14:solidFill>
                    <w14:schemeClr w14:val="tx1"/>
                  </w14:solidFill>
                </w14:textFill>
              </w:rPr>
              <w:t xml:space="preserve">个等效室外声源在预测点产生的 </w:t>
            </w:r>
            <w:r>
              <w:rPr>
                <w:color w:val="000000" w:themeColor="text1"/>
                <w14:textFill>
                  <w14:solidFill>
                    <w14:schemeClr w14:val="tx1"/>
                  </w14:solidFill>
                </w14:textFill>
              </w:rPr>
              <w:t xml:space="preserve">A </w:t>
            </w:r>
            <w:r>
              <w:rPr>
                <w:rFonts w:hint="eastAsia"/>
                <w:color w:val="000000" w:themeColor="text1"/>
                <w14:textFill>
                  <w14:solidFill>
                    <w14:schemeClr w14:val="tx1"/>
                  </w14:solidFill>
                </w14:textFill>
              </w:rPr>
              <w:t xml:space="preserve">声级为 </w:t>
            </w:r>
            <w:r>
              <w:rPr>
                <w:color w:val="000000" w:themeColor="text1"/>
                <w14:textFill>
                  <w14:solidFill>
                    <w14:schemeClr w14:val="tx1"/>
                  </w14:solidFill>
                </w14:textFill>
              </w:rPr>
              <w:t>LAout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j</w:t>
            </w:r>
            <w:r>
              <w:rPr>
                <w:rFonts w:hint="eastAsia"/>
                <w:color w:val="000000" w:themeColor="text1"/>
                <w14:textFill>
                  <w14:solidFill>
                    <w14:schemeClr w14:val="tx1"/>
                  </w14:solidFill>
                </w14:textFill>
              </w:rPr>
              <w:t xml:space="preserve">，在 </w:t>
            </w:r>
            <w:r>
              <w:rPr>
                <w:color w:val="000000" w:themeColor="text1"/>
                <w14:textFill>
                  <w14:solidFill>
                    <w14:schemeClr w14:val="tx1"/>
                  </w14:solidFill>
                </w14:textFill>
              </w:rPr>
              <w:t xml:space="preserve">T </w:t>
            </w:r>
            <w:r>
              <w:rPr>
                <w:rFonts w:hint="eastAsia"/>
                <w:color w:val="000000" w:themeColor="text1"/>
                <w14:textFill>
                  <w14:solidFill>
                    <w14:schemeClr w14:val="tx1"/>
                  </w14:solidFill>
                </w14:textFill>
              </w:rPr>
              <w:t xml:space="preserve">时间内该声源工作时间为 </w:t>
            </w:r>
            <w:r>
              <w:rPr>
                <w:color w:val="000000" w:themeColor="text1"/>
                <w14:textFill>
                  <w14:solidFill>
                    <w14:schemeClr w14:val="tx1"/>
                  </w14:solidFill>
                </w14:textFill>
              </w:rPr>
              <w:t>tout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j</w:t>
            </w:r>
            <w:r>
              <w:rPr>
                <w:rFonts w:hint="eastAsia"/>
                <w:color w:val="000000" w:themeColor="text1"/>
                <w14:textFill>
                  <w14:solidFill>
                    <w14:schemeClr w14:val="tx1"/>
                  </w14:solidFill>
                </w14:textFill>
              </w:rPr>
              <w:t xml:space="preserve">，则预测点的总等效声级为 </w:t>
            </w:r>
          </w:p>
          <w:p w14:paraId="0F69E725">
            <w:pPr>
              <w:pStyle w:val="42"/>
              <w:ind w:firstLine="48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514215" cy="771525"/>
                  <wp:effectExtent l="0" t="0" r="635"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33"/>
                          <a:stretch>
                            <a:fillRect/>
                          </a:stretch>
                        </pic:blipFill>
                        <pic:spPr>
                          <a:xfrm>
                            <a:off x="0" y="0"/>
                            <a:ext cx="4514215" cy="771525"/>
                          </a:xfrm>
                          <a:prstGeom prst="rect">
                            <a:avLst/>
                          </a:prstGeom>
                          <a:noFill/>
                          <a:ln>
                            <a:noFill/>
                          </a:ln>
                        </pic:spPr>
                      </pic:pic>
                    </a:graphicData>
                  </a:graphic>
                </wp:inline>
              </w:drawing>
            </w:r>
          </w:p>
          <w:p w14:paraId="47351020">
            <w:p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r>
              <w:rPr>
                <w:color w:val="000000" w:themeColor="text1"/>
                <w14:textFill>
                  <w14:solidFill>
                    <w14:schemeClr w14:val="tx1"/>
                  </w14:solidFill>
                </w14:textFill>
              </w:rPr>
              <w:t xml:space="preserve">T </w:t>
            </w:r>
            <w:r>
              <w:rPr>
                <w:rFonts w:hint="eastAsia"/>
                <w:color w:val="000000" w:themeColor="text1"/>
                <w14:textFill>
                  <w14:solidFill>
                    <w14:schemeClr w14:val="tx1"/>
                  </w14:solidFill>
                </w14:textFill>
              </w:rPr>
              <w:t>为计算等效声级的时间，</w:t>
            </w:r>
            <w:r>
              <w:rPr>
                <w:color w:val="000000" w:themeColor="text1"/>
                <w14:textFill>
                  <w14:solidFill>
                    <w14:schemeClr w14:val="tx1"/>
                  </w14:solidFill>
                </w14:textFill>
              </w:rPr>
              <w:t xml:space="preserve">N </w:t>
            </w:r>
            <w:r>
              <w:rPr>
                <w:rFonts w:hint="eastAsia"/>
                <w:color w:val="000000" w:themeColor="text1"/>
                <w14:textFill>
                  <w14:solidFill>
                    <w14:schemeClr w14:val="tx1"/>
                  </w14:solidFill>
                </w14:textFill>
              </w:rPr>
              <w:t>为室外声源个数，</w:t>
            </w:r>
            <w:r>
              <w:rPr>
                <w:color w:val="000000" w:themeColor="text1"/>
                <w14:textFill>
                  <w14:solidFill>
                    <w14:schemeClr w14:val="tx1"/>
                  </w14:solidFill>
                </w14:textFill>
              </w:rPr>
              <w:t xml:space="preserve">M </w:t>
            </w:r>
            <w:r>
              <w:rPr>
                <w:rFonts w:hint="eastAsia"/>
                <w:color w:val="000000" w:themeColor="text1"/>
                <w14:textFill>
                  <w14:solidFill>
                    <w14:schemeClr w14:val="tx1"/>
                  </w14:solidFill>
                </w14:textFill>
              </w:rPr>
              <w:t>为等效室外声源个数。</w:t>
            </w:r>
          </w:p>
          <w:p w14:paraId="361DCDB9">
            <w:pPr>
              <w:bidi w:val="0"/>
              <w:jc w:val="both"/>
              <w:rPr>
                <w:color w:val="auto"/>
              </w:rPr>
            </w:pPr>
            <w:r>
              <w:rPr>
                <w:color w:val="auto"/>
              </w:rPr>
              <w:t>将设备噪声源在厂区平面图上进行定位，利用上述的预测数字模型，将有关参数代入公式计算，预测拟建工程噪声源对各向厂界的影响。</w:t>
            </w:r>
            <w:bookmarkStart w:id="7" w:name="_Toc387826026"/>
          </w:p>
          <w:bookmarkEnd w:id="7"/>
          <w:p w14:paraId="3676C4EB">
            <w:pPr>
              <w:pStyle w:val="74"/>
              <w:bidi w:val="0"/>
            </w:pPr>
            <w:r>
              <w:t>表</w:t>
            </w:r>
            <w:r>
              <w:rPr>
                <w:rFonts w:hint="eastAsia"/>
              </w:rPr>
              <w:t>4-</w:t>
            </w:r>
            <w:r>
              <w:rPr>
                <w:rFonts w:hint="eastAsia"/>
                <w:lang w:val="en-US" w:eastAsia="zh-CN"/>
              </w:rPr>
              <w:t>21</w:t>
            </w:r>
            <w:r>
              <w:t xml:space="preserve"> 项目厂界噪声预测结果一览表（单位：dB(A)）</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77"/>
              <w:gridCol w:w="1728"/>
              <w:gridCol w:w="1774"/>
              <w:gridCol w:w="1942"/>
              <w:gridCol w:w="1928"/>
            </w:tblGrid>
            <w:tr w14:paraId="235FC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37" w:type="pct"/>
                  <w:noWrap w:val="0"/>
                  <w:vAlign w:val="center"/>
                </w:tcPr>
                <w:p w14:paraId="53EC22FA">
                  <w:pPr>
                    <w:pStyle w:val="47"/>
                    <w:bidi w:val="0"/>
                  </w:pPr>
                  <w:r>
                    <w:rPr>
                      <w:rFonts w:hint="eastAsia"/>
                    </w:rPr>
                    <w:t>厂界名称</w:t>
                  </w:r>
                </w:p>
              </w:tc>
              <w:tc>
                <w:tcPr>
                  <w:tcW w:w="1022" w:type="pct"/>
                  <w:noWrap w:val="0"/>
                  <w:vAlign w:val="center"/>
                </w:tcPr>
                <w:p w14:paraId="59FC6D3B">
                  <w:pPr>
                    <w:pStyle w:val="47"/>
                    <w:bidi w:val="0"/>
                    <w:rPr>
                      <w:rFonts w:hint="eastAsia"/>
                    </w:rPr>
                  </w:pPr>
                  <w:r>
                    <w:rPr>
                      <w:rFonts w:hint="eastAsia"/>
                    </w:rPr>
                    <w:t>东厂界</w:t>
                  </w:r>
                </w:p>
              </w:tc>
              <w:tc>
                <w:tcPr>
                  <w:tcW w:w="1049" w:type="pct"/>
                  <w:noWrap w:val="0"/>
                  <w:vAlign w:val="center"/>
                </w:tcPr>
                <w:p w14:paraId="408B446E">
                  <w:pPr>
                    <w:pStyle w:val="47"/>
                    <w:bidi w:val="0"/>
                    <w:rPr>
                      <w:rFonts w:hint="eastAsia"/>
                    </w:rPr>
                  </w:pPr>
                  <w:r>
                    <w:rPr>
                      <w:rFonts w:hint="eastAsia"/>
                    </w:rPr>
                    <w:t>南厂界</w:t>
                  </w:r>
                </w:p>
              </w:tc>
              <w:tc>
                <w:tcPr>
                  <w:tcW w:w="1149" w:type="pct"/>
                  <w:noWrap w:val="0"/>
                  <w:vAlign w:val="center"/>
                </w:tcPr>
                <w:p w14:paraId="68575835">
                  <w:pPr>
                    <w:pStyle w:val="47"/>
                    <w:bidi w:val="0"/>
                    <w:rPr>
                      <w:rFonts w:hint="eastAsia"/>
                    </w:rPr>
                  </w:pPr>
                  <w:r>
                    <w:rPr>
                      <w:rFonts w:hint="eastAsia"/>
                    </w:rPr>
                    <w:t>西厂界</w:t>
                  </w:r>
                </w:p>
              </w:tc>
              <w:tc>
                <w:tcPr>
                  <w:tcW w:w="1140" w:type="pct"/>
                  <w:noWrap w:val="0"/>
                  <w:vAlign w:val="center"/>
                </w:tcPr>
                <w:p w14:paraId="1D22CB61">
                  <w:pPr>
                    <w:pStyle w:val="47"/>
                    <w:bidi w:val="0"/>
                  </w:pPr>
                  <w:r>
                    <w:rPr>
                      <w:rFonts w:hint="eastAsia"/>
                    </w:rPr>
                    <w:t>北厂界</w:t>
                  </w:r>
                </w:p>
              </w:tc>
            </w:tr>
            <w:tr w14:paraId="4B34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37" w:type="pct"/>
                  <w:noWrap w:val="0"/>
                  <w:vAlign w:val="center"/>
                </w:tcPr>
                <w:p w14:paraId="3F06255C">
                  <w:pPr>
                    <w:pStyle w:val="47"/>
                    <w:bidi w:val="0"/>
                  </w:pPr>
                  <w:r>
                    <w:rPr>
                      <w:rFonts w:hint="eastAsia"/>
                    </w:rPr>
                    <w:t>贡献值</w:t>
                  </w:r>
                </w:p>
              </w:tc>
              <w:tc>
                <w:tcPr>
                  <w:tcW w:w="1022" w:type="pct"/>
                  <w:noWrap w:val="0"/>
                  <w:vAlign w:val="center"/>
                </w:tcPr>
                <w:p w14:paraId="4AA35C0F">
                  <w:pPr>
                    <w:pStyle w:val="47"/>
                    <w:bidi w:val="0"/>
                    <w:rPr>
                      <w:rFonts w:hint="default" w:eastAsia="宋体"/>
                      <w:lang w:val="en-US" w:eastAsia="zh-CN"/>
                    </w:rPr>
                  </w:pPr>
                  <w:r>
                    <w:rPr>
                      <w:rFonts w:hint="eastAsia"/>
                      <w:lang w:val="en-US" w:eastAsia="zh-CN"/>
                    </w:rPr>
                    <w:t>46.9</w:t>
                  </w:r>
                </w:p>
              </w:tc>
              <w:tc>
                <w:tcPr>
                  <w:tcW w:w="1049" w:type="pct"/>
                  <w:noWrap w:val="0"/>
                  <w:vAlign w:val="center"/>
                </w:tcPr>
                <w:p w14:paraId="1B6B50FF">
                  <w:pPr>
                    <w:pStyle w:val="47"/>
                    <w:bidi w:val="0"/>
                    <w:rPr>
                      <w:rFonts w:hint="default" w:eastAsia="宋体"/>
                      <w:lang w:val="en-US" w:eastAsia="zh-CN"/>
                    </w:rPr>
                  </w:pPr>
                  <w:r>
                    <w:rPr>
                      <w:rFonts w:hint="eastAsia"/>
                      <w:lang w:val="en-US" w:eastAsia="zh-CN"/>
                    </w:rPr>
                    <w:t>52.4</w:t>
                  </w:r>
                </w:p>
              </w:tc>
              <w:tc>
                <w:tcPr>
                  <w:tcW w:w="1149" w:type="pct"/>
                  <w:noWrap w:val="0"/>
                  <w:vAlign w:val="center"/>
                </w:tcPr>
                <w:p w14:paraId="5E59BBF0">
                  <w:pPr>
                    <w:pStyle w:val="47"/>
                    <w:bidi w:val="0"/>
                    <w:rPr>
                      <w:rFonts w:hint="default" w:eastAsia="宋体"/>
                      <w:lang w:val="en-US" w:eastAsia="zh-CN"/>
                    </w:rPr>
                  </w:pPr>
                  <w:r>
                    <w:rPr>
                      <w:rFonts w:hint="eastAsia"/>
                      <w:lang w:val="en-US" w:eastAsia="zh-CN"/>
                    </w:rPr>
                    <w:t>46.9</w:t>
                  </w:r>
                </w:p>
              </w:tc>
              <w:tc>
                <w:tcPr>
                  <w:tcW w:w="1140" w:type="pct"/>
                  <w:noWrap w:val="0"/>
                  <w:vAlign w:val="center"/>
                </w:tcPr>
                <w:p w14:paraId="649F7512">
                  <w:pPr>
                    <w:pStyle w:val="47"/>
                    <w:bidi w:val="0"/>
                    <w:rPr>
                      <w:rFonts w:hint="default" w:eastAsia="宋体"/>
                      <w:lang w:val="en-US" w:eastAsia="zh-CN"/>
                    </w:rPr>
                  </w:pPr>
                  <w:r>
                    <w:rPr>
                      <w:rFonts w:hint="eastAsia"/>
                      <w:lang w:val="en-US" w:eastAsia="zh-CN"/>
                    </w:rPr>
                    <w:t>47.2</w:t>
                  </w:r>
                </w:p>
              </w:tc>
            </w:tr>
            <w:tr w14:paraId="1176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37" w:type="pct"/>
                  <w:noWrap w:val="0"/>
                  <w:vAlign w:val="center"/>
                </w:tcPr>
                <w:p w14:paraId="5F44C1B6">
                  <w:pPr>
                    <w:pStyle w:val="47"/>
                    <w:bidi w:val="0"/>
                    <w:rPr>
                      <w:rFonts w:hint="eastAsia"/>
                    </w:rPr>
                  </w:pPr>
                  <w:r>
                    <w:rPr>
                      <w:rFonts w:hint="eastAsia"/>
                    </w:rPr>
                    <w:t>标准值</w:t>
                  </w:r>
                </w:p>
              </w:tc>
              <w:tc>
                <w:tcPr>
                  <w:tcW w:w="4362" w:type="pct"/>
                  <w:gridSpan w:val="4"/>
                  <w:noWrap w:val="0"/>
                  <w:vAlign w:val="center"/>
                </w:tcPr>
                <w:p w14:paraId="6623182C">
                  <w:pPr>
                    <w:pStyle w:val="47"/>
                    <w:bidi w:val="0"/>
                  </w:pPr>
                  <w:r>
                    <w:rPr>
                      <w:rFonts w:hint="eastAsia"/>
                    </w:rPr>
                    <w:t>GB12348-2008中3类标准，即昼：65、夜间55</w:t>
                  </w:r>
                </w:p>
              </w:tc>
            </w:tr>
          </w:tbl>
          <w:p w14:paraId="3C9C25BA">
            <w:pPr>
              <w:ind w:firstLine="480"/>
              <w:jc w:val="both"/>
            </w:pPr>
            <w:r>
              <w:rPr>
                <w:rFonts w:hint="eastAsia"/>
              </w:rPr>
              <w:t>由上表可知，本项目运营期通过对产噪设备采取相应的噪声控制措施，利用厂房隔声和距离衰减的情况下，项目厂界噪声能够达到《工业企业厂界环境噪声排放标准》</w:t>
            </w:r>
            <w:r>
              <w:t>(GB12348-2008)</w:t>
            </w:r>
            <w:r>
              <w:rPr>
                <w:rFonts w:hint="eastAsia"/>
              </w:rPr>
              <w:t>中的3类标准要求。</w:t>
            </w:r>
          </w:p>
          <w:p w14:paraId="6FB2ACA6">
            <w:pPr>
              <w:ind w:left="480" w:leftChars="200" w:firstLine="0" w:firstLineChars="0"/>
              <w:jc w:val="both"/>
              <w:rPr>
                <w:b/>
                <w:bCs/>
              </w:rPr>
            </w:pPr>
            <w:r>
              <w:rPr>
                <w:rFonts w:hint="eastAsia"/>
                <w:b/>
                <w:bCs/>
              </w:rPr>
              <w:t>4、噪声自行监测计划</w:t>
            </w:r>
          </w:p>
          <w:p w14:paraId="1C653D02">
            <w:pPr>
              <w:ind w:firstLine="480"/>
              <w:jc w:val="both"/>
            </w:pPr>
            <w:r>
              <w:rPr>
                <w:rFonts w:hint="eastAsia"/>
              </w:rPr>
              <w:t>依据《排污许可证申请与核发技术规范 工业噪声》（HJ1301-2023）</w:t>
            </w:r>
            <w:r>
              <w:rPr>
                <w:rFonts w:hint="eastAsia"/>
                <w:lang w:val="en-GB"/>
              </w:rPr>
              <w:t>，项目</w:t>
            </w:r>
            <w:r>
              <w:rPr>
                <w:rFonts w:hint="eastAsia"/>
              </w:rPr>
              <w:t>噪声排放</w:t>
            </w:r>
            <w:r>
              <w:rPr>
                <w:rFonts w:hint="eastAsia"/>
                <w:lang w:val="en-GB"/>
              </w:rPr>
              <w:t>基本情况及监测要求见</w:t>
            </w:r>
            <w:r>
              <w:rPr>
                <w:rFonts w:hint="eastAsia"/>
              </w:rPr>
              <w:t>下</w:t>
            </w:r>
            <w:r>
              <w:rPr>
                <w:rFonts w:hint="eastAsia"/>
                <w:lang w:val="en-GB"/>
              </w:rPr>
              <w:t>表：</w:t>
            </w:r>
          </w:p>
          <w:p w14:paraId="26934D76">
            <w:pPr>
              <w:pStyle w:val="44"/>
              <w:rPr>
                <w:rFonts w:hint="default"/>
              </w:rPr>
            </w:pPr>
            <w:r>
              <w:t>表4-</w:t>
            </w:r>
            <w:r>
              <w:rPr>
                <w:rFonts w:hint="eastAsia"/>
                <w:lang w:val="en-US" w:eastAsia="zh-CN"/>
              </w:rPr>
              <w:t>22</w:t>
            </w:r>
            <w:r>
              <w:t xml:space="preserve"> 项目营运期厂界噪声环境监测计划</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99"/>
              <w:gridCol w:w="1191"/>
              <w:gridCol w:w="1012"/>
              <w:gridCol w:w="1095"/>
              <w:gridCol w:w="2195"/>
              <w:gridCol w:w="2153"/>
            </w:tblGrid>
            <w:tr w14:paraId="7DFDD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73" w:type="pct"/>
                  <w:vAlign w:val="center"/>
                </w:tcPr>
                <w:p w14:paraId="29B51E22">
                  <w:pPr>
                    <w:pStyle w:val="51"/>
                    <w:spacing w:before="33" w:after="33"/>
                  </w:pPr>
                  <w:r>
                    <w:rPr>
                      <w:rFonts w:hint="eastAsia"/>
                    </w:rPr>
                    <w:t>监测内容</w:t>
                  </w:r>
                </w:p>
              </w:tc>
              <w:tc>
                <w:tcPr>
                  <w:tcW w:w="705" w:type="pct"/>
                  <w:vAlign w:val="center"/>
                </w:tcPr>
                <w:p w14:paraId="4B3B7558">
                  <w:pPr>
                    <w:pStyle w:val="51"/>
                    <w:spacing w:before="33" w:after="33"/>
                  </w:pPr>
                  <w:r>
                    <w:rPr>
                      <w:rFonts w:hint="eastAsia"/>
                    </w:rPr>
                    <w:t>监测点位</w:t>
                  </w:r>
                </w:p>
              </w:tc>
              <w:tc>
                <w:tcPr>
                  <w:tcW w:w="599" w:type="pct"/>
                  <w:vAlign w:val="center"/>
                </w:tcPr>
                <w:p w14:paraId="1F60212A">
                  <w:pPr>
                    <w:pStyle w:val="51"/>
                    <w:spacing w:before="33" w:after="33"/>
                  </w:pPr>
                  <w:r>
                    <w:rPr>
                      <w:rFonts w:hint="eastAsia"/>
                    </w:rPr>
                    <w:t>监测项目</w:t>
                  </w:r>
                </w:p>
              </w:tc>
              <w:tc>
                <w:tcPr>
                  <w:tcW w:w="648" w:type="pct"/>
                  <w:vAlign w:val="center"/>
                </w:tcPr>
                <w:p w14:paraId="24AAAE78">
                  <w:pPr>
                    <w:pStyle w:val="51"/>
                    <w:spacing w:before="33" w:after="33"/>
                  </w:pPr>
                  <w:r>
                    <w:rPr>
                      <w:rFonts w:hint="eastAsia"/>
                    </w:rPr>
                    <w:t>监测频次</w:t>
                  </w:r>
                </w:p>
              </w:tc>
              <w:tc>
                <w:tcPr>
                  <w:tcW w:w="1299" w:type="pct"/>
                  <w:vAlign w:val="center"/>
                </w:tcPr>
                <w:p w14:paraId="22E13DE5">
                  <w:pPr>
                    <w:pStyle w:val="51"/>
                    <w:spacing w:before="33" w:after="33"/>
                  </w:pPr>
                  <w:r>
                    <w:t>监测依据</w:t>
                  </w:r>
                </w:p>
              </w:tc>
              <w:tc>
                <w:tcPr>
                  <w:tcW w:w="1274" w:type="pct"/>
                  <w:vAlign w:val="center"/>
                </w:tcPr>
                <w:p w14:paraId="789A951D">
                  <w:pPr>
                    <w:pStyle w:val="51"/>
                    <w:spacing w:before="33" w:after="33"/>
                  </w:pPr>
                  <w:r>
                    <w:t>执行排放标准</w:t>
                  </w:r>
                </w:p>
              </w:tc>
            </w:tr>
            <w:tr w14:paraId="436F6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73" w:type="pct"/>
                  <w:vAlign w:val="center"/>
                </w:tcPr>
                <w:p w14:paraId="2FF56842">
                  <w:pPr>
                    <w:pStyle w:val="51"/>
                    <w:spacing w:before="33" w:after="33"/>
                  </w:pPr>
                  <w:r>
                    <w:rPr>
                      <w:rFonts w:hint="eastAsia"/>
                    </w:rPr>
                    <w:t>噪声</w:t>
                  </w:r>
                </w:p>
              </w:tc>
              <w:tc>
                <w:tcPr>
                  <w:tcW w:w="705" w:type="pct"/>
                  <w:vAlign w:val="center"/>
                </w:tcPr>
                <w:p w14:paraId="758DE910">
                  <w:pPr>
                    <w:pStyle w:val="51"/>
                    <w:spacing w:before="33" w:after="33"/>
                  </w:pPr>
                  <w:r>
                    <w:rPr>
                      <w:rFonts w:hint="eastAsia"/>
                    </w:rPr>
                    <w:t>厂界四周</w:t>
                  </w:r>
                </w:p>
              </w:tc>
              <w:tc>
                <w:tcPr>
                  <w:tcW w:w="599" w:type="pct"/>
                  <w:vAlign w:val="center"/>
                </w:tcPr>
                <w:p w14:paraId="1343BF02">
                  <w:pPr>
                    <w:pStyle w:val="51"/>
                    <w:spacing w:before="33" w:after="33"/>
                  </w:pPr>
                  <w:r>
                    <w:rPr>
                      <w:rFonts w:hint="eastAsia"/>
                    </w:rPr>
                    <w:t>LAeq</w:t>
                  </w:r>
                </w:p>
              </w:tc>
              <w:tc>
                <w:tcPr>
                  <w:tcW w:w="648" w:type="pct"/>
                  <w:vAlign w:val="center"/>
                </w:tcPr>
                <w:p w14:paraId="3AD0C7CD">
                  <w:pPr>
                    <w:pStyle w:val="51"/>
                    <w:spacing w:before="33" w:after="33"/>
                  </w:pPr>
                  <w:r>
                    <w:rPr>
                      <w:rFonts w:hint="eastAsia"/>
                    </w:rPr>
                    <w:t>1次/季，昼夜各一次</w:t>
                  </w:r>
                </w:p>
              </w:tc>
              <w:tc>
                <w:tcPr>
                  <w:tcW w:w="1299" w:type="pct"/>
                  <w:vAlign w:val="center"/>
                </w:tcPr>
                <w:p w14:paraId="1269FBE6">
                  <w:pPr>
                    <w:pStyle w:val="51"/>
                    <w:spacing w:before="33" w:after="33"/>
                  </w:pPr>
                  <w:r>
                    <w:rPr>
                      <w:rFonts w:hint="eastAsia"/>
                    </w:rPr>
                    <w:t>《排污许可证申请与核发技术规范 工业噪声》（HJ1301-2023）</w:t>
                  </w:r>
                </w:p>
              </w:tc>
              <w:tc>
                <w:tcPr>
                  <w:tcW w:w="1274" w:type="pct"/>
                  <w:vAlign w:val="center"/>
                </w:tcPr>
                <w:p w14:paraId="26E87722">
                  <w:pPr>
                    <w:pStyle w:val="51"/>
                    <w:spacing w:before="33" w:after="33"/>
                  </w:pPr>
                  <w:r>
                    <w:t>《工业企业厂界环境噪声排放标准》(GB12348-2008)</w:t>
                  </w:r>
                  <w:r>
                    <w:rPr>
                      <w:rFonts w:hint="eastAsia"/>
                    </w:rPr>
                    <w:t>3</w:t>
                  </w:r>
                  <w:r>
                    <w:t>类标准</w:t>
                  </w:r>
                </w:p>
              </w:tc>
            </w:tr>
          </w:tbl>
          <w:p w14:paraId="0C183BC7">
            <w:pPr>
              <w:ind w:firstLine="482"/>
              <w:jc w:val="both"/>
              <w:rPr>
                <w:b/>
                <w:bCs/>
              </w:rPr>
            </w:pPr>
            <w:r>
              <w:rPr>
                <w:rFonts w:hint="eastAsia"/>
                <w:b/>
                <w:bCs/>
              </w:rPr>
              <w:t>四、固体废物</w:t>
            </w:r>
          </w:p>
          <w:p w14:paraId="1295C4F9">
            <w:pPr>
              <w:spacing w:before="24" w:after="24"/>
              <w:ind w:firstLine="480"/>
              <w:jc w:val="both"/>
            </w:pPr>
            <w:r>
              <w:t>本项目</w:t>
            </w:r>
            <w:r>
              <w:rPr>
                <w:rFonts w:hint="eastAsia"/>
              </w:rPr>
              <w:t>产生的</w:t>
            </w:r>
            <w:r>
              <w:t>固体废物主要</w:t>
            </w:r>
            <w:r>
              <w:rPr>
                <w:rFonts w:hint="eastAsia"/>
              </w:rPr>
              <w:t>包括不合格品、废包装物、废活性炭以及废机油及废机油桶。</w:t>
            </w:r>
          </w:p>
          <w:p w14:paraId="776E4617">
            <w:pPr>
              <w:numPr>
                <w:ilvl w:val="0"/>
                <w:numId w:val="10"/>
              </w:numPr>
              <w:bidi w:val="0"/>
              <w:jc w:val="both"/>
              <w:rPr>
                <w:rFonts w:hint="eastAsia"/>
                <w:b/>
                <w:bCs/>
                <w:color w:val="auto"/>
              </w:rPr>
            </w:pPr>
            <w:r>
              <w:rPr>
                <w:rFonts w:hint="eastAsia"/>
                <w:b/>
                <w:bCs/>
                <w:color w:val="auto"/>
                <w:lang w:val="en-US" w:eastAsia="zh-CN"/>
              </w:rPr>
              <w:t>一般固体废物</w:t>
            </w:r>
            <w:r>
              <w:rPr>
                <w:rFonts w:hint="eastAsia"/>
                <w:b/>
                <w:bCs/>
                <w:color w:val="auto"/>
              </w:rPr>
              <w:t>产生及处置情况</w:t>
            </w:r>
          </w:p>
          <w:p w14:paraId="75AAF3B3">
            <w:pPr>
              <w:bidi w:val="0"/>
              <w:jc w:val="both"/>
              <w:rPr>
                <w:rFonts w:hint="default" w:eastAsia="宋体"/>
                <w:b/>
                <w:bCs/>
                <w:lang w:val="en-US" w:eastAsia="zh-CN"/>
              </w:rPr>
            </w:pPr>
            <w:r>
              <w:rPr>
                <w:rFonts w:hint="eastAsia"/>
                <w:b/>
                <w:bCs/>
                <w:lang w:eastAsia="zh-CN"/>
              </w:rPr>
              <w:t>（</w:t>
            </w:r>
            <w:r>
              <w:rPr>
                <w:rFonts w:hint="eastAsia"/>
                <w:b/>
                <w:bCs/>
                <w:lang w:val="en-US" w:eastAsia="zh-CN"/>
              </w:rPr>
              <w:t>1</w:t>
            </w:r>
            <w:r>
              <w:rPr>
                <w:rFonts w:hint="eastAsia"/>
                <w:b/>
                <w:bCs/>
                <w:lang w:eastAsia="zh-CN"/>
              </w:rPr>
              <w:t>）</w:t>
            </w:r>
            <w:r>
              <w:rPr>
                <w:rFonts w:hint="eastAsia"/>
                <w:b/>
                <w:bCs/>
                <w:lang w:val="en-US" w:eastAsia="zh-CN"/>
              </w:rPr>
              <w:t>一般工业固体废物</w:t>
            </w:r>
          </w:p>
          <w:p w14:paraId="402810F3">
            <w:pPr>
              <w:jc w:val="both"/>
              <w:rPr>
                <w:rFonts w:hint="eastAsia"/>
                <w:lang w:val="en-US" w:eastAsia="zh-CN"/>
              </w:rPr>
            </w:pPr>
            <w:r>
              <w:rPr>
                <w:rFonts w:hint="eastAsia"/>
              </w:rPr>
              <w:t>①</w:t>
            </w:r>
            <w:r>
              <w:rPr>
                <w:rFonts w:hint="eastAsia"/>
                <w:lang w:val="en-US" w:eastAsia="zh-CN"/>
              </w:rPr>
              <w:t>不合格品</w:t>
            </w:r>
          </w:p>
          <w:p w14:paraId="0A8C85BD">
            <w:pPr>
              <w:jc w:val="both"/>
              <w:rPr>
                <w:rFonts w:hint="eastAsia"/>
                <w:lang w:eastAsia="zh-CN"/>
              </w:rPr>
            </w:pPr>
            <w:r>
              <w:rPr>
                <w:rFonts w:hint="eastAsia"/>
              </w:rPr>
              <w:t>项目在发泡、成型过程中会产生一定量的</w:t>
            </w:r>
            <w:r>
              <w:rPr>
                <w:rFonts w:hint="eastAsia"/>
                <w:lang w:val="en-US" w:eastAsia="zh-CN"/>
              </w:rPr>
              <w:t>不合格品</w:t>
            </w:r>
            <w:r>
              <w:rPr>
                <w:rFonts w:hint="eastAsia"/>
              </w:rPr>
              <w:t>，产生量约占原材料使用量的</w:t>
            </w:r>
            <w:r>
              <w:t>1%</w:t>
            </w:r>
            <w:r>
              <w:rPr>
                <w:rFonts w:hint="eastAsia"/>
              </w:rPr>
              <w:t>，项目原材料使用量为</w:t>
            </w:r>
            <w:r>
              <w:rPr>
                <w:rFonts w:hint="eastAsia"/>
                <w:highlight w:val="none"/>
                <w:lang w:val="en-US" w:eastAsia="zh-CN"/>
              </w:rPr>
              <w:t>7000</w:t>
            </w:r>
            <w:r>
              <w:rPr>
                <w:highlight w:val="none"/>
              </w:rPr>
              <w:t>t/a</w:t>
            </w:r>
            <w:r>
              <w:rPr>
                <w:rFonts w:hint="eastAsia"/>
                <w:highlight w:val="none"/>
              </w:rPr>
              <w:t>，则</w:t>
            </w:r>
            <w:r>
              <w:rPr>
                <w:rFonts w:hint="eastAsia"/>
                <w:highlight w:val="none"/>
                <w:lang w:val="en-US" w:eastAsia="zh-CN"/>
              </w:rPr>
              <w:t>不合格品</w:t>
            </w:r>
            <w:r>
              <w:rPr>
                <w:rFonts w:hint="eastAsia"/>
                <w:highlight w:val="none"/>
              </w:rPr>
              <w:t>产生量约为</w:t>
            </w:r>
            <w:r>
              <w:rPr>
                <w:rFonts w:hint="eastAsia"/>
                <w:highlight w:val="none"/>
                <w:lang w:val="en-US" w:eastAsia="zh-CN"/>
              </w:rPr>
              <w:t>70</w:t>
            </w:r>
            <w:r>
              <w:rPr>
                <w:highlight w:val="none"/>
              </w:rPr>
              <w:t>t/a</w:t>
            </w:r>
            <w:r>
              <w:rPr>
                <w:rFonts w:hint="eastAsia"/>
              </w:rPr>
              <w:t>，为一般固废</w:t>
            </w:r>
            <w:r>
              <w:rPr>
                <w:rFonts w:hint="eastAsia"/>
                <w:lang w:eastAsia="zh-CN"/>
              </w:rPr>
              <w:t>。</w:t>
            </w:r>
            <w:r>
              <w:rPr>
                <w:rFonts w:hint="eastAsia"/>
                <w:lang w:val="en-US" w:eastAsia="zh-CN"/>
              </w:rPr>
              <w:t>一般固废</w:t>
            </w:r>
            <w:r>
              <w:rPr>
                <w:rFonts w:hint="eastAsia"/>
                <w:lang w:eastAsia="zh-CN"/>
              </w:rPr>
              <w:t>收集后</w:t>
            </w:r>
            <w:r>
              <w:rPr>
                <w:rFonts w:hint="eastAsia"/>
                <w:lang w:val="en-US" w:eastAsia="zh-CN"/>
              </w:rPr>
              <w:t>暂存于一般固废暂存区，定期</w:t>
            </w:r>
            <w:r>
              <w:rPr>
                <w:rFonts w:hint="eastAsia"/>
                <w:lang w:eastAsia="zh-CN"/>
              </w:rPr>
              <w:t>外售综合利用。</w:t>
            </w:r>
          </w:p>
          <w:p w14:paraId="47F5EB3E">
            <w:pPr>
              <w:jc w:val="both"/>
              <w:rPr>
                <w:rFonts w:hint="eastAsia"/>
              </w:rPr>
            </w:pPr>
            <w:r>
              <w:rPr>
                <w:rFonts w:hint="eastAsia"/>
              </w:rPr>
              <w:t xml:space="preserve">②废包装袋 </w:t>
            </w:r>
          </w:p>
          <w:p w14:paraId="7D5B8355">
            <w:pPr>
              <w:jc w:val="both"/>
              <w:rPr>
                <w:rFonts w:hint="eastAsia"/>
              </w:rPr>
            </w:pPr>
            <w:r>
              <w:rPr>
                <w:rFonts w:hint="eastAsia"/>
              </w:rPr>
              <w:t>项目废包装袋主要来源于EPS粒子</w:t>
            </w:r>
            <w:r>
              <w:rPr>
                <w:rFonts w:hint="eastAsia"/>
                <w:lang w:val="en-US" w:eastAsia="zh-CN"/>
              </w:rPr>
              <w:t>及EPP原料</w:t>
            </w:r>
            <w:r>
              <w:rPr>
                <w:rFonts w:hint="eastAsia"/>
              </w:rPr>
              <w:t>的包装，根据与同类企业的类比，包装袋的重量约为原料量的</w:t>
            </w:r>
            <w:r>
              <w:t>0.01%</w:t>
            </w:r>
            <w:r>
              <w:rPr>
                <w:rFonts w:hint="eastAsia"/>
              </w:rPr>
              <w:t>，项目原材料使用量</w:t>
            </w:r>
            <w:r>
              <w:rPr>
                <w:rFonts w:hint="eastAsia"/>
                <w:highlight w:val="none"/>
              </w:rPr>
              <w:t>为</w:t>
            </w:r>
            <w:r>
              <w:rPr>
                <w:rFonts w:hint="eastAsia"/>
                <w:highlight w:val="none"/>
                <w:lang w:val="en-US" w:eastAsia="zh-CN"/>
              </w:rPr>
              <w:t>7000</w:t>
            </w:r>
            <w:r>
              <w:rPr>
                <w:highlight w:val="none"/>
              </w:rPr>
              <w:t>t/a</w:t>
            </w:r>
            <w:r>
              <w:rPr>
                <w:rFonts w:hint="eastAsia"/>
                <w:highlight w:val="none"/>
              </w:rPr>
              <w:t>，则废包装袋产生量为0.</w:t>
            </w:r>
            <w:r>
              <w:rPr>
                <w:rFonts w:hint="eastAsia"/>
                <w:highlight w:val="none"/>
                <w:lang w:val="en-US" w:eastAsia="zh-CN"/>
              </w:rPr>
              <w:t>7</w:t>
            </w:r>
            <w:r>
              <w:rPr>
                <w:highlight w:val="none"/>
              </w:rPr>
              <w:t>t/a</w:t>
            </w:r>
            <w:r>
              <w:rPr>
                <w:rFonts w:hint="eastAsia"/>
                <w:highlight w:val="none"/>
              </w:rPr>
              <w:t>，为一般固废，</w:t>
            </w:r>
            <w:r>
              <w:rPr>
                <w:rFonts w:hint="eastAsia"/>
                <w:highlight w:val="none"/>
                <w:lang w:val="en-US" w:eastAsia="zh-CN"/>
              </w:rPr>
              <w:t>一般固废</w:t>
            </w:r>
            <w:r>
              <w:rPr>
                <w:rFonts w:hint="eastAsia"/>
                <w:highlight w:val="none"/>
                <w:lang w:eastAsia="zh-CN"/>
              </w:rPr>
              <w:t>收集后</w:t>
            </w:r>
            <w:r>
              <w:rPr>
                <w:rFonts w:hint="eastAsia"/>
                <w:highlight w:val="none"/>
                <w:lang w:val="en-US" w:eastAsia="zh-CN"/>
              </w:rPr>
              <w:t>暂存于一般固废</w:t>
            </w:r>
            <w:r>
              <w:rPr>
                <w:rFonts w:hint="eastAsia"/>
                <w:lang w:val="en-US" w:eastAsia="zh-CN"/>
              </w:rPr>
              <w:t>暂存区，定期</w:t>
            </w:r>
            <w:r>
              <w:rPr>
                <w:rFonts w:hint="eastAsia"/>
                <w:lang w:eastAsia="zh-CN"/>
              </w:rPr>
              <w:t>外售综合利用。</w:t>
            </w:r>
          </w:p>
          <w:p w14:paraId="0ED81922">
            <w:pPr>
              <w:numPr>
                <w:ilvl w:val="0"/>
                <w:numId w:val="11"/>
              </w:numPr>
              <w:bidi w:val="0"/>
              <w:ind w:left="0" w:leftChars="0" w:firstLine="482" w:firstLineChars="200"/>
              <w:jc w:val="both"/>
              <w:rPr>
                <w:rFonts w:hint="eastAsia"/>
                <w:b/>
                <w:bCs/>
                <w:color w:val="auto"/>
                <w:lang w:val="en-US" w:eastAsia="zh-CN"/>
              </w:rPr>
            </w:pPr>
            <w:r>
              <w:rPr>
                <w:rFonts w:hint="eastAsia"/>
                <w:b/>
                <w:bCs/>
                <w:color w:val="auto"/>
                <w:lang w:val="en-US" w:eastAsia="zh-CN"/>
              </w:rPr>
              <w:t>生活垃圾</w:t>
            </w:r>
          </w:p>
          <w:p w14:paraId="1570E2DD">
            <w:pPr>
              <w:bidi w:val="0"/>
              <w:jc w:val="both"/>
              <w:rPr>
                <w:rFonts w:hint="default"/>
                <w:lang w:val="en-US" w:eastAsia="zh-CN"/>
              </w:rPr>
            </w:pPr>
            <w:r>
              <w:rPr>
                <w:rFonts w:hint="eastAsia"/>
              </w:rPr>
              <w:t>项目建成后全厂职工定员50人，生活垃圾产生量按0.5kg/人天计算，则每天产生职工生活垃圾25kg/d，年产生量约为7.5t/a。生活垃圾委托环卫部门清运。</w:t>
            </w:r>
          </w:p>
          <w:p w14:paraId="15CC4C82">
            <w:pPr>
              <w:pStyle w:val="44"/>
              <w:bidi w:val="0"/>
              <w:rPr>
                <w:rFonts w:hint="eastAsia"/>
                <w:lang w:eastAsia="zh-CN"/>
              </w:rPr>
            </w:pPr>
            <w:r>
              <w:rPr>
                <w:rFonts w:hint="eastAsia"/>
              </w:rPr>
              <w:t>表4-</w:t>
            </w:r>
            <w:r>
              <w:rPr>
                <w:rFonts w:hint="eastAsia"/>
                <w:lang w:val="en-US" w:eastAsia="zh-CN"/>
              </w:rPr>
              <w:t xml:space="preserve">23 </w:t>
            </w:r>
            <w:r>
              <w:rPr>
                <w:rFonts w:hint="eastAsia"/>
              </w:rPr>
              <w:t>本项目一般工业固废产生及处理处置措施</w:t>
            </w:r>
            <w:r>
              <w:rPr>
                <w:rFonts w:hint="eastAsia"/>
                <w:lang w:eastAsia="zh-CN"/>
              </w:rPr>
              <w:t>（</w:t>
            </w:r>
            <w:r>
              <w:rPr>
                <w:rFonts w:hint="eastAsia"/>
              </w:rPr>
              <w:t>单位：t/a</w:t>
            </w:r>
            <w:r>
              <w:rPr>
                <w:rFonts w:hint="eastAsia"/>
                <w:lang w:eastAsia="zh-CN"/>
              </w:rPr>
              <w:t>）</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404"/>
              <w:gridCol w:w="1370"/>
              <w:gridCol w:w="1176"/>
              <w:gridCol w:w="1221"/>
              <w:gridCol w:w="1345"/>
              <w:gridCol w:w="1276"/>
            </w:tblGrid>
            <w:tr w14:paraId="6A7F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noWrap w:val="0"/>
                  <w:vAlign w:val="center"/>
                </w:tcPr>
                <w:p w14:paraId="30E7638C">
                  <w:pPr>
                    <w:pStyle w:val="47"/>
                    <w:bidi w:val="0"/>
                    <w:rPr>
                      <w:rFonts w:hint="eastAsia"/>
                      <w:lang w:val="en-US" w:eastAsia="zh-CN"/>
                    </w:rPr>
                  </w:pPr>
                  <w:r>
                    <w:rPr>
                      <w:rFonts w:hint="eastAsia"/>
                      <w:lang w:val="en-US" w:eastAsia="zh-CN"/>
                    </w:rPr>
                    <w:t>序号</w:t>
                  </w:r>
                </w:p>
              </w:tc>
              <w:tc>
                <w:tcPr>
                  <w:tcW w:w="830" w:type="pct"/>
                  <w:noWrap w:val="0"/>
                  <w:vAlign w:val="center"/>
                </w:tcPr>
                <w:p w14:paraId="1A750383">
                  <w:pPr>
                    <w:pStyle w:val="47"/>
                    <w:bidi w:val="0"/>
                    <w:rPr>
                      <w:rFonts w:hint="eastAsia"/>
                      <w:lang w:val="en-US" w:eastAsia="zh-CN"/>
                    </w:rPr>
                  </w:pPr>
                  <w:r>
                    <w:rPr>
                      <w:rFonts w:hint="eastAsia"/>
                      <w:lang w:val="en-US" w:eastAsia="zh-CN"/>
                    </w:rPr>
                    <w:t>废物名称</w:t>
                  </w:r>
                </w:p>
              </w:tc>
              <w:tc>
                <w:tcPr>
                  <w:tcW w:w="810" w:type="pct"/>
                  <w:noWrap w:val="0"/>
                  <w:vAlign w:val="center"/>
                </w:tcPr>
                <w:p w14:paraId="21E1CF90">
                  <w:pPr>
                    <w:pStyle w:val="47"/>
                    <w:bidi w:val="0"/>
                    <w:rPr>
                      <w:rFonts w:hint="eastAsia"/>
                      <w:lang w:val="en-US" w:eastAsia="zh-CN"/>
                    </w:rPr>
                  </w:pPr>
                  <w:r>
                    <w:rPr>
                      <w:rFonts w:hint="eastAsia"/>
                      <w:lang w:val="en-US" w:eastAsia="zh-CN"/>
                    </w:rPr>
                    <w:t>产污工序</w:t>
                  </w:r>
                </w:p>
              </w:tc>
              <w:tc>
                <w:tcPr>
                  <w:tcW w:w="695" w:type="pct"/>
                  <w:noWrap w:val="0"/>
                  <w:vAlign w:val="center"/>
                </w:tcPr>
                <w:p w14:paraId="01BD17E6">
                  <w:pPr>
                    <w:pStyle w:val="47"/>
                    <w:bidi w:val="0"/>
                    <w:rPr>
                      <w:rFonts w:hint="eastAsia"/>
                      <w:lang w:val="en-US" w:eastAsia="zh-CN"/>
                    </w:rPr>
                  </w:pPr>
                  <w:r>
                    <w:rPr>
                      <w:rFonts w:hint="eastAsia"/>
                      <w:lang w:val="en-US" w:eastAsia="zh-CN"/>
                    </w:rPr>
                    <w:t>类别</w:t>
                  </w:r>
                </w:p>
              </w:tc>
              <w:tc>
                <w:tcPr>
                  <w:tcW w:w="722" w:type="pct"/>
                  <w:noWrap w:val="0"/>
                  <w:vAlign w:val="center"/>
                </w:tcPr>
                <w:p w14:paraId="47A105D0">
                  <w:pPr>
                    <w:pStyle w:val="47"/>
                    <w:bidi w:val="0"/>
                    <w:rPr>
                      <w:rFonts w:hint="eastAsia"/>
                      <w:lang w:val="en-US" w:eastAsia="zh-CN"/>
                    </w:rPr>
                  </w:pPr>
                  <w:r>
                    <w:rPr>
                      <w:rFonts w:hint="eastAsia"/>
                      <w:lang w:val="en-US" w:eastAsia="zh-CN"/>
                    </w:rPr>
                    <w:t>代码</w:t>
                  </w:r>
                </w:p>
              </w:tc>
              <w:tc>
                <w:tcPr>
                  <w:tcW w:w="795" w:type="pct"/>
                  <w:noWrap w:val="0"/>
                  <w:vAlign w:val="center"/>
                </w:tcPr>
                <w:p w14:paraId="1B23AB5D">
                  <w:pPr>
                    <w:pStyle w:val="47"/>
                    <w:bidi w:val="0"/>
                    <w:rPr>
                      <w:rFonts w:hint="eastAsia"/>
                      <w:lang w:val="en-US" w:eastAsia="zh-CN"/>
                    </w:rPr>
                  </w:pPr>
                  <w:r>
                    <w:rPr>
                      <w:rFonts w:hint="eastAsia"/>
                      <w:lang w:val="en-US" w:eastAsia="zh-CN"/>
                    </w:rPr>
                    <w:t>产生量（t/a）</w:t>
                  </w:r>
                </w:p>
              </w:tc>
              <w:tc>
                <w:tcPr>
                  <w:tcW w:w="754" w:type="pct"/>
                  <w:noWrap w:val="0"/>
                  <w:vAlign w:val="center"/>
                </w:tcPr>
                <w:p w14:paraId="34760E0B">
                  <w:pPr>
                    <w:pStyle w:val="47"/>
                    <w:bidi w:val="0"/>
                    <w:rPr>
                      <w:rFonts w:hint="eastAsia"/>
                      <w:lang w:val="en-US" w:eastAsia="zh-CN"/>
                    </w:rPr>
                  </w:pPr>
                  <w:r>
                    <w:rPr>
                      <w:rFonts w:hint="eastAsia"/>
                      <w:lang w:val="en-US" w:eastAsia="zh-CN"/>
                    </w:rPr>
                    <w:t>处置措施</w:t>
                  </w:r>
                </w:p>
              </w:tc>
            </w:tr>
            <w:tr w14:paraId="06C14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noWrap w:val="0"/>
                  <w:vAlign w:val="center"/>
                </w:tcPr>
                <w:p w14:paraId="0088E165">
                  <w:pPr>
                    <w:pStyle w:val="68"/>
                    <w:bidi w:val="0"/>
                    <w:rPr>
                      <w:rFonts w:hint="eastAsia"/>
                      <w:color w:val="auto"/>
                      <w:lang w:val="en-US" w:eastAsia="zh-CN"/>
                    </w:rPr>
                  </w:pPr>
                  <w:r>
                    <w:rPr>
                      <w:rFonts w:hint="eastAsia"/>
                      <w:color w:val="auto"/>
                      <w:lang w:val="en-US" w:eastAsia="zh-CN"/>
                    </w:rPr>
                    <w:t>1</w:t>
                  </w:r>
                </w:p>
              </w:tc>
              <w:tc>
                <w:tcPr>
                  <w:tcW w:w="830" w:type="pct"/>
                  <w:noWrap w:val="0"/>
                  <w:vAlign w:val="center"/>
                </w:tcPr>
                <w:p w14:paraId="5AD9D6A4">
                  <w:pPr>
                    <w:pStyle w:val="68"/>
                    <w:bidi w:val="0"/>
                    <w:rPr>
                      <w:rFonts w:hint="default"/>
                      <w:color w:val="auto"/>
                      <w:lang w:val="en-US" w:eastAsia="zh-CN"/>
                    </w:rPr>
                  </w:pPr>
                  <w:r>
                    <w:rPr>
                      <w:rFonts w:hint="eastAsia"/>
                      <w:color w:val="auto"/>
                      <w:lang w:val="en-US" w:eastAsia="zh-CN"/>
                    </w:rPr>
                    <w:t>不合格品</w:t>
                  </w:r>
                </w:p>
              </w:tc>
              <w:tc>
                <w:tcPr>
                  <w:tcW w:w="810" w:type="pct"/>
                  <w:noWrap w:val="0"/>
                  <w:vAlign w:val="center"/>
                </w:tcPr>
                <w:p w14:paraId="7AE620E0">
                  <w:pPr>
                    <w:pStyle w:val="68"/>
                    <w:bidi w:val="0"/>
                    <w:rPr>
                      <w:rFonts w:hint="default"/>
                      <w:color w:val="auto"/>
                      <w:lang w:val="en-US" w:eastAsia="zh-CN"/>
                    </w:rPr>
                  </w:pPr>
                  <w:r>
                    <w:rPr>
                      <w:rFonts w:hint="eastAsia"/>
                      <w:color w:val="auto"/>
                      <w:lang w:val="en-US" w:eastAsia="zh-CN"/>
                    </w:rPr>
                    <w:t>检验</w:t>
                  </w:r>
                </w:p>
              </w:tc>
              <w:tc>
                <w:tcPr>
                  <w:tcW w:w="695" w:type="pct"/>
                  <w:noWrap w:val="0"/>
                  <w:vAlign w:val="center"/>
                </w:tcPr>
                <w:p w14:paraId="358B8950">
                  <w:pPr>
                    <w:pStyle w:val="68"/>
                    <w:bidi w:val="0"/>
                    <w:rPr>
                      <w:rFonts w:hint="eastAsia"/>
                      <w:color w:val="auto"/>
                      <w:lang w:val="en-US" w:eastAsia="zh-CN"/>
                    </w:rPr>
                  </w:pPr>
                  <w:r>
                    <w:rPr>
                      <w:rFonts w:hint="eastAsia"/>
                      <w:color w:val="auto"/>
                      <w:lang w:val="en-US" w:eastAsia="zh-CN"/>
                    </w:rPr>
                    <w:t>一般固废</w:t>
                  </w:r>
                </w:p>
              </w:tc>
              <w:tc>
                <w:tcPr>
                  <w:tcW w:w="722" w:type="pct"/>
                  <w:noWrap w:val="0"/>
                  <w:vAlign w:val="center"/>
                </w:tcPr>
                <w:p w14:paraId="70D3D0B8">
                  <w:pPr>
                    <w:pStyle w:val="51"/>
                    <w:spacing w:before="33" w:after="33"/>
                  </w:pPr>
                  <w:r>
                    <w:rPr>
                      <w:rFonts w:hint="eastAsia"/>
                    </w:rPr>
                    <w:t>I 06</w:t>
                  </w:r>
                </w:p>
                <w:p w14:paraId="48A4A6D6">
                  <w:pPr>
                    <w:pStyle w:val="68"/>
                    <w:bidi w:val="0"/>
                    <w:rPr>
                      <w:rFonts w:hint="default"/>
                      <w:color w:val="auto"/>
                      <w:lang w:val="en-US" w:eastAsia="zh-CN"/>
                    </w:rPr>
                  </w:pPr>
                  <w:r>
                    <w:rPr>
                      <w:rFonts w:hint="eastAsia"/>
                    </w:rPr>
                    <w:t>292-001-06</w:t>
                  </w:r>
                </w:p>
              </w:tc>
              <w:tc>
                <w:tcPr>
                  <w:tcW w:w="795" w:type="pct"/>
                  <w:noWrap w:val="0"/>
                  <w:vAlign w:val="center"/>
                </w:tcPr>
                <w:p w14:paraId="5AA4E171">
                  <w:pPr>
                    <w:pStyle w:val="68"/>
                    <w:bidi w:val="0"/>
                    <w:rPr>
                      <w:rFonts w:hint="default"/>
                      <w:color w:val="auto"/>
                      <w:highlight w:val="none"/>
                      <w:lang w:val="en-US" w:eastAsia="zh-CN"/>
                    </w:rPr>
                  </w:pPr>
                  <w:r>
                    <w:rPr>
                      <w:rFonts w:hint="eastAsia"/>
                      <w:color w:val="auto"/>
                      <w:highlight w:val="none"/>
                      <w:lang w:val="en-US" w:eastAsia="zh-CN"/>
                    </w:rPr>
                    <w:t>70</w:t>
                  </w:r>
                </w:p>
              </w:tc>
              <w:tc>
                <w:tcPr>
                  <w:tcW w:w="754" w:type="pct"/>
                  <w:vMerge w:val="restart"/>
                  <w:noWrap w:val="0"/>
                  <w:vAlign w:val="center"/>
                </w:tcPr>
                <w:p w14:paraId="09FA0571">
                  <w:pPr>
                    <w:pStyle w:val="68"/>
                    <w:bidi w:val="0"/>
                    <w:rPr>
                      <w:rFonts w:hint="default"/>
                      <w:color w:val="auto"/>
                      <w:lang w:val="en-US" w:eastAsia="zh-CN"/>
                    </w:rPr>
                  </w:pPr>
                  <w:r>
                    <w:t>收集后统一外售</w:t>
                  </w:r>
                  <w:r>
                    <w:rPr>
                      <w:rFonts w:hint="eastAsia"/>
                    </w:rPr>
                    <w:t>加工企业</w:t>
                  </w:r>
                </w:p>
              </w:tc>
            </w:tr>
            <w:tr w14:paraId="0BE04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noWrap w:val="0"/>
                  <w:vAlign w:val="center"/>
                </w:tcPr>
                <w:p w14:paraId="0F001BC6">
                  <w:pPr>
                    <w:pStyle w:val="68"/>
                    <w:bidi w:val="0"/>
                    <w:rPr>
                      <w:rFonts w:hint="default"/>
                      <w:color w:val="auto"/>
                      <w:lang w:val="en-US" w:eastAsia="zh-CN"/>
                    </w:rPr>
                  </w:pPr>
                  <w:r>
                    <w:rPr>
                      <w:rFonts w:hint="eastAsia"/>
                      <w:color w:val="auto"/>
                      <w:lang w:val="en-US" w:eastAsia="zh-CN"/>
                    </w:rPr>
                    <w:t>2</w:t>
                  </w:r>
                </w:p>
              </w:tc>
              <w:tc>
                <w:tcPr>
                  <w:tcW w:w="830" w:type="pct"/>
                  <w:noWrap w:val="0"/>
                  <w:vAlign w:val="center"/>
                </w:tcPr>
                <w:p w14:paraId="0DF717FE">
                  <w:pPr>
                    <w:pStyle w:val="68"/>
                    <w:bidi w:val="0"/>
                    <w:rPr>
                      <w:rFonts w:hint="eastAsia"/>
                      <w:color w:val="auto"/>
                      <w:lang w:val="en-US" w:eastAsia="zh-CN"/>
                    </w:rPr>
                  </w:pPr>
                  <w:r>
                    <w:rPr>
                      <w:rFonts w:hint="eastAsia"/>
                    </w:rPr>
                    <w:t>废包装袋</w:t>
                  </w:r>
                </w:p>
              </w:tc>
              <w:tc>
                <w:tcPr>
                  <w:tcW w:w="810" w:type="pct"/>
                  <w:noWrap w:val="0"/>
                  <w:vAlign w:val="center"/>
                </w:tcPr>
                <w:p w14:paraId="2871AD0E">
                  <w:pPr>
                    <w:pStyle w:val="68"/>
                    <w:bidi w:val="0"/>
                    <w:rPr>
                      <w:rFonts w:hint="default"/>
                      <w:color w:val="auto"/>
                      <w:lang w:val="en-US" w:eastAsia="zh-CN"/>
                    </w:rPr>
                  </w:pPr>
                  <w:r>
                    <w:rPr>
                      <w:rFonts w:hint="eastAsia"/>
                      <w:color w:val="auto"/>
                      <w:lang w:val="en-US" w:eastAsia="zh-CN"/>
                    </w:rPr>
                    <w:t>原料包装</w:t>
                  </w:r>
                </w:p>
              </w:tc>
              <w:tc>
                <w:tcPr>
                  <w:tcW w:w="695" w:type="pct"/>
                  <w:noWrap w:val="0"/>
                  <w:vAlign w:val="center"/>
                </w:tcPr>
                <w:p w14:paraId="6BF6EE5B">
                  <w:pPr>
                    <w:pStyle w:val="68"/>
                    <w:bidi w:val="0"/>
                    <w:rPr>
                      <w:rFonts w:hint="default"/>
                      <w:color w:val="auto"/>
                      <w:lang w:val="en-US" w:eastAsia="zh-CN"/>
                    </w:rPr>
                  </w:pPr>
                  <w:r>
                    <w:rPr>
                      <w:rFonts w:hint="eastAsia"/>
                      <w:color w:val="auto"/>
                      <w:lang w:val="en-US" w:eastAsia="zh-CN"/>
                    </w:rPr>
                    <w:t>一般固废</w:t>
                  </w:r>
                </w:p>
              </w:tc>
              <w:tc>
                <w:tcPr>
                  <w:tcW w:w="722" w:type="pct"/>
                  <w:noWrap w:val="0"/>
                  <w:vAlign w:val="center"/>
                </w:tcPr>
                <w:p w14:paraId="29EDDEC1">
                  <w:pPr>
                    <w:pStyle w:val="51"/>
                    <w:spacing w:before="33" w:after="33"/>
                  </w:pPr>
                  <w:r>
                    <w:rPr>
                      <w:rFonts w:hint="eastAsia"/>
                    </w:rPr>
                    <w:t>I 07</w:t>
                  </w:r>
                </w:p>
                <w:p w14:paraId="719DACC6">
                  <w:pPr>
                    <w:pStyle w:val="68"/>
                    <w:bidi w:val="0"/>
                    <w:rPr>
                      <w:rFonts w:hint="eastAsia"/>
                    </w:rPr>
                  </w:pPr>
                  <w:r>
                    <w:rPr>
                      <w:rFonts w:hint="eastAsia"/>
                    </w:rPr>
                    <w:t>223-001-07</w:t>
                  </w:r>
                </w:p>
              </w:tc>
              <w:tc>
                <w:tcPr>
                  <w:tcW w:w="795" w:type="pct"/>
                  <w:noWrap w:val="0"/>
                  <w:vAlign w:val="center"/>
                </w:tcPr>
                <w:p w14:paraId="4378BC39">
                  <w:pPr>
                    <w:pStyle w:val="68"/>
                    <w:bidi w:val="0"/>
                    <w:rPr>
                      <w:rFonts w:hint="default"/>
                      <w:color w:val="auto"/>
                      <w:highlight w:val="none"/>
                      <w:lang w:val="en-US" w:eastAsia="zh-CN"/>
                    </w:rPr>
                  </w:pPr>
                  <w:r>
                    <w:rPr>
                      <w:rFonts w:hint="eastAsia"/>
                      <w:color w:val="auto"/>
                      <w:highlight w:val="none"/>
                      <w:lang w:val="en-US" w:eastAsia="zh-CN"/>
                    </w:rPr>
                    <w:t>0.7</w:t>
                  </w:r>
                </w:p>
              </w:tc>
              <w:tc>
                <w:tcPr>
                  <w:tcW w:w="754" w:type="pct"/>
                  <w:vMerge w:val="continue"/>
                  <w:noWrap w:val="0"/>
                  <w:vAlign w:val="center"/>
                </w:tcPr>
                <w:p w14:paraId="5355D010">
                  <w:pPr>
                    <w:pStyle w:val="68"/>
                    <w:bidi w:val="0"/>
                  </w:pPr>
                </w:p>
              </w:tc>
            </w:tr>
            <w:tr w14:paraId="76AF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noWrap w:val="0"/>
                  <w:vAlign w:val="center"/>
                </w:tcPr>
                <w:p w14:paraId="4C8B3964">
                  <w:pPr>
                    <w:pStyle w:val="68"/>
                    <w:bidi w:val="0"/>
                    <w:rPr>
                      <w:rFonts w:hint="eastAsia"/>
                      <w:color w:val="auto"/>
                      <w:lang w:val="en-US" w:eastAsia="zh-CN"/>
                    </w:rPr>
                  </w:pPr>
                  <w:r>
                    <w:rPr>
                      <w:rFonts w:hint="eastAsia"/>
                      <w:color w:val="auto"/>
                      <w:lang w:val="en-US" w:eastAsia="zh-CN"/>
                    </w:rPr>
                    <w:t>3</w:t>
                  </w:r>
                </w:p>
              </w:tc>
              <w:tc>
                <w:tcPr>
                  <w:tcW w:w="830" w:type="pct"/>
                  <w:noWrap w:val="0"/>
                  <w:vAlign w:val="center"/>
                </w:tcPr>
                <w:p w14:paraId="0025F802">
                  <w:pPr>
                    <w:pStyle w:val="68"/>
                    <w:bidi w:val="0"/>
                    <w:rPr>
                      <w:rFonts w:hint="default"/>
                      <w:color w:val="auto"/>
                      <w:lang w:val="en-US" w:eastAsia="zh-CN"/>
                    </w:rPr>
                  </w:pPr>
                  <w:r>
                    <w:rPr>
                      <w:rFonts w:hint="eastAsia"/>
                      <w:color w:val="auto"/>
                      <w:lang w:val="en-US" w:eastAsia="zh-CN"/>
                    </w:rPr>
                    <w:t>生活垃圾</w:t>
                  </w:r>
                </w:p>
              </w:tc>
              <w:tc>
                <w:tcPr>
                  <w:tcW w:w="810" w:type="pct"/>
                  <w:noWrap w:val="0"/>
                  <w:vAlign w:val="center"/>
                </w:tcPr>
                <w:p w14:paraId="03A63558">
                  <w:pPr>
                    <w:pStyle w:val="68"/>
                    <w:bidi w:val="0"/>
                    <w:rPr>
                      <w:rFonts w:hint="default"/>
                      <w:color w:val="auto"/>
                      <w:lang w:val="en-US" w:eastAsia="zh-CN"/>
                    </w:rPr>
                  </w:pPr>
                  <w:r>
                    <w:rPr>
                      <w:rFonts w:hint="eastAsia"/>
                      <w:color w:val="auto"/>
                      <w:lang w:val="en-US" w:eastAsia="zh-CN"/>
                    </w:rPr>
                    <w:t>员工生活</w:t>
                  </w:r>
                </w:p>
              </w:tc>
              <w:tc>
                <w:tcPr>
                  <w:tcW w:w="695" w:type="pct"/>
                  <w:noWrap w:val="0"/>
                  <w:vAlign w:val="center"/>
                </w:tcPr>
                <w:p w14:paraId="28F41316">
                  <w:pPr>
                    <w:pStyle w:val="68"/>
                    <w:bidi w:val="0"/>
                    <w:rPr>
                      <w:rFonts w:hint="default"/>
                      <w:color w:val="auto"/>
                      <w:lang w:val="en-US" w:eastAsia="zh-CN"/>
                    </w:rPr>
                  </w:pPr>
                  <w:r>
                    <w:rPr>
                      <w:rFonts w:hint="eastAsia"/>
                      <w:color w:val="auto"/>
                      <w:lang w:val="en-US" w:eastAsia="zh-CN"/>
                    </w:rPr>
                    <w:t>生活垃圾</w:t>
                  </w:r>
                </w:p>
              </w:tc>
              <w:tc>
                <w:tcPr>
                  <w:tcW w:w="722" w:type="pct"/>
                  <w:noWrap w:val="0"/>
                  <w:vAlign w:val="center"/>
                </w:tcPr>
                <w:p w14:paraId="1D174402">
                  <w:pPr>
                    <w:pStyle w:val="68"/>
                    <w:bidi w:val="0"/>
                    <w:rPr>
                      <w:rFonts w:hint="default"/>
                      <w:color w:val="auto"/>
                      <w:lang w:val="en-US" w:eastAsia="zh-CN"/>
                    </w:rPr>
                  </w:pPr>
                  <w:r>
                    <w:rPr>
                      <w:rFonts w:hint="eastAsia"/>
                      <w:color w:val="auto"/>
                      <w:lang w:val="en-US" w:eastAsia="zh-CN"/>
                    </w:rPr>
                    <w:t>/</w:t>
                  </w:r>
                </w:p>
              </w:tc>
              <w:tc>
                <w:tcPr>
                  <w:tcW w:w="795" w:type="pct"/>
                  <w:noWrap w:val="0"/>
                  <w:vAlign w:val="center"/>
                </w:tcPr>
                <w:p w14:paraId="6F5CA757">
                  <w:pPr>
                    <w:pStyle w:val="68"/>
                    <w:bidi w:val="0"/>
                    <w:rPr>
                      <w:rFonts w:hint="default"/>
                      <w:color w:val="auto"/>
                      <w:lang w:val="en-US" w:eastAsia="zh-CN"/>
                    </w:rPr>
                  </w:pPr>
                  <w:r>
                    <w:rPr>
                      <w:rFonts w:hint="eastAsia"/>
                      <w:color w:val="auto"/>
                      <w:lang w:val="en-US" w:eastAsia="zh-CN"/>
                    </w:rPr>
                    <w:t>7.5</w:t>
                  </w:r>
                </w:p>
              </w:tc>
              <w:tc>
                <w:tcPr>
                  <w:tcW w:w="754" w:type="pct"/>
                  <w:noWrap w:val="0"/>
                  <w:vAlign w:val="center"/>
                </w:tcPr>
                <w:p w14:paraId="56D4A06B">
                  <w:pPr>
                    <w:pStyle w:val="68"/>
                    <w:bidi w:val="0"/>
                    <w:rPr>
                      <w:rFonts w:hint="default"/>
                      <w:color w:val="auto"/>
                      <w:lang w:val="en-US" w:eastAsia="zh-CN"/>
                    </w:rPr>
                  </w:pPr>
                  <w:r>
                    <w:t>交由环卫部门处理</w:t>
                  </w:r>
                </w:p>
              </w:tc>
            </w:tr>
          </w:tbl>
          <w:p w14:paraId="1FB01840">
            <w:pPr>
              <w:bidi w:val="0"/>
              <w:jc w:val="both"/>
              <w:rPr>
                <w:rFonts w:hint="eastAsia"/>
                <w:b/>
                <w:bCs/>
              </w:rPr>
            </w:pPr>
            <w:r>
              <w:rPr>
                <w:rFonts w:hint="eastAsia"/>
                <w:b/>
                <w:bCs/>
                <w:lang w:val="en-US" w:eastAsia="zh-CN"/>
              </w:rPr>
              <w:t>2、</w:t>
            </w:r>
            <w:r>
              <w:rPr>
                <w:rFonts w:hint="eastAsia"/>
                <w:b/>
                <w:bCs/>
              </w:rPr>
              <w:t>危险废物</w:t>
            </w:r>
          </w:p>
          <w:p w14:paraId="684F5405">
            <w:pPr>
              <w:bidi w:val="0"/>
              <w:jc w:val="both"/>
              <w:rPr>
                <w:rFonts w:hint="eastAsia"/>
                <w:b/>
                <w:bCs/>
                <w:lang w:eastAsia="zh-CN"/>
              </w:rPr>
            </w:pPr>
            <w:r>
              <w:rPr>
                <w:rFonts w:hint="eastAsia"/>
                <w:b/>
                <w:bCs/>
                <w:lang w:eastAsia="zh-CN"/>
              </w:rPr>
              <w:t>（</w:t>
            </w:r>
            <w:r>
              <w:rPr>
                <w:rFonts w:hint="eastAsia"/>
                <w:b/>
                <w:bCs/>
                <w:lang w:val="en-US" w:eastAsia="zh-CN"/>
              </w:rPr>
              <w:t>1</w:t>
            </w:r>
            <w:r>
              <w:rPr>
                <w:rFonts w:hint="eastAsia"/>
                <w:b/>
                <w:bCs/>
                <w:lang w:eastAsia="zh-CN"/>
              </w:rPr>
              <w:t>）</w:t>
            </w:r>
            <w:r>
              <w:rPr>
                <w:rFonts w:hint="eastAsia"/>
                <w:b/>
                <w:bCs/>
                <w:color w:val="auto"/>
              </w:rPr>
              <w:t>危险废物产生及处置情况</w:t>
            </w:r>
          </w:p>
          <w:p w14:paraId="7ED697A7">
            <w:pPr>
              <w:jc w:val="both"/>
              <w:rPr>
                <w:rFonts w:hint="eastAsia"/>
                <w:b/>
                <w:bCs/>
              </w:rPr>
            </w:pPr>
            <w:r>
              <w:rPr>
                <w:rFonts w:hint="eastAsia"/>
                <w:b/>
                <w:bCs/>
              </w:rPr>
              <w:t>①废活性炭</w:t>
            </w:r>
          </w:p>
          <w:p w14:paraId="313EAF21">
            <w:pPr>
              <w:jc w:val="both"/>
              <w:rPr>
                <w:rFonts w:hint="eastAsia"/>
              </w:rPr>
            </w:pPr>
            <w:r>
              <w:rPr>
                <w:rFonts w:hint="eastAsia"/>
              </w:rPr>
              <w:t>废气治理过程中产生废活性炭。</w:t>
            </w:r>
            <w:r>
              <w:rPr>
                <w:rFonts w:hint="eastAsia"/>
                <w:lang w:val="en-US" w:eastAsia="zh-CN"/>
              </w:rPr>
              <w:t>根</w:t>
            </w:r>
            <w:r>
              <w:rPr>
                <w:highlight w:val="none"/>
              </w:rPr>
              <w:t>据工程分析，</w:t>
            </w:r>
            <w:r>
              <w:rPr>
                <w:rFonts w:hint="eastAsia"/>
                <w:highlight w:val="none"/>
                <w:lang w:val="en-US" w:eastAsia="zh-CN"/>
              </w:rPr>
              <w:t>EPS包装材料生产线</w:t>
            </w:r>
            <w:r>
              <w:rPr>
                <w:highlight w:val="none"/>
              </w:rPr>
              <w:t>活性炭吸附有机物量为</w:t>
            </w:r>
            <w:r>
              <w:rPr>
                <w:rFonts w:hint="eastAsia"/>
                <w:highlight w:val="none"/>
                <w:lang w:val="en-US" w:eastAsia="zh-CN"/>
              </w:rPr>
              <w:t>0.8751</w:t>
            </w:r>
            <w:r>
              <w:rPr>
                <w:highlight w:val="none"/>
              </w:rPr>
              <w:t>t/a</w:t>
            </w:r>
            <w:r>
              <w:rPr>
                <w:rFonts w:hint="eastAsia"/>
                <w:highlight w:val="none"/>
                <w:lang w:eastAsia="zh-CN"/>
              </w:rPr>
              <w:t>、</w:t>
            </w:r>
            <w:r>
              <w:rPr>
                <w:rFonts w:hint="eastAsia"/>
                <w:highlight w:val="none"/>
                <w:lang w:val="en-US" w:eastAsia="zh-CN"/>
              </w:rPr>
              <w:t>活性炭填充量2.938t/a</w:t>
            </w:r>
            <w:r>
              <w:rPr>
                <w:highlight w:val="none"/>
              </w:rPr>
              <w:t>，则</w:t>
            </w:r>
            <w:r>
              <w:rPr>
                <w:rFonts w:hint="eastAsia"/>
                <w:highlight w:val="none"/>
                <w:lang w:val="en-US" w:eastAsia="zh-CN"/>
              </w:rPr>
              <w:t>EPS包装材料生产线废活性炭产生量3.8131</w:t>
            </w:r>
            <w:r>
              <w:rPr>
                <w:highlight w:val="none"/>
              </w:rPr>
              <w:t>t</w:t>
            </w:r>
            <w:r>
              <w:rPr>
                <w:rFonts w:hint="eastAsia"/>
                <w:highlight w:val="none"/>
                <w:lang w:val="en-US" w:eastAsia="zh-CN"/>
              </w:rPr>
              <w:t>/a</w:t>
            </w:r>
            <w:r>
              <w:rPr>
                <w:rFonts w:hint="eastAsia"/>
                <w:highlight w:val="none"/>
                <w:lang w:eastAsia="zh-CN"/>
              </w:rPr>
              <w:t>；</w:t>
            </w:r>
            <w:r>
              <w:rPr>
                <w:rFonts w:hint="eastAsia"/>
                <w:highlight w:val="none"/>
                <w:lang w:val="en-US" w:eastAsia="zh-CN"/>
              </w:rPr>
              <w:t>EPP汽车零配件生产线</w:t>
            </w:r>
            <w:r>
              <w:rPr>
                <w:highlight w:val="none"/>
              </w:rPr>
              <w:t>活性炭吸附有机物量为</w:t>
            </w:r>
            <w:r>
              <w:rPr>
                <w:rFonts w:hint="eastAsia"/>
                <w:highlight w:val="none"/>
                <w:lang w:val="en-US" w:eastAsia="zh-CN"/>
              </w:rPr>
              <w:t>0.5788</w:t>
            </w:r>
            <w:r>
              <w:rPr>
                <w:highlight w:val="none"/>
              </w:rPr>
              <w:t>t/a</w:t>
            </w:r>
            <w:r>
              <w:rPr>
                <w:rFonts w:hint="eastAsia"/>
                <w:highlight w:val="none"/>
                <w:lang w:eastAsia="zh-CN"/>
              </w:rPr>
              <w:t>、</w:t>
            </w:r>
            <w:r>
              <w:rPr>
                <w:rFonts w:hint="eastAsia"/>
                <w:highlight w:val="none"/>
                <w:lang w:val="en-US" w:eastAsia="zh-CN"/>
              </w:rPr>
              <w:t>活性炭填充量1.7568t/a</w:t>
            </w:r>
            <w:r>
              <w:rPr>
                <w:highlight w:val="none"/>
              </w:rPr>
              <w:t>，则</w:t>
            </w:r>
            <w:r>
              <w:rPr>
                <w:rFonts w:hint="eastAsia"/>
                <w:highlight w:val="none"/>
                <w:lang w:val="en-US" w:eastAsia="zh-CN"/>
              </w:rPr>
              <w:t>EPP汽车零配件生产线废活性炭产生量为2.3356</w:t>
            </w:r>
            <w:r>
              <w:rPr>
                <w:highlight w:val="none"/>
              </w:rPr>
              <w:t>t</w:t>
            </w:r>
            <w:r>
              <w:rPr>
                <w:rFonts w:hint="eastAsia"/>
                <w:highlight w:val="none"/>
                <w:lang w:val="en-US" w:eastAsia="zh-CN"/>
              </w:rPr>
              <w:t>/a</w:t>
            </w:r>
            <w:r>
              <w:rPr>
                <w:rFonts w:hint="eastAsia"/>
                <w:highlight w:val="none"/>
                <w:lang w:eastAsia="zh-CN"/>
              </w:rPr>
              <w:t>；</w:t>
            </w:r>
            <w:r>
              <w:rPr>
                <w:highlight w:val="none"/>
              </w:rPr>
              <w:t>废活性炭产生量为活性炭用量和吸附污染物量的总和，即</w:t>
            </w:r>
            <w:r>
              <w:rPr>
                <w:rFonts w:hint="eastAsia"/>
                <w:highlight w:val="none"/>
                <w:lang w:val="en-US" w:eastAsia="zh-CN"/>
              </w:rPr>
              <w:t>6.1487</w:t>
            </w:r>
            <w:r>
              <w:rPr>
                <w:highlight w:val="none"/>
              </w:rPr>
              <w:t>t/a。</w:t>
            </w:r>
            <w:r>
              <w:rPr>
                <w:rFonts w:hint="eastAsia"/>
              </w:rPr>
              <w:t>根据《国家危险废物名录》（</w:t>
            </w:r>
            <w:r>
              <w:t>2021 年版）</w:t>
            </w:r>
            <w:r>
              <w:rPr>
                <w:rFonts w:hint="eastAsia"/>
              </w:rPr>
              <w:t>，废活性炭属于</w:t>
            </w:r>
            <w:r>
              <w:rPr>
                <w:rFonts w:hint="eastAsia"/>
                <w:lang w:eastAsia="zh-CN"/>
              </w:rPr>
              <w:t>“</w:t>
            </w:r>
            <w:r>
              <w:t>HW49</w:t>
            </w:r>
            <w:r>
              <w:rPr>
                <w:rFonts w:hint="eastAsia"/>
                <w:lang w:eastAsia="zh-CN"/>
              </w:rPr>
              <w:t>”</w:t>
            </w:r>
            <w:r>
              <w:rPr>
                <w:rFonts w:hint="eastAsia"/>
              </w:rPr>
              <w:t>类危险废物</w:t>
            </w:r>
            <w:r>
              <w:t>，废物代码900-039-49，</w:t>
            </w:r>
            <w:r>
              <w:rPr>
                <w:rFonts w:hint="eastAsia"/>
              </w:rPr>
              <w:t>建设单位收集在厂区危废暂存间暂存后定期</w:t>
            </w:r>
            <w:r>
              <w:t>委托有此</w:t>
            </w:r>
            <w:r>
              <w:rPr>
                <w:rFonts w:hint="eastAsia"/>
              </w:rPr>
              <w:t>类危险废物处理资质单位进行处理。</w:t>
            </w:r>
          </w:p>
          <w:p w14:paraId="71182E6D">
            <w:pPr>
              <w:pStyle w:val="40"/>
              <w:ind w:firstLine="480"/>
              <w:jc w:val="both"/>
              <w:rPr>
                <w:b/>
                <w:bCs/>
              </w:rPr>
            </w:pPr>
            <w:r>
              <w:rPr>
                <w:rFonts w:hint="eastAsia"/>
                <w:b/>
                <w:bCs/>
              </w:rPr>
              <w:t>②废机油</w:t>
            </w:r>
          </w:p>
          <w:p w14:paraId="3EDDC506">
            <w:pPr>
              <w:pStyle w:val="40"/>
              <w:ind w:firstLine="480"/>
              <w:jc w:val="both"/>
              <w:rPr>
                <w:rFonts w:hint="eastAsia"/>
              </w:rPr>
            </w:pPr>
            <w:r>
              <w:rPr>
                <w:rFonts w:hint="eastAsia"/>
              </w:rPr>
              <w:t>项目生产线上各机器设备定期保养需要使用机油，机油使用量约为</w:t>
            </w:r>
            <w:r>
              <w:t>0.2</w:t>
            </w:r>
            <w:r>
              <w:rPr>
                <w:rFonts w:hint="eastAsia"/>
              </w:rPr>
              <w:t>t</w:t>
            </w:r>
            <w:r>
              <w:t>/</w:t>
            </w:r>
            <w:r>
              <w:rPr>
                <w:rFonts w:hint="eastAsia"/>
              </w:rPr>
              <w:t>a，废机油产生量以使用量的2</w:t>
            </w:r>
            <w:r>
              <w:t>0</w:t>
            </w:r>
            <w:r>
              <w:rPr>
                <w:rFonts w:hint="eastAsia"/>
              </w:rPr>
              <w:t>%计，为</w:t>
            </w:r>
            <w:r>
              <w:t>0.04</w:t>
            </w:r>
            <w:r>
              <w:rPr>
                <w:rFonts w:hint="eastAsia"/>
              </w:rPr>
              <w:t>t</w:t>
            </w:r>
            <w:r>
              <w:t>/</w:t>
            </w:r>
            <w:r>
              <w:rPr>
                <w:rFonts w:hint="eastAsia"/>
              </w:rPr>
              <w:t>a。项目机油随买随用，不在厂区内储存。根据《国家危险废物名录》（</w:t>
            </w:r>
            <w:r>
              <w:t>2021 年版）</w:t>
            </w:r>
            <w:r>
              <w:rPr>
                <w:rFonts w:hint="eastAsia"/>
              </w:rPr>
              <w:t>废机油属于</w:t>
            </w:r>
            <w:r>
              <w:rPr>
                <w:rFonts w:hint="eastAsia"/>
                <w:lang w:eastAsia="zh-CN"/>
              </w:rPr>
              <w:t>“</w:t>
            </w:r>
            <w:r>
              <w:t>HW08</w:t>
            </w:r>
            <w:r>
              <w:rPr>
                <w:rFonts w:hint="eastAsia"/>
                <w:lang w:eastAsia="zh-CN"/>
              </w:rPr>
              <w:t>”</w:t>
            </w:r>
            <w:r>
              <w:t>类危险废物，危废代码为900-214-08</w:t>
            </w:r>
            <w:r>
              <w:rPr>
                <w:rFonts w:hint="eastAsia"/>
                <w:lang w:eastAsia="zh-CN"/>
              </w:rPr>
              <w:t>，</w:t>
            </w:r>
            <w:r>
              <w:rPr>
                <w:rFonts w:hint="eastAsia"/>
              </w:rPr>
              <w:t>建设单位分类收集在厂区危废暂存间暂存后定期</w:t>
            </w:r>
            <w:r>
              <w:t>委托有此</w:t>
            </w:r>
            <w:r>
              <w:rPr>
                <w:rFonts w:hint="eastAsia"/>
              </w:rPr>
              <w:t>类危险废物处理资质单位进行处理。</w:t>
            </w:r>
          </w:p>
          <w:p w14:paraId="437A93A5">
            <w:pPr>
              <w:pStyle w:val="40"/>
              <w:ind w:firstLine="480"/>
              <w:jc w:val="both"/>
              <w:rPr>
                <w:rFonts w:hint="eastAsia"/>
                <w:b/>
                <w:bCs/>
              </w:rPr>
            </w:pPr>
            <w:r>
              <w:rPr>
                <w:rFonts w:hint="eastAsia"/>
                <w:b/>
                <w:bCs/>
                <w:lang w:val="en-US" w:eastAsia="zh-CN"/>
              </w:rPr>
              <w:t>③废</w:t>
            </w:r>
            <w:r>
              <w:rPr>
                <w:rFonts w:hint="eastAsia"/>
                <w:b/>
                <w:bCs/>
              </w:rPr>
              <w:t>油桶</w:t>
            </w:r>
          </w:p>
          <w:p w14:paraId="429097C5">
            <w:pPr>
              <w:pStyle w:val="40"/>
              <w:ind w:firstLine="480"/>
              <w:jc w:val="both"/>
              <w:rPr>
                <w:rFonts w:hint="eastAsia"/>
              </w:rPr>
            </w:pPr>
            <w:r>
              <w:rPr>
                <w:rFonts w:hint="eastAsia"/>
              </w:rPr>
              <w:t>项目生产线上各机器设备定期保养需要使用机油，使用后产生废油桶，约</w:t>
            </w:r>
            <w:r>
              <w:rPr>
                <w:rFonts w:hint="eastAsia"/>
                <w:lang w:val="en-US" w:eastAsia="zh-CN"/>
              </w:rPr>
              <w:t>10</w:t>
            </w:r>
            <w:r>
              <w:rPr>
                <w:rFonts w:hint="eastAsia"/>
              </w:rPr>
              <w:t>只/年，约</w:t>
            </w:r>
            <w:r>
              <w:t>0.05</w:t>
            </w:r>
            <w:r>
              <w:rPr>
                <w:rFonts w:hint="eastAsia"/>
              </w:rPr>
              <w:t>t</w:t>
            </w:r>
            <w:r>
              <w:t>/</w:t>
            </w:r>
            <w:r>
              <w:rPr>
                <w:rFonts w:hint="eastAsia"/>
              </w:rPr>
              <w:t>a。根据《国家危险废物名录》（</w:t>
            </w:r>
            <w:r>
              <w:t>2021 年版）</w:t>
            </w:r>
            <w:r>
              <w:rPr>
                <w:rFonts w:hint="eastAsia"/>
              </w:rPr>
              <w:t>废油桶属于</w:t>
            </w:r>
            <w:r>
              <w:rPr>
                <w:rFonts w:hint="eastAsia"/>
                <w:lang w:eastAsia="zh-CN"/>
              </w:rPr>
              <w:t>“</w:t>
            </w:r>
            <w:r>
              <w:t>HW49</w:t>
            </w:r>
            <w:r>
              <w:rPr>
                <w:rFonts w:hint="eastAsia"/>
                <w:lang w:eastAsia="zh-CN"/>
              </w:rPr>
              <w:t>”</w:t>
            </w:r>
            <w:r>
              <w:rPr>
                <w:rFonts w:hint="eastAsia"/>
              </w:rPr>
              <w:t>类危险废物</w:t>
            </w:r>
            <w:r>
              <w:t>，废物代码900-249</w:t>
            </w:r>
            <w:r>
              <w:rPr>
                <w:rFonts w:hint="eastAsia"/>
              </w:rPr>
              <w:t>-</w:t>
            </w:r>
            <w:r>
              <w:t>08</w:t>
            </w:r>
            <w:r>
              <w:rPr>
                <w:rFonts w:hint="eastAsia"/>
              </w:rPr>
              <w:t>。建设单位分类收集在厂区危废暂存间暂存后定期</w:t>
            </w:r>
            <w:r>
              <w:t>委托有此</w:t>
            </w:r>
            <w:r>
              <w:rPr>
                <w:rFonts w:hint="eastAsia"/>
              </w:rPr>
              <w:t>类危险废物处理资质单位进行处理。</w:t>
            </w:r>
          </w:p>
          <w:p w14:paraId="1BA986B8">
            <w:pPr>
              <w:pStyle w:val="40"/>
              <w:ind w:firstLine="480"/>
              <w:jc w:val="both"/>
              <w:rPr>
                <w:rFonts w:hint="eastAsia"/>
                <w:b/>
                <w:bCs/>
                <w:color w:val="auto"/>
                <w:lang w:val="en-US" w:eastAsia="zh-CN"/>
              </w:rPr>
            </w:pPr>
            <w:r>
              <w:rPr>
                <w:rFonts w:hint="eastAsia"/>
                <w:b/>
                <w:bCs/>
                <w:color w:val="auto"/>
                <w:lang w:val="en-US" w:eastAsia="zh-CN"/>
              </w:rPr>
              <w:t>④含油抹布、手套</w:t>
            </w:r>
          </w:p>
          <w:p w14:paraId="56AFD221">
            <w:pPr>
              <w:pStyle w:val="40"/>
              <w:ind w:firstLine="480"/>
              <w:jc w:val="both"/>
              <w:rPr>
                <w:rFonts w:hint="eastAsia"/>
                <w:lang w:eastAsia="zh-CN"/>
              </w:rPr>
            </w:pPr>
            <w:r>
              <w:rPr>
                <w:rFonts w:hint="eastAsia"/>
                <w:color w:val="auto"/>
                <w:lang w:val="en-US" w:eastAsia="zh-CN"/>
              </w:rPr>
              <w:t>机械设备运转及维护过程中会产生废含油抹布和废含油手套，根据企业提供资料，废含油抹布和废含油手套产生量约为0.01t/a。根据《国家危险废物名录》（2021年版）可知，废含油抹布和废含油手套属于危险废物，废物类别编号为HW49，废物代码为900-041-49，暂存于危废暂存间内，定期交有资质单位处置。</w:t>
            </w:r>
          </w:p>
          <w:p w14:paraId="3E7AF962">
            <w:pPr>
              <w:widowControl/>
              <w:ind w:firstLine="482"/>
              <w:jc w:val="both"/>
              <w:rPr>
                <w:color w:val="000000" w:themeColor="text1"/>
                <w14:textFill>
                  <w14:solidFill>
                    <w14:schemeClr w14:val="tx1"/>
                  </w14:solidFill>
                </w14:textFill>
              </w:rPr>
            </w:pPr>
            <w:r>
              <w:rPr>
                <w:rFonts w:hint="eastAsia"/>
                <w:b/>
                <w:bCs/>
                <w:color w:val="000000" w:themeColor="text1"/>
                <w14:textFill>
                  <w14:solidFill>
                    <w14:schemeClr w14:val="tx1"/>
                  </w14:solidFill>
                </w14:textFill>
              </w:rPr>
              <w:t>3、项目固体废物</w:t>
            </w:r>
            <w:r>
              <w:rPr>
                <w:rFonts w:hint="eastAsia" w:ascii="宋体" w:hAnsi="宋体" w:cs="宋体"/>
                <w:b/>
                <w:bCs/>
                <w:color w:val="000000" w:themeColor="text1"/>
                <w:kern w:val="0"/>
                <w14:textFill>
                  <w14:solidFill>
                    <w14:schemeClr w14:val="tx1"/>
                  </w14:solidFill>
                </w14:textFill>
              </w:rPr>
              <w:t>属性、代码及产生和处置情况汇总</w:t>
            </w:r>
          </w:p>
          <w:p w14:paraId="6B2095B6">
            <w:pPr>
              <w:widowControl/>
              <w:ind w:firstLine="480"/>
              <w:jc w:val="both"/>
              <w:rPr>
                <w:color w:val="000000" w:themeColor="text1"/>
                <w14:textFill>
                  <w14:solidFill>
                    <w14:schemeClr w14:val="tx1"/>
                  </w14:solidFill>
                </w14:textFill>
              </w:rPr>
            </w:pPr>
            <w:r>
              <w:rPr>
                <w:rFonts w:hint="eastAsia" w:ascii="宋体" w:hAnsi="宋体" w:cs="宋体"/>
                <w:color w:val="000000" w:themeColor="text1"/>
                <w:kern w:val="0"/>
                <w14:textFill>
                  <w14:solidFill>
                    <w14:schemeClr w14:val="tx1"/>
                  </w14:solidFill>
                </w14:textFill>
              </w:rPr>
              <w:t>项目运营期固体废物产生种类、属性、代码，以及产生量和处理措施详见下表所示：</w:t>
            </w:r>
          </w:p>
          <w:p w14:paraId="582EEB16">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表4-</w:t>
            </w:r>
            <w:r>
              <w:rPr>
                <w:rFonts w:hint="eastAsia"/>
                <w:color w:val="000000" w:themeColor="text1"/>
                <w:lang w:val="en-US" w:eastAsia="zh-CN"/>
                <w14:textFill>
                  <w14:solidFill>
                    <w14:schemeClr w14:val="tx1"/>
                  </w14:solidFill>
                </w14:textFill>
              </w:rPr>
              <w:t>24</w:t>
            </w:r>
            <w:r>
              <w:rPr>
                <w:rFonts w:hint="eastAsia"/>
                <w:color w:val="000000" w:themeColor="text1"/>
                <w14:textFill>
                  <w14:solidFill>
                    <w14:schemeClr w14:val="tx1"/>
                  </w14:solidFill>
                </w14:textFill>
              </w:rPr>
              <w:t xml:space="preserve"> 项目固废产生及处置情况汇总表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83"/>
              <w:gridCol w:w="721"/>
              <w:gridCol w:w="1190"/>
              <w:gridCol w:w="1335"/>
              <w:gridCol w:w="1005"/>
              <w:gridCol w:w="885"/>
              <w:gridCol w:w="1419"/>
              <w:gridCol w:w="1514"/>
            </w:tblGrid>
            <w:tr w14:paraId="096B6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6" w:type="pct"/>
                  <w:noWrap/>
                  <w:vAlign w:val="center"/>
                </w:tcPr>
                <w:p w14:paraId="4A0A643A">
                  <w:pPr>
                    <w:pStyle w:val="51"/>
                    <w:spacing w:before="33" w:after="33"/>
                  </w:pPr>
                  <w:r>
                    <w:t>序号</w:t>
                  </w:r>
                </w:p>
              </w:tc>
              <w:tc>
                <w:tcPr>
                  <w:tcW w:w="426" w:type="pct"/>
                  <w:noWrap/>
                  <w:vAlign w:val="center"/>
                </w:tcPr>
                <w:p w14:paraId="14FD1493">
                  <w:pPr>
                    <w:pStyle w:val="51"/>
                    <w:spacing w:before="33" w:after="33"/>
                  </w:pPr>
                  <w:r>
                    <w:t>名称</w:t>
                  </w:r>
                </w:p>
              </w:tc>
              <w:tc>
                <w:tcPr>
                  <w:tcW w:w="703" w:type="pct"/>
                  <w:noWrap/>
                  <w:vAlign w:val="center"/>
                </w:tcPr>
                <w:p w14:paraId="2BDCDB01">
                  <w:pPr>
                    <w:pStyle w:val="51"/>
                    <w:spacing w:before="33" w:after="33"/>
                  </w:pPr>
                  <w:r>
                    <w:t>类别及代码</w:t>
                  </w:r>
                </w:p>
              </w:tc>
              <w:tc>
                <w:tcPr>
                  <w:tcW w:w="789" w:type="pct"/>
                  <w:noWrap/>
                  <w:vAlign w:val="center"/>
                </w:tcPr>
                <w:p w14:paraId="7C7F4117">
                  <w:pPr>
                    <w:pStyle w:val="51"/>
                    <w:spacing w:before="33" w:after="33"/>
                  </w:pPr>
                  <w:r>
                    <w:rPr>
                      <w:rFonts w:hint="eastAsia"/>
                    </w:rPr>
                    <w:t>属性</w:t>
                  </w:r>
                </w:p>
              </w:tc>
              <w:tc>
                <w:tcPr>
                  <w:tcW w:w="594" w:type="pct"/>
                  <w:noWrap/>
                  <w:vAlign w:val="center"/>
                </w:tcPr>
                <w:p w14:paraId="1DBDF146">
                  <w:pPr>
                    <w:pStyle w:val="51"/>
                    <w:spacing w:before="33" w:after="33"/>
                  </w:pPr>
                  <w:r>
                    <w:t>产生量</w:t>
                  </w:r>
                </w:p>
                <w:p w14:paraId="580DEF77">
                  <w:pPr>
                    <w:pStyle w:val="51"/>
                    <w:spacing w:before="33" w:after="33"/>
                  </w:pPr>
                  <w:r>
                    <w:t>（t/a）</w:t>
                  </w:r>
                </w:p>
              </w:tc>
              <w:tc>
                <w:tcPr>
                  <w:tcW w:w="523" w:type="pct"/>
                  <w:noWrap/>
                  <w:vAlign w:val="center"/>
                </w:tcPr>
                <w:p w14:paraId="29E5102D">
                  <w:pPr>
                    <w:pStyle w:val="51"/>
                    <w:spacing w:before="33" w:after="33"/>
                  </w:pPr>
                  <w:r>
                    <w:t>物态</w:t>
                  </w:r>
                </w:p>
              </w:tc>
              <w:tc>
                <w:tcPr>
                  <w:tcW w:w="839" w:type="pct"/>
                  <w:noWrap/>
                  <w:vAlign w:val="center"/>
                </w:tcPr>
                <w:p w14:paraId="67F09275">
                  <w:pPr>
                    <w:pStyle w:val="51"/>
                    <w:spacing w:before="33" w:after="33"/>
                  </w:pPr>
                  <w:r>
                    <w:t>贮存方式</w:t>
                  </w:r>
                </w:p>
              </w:tc>
              <w:tc>
                <w:tcPr>
                  <w:tcW w:w="895" w:type="pct"/>
                  <w:noWrap/>
                  <w:vAlign w:val="center"/>
                </w:tcPr>
                <w:p w14:paraId="35FB11D6">
                  <w:pPr>
                    <w:pStyle w:val="51"/>
                    <w:spacing w:before="33" w:after="33"/>
                  </w:pPr>
                  <w:r>
                    <w:t>处理方式及去向</w:t>
                  </w:r>
                </w:p>
              </w:tc>
            </w:tr>
            <w:tr w14:paraId="3A752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6" w:type="pct"/>
                  <w:noWrap/>
                  <w:vAlign w:val="center"/>
                </w:tcPr>
                <w:p w14:paraId="5E8B48B1">
                  <w:pPr>
                    <w:pStyle w:val="51"/>
                    <w:spacing w:before="33" w:after="33"/>
                  </w:pPr>
                  <w:r>
                    <w:t>1</w:t>
                  </w:r>
                </w:p>
              </w:tc>
              <w:tc>
                <w:tcPr>
                  <w:tcW w:w="426" w:type="pct"/>
                  <w:noWrap/>
                  <w:vAlign w:val="center"/>
                </w:tcPr>
                <w:p w14:paraId="4C69692F">
                  <w:pPr>
                    <w:pStyle w:val="51"/>
                    <w:spacing w:before="33" w:after="33"/>
                  </w:pPr>
                  <w:r>
                    <w:t>生活垃圾</w:t>
                  </w:r>
                </w:p>
              </w:tc>
              <w:tc>
                <w:tcPr>
                  <w:tcW w:w="703" w:type="pct"/>
                  <w:noWrap/>
                  <w:vAlign w:val="center"/>
                </w:tcPr>
                <w:p w14:paraId="68D1C835">
                  <w:pPr>
                    <w:pStyle w:val="51"/>
                    <w:spacing w:before="33" w:after="33"/>
                  </w:pPr>
                  <w:r>
                    <w:rPr>
                      <w:rFonts w:hint="eastAsia"/>
                    </w:rPr>
                    <w:t>--</w:t>
                  </w:r>
                </w:p>
              </w:tc>
              <w:tc>
                <w:tcPr>
                  <w:tcW w:w="789" w:type="pct"/>
                  <w:noWrap/>
                  <w:vAlign w:val="center"/>
                </w:tcPr>
                <w:p w14:paraId="0738CF53">
                  <w:pPr>
                    <w:pStyle w:val="51"/>
                    <w:spacing w:before="33" w:after="33"/>
                  </w:pPr>
                  <w:r>
                    <w:t>生活垃圾</w:t>
                  </w:r>
                </w:p>
              </w:tc>
              <w:tc>
                <w:tcPr>
                  <w:tcW w:w="594" w:type="pct"/>
                  <w:noWrap/>
                  <w:vAlign w:val="center"/>
                </w:tcPr>
                <w:p w14:paraId="5E9D187D">
                  <w:pPr>
                    <w:pStyle w:val="51"/>
                    <w:spacing w:before="33" w:after="33"/>
                    <w:rPr>
                      <w:rFonts w:hint="default" w:eastAsia="宋体"/>
                      <w:lang w:val="en-US" w:eastAsia="zh-CN"/>
                    </w:rPr>
                  </w:pPr>
                  <w:r>
                    <w:rPr>
                      <w:rFonts w:hint="eastAsia"/>
                      <w:lang w:val="en-US" w:eastAsia="zh-CN"/>
                    </w:rPr>
                    <w:t>7.5</w:t>
                  </w:r>
                </w:p>
              </w:tc>
              <w:tc>
                <w:tcPr>
                  <w:tcW w:w="523" w:type="pct"/>
                  <w:noWrap/>
                  <w:vAlign w:val="center"/>
                </w:tcPr>
                <w:p w14:paraId="0F2272E1">
                  <w:pPr>
                    <w:pStyle w:val="51"/>
                    <w:spacing w:before="33" w:after="33"/>
                  </w:pPr>
                  <w:r>
                    <w:t>固态</w:t>
                  </w:r>
                </w:p>
              </w:tc>
              <w:tc>
                <w:tcPr>
                  <w:tcW w:w="839" w:type="pct"/>
                  <w:noWrap/>
                  <w:vAlign w:val="center"/>
                </w:tcPr>
                <w:p w14:paraId="79E85838">
                  <w:pPr>
                    <w:pStyle w:val="51"/>
                    <w:spacing w:before="33" w:after="33"/>
                  </w:pPr>
                  <w:r>
                    <w:t>桶装</w:t>
                  </w:r>
                </w:p>
              </w:tc>
              <w:tc>
                <w:tcPr>
                  <w:tcW w:w="895" w:type="pct"/>
                  <w:noWrap/>
                  <w:vAlign w:val="center"/>
                </w:tcPr>
                <w:p w14:paraId="6770A2DA">
                  <w:pPr>
                    <w:pStyle w:val="51"/>
                    <w:spacing w:before="33" w:after="33"/>
                  </w:pPr>
                  <w:r>
                    <w:t>交由环卫部门处理</w:t>
                  </w:r>
                </w:p>
              </w:tc>
            </w:tr>
            <w:tr w14:paraId="2F372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6" w:type="pct"/>
                  <w:noWrap/>
                  <w:vAlign w:val="center"/>
                </w:tcPr>
                <w:p w14:paraId="3835D6A8">
                  <w:pPr>
                    <w:pStyle w:val="51"/>
                    <w:spacing w:before="33" w:after="33"/>
                  </w:pPr>
                  <w:r>
                    <w:t>2</w:t>
                  </w:r>
                </w:p>
              </w:tc>
              <w:tc>
                <w:tcPr>
                  <w:tcW w:w="426" w:type="pct"/>
                  <w:shd w:val="clear" w:color="auto" w:fill="auto"/>
                  <w:noWrap/>
                  <w:vAlign w:val="center"/>
                </w:tcPr>
                <w:p w14:paraId="59729BE5">
                  <w:pPr>
                    <w:pStyle w:val="51"/>
                    <w:spacing w:before="33" w:after="33"/>
                    <w:ind w:left="24" w:leftChars="10" w:right="24" w:rightChars="10" w:firstLine="0" w:firstLineChars="0"/>
                    <w:rPr>
                      <w:rFonts w:ascii="Times New Roman" w:hAnsi="Times New Roman" w:eastAsia="宋体" w:cs="Times New Roman"/>
                      <w:spacing w:val="-2"/>
                      <w:kern w:val="2"/>
                      <w:sz w:val="21"/>
                      <w:szCs w:val="18"/>
                      <w:lang w:val="en-US" w:eastAsia="zh-CN" w:bidi="ar-SA"/>
                    </w:rPr>
                  </w:pPr>
                  <w:r>
                    <w:rPr>
                      <w:rFonts w:hint="eastAsia"/>
                    </w:rPr>
                    <w:t>不合格品</w:t>
                  </w:r>
                </w:p>
              </w:tc>
              <w:tc>
                <w:tcPr>
                  <w:tcW w:w="703" w:type="pct"/>
                  <w:shd w:val="clear" w:color="auto" w:fill="auto"/>
                  <w:noWrap/>
                  <w:vAlign w:val="center"/>
                </w:tcPr>
                <w:p w14:paraId="4DE53999">
                  <w:pPr>
                    <w:pStyle w:val="51"/>
                    <w:spacing w:before="33" w:after="33"/>
                  </w:pPr>
                  <w:r>
                    <w:rPr>
                      <w:rFonts w:hint="eastAsia"/>
                    </w:rPr>
                    <w:t>I 06</w:t>
                  </w:r>
                </w:p>
                <w:p w14:paraId="34181A76">
                  <w:pPr>
                    <w:pStyle w:val="51"/>
                    <w:spacing w:before="33" w:after="33"/>
                    <w:ind w:left="24" w:leftChars="10" w:right="24" w:rightChars="10" w:firstLine="0" w:firstLineChars="0"/>
                    <w:rPr>
                      <w:rFonts w:ascii="Times New Roman" w:hAnsi="Times New Roman" w:eastAsia="宋体" w:cs="Times New Roman"/>
                      <w:spacing w:val="-2"/>
                      <w:kern w:val="2"/>
                      <w:sz w:val="21"/>
                      <w:szCs w:val="18"/>
                      <w:lang w:val="en-US" w:eastAsia="zh-CN" w:bidi="ar-SA"/>
                    </w:rPr>
                  </w:pPr>
                  <w:r>
                    <w:rPr>
                      <w:rFonts w:hint="eastAsia"/>
                    </w:rPr>
                    <w:t>292-001-06</w:t>
                  </w:r>
                </w:p>
              </w:tc>
              <w:tc>
                <w:tcPr>
                  <w:tcW w:w="789" w:type="pct"/>
                  <w:shd w:val="clear" w:color="auto" w:fill="auto"/>
                  <w:noWrap/>
                  <w:vAlign w:val="center"/>
                </w:tcPr>
                <w:p w14:paraId="46CC0A2F">
                  <w:pPr>
                    <w:pStyle w:val="51"/>
                    <w:spacing w:before="33" w:after="33"/>
                    <w:ind w:left="24" w:leftChars="10" w:right="24" w:rightChars="10" w:firstLine="0" w:firstLineChars="0"/>
                    <w:rPr>
                      <w:rFonts w:ascii="Times New Roman" w:hAnsi="Times New Roman" w:eastAsia="宋体" w:cs="Times New Roman"/>
                      <w:spacing w:val="-2"/>
                      <w:kern w:val="2"/>
                      <w:sz w:val="21"/>
                      <w:szCs w:val="18"/>
                      <w:lang w:val="en-US" w:eastAsia="zh-CN" w:bidi="ar-SA"/>
                    </w:rPr>
                  </w:pPr>
                  <w:r>
                    <w:t>一般固废</w:t>
                  </w:r>
                </w:p>
              </w:tc>
              <w:tc>
                <w:tcPr>
                  <w:tcW w:w="594" w:type="pct"/>
                  <w:shd w:val="clear" w:color="auto" w:fill="auto"/>
                  <w:noWrap/>
                  <w:vAlign w:val="center"/>
                </w:tcPr>
                <w:p w14:paraId="276B72F3">
                  <w:pPr>
                    <w:pStyle w:val="51"/>
                    <w:spacing w:before="33" w:after="33"/>
                    <w:ind w:left="24" w:leftChars="10" w:right="24" w:rightChars="10" w:firstLine="0" w:firstLineChars="0"/>
                    <w:rPr>
                      <w:rFonts w:hint="default" w:ascii="Times New Roman" w:hAnsi="Times New Roman" w:eastAsia="宋体" w:cs="Times New Roman"/>
                      <w:spacing w:val="-2"/>
                      <w:kern w:val="2"/>
                      <w:sz w:val="21"/>
                      <w:szCs w:val="18"/>
                      <w:highlight w:val="none"/>
                      <w:lang w:val="en-US" w:eastAsia="zh-CN" w:bidi="ar-SA"/>
                    </w:rPr>
                  </w:pPr>
                  <w:r>
                    <w:rPr>
                      <w:rFonts w:hint="eastAsia"/>
                      <w:highlight w:val="none"/>
                      <w:lang w:val="en-US" w:eastAsia="zh-CN"/>
                    </w:rPr>
                    <w:t>70</w:t>
                  </w:r>
                </w:p>
              </w:tc>
              <w:tc>
                <w:tcPr>
                  <w:tcW w:w="523" w:type="pct"/>
                  <w:shd w:val="clear" w:color="auto" w:fill="auto"/>
                  <w:noWrap/>
                  <w:vAlign w:val="center"/>
                </w:tcPr>
                <w:p w14:paraId="6C4CF901">
                  <w:pPr>
                    <w:pStyle w:val="51"/>
                    <w:spacing w:before="33" w:after="33"/>
                    <w:ind w:left="24" w:leftChars="10" w:right="24" w:rightChars="10" w:firstLine="0" w:firstLineChars="0"/>
                    <w:rPr>
                      <w:rFonts w:ascii="Times New Roman" w:hAnsi="Times New Roman" w:eastAsia="宋体" w:cs="Times New Roman"/>
                      <w:spacing w:val="-2"/>
                      <w:kern w:val="2"/>
                      <w:sz w:val="21"/>
                      <w:szCs w:val="18"/>
                      <w:lang w:val="en-US" w:eastAsia="zh-CN" w:bidi="ar-SA"/>
                    </w:rPr>
                  </w:pPr>
                  <w:r>
                    <w:t>固态</w:t>
                  </w:r>
                </w:p>
              </w:tc>
              <w:tc>
                <w:tcPr>
                  <w:tcW w:w="839" w:type="pct"/>
                  <w:shd w:val="clear" w:color="auto" w:fill="auto"/>
                  <w:noWrap/>
                  <w:vAlign w:val="center"/>
                </w:tcPr>
                <w:p w14:paraId="6DA64F3B">
                  <w:pPr>
                    <w:pStyle w:val="51"/>
                    <w:spacing w:before="33" w:after="33"/>
                    <w:ind w:left="24" w:leftChars="10" w:right="24" w:rightChars="10" w:firstLine="0" w:firstLineChars="0"/>
                    <w:rPr>
                      <w:rFonts w:ascii="Times New Roman" w:hAnsi="Times New Roman" w:eastAsia="宋体" w:cs="Times New Roman"/>
                      <w:spacing w:val="-2"/>
                      <w:kern w:val="2"/>
                      <w:sz w:val="21"/>
                      <w:szCs w:val="18"/>
                      <w:lang w:val="en-US" w:eastAsia="zh-CN" w:bidi="ar-SA"/>
                    </w:rPr>
                  </w:pPr>
                  <w:r>
                    <w:t>打捆暂存</w:t>
                  </w:r>
                </w:p>
              </w:tc>
              <w:tc>
                <w:tcPr>
                  <w:tcW w:w="895" w:type="pct"/>
                  <w:vMerge w:val="restart"/>
                  <w:noWrap/>
                  <w:vAlign w:val="center"/>
                </w:tcPr>
                <w:p w14:paraId="513654EB">
                  <w:pPr>
                    <w:pStyle w:val="51"/>
                    <w:spacing w:before="33" w:after="33"/>
                  </w:pPr>
                  <w:r>
                    <w:t>收集后统一外售</w:t>
                  </w:r>
                  <w:r>
                    <w:rPr>
                      <w:rFonts w:hint="eastAsia"/>
                    </w:rPr>
                    <w:t>加工企业</w:t>
                  </w:r>
                </w:p>
              </w:tc>
            </w:tr>
            <w:tr w14:paraId="5363F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6" w:type="pct"/>
                  <w:noWrap/>
                  <w:vAlign w:val="center"/>
                </w:tcPr>
                <w:p w14:paraId="4F027ADB">
                  <w:pPr>
                    <w:pStyle w:val="51"/>
                    <w:spacing w:before="33" w:after="33"/>
                  </w:pPr>
                  <w:r>
                    <w:t>3</w:t>
                  </w:r>
                </w:p>
              </w:tc>
              <w:tc>
                <w:tcPr>
                  <w:tcW w:w="426" w:type="pct"/>
                  <w:shd w:val="clear" w:color="auto" w:fill="auto"/>
                  <w:noWrap/>
                  <w:vAlign w:val="center"/>
                </w:tcPr>
                <w:p w14:paraId="19B6F60A">
                  <w:pPr>
                    <w:pStyle w:val="51"/>
                    <w:spacing w:before="33" w:after="33"/>
                    <w:ind w:left="24" w:leftChars="10" w:right="24" w:rightChars="10" w:firstLine="0" w:firstLineChars="0"/>
                    <w:rPr>
                      <w:rFonts w:ascii="Times New Roman" w:hAnsi="Times New Roman" w:eastAsia="宋体" w:cs="Times New Roman"/>
                      <w:spacing w:val="-2"/>
                      <w:kern w:val="2"/>
                      <w:sz w:val="21"/>
                      <w:szCs w:val="18"/>
                      <w:lang w:val="en-US" w:eastAsia="zh-CN" w:bidi="ar-SA"/>
                    </w:rPr>
                  </w:pPr>
                  <w:r>
                    <w:rPr>
                      <w:rFonts w:hint="eastAsia"/>
                    </w:rPr>
                    <w:t>废包装物</w:t>
                  </w:r>
                </w:p>
              </w:tc>
              <w:tc>
                <w:tcPr>
                  <w:tcW w:w="703" w:type="pct"/>
                  <w:shd w:val="clear" w:color="auto" w:fill="auto"/>
                  <w:noWrap/>
                  <w:vAlign w:val="center"/>
                </w:tcPr>
                <w:p w14:paraId="7F01B48F">
                  <w:pPr>
                    <w:pStyle w:val="51"/>
                    <w:spacing w:before="33" w:after="33"/>
                  </w:pPr>
                  <w:r>
                    <w:rPr>
                      <w:rFonts w:hint="eastAsia"/>
                    </w:rPr>
                    <w:t>I 07</w:t>
                  </w:r>
                </w:p>
                <w:p w14:paraId="7BDA4D12">
                  <w:pPr>
                    <w:pStyle w:val="51"/>
                    <w:spacing w:before="33" w:after="33"/>
                    <w:ind w:left="24" w:leftChars="10" w:right="24" w:rightChars="10" w:firstLine="0" w:firstLineChars="0"/>
                    <w:rPr>
                      <w:rFonts w:ascii="Times New Roman" w:hAnsi="Times New Roman" w:eastAsia="宋体" w:cs="Times New Roman"/>
                      <w:spacing w:val="-2"/>
                      <w:kern w:val="2"/>
                      <w:sz w:val="21"/>
                      <w:szCs w:val="18"/>
                      <w:lang w:val="en-US" w:eastAsia="zh-CN" w:bidi="ar-SA"/>
                    </w:rPr>
                  </w:pPr>
                  <w:r>
                    <w:rPr>
                      <w:rFonts w:hint="eastAsia"/>
                    </w:rPr>
                    <w:t>223-001-07</w:t>
                  </w:r>
                </w:p>
              </w:tc>
              <w:tc>
                <w:tcPr>
                  <w:tcW w:w="789" w:type="pct"/>
                  <w:shd w:val="clear" w:color="auto" w:fill="auto"/>
                  <w:noWrap/>
                  <w:vAlign w:val="center"/>
                </w:tcPr>
                <w:p w14:paraId="5A425320">
                  <w:pPr>
                    <w:pStyle w:val="51"/>
                    <w:spacing w:before="33" w:after="33"/>
                    <w:ind w:left="24" w:leftChars="10" w:right="24" w:rightChars="10" w:firstLine="0" w:firstLineChars="0"/>
                    <w:rPr>
                      <w:rFonts w:ascii="Times New Roman" w:hAnsi="Times New Roman" w:eastAsia="宋体" w:cs="Times New Roman"/>
                      <w:spacing w:val="-2"/>
                      <w:kern w:val="2"/>
                      <w:sz w:val="21"/>
                      <w:szCs w:val="18"/>
                      <w:lang w:val="en-US" w:eastAsia="zh-CN" w:bidi="ar-SA"/>
                    </w:rPr>
                  </w:pPr>
                  <w:r>
                    <w:t>一般固废</w:t>
                  </w:r>
                </w:p>
              </w:tc>
              <w:tc>
                <w:tcPr>
                  <w:tcW w:w="594" w:type="pct"/>
                  <w:shd w:val="clear" w:color="auto" w:fill="auto"/>
                  <w:noWrap/>
                  <w:vAlign w:val="center"/>
                </w:tcPr>
                <w:p w14:paraId="47DABFCF">
                  <w:pPr>
                    <w:pStyle w:val="51"/>
                    <w:spacing w:before="33" w:after="33"/>
                    <w:ind w:left="24" w:leftChars="10" w:right="24" w:rightChars="10" w:firstLine="0" w:firstLineChars="0"/>
                    <w:rPr>
                      <w:rFonts w:hint="default" w:ascii="Times New Roman" w:hAnsi="Times New Roman" w:eastAsia="宋体" w:cs="Times New Roman"/>
                      <w:spacing w:val="-2"/>
                      <w:kern w:val="2"/>
                      <w:sz w:val="21"/>
                      <w:szCs w:val="18"/>
                      <w:highlight w:val="none"/>
                      <w:lang w:val="en-US" w:eastAsia="zh-CN" w:bidi="ar-SA"/>
                    </w:rPr>
                  </w:pPr>
                  <w:r>
                    <w:rPr>
                      <w:rFonts w:hint="eastAsia"/>
                      <w:highlight w:val="none"/>
                      <w:lang w:val="en-US" w:eastAsia="zh-CN"/>
                    </w:rPr>
                    <w:t>0.7</w:t>
                  </w:r>
                </w:p>
              </w:tc>
              <w:tc>
                <w:tcPr>
                  <w:tcW w:w="523" w:type="pct"/>
                  <w:shd w:val="clear" w:color="auto" w:fill="auto"/>
                  <w:noWrap/>
                  <w:vAlign w:val="center"/>
                </w:tcPr>
                <w:p w14:paraId="3B60F597">
                  <w:pPr>
                    <w:pStyle w:val="51"/>
                    <w:spacing w:before="33" w:after="33"/>
                    <w:ind w:left="24" w:leftChars="10" w:right="24" w:rightChars="10" w:firstLine="0" w:firstLineChars="0"/>
                    <w:rPr>
                      <w:rFonts w:ascii="Times New Roman" w:hAnsi="Times New Roman" w:eastAsia="宋体" w:cs="Times New Roman"/>
                      <w:spacing w:val="-2"/>
                      <w:kern w:val="2"/>
                      <w:sz w:val="21"/>
                      <w:szCs w:val="18"/>
                      <w:lang w:val="en-US" w:eastAsia="zh-CN" w:bidi="ar-SA"/>
                    </w:rPr>
                  </w:pPr>
                  <w:r>
                    <w:t>固态</w:t>
                  </w:r>
                </w:p>
              </w:tc>
              <w:tc>
                <w:tcPr>
                  <w:tcW w:w="839" w:type="pct"/>
                  <w:shd w:val="clear" w:color="auto" w:fill="auto"/>
                  <w:noWrap/>
                  <w:vAlign w:val="center"/>
                </w:tcPr>
                <w:p w14:paraId="104D7629">
                  <w:pPr>
                    <w:pStyle w:val="51"/>
                    <w:spacing w:before="33" w:after="33"/>
                    <w:ind w:left="24" w:leftChars="10" w:right="24" w:rightChars="10" w:firstLine="0" w:firstLineChars="0"/>
                    <w:rPr>
                      <w:rFonts w:ascii="Times New Roman" w:hAnsi="Times New Roman" w:eastAsia="宋体" w:cs="Times New Roman"/>
                      <w:spacing w:val="-2"/>
                      <w:kern w:val="2"/>
                      <w:sz w:val="21"/>
                      <w:szCs w:val="18"/>
                      <w:lang w:val="en-US" w:eastAsia="zh-CN" w:bidi="ar-SA"/>
                    </w:rPr>
                  </w:pPr>
                  <w:r>
                    <w:t>打捆暂存</w:t>
                  </w:r>
                </w:p>
              </w:tc>
              <w:tc>
                <w:tcPr>
                  <w:tcW w:w="895" w:type="pct"/>
                  <w:vMerge w:val="continue"/>
                  <w:noWrap/>
                  <w:vAlign w:val="center"/>
                </w:tcPr>
                <w:p w14:paraId="49F563CC">
                  <w:pPr>
                    <w:pStyle w:val="51"/>
                    <w:spacing w:before="33" w:after="33"/>
                  </w:pPr>
                </w:p>
              </w:tc>
            </w:tr>
            <w:tr w14:paraId="7EF60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6" w:type="pct"/>
                  <w:noWrap/>
                  <w:vAlign w:val="center"/>
                </w:tcPr>
                <w:p w14:paraId="042CC118">
                  <w:pPr>
                    <w:pStyle w:val="51"/>
                    <w:spacing w:before="33" w:after="33"/>
                    <w:rPr>
                      <w:rFonts w:hint="eastAsia" w:eastAsia="宋体"/>
                      <w:lang w:eastAsia="zh-CN"/>
                    </w:rPr>
                  </w:pPr>
                  <w:r>
                    <w:rPr>
                      <w:rFonts w:hint="eastAsia"/>
                      <w:lang w:val="en-US" w:eastAsia="zh-CN"/>
                    </w:rPr>
                    <w:t>4</w:t>
                  </w:r>
                </w:p>
              </w:tc>
              <w:tc>
                <w:tcPr>
                  <w:tcW w:w="426" w:type="pct"/>
                  <w:noWrap/>
                  <w:vAlign w:val="center"/>
                </w:tcPr>
                <w:p w14:paraId="53CD9064">
                  <w:pPr>
                    <w:pStyle w:val="51"/>
                    <w:spacing w:before="33" w:after="33"/>
                  </w:pPr>
                  <w:r>
                    <w:rPr>
                      <w:rFonts w:hint="eastAsia"/>
                    </w:rPr>
                    <w:t>废活性炭</w:t>
                  </w:r>
                </w:p>
              </w:tc>
              <w:tc>
                <w:tcPr>
                  <w:tcW w:w="703" w:type="pct"/>
                  <w:noWrap/>
                  <w:vAlign w:val="center"/>
                </w:tcPr>
                <w:p w14:paraId="551EF23A">
                  <w:pPr>
                    <w:pStyle w:val="51"/>
                    <w:spacing w:before="33" w:after="33"/>
                  </w:pPr>
                  <w:r>
                    <w:rPr>
                      <w:rFonts w:hint="eastAsia"/>
                    </w:rPr>
                    <w:t>HW49</w:t>
                  </w:r>
                </w:p>
                <w:p w14:paraId="10185086">
                  <w:pPr>
                    <w:pStyle w:val="51"/>
                    <w:spacing w:before="33" w:after="33"/>
                  </w:pPr>
                  <w:r>
                    <w:t>900-0</w:t>
                  </w:r>
                  <w:r>
                    <w:rPr>
                      <w:rFonts w:hint="eastAsia"/>
                    </w:rPr>
                    <w:t>39</w:t>
                  </w:r>
                  <w:r>
                    <w:t>-49</w:t>
                  </w:r>
                </w:p>
              </w:tc>
              <w:tc>
                <w:tcPr>
                  <w:tcW w:w="789" w:type="pct"/>
                  <w:noWrap/>
                  <w:vAlign w:val="center"/>
                </w:tcPr>
                <w:p w14:paraId="318D99B1">
                  <w:pPr>
                    <w:pStyle w:val="51"/>
                    <w:spacing w:before="33" w:after="33"/>
                  </w:pPr>
                  <w:r>
                    <w:rPr>
                      <w:rFonts w:hint="eastAsia"/>
                    </w:rPr>
                    <w:t>危险废物</w:t>
                  </w:r>
                </w:p>
              </w:tc>
              <w:tc>
                <w:tcPr>
                  <w:tcW w:w="594" w:type="pct"/>
                  <w:noWrap/>
                  <w:vAlign w:val="center"/>
                </w:tcPr>
                <w:p w14:paraId="55C7020B">
                  <w:pPr>
                    <w:pStyle w:val="51"/>
                    <w:spacing w:before="33" w:after="33"/>
                    <w:rPr>
                      <w:rFonts w:hint="default" w:eastAsia="宋体"/>
                      <w:highlight w:val="none"/>
                      <w:lang w:val="en-US" w:eastAsia="zh-CN"/>
                    </w:rPr>
                  </w:pPr>
                  <w:r>
                    <w:rPr>
                      <w:rFonts w:hint="eastAsia"/>
                      <w:highlight w:val="none"/>
                      <w:lang w:val="en-US" w:eastAsia="zh-CN"/>
                    </w:rPr>
                    <w:t>6.1487</w:t>
                  </w:r>
                </w:p>
              </w:tc>
              <w:tc>
                <w:tcPr>
                  <w:tcW w:w="523" w:type="pct"/>
                  <w:noWrap/>
                  <w:vAlign w:val="center"/>
                </w:tcPr>
                <w:p w14:paraId="3F1FEC36">
                  <w:pPr>
                    <w:pStyle w:val="51"/>
                    <w:spacing w:before="33" w:after="33"/>
                  </w:pPr>
                  <w:r>
                    <w:t>固态</w:t>
                  </w:r>
                </w:p>
              </w:tc>
              <w:tc>
                <w:tcPr>
                  <w:tcW w:w="839" w:type="pct"/>
                  <w:noWrap/>
                  <w:vAlign w:val="center"/>
                </w:tcPr>
                <w:p w14:paraId="28AC36F6">
                  <w:pPr>
                    <w:pStyle w:val="51"/>
                    <w:spacing w:before="33" w:after="33"/>
                  </w:pPr>
                  <w:r>
                    <w:rPr>
                      <w:rFonts w:hint="eastAsia"/>
                    </w:rPr>
                    <w:t>桶装</w:t>
                  </w:r>
                  <w:r>
                    <w:t>暂存</w:t>
                  </w:r>
                </w:p>
              </w:tc>
              <w:tc>
                <w:tcPr>
                  <w:tcW w:w="895" w:type="pct"/>
                  <w:vMerge w:val="restart"/>
                  <w:noWrap/>
                  <w:vAlign w:val="center"/>
                </w:tcPr>
                <w:p w14:paraId="22CA9D9B">
                  <w:pPr>
                    <w:pStyle w:val="51"/>
                    <w:spacing w:before="33" w:after="33"/>
                  </w:pPr>
                  <w:r>
                    <w:t>分类收集，危废间暂存，定期交由有资质单位转移处置</w:t>
                  </w:r>
                </w:p>
              </w:tc>
            </w:tr>
            <w:tr w14:paraId="239B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6" w:type="pct"/>
                  <w:noWrap/>
                  <w:vAlign w:val="center"/>
                </w:tcPr>
                <w:p w14:paraId="50A1B831">
                  <w:pPr>
                    <w:pStyle w:val="51"/>
                    <w:spacing w:before="33" w:after="33"/>
                    <w:rPr>
                      <w:rFonts w:hint="eastAsia" w:eastAsia="宋体"/>
                      <w:lang w:eastAsia="zh-CN"/>
                    </w:rPr>
                  </w:pPr>
                  <w:r>
                    <w:rPr>
                      <w:rFonts w:hint="eastAsia"/>
                      <w:lang w:val="en-US" w:eastAsia="zh-CN"/>
                    </w:rPr>
                    <w:t>5</w:t>
                  </w:r>
                </w:p>
              </w:tc>
              <w:tc>
                <w:tcPr>
                  <w:tcW w:w="426" w:type="pct"/>
                  <w:noWrap/>
                  <w:vAlign w:val="center"/>
                </w:tcPr>
                <w:p w14:paraId="3F125A7F">
                  <w:pPr>
                    <w:pStyle w:val="51"/>
                    <w:spacing w:before="33" w:after="33"/>
                  </w:pPr>
                  <w:r>
                    <w:rPr>
                      <w:rFonts w:hint="eastAsia"/>
                    </w:rPr>
                    <w:t>废机油</w:t>
                  </w:r>
                </w:p>
              </w:tc>
              <w:tc>
                <w:tcPr>
                  <w:tcW w:w="703" w:type="pct"/>
                  <w:noWrap/>
                  <w:vAlign w:val="center"/>
                </w:tcPr>
                <w:p w14:paraId="7AE1E87D">
                  <w:pPr>
                    <w:pStyle w:val="51"/>
                    <w:spacing w:before="33" w:after="33"/>
                  </w:pPr>
                  <w:r>
                    <w:rPr>
                      <w:rFonts w:hint="eastAsia"/>
                    </w:rPr>
                    <w:t>HW12</w:t>
                  </w:r>
                </w:p>
                <w:p w14:paraId="61FA144F">
                  <w:pPr>
                    <w:pStyle w:val="51"/>
                    <w:spacing w:before="33" w:after="33"/>
                  </w:pPr>
                  <w:r>
                    <w:rPr>
                      <w:rFonts w:hint="eastAsia"/>
                    </w:rPr>
                    <w:t>900-249-08</w:t>
                  </w:r>
                </w:p>
              </w:tc>
              <w:tc>
                <w:tcPr>
                  <w:tcW w:w="789" w:type="pct"/>
                  <w:noWrap/>
                  <w:vAlign w:val="center"/>
                </w:tcPr>
                <w:p w14:paraId="40A80161">
                  <w:pPr>
                    <w:pStyle w:val="51"/>
                    <w:spacing w:before="33" w:after="33"/>
                  </w:pPr>
                  <w:r>
                    <w:rPr>
                      <w:rFonts w:hint="eastAsia"/>
                    </w:rPr>
                    <w:t>危险废物</w:t>
                  </w:r>
                </w:p>
              </w:tc>
              <w:tc>
                <w:tcPr>
                  <w:tcW w:w="594" w:type="pct"/>
                  <w:noWrap/>
                  <w:vAlign w:val="center"/>
                </w:tcPr>
                <w:p w14:paraId="21C16E91">
                  <w:pPr>
                    <w:pStyle w:val="51"/>
                    <w:spacing w:before="33" w:after="33"/>
                    <w:rPr>
                      <w:rFonts w:hint="default" w:eastAsia="宋体"/>
                      <w:lang w:val="en-US" w:eastAsia="zh-CN"/>
                    </w:rPr>
                  </w:pPr>
                  <w:r>
                    <w:rPr>
                      <w:rFonts w:hint="eastAsia"/>
                      <w:lang w:val="en-US" w:eastAsia="zh-CN"/>
                    </w:rPr>
                    <w:t>0.04</w:t>
                  </w:r>
                </w:p>
              </w:tc>
              <w:tc>
                <w:tcPr>
                  <w:tcW w:w="523" w:type="pct"/>
                  <w:noWrap/>
                  <w:vAlign w:val="center"/>
                </w:tcPr>
                <w:p w14:paraId="300FE3AF">
                  <w:pPr>
                    <w:pStyle w:val="51"/>
                    <w:spacing w:before="33" w:after="33"/>
                  </w:pPr>
                  <w:r>
                    <w:t>固态</w:t>
                  </w:r>
                </w:p>
              </w:tc>
              <w:tc>
                <w:tcPr>
                  <w:tcW w:w="839" w:type="pct"/>
                  <w:noWrap/>
                  <w:vAlign w:val="center"/>
                </w:tcPr>
                <w:p w14:paraId="0D86D4CD">
                  <w:pPr>
                    <w:pStyle w:val="51"/>
                    <w:spacing w:before="33" w:after="33"/>
                  </w:pPr>
                  <w:r>
                    <w:t>封口暂存</w:t>
                  </w:r>
                </w:p>
              </w:tc>
              <w:tc>
                <w:tcPr>
                  <w:tcW w:w="895" w:type="pct"/>
                  <w:vMerge w:val="continue"/>
                  <w:noWrap/>
                  <w:vAlign w:val="center"/>
                </w:tcPr>
                <w:p w14:paraId="3F498220">
                  <w:pPr>
                    <w:pStyle w:val="51"/>
                    <w:spacing w:before="33" w:after="33"/>
                  </w:pPr>
                </w:p>
              </w:tc>
            </w:tr>
            <w:tr w14:paraId="21C4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6" w:type="pct"/>
                  <w:noWrap/>
                  <w:vAlign w:val="center"/>
                </w:tcPr>
                <w:p w14:paraId="5A0F091D">
                  <w:pPr>
                    <w:pStyle w:val="51"/>
                    <w:spacing w:before="33" w:after="33"/>
                    <w:rPr>
                      <w:rFonts w:hint="eastAsia" w:eastAsia="宋体"/>
                      <w:lang w:eastAsia="zh-CN"/>
                    </w:rPr>
                  </w:pPr>
                  <w:r>
                    <w:rPr>
                      <w:rFonts w:hint="eastAsia"/>
                      <w:lang w:val="en-US" w:eastAsia="zh-CN"/>
                    </w:rPr>
                    <w:t>6</w:t>
                  </w:r>
                </w:p>
              </w:tc>
              <w:tc>
                <w:tcPr>
                  <w:tcW w:w="426" w:type="pct"/>
                  <w:noWrap/>
                  <w:vAlign w:val="center"/>
                </w:tcPr>
                <w:p w14:paraId="265E1453">
                  <w:pPr>
                    <w:pStyle w:val="51"/>
                    <w:spacing w:before="33" w:after="33"/>
                  </w:pPr>
                  <w:r>
                    <w:rPr>
                      <w:rFonts w:hint="eastAsia"/>
                    </w:rPr>
                    <w:t>废机油桶</w:t>
                  </w:r>
                </w:p>
              </w:tc>
              <w:tc>
                <w:tcPr>
                  <w:tcW w:w="703" w:type="pct"/>
                  <w:noWrap/>
                  <w:vAlign w:val="center"/>
                </w:tcPr>
                <w:p w14:paraId="1E7B803D">
                  <w:pPr>
                    <w:pStyle w:val="51"/>
                    <w:spacing w:before="33" w:after="33"/>
                  </w:pPr>
                  <w:r>
                    <w:rPr>
                      <w:rFonts w:hint="eastAsia"/>
                    </w:rPr>
                    <w:t>HW12</w:t>
                  </w:r>
                </w:p>
                <w:p w14:paraId="42D75D72">
                  <w:pPr>
                    <w:pStyle w:val="51"/>
                    <w:spacing w:before="33" w:after="33"/>
                  </w:pPr>
                  <w:r>
                    <w:rPr>
                      <w:rFonts w:hint="eastAsia"/>
                    </w:rPr>
                    <w:t>900-249-08</w:t>
                  </w:r>
                </w:p>
              </w:tc>
              <w:tc>
                <w:tcPr>
                  <w:tcW w:w="789" w:type="pct"/>
                  <w:noWrap/>
                  <w:vAlign w:val="center"/>
                </w:tcPr>
                <w:p w14:paraId="2EFF76F1">
                  <w:pPr>
                    <w:pStyle w:val="51"/>
                    <w:spacing w:before="33" w:after="33"/>
                  </w:pPr>
                  <w:r>
                    <w:rPr>
                      <w:rFonts w:hint="eastAsia"/>
                    </w:rPr>
                    <w:t>危险废物</w:t>
                  </w:r>
                </w:p>
              </w:tc>
              <w:tc>
                <w:tcPr>
                  <w:tcW w:w="594" w:type="pct"/>
                  <w:noWrap/>
                  <w:vAlign w:val="center"/>
                </w:tcPr>
                <w:p w14:paraId="17CB5D9F">
                  <w:pPr>
                    <w:pStyle w:val="51"/>
                    <w:spacing w:before="33" w:after="33"/>
                    <w:rPr>
                      <w:rFonts w:hint="eastAsia" w:eastAsia="宋体"/>
                      <w:lang w:val="en-US" w:eastAsia="zh-CN"/>
                    </w:rPr>
                  </w:pPr>
                  <w:r>
                    <w:rPr>
                      <w:rFonts w:hint="eastAsia"/>
                    </w:rPr>
                    <w:t>0.0</w:t>
                  </w:r>
                  <w:r>
                    <w:rPr>
                      <w:rFonts w:hint="eastAsia"/>
                      <w:lang w:val="en-US" w:eastAsia="zh-CN"/>
                    </w:rPr>
                    <w:t>5</w:t>
                  </w:r>
                </w:p>
              </w:tc>
              <w:tc>
                <w:tcPr>
                  <w:tcW w:w="523" w:type="pct"/>
                  <w:noWrap/>
                  <w:vAlign w:val="center"/>
                </w:tcPr>
                <w:p w14:paraId="67A0066D">
                  <w:pPr>
                    <w:pStyle w:val="51"/>
                    <w:spacing w:before="33" w:after="33"/>
                  </w:pPr>
                  <w:r>
                    <w:t>固态</w:t>
                  </w:r>
                </w:p>
              </w:tc>
              <w:tc>
                <w:tcPr>
                  <w:tcW w:w="839" w:type="pct"/>
                  <w:noWrap/>
                  <w:vAlign w:val="center"/>
                </w:tcPr>
                <w:p w14:paraId="330AD41B">
                  <w:pPr>
                    <w:pStyle w:val="51"/>
                    <w:spacing w:before="33" w:after="33"/>
                  </w:pPr>
                  <w:r>
                    <w:rPr>
                      <w:rFonts w:hint="eastAsia"/>
                    </w:rPr>
                    <w:t>散装</w:t>
                  </w:r>
                </w:p>
              </w:tc>
              <w:tc>
                <w:tcPr>
                  <w:tcW w:w="895" w:type="pct"/>
                  <w:vMerge w:val="continue"/>
                  <w:noWrap/>
                  <w:vAlign w:val="center"/>
                </w:tcPr>
                <w:p w14:paraId="098EFF7D">
                  <w:pPr>
                    <w:pStyle w:val="51"/>
                    <w:spacing w:before="33" w:after="33"/>
                  </w:pPr>
                </w:p>
              </w:tc>
            </w:tr>
            <w:tr w14:paraId="1ED51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6" w:type="pct"/>
                  <w:noWrap/>
                  <w:vAlign w:val="center"/>
                </w:tcPr>
                <w:p w14:paraId="4510F7D2">
                  <w:pPr>
                    <w:pStyle w:val="51"/>
                    <w:spacing w:before="33" w:after="33"/>
                    <w:rPr>
                      <w:rFonts w:hint="default"/>
                      <w:lang w:val="en-US" w:eastAsia="zh-CN"/>
                    </w:rPr>
                  </w:pPr>
                  <w:r>
                    <w:rPr>
                      <w:rFonts w:hint="eastAsia"/>
                      <w:lang w:val="en-US" w:eastAsia="zh-CN"/>
                    </w:rPr>
                    <w:t>7</w:t>
                  </w:r>
                </w:p>
              </w:tc>
              <w:tc>
                <w:tcPr>
                  <w:tcW w:w="426" w:type="pct"/>
                  <w:shd w:val="clear" w:color="auto" w:fill="auto"/>
                  <w:noWrap/>
                  <w:vAlign w:val="center"/>
                </w:tcPr>
                <w:p w14:paraId="42041013">
                  <w:pPr>
                    <w:pStyle w:val="68"/>
                    <w:bidi w:val="0"/>
                    <w:ind w:firstLine="0" w:firstLineChars="0"/>
                    <w:rPr>
                      <w:rFonts w:hint="eastAsia" w:ascii="Times New Roman" w:hAnsi="Times New Roman" w:eastAsia="宋体" w:cs="Times New Roman"/>
                      <w:color w:val="auto"/>
                      <w:kern w:val="2"/>
                      <w:sz w:val="21"/>
                      <w:szCs w:val="20"/>
                      <w:lang w:val="en-US" w:eastAsia="zh-CN" w:bidi="ar-SA"/>
                    </w:rPr>
                  </w:pPr>
                  <w:r>
                    <w:rPr>
                      <w:rFonts w:hint="eastAsia"/>
                      <w:color w:val="auto"/>
                      <w:lang w:val="en-US" w:eastAsia="zh-CN"/>
                    </w:rPr>
                    <w:t>含油抹布、手套</w:t>
                  </w:r>
                </w:p>
              </w:tc>
              <w:tc>
                <w:tcPr>
                  <w:tcW w:w="703" w:type="pct"/>
                  <w:shd w:val="clear" w:color="auto" w:fill="auto"/>
                  <w:noWrap/>
                  <w:vAlign w:val="center"/>
                </w:tcPr>
                <w:p w14:paraId="1BD186FB">
                  <w:pPr>
                    <w:pStyle w:val="68"/>
                    <w:bidi w:val="0"/>
                    <w:rPr>
                      <w:rFonts w:hint="eastAsia"/>
                      <w:color w:val="auto"/>
                      <w:lang w:val="en-US" w:eastAsia="zh-CN"/>
                    </w:rPr>
                  </w:pPr>
                  <w:r>
                    <w:rPr>
                      <w:rFonts w:hint="eastAsia"/>
                      <w:color w:val="auto"/>
                      <w:lang w:val="en-US" w:eastAsia="zh-CN"/>
                    </w:rPr>
                    <w:t>HW49</w:t>
                  </w:r>
                </w:p>
                <w:p w14:paraId="7FE40DC1">
                  <w:pPr>
                    <w:pStyle w:val="68"/>
                    <w:bidi w:val="0"/>
                    <w:ind w:firstLine="0" w:firstLineChars="0"/>
                    <w:rPr>
                      <w:rFonts w:hint="eastAsia" w:ascii="Times New Roman" w:hAnsi="Times New Roman" w:eastAsia="宋体" w:cs="Times New Roman"/>
                      <w:color w:val="auto"/>
                      <w:kern w:val="2"/>
                      <w:sz w:val="21"/>
                      <w:szCs w:val="20"/>
                      <w:lang w:val="en-US" w:eastAsia="zh-CN" w:bidi="ar-SA"/>
                    </w:rPr>
                  </w:pPr>
                  <w:r>
                    <w:rPr>
                      <w:rFonts w:hint="eastAsia"/>
                      <w:color w:val="auto"/>
                      <w:lang w:val="en-US" w:eastAsia="zh-CN"/>
                    </w:rPr>
                    <w:t>900-041-49</w:t>
                  </w:r>
                </w:p>
              </w:tc>
              <w:tc>
                <w:tcPr>
                  <w:tcW w:w="789" w:type="pct"/>
                  <w:noWrap/>
                  <w:vAlign w:val="center"/>
                </w:tcPr>
                <w:p w14:paraId="6839DBF9">
                  <w:pPr>
                    <w:pStyle w:val="51"/>
                    <w:spacing w:before="33" w:after="33"/>
                    <w:rPr>
                      <w:rFonts w:hint="eastAsia"/>
                    </w:rPr>
                  </w:pPr>
                  <w:r>
                    <w:rPr>
                      <w:rFonts w:hint="eastAsia"/>
                    </w:rPr>
                    <w:t>危险废物</w:t>
                  </w:r>
                </w:p>
              </w:tc>
              <w:tc>
                <w:tcPr>
                  <w:tcW w:w="594" w:type="pct"/>
                  <w:noWrap/>
                  <w:vAlign w:val="center"/>
                </w:tcPr>
                <w:p w14:paraId="6DDDD2CD">
                  <w:pPr>
                    <w:pStyle w:val="51"/>
                    <w:spacing w:before="33" w:after="33"/>
                    <w:rPr>
                      <w:rFonts w:hint="default" w:eastAsia="宋体"/>
                      <w:lang w:val="en-US" w:eastAsia="zh-CN"/>
                    </w:rPr>
                  </w:pPr>
                  <w:r>
                    <w:rPr>
                      <w:rFonts w:hint="eastAsia"/>
                      <w:lang w:val="en-US" w:eastAsia="zh-CN"/>
                    </w:rPr>
                    <w:t>0.01</w:t>
                  </w:r>
                </w:p>
              </w:tc>
              <w:tc>
                <w:tcPr>
                  <w:tcW w:w="523" w:type="pct"/>
                  <w:noWrap/>
                  <w:vAlign w:val="center"/>
                </w:tcPr>
                <w:p w14:paraId="78CEACCE">
                  <w:pPr>
                    <w:pStyle w:val="51"/>
                    <w:spacing w:before="33" w:after="33"/>
                  </w:pPr>
                  <w:r>
                    <w:t>固态</w:t>
                  </w:r>
                </w:p>
              </w:tc>
              <w:tc>
                <w:tcPr>
                  <w:tcW w:w="839" w:type="pct"/>
                  <w:noWrap/>
                  <w:vAlign w:val="center"/>
                </w:tcPr>
                <w:p w14:paraId="60FE5995">
                  <w:pPr>
                    <w:pStyle w:val="51"/>
                    <w:spacing w:before="33" w:after="33"/>
                    <w:rPr>
                      <w:rFonts w:hint="eastAsia"/>
                    </w:rPr>
                  </w:pPr>
                  <w:r>
                    <w:t>封口暂存</w:t>
                  </w:r>
                </w:p>
              </w:tc>
              <w:tc>
                <w:tcPr>
                  <w:tcW w:w="895" w:type="pct"/>
                  <w:vMerge w:val="continue"/>
                  <w:noWrap/>
                  <w:vAlign w:val="center"/>
                </w:tcPr>
                <w:p w14:paraId="1AE4C409">
                  <w:pPr>
                    <w:pStyle w:val="51"/>
                    <w:spacing w:before="33" w:after="33"/>
                  </w:pPr>
                </w:p>
              </w:tc>
            </w:tr>
          </w:tbl>
          <w:p w14:paraId="66001D6C">
            <w:pPr>
              <w:ind w:firstLine="482"/>
              <w:jc w:val="both"/>
              <w:rPr>
                <w:b/>
                <w:bCs/>
              </w:rPr>
            </w:pPr>
            <w:r>
              <w:rPr>
                <w:rFonts w:hint="eastAsia"/>
                <w:b/>
                <w:bCs/>
              </w:rPr>
              <w:t>4、固废处置措施可行性及合理性分析</w:t>
            </w:r>
          </w:p>
          <w:p w14:paraId="0A796BF3">
            <w:pPr>
              <w:bidi w:val="0"/>
              <w:jc w:val="both"/>
              <w:rPr>
                <w:rFonts w:hint="eastAsia"/>
                <w:b/>
                <w:bCs/>
                <w:color w:val="auto"/>
                <w:lang w:val="en-US" w:eastAsia="zh-CN"/>
              </w:rPr>
            </w:pPr>
            <w:r>
              <w:rPr>
                <w:rFonts w:hint="eastAsia"/>
                <w:b/>
                <w:bCs/>
                <w:color w:val="auto"/>
                <w:lang w:val="en-US" w:eastAsia="zh-CN"/>
              </w:rPr>
              <w:t>（1）一般固废管理要求</w:t>
            </w:r>
          </w:p>
          <w:p w14:paraId="5B15D77C">
            <w:pPr>
              <w:bidi w:val="0"/>
              <w:jc w:val="both"/>
              <w:rPr>
                <w:color w:val="auto"/>
                <w:lang w:val="en-US" w:eastAsia="zh-CN"/>
              </w:rPr>
            </w:pPr>
            <w:r>
              <w:rPr>
                <w:rFonts w:hint="eastAsia"/>
                <w:color w:val="auto"/>
                <w:lang w:val="en-US" w:eastAsia="zh-CN"/>
              </w:rPr>
              <w:t>1）一般固废收集过程</w:t>
            </w:r>
          </w:p>
          <w:p w14:paraId="37FD7FAF">
            <w:pPr>
              <w:bidi w:val="0"/>
              <w:jc w:val="both"/>
              <w:rPr>
                <w:color w:val="auto"/>
                <w:lang w:val="en-US" w:eastAsia="zh-CN"/>
              </w:rPr>
            </w:pPr>
            <w:r>
              <w:rPr>
                <w:rFonts w:hint="eastAsia"/>
                <w:color w:val="auto"/>
                <w:lang w:val="en-US" w:eastAsia="zh-CN"/>
              </w:rPr>
              <w:t>一般工业固废</w:t>
            </w:r>
            <w:r>
              <w:rPr>
                <w:color w:val="auto"/>
                <w:lang w:val="en-US" w:eastAsia="zh-CN"/>
              </w:rPr>
              <w:t>在收集时，</w:t>
            </w:r>
            <w:r>
              <w:rPr>
                <w:rFonts w:hint="eastAsia"/>
                <w:color w:val="auto"/>
                <w:lang w:val="en-US" w:eastAsia="zh-CN"/>
              </w:rPr>
              <w:t>按照不同种类分区存放。</w:t>
            </w:r>
          </w:p>
          <w:p w14:paraId="6FD94EB3">
            <w:pPr>
              <w:bidi w:val="0"/>
              <w:jc w:val="both"/>
              <w:rPr>
                <w:rFonts w:hint="eastAsia"/>
                <w:color w:val="auto"/>
                <w:lang w:val="en-US" w:eastAsia="zh-CN"/>
              </w:rPr>
            </w:pPr>
            <w:r>
              <w:rPr>
                <w:rFonts w:hint="eastAsia"/>
                <w:color w:val="auto"/>
                <w:lang w:val="en-US" w:eastAsia="zh-CN"/>
              </w:rPr>
              <w:t>2）一般固废</w:t>
            </w:r>
            <w:r>
              <w:rPr>
                <w:color w:val="auto"/>
                <w:lang w:val="en-US" w:eastAsia="zh-CN"/>
              </w:rPr>
              <w:t>贮存场所环境影响分析</w:t>
            </w:r>
          </w:p>
          <w:p w14:paraId="295A4F08">
            <w:pPr>
              <w:bidi w:val="0"/>
              <w:jc w:val="both"/>
              <w:rPr>
                <w:color w:val="auto"/>
                <w:lang w:val="en-US" w:eastAsia="zh-CN"/>
              </w:rPr>
            </w:pPr>
            <w:r>
              <w:rPr>
                <w:color w:val="auto"/>
                <w:lang w:val="en-US" w:eastAsia="zh-CN"/>
              </w:rPr>
              <w:t>拟建项目设一座占地面积为</w:t>
            </w:r>
            <w:r>
              <w:rPr>
                <w:rFonts w:hint="eastAsia"/>
                <w:color w:val="auto"/>
                <w:lang w:val="en-US" w:eastAsia="zh-CN"/>
              </w:rPr>
              <w:t>20</w:t>
            </w:r>
            <w:r>
              <w:rPr>
                <w:color w:val="auto"/>
              </w:rPr>
              <w:t>m</w:t>
            </w:r>
            <w:r>
              <w:rPr>
                <w:color w:val="auto"/>
                <w:vertAlign w:val="superscript"/>
              </w:rPr>
              <w:t>2</w:t>
            </w:r>
            <w:r>
              <w:rPr>
                <w:color w:val="auto"/>
                <w:lang w:val="en-US" w:eastAsia="zh-CN"/>
              </w:rPr>
              <w:t>的固废暂存间，位于</w:t>
            </w:r>
            <w:r>
              <w:rPr>
                <w:rFonts w:hint="eastAsia"/>
                <w:color w:val="auto"/>
                <w:lang w:val="en-US" w:eastAsia="zh-CN"/>
              </w:rPr>
              <w:t>1#厂房东南角</w:t>
            </w:r>
            <w:r>
              <w:rPr>
                <w:color w:val="auto"/>
                <w:lang w:val="en-US" w:eastAsia="zh-CN"/>
              </w:rPr>
              <w:t>，储存能力为</w:t>
            </w:r>
            <w:r>
              <w:rPr>
                <w:rFonts w:hint="eastAsia"/>
                <w:color w:val="auto"/>
                <w:lang w:val="en-US" w:eastAsia="zh-CN"/>
              </w:rPr>
              <w:t>10</w:t>
            </w:r>
            <w:r>
              <w:rPr>
                <w:color w:val="auto"/>
                <w:lang w:val="en-US" w:eastAsia="zh-CN"/>
              </w:rPr>
              <w:t>t</w:t>
            </w:r>
            <w:r>
              <w:rPr>
                <w:rFonts w:hint="eastAsia"/>
                <w:color w:val="auto"/>
                <w:lang w:val="en-US" w:eastAsia="zh-CN"/>
              </w:rPr>
              <w:t>。存放环境要求防雨防潮，禁止露天堆放，</w:t>
            </w:r>
            <w:r>
              <w:rPr>
                <w:color w:val="auto"/>
                <w:lang w:val="en-US" w:eastAsia="zh-CN"/>
              </w:rPr>
              <w:t>严格按照《一般工业固体废物贮存和填埋污染控制标准》（GB18599-2020）</w:t>
            </w:r>
            <w:r>
              <w:rPr>
                <w:rFonts w:hint="eastAsia"/>
                <w:color w:val="auto"/>
                <w:lang w:val="en-US" w:eastAsia="zh-CN"/>
              </w:rPr>
              <w:t>及《一般工业固体废物管理台账制定指南（试行）》</w:t>
            </w:r>
            <w:r>
              <w:rPr>
                <w:color w:val="auto"/>
                <w:lang w:val="en-US" w:eastAsia="zh-CN"/>
              </w:rPr>
              <w:t>中的相关规定要求进行贮存。</w:t>
            </w:r>
          </w:p>
          <w:p w14:paraId="47D1BF06">
            <w:pPr>
              <w:pStyle w:val="36"/>
              <w:ind w:firstLine="482"/>
              <w:jc w:val="both"/>
              <w:rPr>
                <w:color w:val="auto"/>
                <w:lang w:val="en-US" w:eastAsia="zh-CN"/>
              </w:rPr>
            </w:pPr>
            <w:r>
              <w:rPr>
                <w:color w:val="auto"/>
                <w:lang w:val="en-US" w:eastAsia="zh-CN"/>
              </w:rPr>
              <w:t>综上所述，拟建项目建成运行后，一般工业固废可得到妥善处理处置或综合利用，不外排。</w:t>
            </w:r>
          </w:p>
          <w:p w14:paraId="6220B030">
            <w:pPr>
              <w:pStyle w:val="36"/>
              <w:ind w:firstLine="482"/>
              <w:jc w:val="both"/>
              <w:rPr>
                <w:b/>
                <w:bCs/>
              </w:rPr>
            </w:pPr>
            <w:r>
              <w:rPr>
                <w:rFonts w:hint="eastAsia"/>
                <w:b/>
                <w:bCs/>
              </w:rPr>
              <w:t>（2）危险废物</w:t>
            </w:r>
          </w:p>
          <w:p w14:paraId="1402A0C4">
            <w:pPr>
              <w:ind w:firstLine="480"/>
              <w:jc w:val="both"/>
            </w:pPr>
            <w:r>
              <w:rPr>
                <w:rFonts w:hint="eastAsia"/>
              </w:rPr>
              <w:t>本项目于</w:t>
            </w:r>
            <w:r>
              <w:rPr>
                <w:rFonts w:hint="eastAsia"/>
                <w:lang w:val="en-US" w:eastAsia="zh-CN"/>
              </w:rPr>
              <w:t>1#厂房东南角建设</w:t>
            </w:r>
            <w:r>
              <w:rPr>
                <w:rFonts w:hint="eastAsia"/>
              </w:rPr>
              <w:t>危废暂存间</w:t>
            </w:r>
            <w:r>
              <w:rPr>
                <w:rFonts w:hint="eastAsia"/>
                <w:lang w:val="en-US" w:eastAsia="zh-CN"/>
              </w:rPr>
              <w:t>10</w:t>
            </w:r>
            <w:r>
              <w:rPr>
                <w:rFonts w:hint="eastAsia"/>
              </w:rPr>
              <w:t>㎡，用于存放危废。</w:t>
            </w:r>
          </w:p>
          <w:p w14:paraId="5A5D96CA">
            <w:pPr>
              <w:ind w:firstLine="482"/>
              <w:jc w:val="both"/>
              <w:rPr>
                <w:b/>
                <w:bCs/>
              </w:rPr>
            </w:pPr>
            <w:r>
              <w:rPr>
                <w:rFonts w:hint="eastAsia"/>
                <w:b/>
                <w:bCs/>
              </w:rPr>
              <w:t>1）选址可行性</w:t>
            </w:r>
          </w:p>
          <w:p w14:paraId="036359F6">
            <w:pPr>
              <w:ind w:firstLine="480"/>
              <w:jc w:val="both"/>
            </w:pPr>
            <w:r>
              <w:t>根据《危险废物贮存污染控制标准》（GB18597-20</w:t>
            </w:r>
            <w:r>
              <w:rPr>
                <w:rFonts w:hint="eastAsia"/>
              </w:rPr>
              <w:t>23</w:t>
            </w:r>
            <w:r>
              <w:t>）</w:t>
            </w:r>
            <w:r>
              <w:rPr>
                <w:rFonts w:hint="eastAsia"/>
              </w:rPr>
              <w:t>相关要求</w:t>
            </w:r>
            <w:r>
              <w:t>，本项目危险废物贮存场所选址相符性见下表。</w:t>
            </w:r>
          </w:p>
          <w:p w14:paraId="727C22C3">
            <w:pPr>
              <w:pStyle w:val="44"/>
              <w:rPr>
                <w:rFonts w:hint="default"/>
              </w:rPr>
            </w:pPr>
            <w:r>
              <w:t>表4-</w:t>
            </w:r>
            <w:r>
              <w:rPr>
                <w:rFonts w:hint="eastAsia"/>
                <w:lang w:val="en-US" w:eastAsia="zh-CN"/>
              </w:rPr>
              <w:t>25</w:t>
            </w:r>
            <w:r>
              <w:t xml:space="preserve"> 危废暂存场选址符合性分析</w:t>
            </w:r>
          </w:p>
          <w:tbl>
            <w:tblPr>
              <w:tblStyle w:val="26"/>
              <w:tblW w:w="8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7"/>
              <w:gridCol w:w="2352"/>
            </w:tblGrid>
            <w:tr w14:paraId="2216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57" w:type="dxa"/>
                  <w:noWrap/>
                  <w:vAlign w:val="center"/>
                </w:tcPr>
                <w:p w14:paraId="1D5E6E60">
                  <w:pPr>
                    <w:pStyle w:val="51"/>
                    <w:spacing w:before="33" w:after="33"/>
                  </w:pPr>
                  <w:r>
                    <w:t>GB18597-2023中要求</w:t>
                  </w:r>
                </w:p>
              </w:tc>
              <w:tc>
                <w:tcPr>
                  <w:tcW w:w="2352" w:type="dxa"/>
                  <w:noWrap/>
                  <w:vAlign w:val="center"/>
                </w:tcPr>
                <w:p w14:paraId="7F09E160">
                  <w:pPr>
                    <w:pStyle w:val="51"/>
                    <w:spacing w:before="33" w:after="33"/>
                  </w:pPr>
                  <w:r>
                    <w:t>相符性分析</w:t>
                  </w:r>
                </w:p>
              </w:tc>
            </w:tr>
            <w:tr w14:paraId="60F58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57" w:type="dxa"/>
                  <w:noWrap/>
                  <w:vAlign w:val="center"/>
                </w:tcPr>
                <w:p w14:paraId="5F08CC97">
                  <w:pPr>
                    <w:pStyle w:val="51"/>
                    <w:spacing w:before="33" w:after="33"/>
                  </w:pPr>
                  <w:r>
                    <w:t>1贮存设施选址应满足生态环境保护法律法规、规划和</w:t>
                  </w:r>
                  <w:r>
                    <w:rPr>
                      <w:rFonts w:hint="eastAsia"/>
                      <w:lang w:eastAsia="zh-CN"/>
                    </w:rPr>
                    <w:t>“</w:t>
                  </w:r>
                  <w:r>
                    <w:t>三线一单</w:t>
                  </w:r>
                  <w:r>
                    <w:rPr>
                      <w:rFonts w:hint="eastAsia"/>
                      <w:lang w:eastAsia="zh-CN"/>
                    </w:rPr>
                    <w:t>”</w:t>
                  </w:r>
                  <w:r>
                    <w:t>生态环境分区管控的要求，建设项目应依法进行环境影响评价。</w:t>
                  </w:r>
                </w:p>
                <w:p w14:paraId="711ED40B">
                  <w:pPr>
                    <w:pStyle w:val="51"/>
                    <w:spacing w:before="33" w:after="33"/>
                  </w:pPr>
                  <w:r>
                    <w:t>2集中贮存设施不应选在生态保护红线区域、永久基本农田和其他需要特别保护的区域内，不应建在溶洞区或易遭受洪水、滑坡、泥石流、潮汐等严重自然灾害影响的地区。</w:t>
                  </w:r>
                </w:p>
                <w:p w14:paraId="300A9396">
                  <w:pPr>
                    <w:pStyle w:val="51"/>
                    <w:spacing w:before="33" w:after="33"/>
                  </w:pPr>
                  <w:r>
                    <w:t>3贮存设施不应选在江河、湖泊、运河、渠道、水库及其最高水位线以下的滩地和岸坡，以及法律法规规定禁止贮存危险废物的其他地点。</w:t>
                  </w:r>
                </w:p>
                <w:p w14:paraId="377212EA">
                  <w:pPr>
                    <w:pStyle w:val="51"/>
                    <w:spacing w:before="33" w:after="33"/>
                  </w:pPr>
                  <w:r>
                    <w:t>4贮存设施场址的位置以及其与周围环境敏感目标的距离应依据环境影响评价文件确定。</w:t>
                  </w:r>
                </w:p>
              </w:tc>
              <w:tc>
                <w:tcPr>
                  <w:tcW w:w="2352" w:type="dxa"/>
                  <w:noWrap/>
                  <w:vAlign w:val="center"/>
                </w:tcPr>
                <w:p w14:paraId="59582DE3">
                  <w:pPr>
                    <w:pStyle w:val="51"/>
                    <w:spacing w:before="33" w:after="33"/>
                  </w:pPr>
                  <w:r>
                    <w:t>本项目</w:t>
                  </w:r>
                  <w:r>
                    <w:rPr>
                      <w:rFonts w:hint="eastAsia"/>
                    </w:rPr>
                    <w:t>依托危废暂存间不属于集中型暂存场所，不在生态红线区域内，</w:t>
                  </w:r>
                  <w:r>
                    <w:t>选址能够达到《危险废物贮存污染控制标准》（GB18597-20</w:t>
                  </w:r>
                  <w:r>
                    <w:rPr>
                      <w:rFonts w:hint="eastAsia"/>
                    </w:rPr>
                    <w:t>23</w:t>
                  </w:r>
                  <w:r>
                    <w:t>）相关要求</w:t>
                  </w:r>
                </w:p>
              </w:tc>
            </w:tr>
          </w:tbl>
          <w:p w14:paraId="5D304DF7">
            <w:pPr>
              <w:ind w:firstLine="482"/>
              <w:jc w:val="both"/>
              <w:rPr>
                <w:b/>
                <w:bCs/>
              </w:rPr>
            </w:pPr>
            <w:r>
              <w:rPr>
                <w:rFonts w:hint="eastAsia"/>
                <w:b/>
                <w:bCs/>
              </w:rPr>
              <w:t>2）</w:t>
            </w:r>
            <w:r>
              <w:rPr>
                <w:b/>
                <w:bCs/>
              </w:rPr>
              <w:t>存储能力可行性分析</w:t>
            </w:r>
          </w:p>
          <w:p w14:paraId="1E07B515">
            <w:pPr>
              <w:ind w:firstLine="480"/>
              <w:jc w:val="both"/>
            </w:pPr>
            <w:r>
              <w:rPr>
                <w:color w:val="000000" w:themeColor="text1"/>
                <w14:textFill>
                  <w14:solidFill>
                    <w14:schemeClr w14:val="tx1"/>
                  </w14:solidFill>
                </w14:textFill>
              </w:rPr>
              <w:t>建设项目危险废物环境影响评价指南》提出应列表明确危险废物贮存场所（设施）的名称、位置、占地面积、贮存方式、贮存容积、贮存周期等，项目危险废物贮存场所基本情况</w:t>
            </w:r>
            <w:r>
              <w:rPr>
                <w:rFonts w:hint="eastAsia"/>
                <w:color w:val="000000" w:themeColor="text1"/>
                <w14:textFill>
                  <w14:solidFill>
                    <w14:schemeClr w14:val="tx1"/>
                  </w14:solidFill>
                </w14:textFill>
              </w:rPr>
              <w:t>如下所示</w:t>
            </w:r>
            <w:r>
              <w:rPr>
                <w:color w:val="000000" w:themeColor="text1"/>
                <w14:textFill>
                  <w14:solidFill>
                    <w14:schemeClr w14:val="tx1"/>
                  </w14:solidFill>
                </w14:textFill>
              </w:rPr>
              <w:t>：</w:t>
            </w:r>
          </w:p>
          <w:p w14:paraId="03AA8967">
            <w:pPr>
              <w:ind w:firstLine="480"/>
              <w:jc w:val="both"/>
            </w:pPr>
            <w:r>
              <w:rPr>
                <w:rFonts w:hint="eastAsia"/>
              </w:rPr>
              <w:t>项目废机油产生量约为0.0</w:t>
            </w:r>
            <w:r>
              <w:rPr>
                <w:rFonts w:hint="eastAsia"/>
                <w:lang w:val="en-US" w:eastAsia="zh-CN"/>
              </w:rPr>
              <w:t>4</w:t>
            </w:r>
            <w:r>
              <w:rPr>
                <w:rFonts w:hint="eastAsia"/>
              </w:rPr>
              <w:t>t/a，半年清运一次，则最大暂存量为0.0</w:t>
            </w:r>
            <w:r>
              <w:rPr>
                <w:rFonts w:hint="eastAsia"/>
                <w:lang w:val="en-US" w:eastAsia="zh-CN"/>
              </w:rPr>
              <w:t>2</w:t>
            </w:r>
            <w:r>
              <w:rPr>
                <w:rFonts w:hint="eastAsia"/>
              </w:rPr>
              <w:t>t/a。</w:t>
            </w:r>
            <w:r>
              <w:t>项目废机油采用</w:t>
            </w:r>
            <w:r>
              <w:rPr>
                <w:rFonts w:hint="eastAsia"/>
                <w:lang w:val="en-US" w:eastAsia="zh-CN"/>
              </w:rPr>
              <w:t>25</w:t>
            </w:r>
            <w:r>
              <w:t>kg/桶（桶直径约为0.3m，高0.</w:t>
            </w:r>
            <w:r>
              <w:rPr>
                <w:rFonts w:hint="eastAsia"/>
              </w:rPr>
              <w:t>38</w:t>
            </w:r>
            <w:r>
              <w:t>m）暂存，则废机油</w:t>
            </w:r>
            <w:r>
              <w:rPr>
                <w:rFonts w:hint="eastAsia"/>
              </w:rPr>
              <w:t>暂存最大</w:t>
            </w:r>
            <w:r>
              <w:t>占地面积约0.</w:t>
            </w:r>
            <w:r>
              <w:rPr>
                <w:rFonts w:hint="eastAsia"/>
              </w:rPr>
              <w:t>07</w:t>
            </w:r>
            <w:r>
              <w:t>m</w:t>
            </w:r>
            <w:r>
              <w:rPr>
                <w:vertAlign w:val="superscript"/>
              </w:rPr>
              <w:t>2</w:t>
            </w:r>
            <w:r>
              <w:t>。</w:t>
            </w:r>
          </w:p>
          <w:p w14:paraId="782CC0B7">
            <w:pPr>
              <w:ind w:firstLine="480"/>
              <w:jc w:val="both"/>
            </w:pPr>
            <w:r>
              <w:rPr>
                <w:rFonts w:hint="eastAsia"/>
              </w:rPr>
              <w:t>项目废机油桶产生量为0.0</w:t>
            </w:r>
            <w:r>
              <w:rPr>
                <w:rFonts w:hint="eastAsia"/>
                <w:lang w:val="en-US" w:eastAsia="zh-CN"/>
              </w:rPr>
              <w:t>5</w:t>
            </w:r>
            <w:r>
              <w:rPr>
                <w:rFonts w:hint="eastAsia"/>
              </w:rPr>
              <w:t>t/a（10只/年），</w:t>
            </w:r>
            <w:r>
              <w:rPr>
                <w:rFonts w:hint="eastAsia"/>
                <w:lang w:val="en-US" w:eastAsia="zh-CN"/>
              </w:rPr>
              <w:t>20L</w:t>
            </w:r>
            <w:r>
              <w:t>/桶（桶直径约为0.3m，高0.</w:t>
            </w:r>
            <w:r>
              <w:rPr>
                <w:rFonts w:hint="eastAsia"/>
              </w:rPr>
              <w:t>38</w:t>
            </w:r>
            <w:r>
              <w:t>m</w:t>
            </w:r>
            <w:r>
              <w:rPr>
                <w:rFonts w:hint="eastAsia"/>
              </w:rPr>
              <w:t>，占地面积约0.07㎡</w:t>
            </w:r>
            <w:r>
              <w:t>）</w:t>
            </w:r>
            <w:r>
              <w:rPr>
                <w:rFonts w:hint="eastAsia"/>
              </w:rPr>
              <w:t>，每半年清运一次，则5只废机油桶暂存最大占地面积约0.35㎡。</w:t>
            </w:r>
          </w:p>
          <w:p w14:paraId="0238A04E">
            <w:pPr>
              <w:ind w:firstLine="480"/>
              <w:jc w:val="both"/>
              <w:rPr>
                <w:highlight w:val="none"/>
              </w:rPr>
            </w:pPr>
            <w:r>
              <w:t>废活性炭采用</w:t>
            </w:r>
            <w:r>
              <w:rPr>
                <w:rFonts w:hint="eastAsia"/>
              </w:rPr>
              <w:t>15</w:t>
            </w:r>
            <w:r>
              <w:t>0kg/桶（</w:t>
            </w:r>
            <w:r>
              <w:rPr>
                <w:rFonts w:hint="eastAsia"/>
              </w:rPr>
              <w:t>高52cm、直径55cm，占地面积0.24㎡</w:t>
            </w:r>
            <w:r>
              <w:t>），</w:t>
            </w:r>
            <w:r>
              <w:rPr>
                <w:rFonts w:hint="eastAsia"/>
                <w:lang w:val="en-US" w:eastAsia="zh-CN"/>
              </w:rPr>
              <w:t>本</w:t>
            </w:r>
            <w:r>
              <w:t>项目废活性炭产生量</w:t>
            </w:r>
            <w:r>
              <w:rPr>
                <w:highlight w:val="none"/>
              </w:rPr>
              <w:t>约</w:t>
            </w:r>
            <w:r>
              <w:rPr>
                <w:rFonts w:hint="eastAsia"/>
                <w:highlight w:val="none"/>
                <w:lang w:val="en-US" w:eastAsia="zh-CN"/>
              </w:rPr>
              <w:t>6.1487</w:t>
            </w:r>
            <w:r>
              <w:rPr>
                <w:highlight w:val="none"/>
              </w:rPr>
              <w:t>t/a，</w:t>
            </w:r>
            <w:r>
              <w:rPr>
                <w:rFonts w:hint="eastAsia"/>
                <w:highlight w:val="none"/>
                <w:lang w:val="en-US" w:eastAsia="zh-CN"/>
              </w:rPr>
              <w:t>一年</w:t>
            </w:r>
            <w:r>
              <w:rPr>
                <w:highlight w:val="none"/>
              </w:rPr>
              <w:t>清运</w:t>
            </w:r>
            <w:r>
              <w:rPr>
                <w:rFonts w:hint="eastAsia"/>
                <w:highlight w:val="none"/>
                <w:lang w:val="en-US" w:eastAsia="zh-CN"/>
              </w:rPr>
              <w:t>4</w:t>
            </w:r>
            <w:r>
              <w:rPr>
                <w:highlight w:val="none"/>
              </w:rPr>
              <w:t>次，危废暂存间暂存废活性炭量约</w:t>
            </w:r>
            <w:r>
              <w:rPr>
                <w:rFonts w:hint="eastAsia"/>
                <w:highlight w:val="none"/>
                <w:lang w:val="en-US" w:eastAsia="zh-CN"/>
              </w:rPr>
              <w:t>1.5372</w:t>
            </w:r>
            <w:r>
              <w:rPr>
                <w:highlight w:val="none"/>
              </w:rPr>
              <w:t>t，则需要</w:t>
            </w:r>
            <w:r>
              <w:rPr>
                <w:rFonts w:hint="eastAsia"/>
                <w:highlight w:val="none"/>
                <w:lang w:val="en-US" w:eastAsia="zh-CN"/>
              </w:rPr>
              <w:t>11</w:t>
            </w:r>
            <w:r>
              <w:rPr>
                <w:highlight w:val="none"/>
              </w:rPr>
              <w:t>个包装桶，则废活性炭占地面积约</w:t>
            </w:r>
            <w:r>
              <w:rPr>
                <w:rFonts w:hint="eastAsia"/>
                <w:highlight w:val="none"/>
                <w:lang w:val="en-US" w:eastAsia="zh-CN"/>
              </w:rPr>
              <w:t>2.64</w:t>
            </w:r>
            <w:r>
              <w:rPr>
                <w:highlight w:val="none"/>
              </w:rPr>
              <w:t>m</w:t>
            </w:r>
            <w:r>
              <w:rPr>
                <w:highlight w:val="none"/>
                <w:vertAlign w:val="superscript"/>
              </w:rPr>
              <w:t>2</w:t>
            </w:r>
            <w:r>
              <w:rPr>
                <w:highlight w:val="none"/>
              </w:rPr>
              <w:t>。</w:t>
            </w:r>
          </w:p>
          <w:p w14:paraId="4E0D300C">
            <w:pPr>
              <w:adjustRightInd w:val="0"/>
              <w:spacing w:line="460" w:lineRule="exact"/>
              <w:ind w:firstLine="480"/>
              <w:jc w:val="both"/>
              <w:rPr>
                <w:color w:val="000000" w:themeColor="text1"/>
                <w14:textFill>
                  <w14:solidFill>
                    <w14:schemeClr w14:val="tx1"/>
                  </w14:solidFill>
                </w14:textFill>
              </w:rPr>
            </w:pPr>
            <w:r>
              <w:rPr>
                <w:rFonts w:hint="eastAsia"/>
              </w:rPr>
              <w:t>综上企业危废最大占地面积为</w:t>
            </w:r>
            <w:r>
              <w:rPr>
                <w:rFonts w:hint="eastAsia"/>
                <w:lang w:val="en-US" w:eastAsia="zh-CN"/>
              </w:rPr>
              <w:t>3.06</w:t>
            </w:r>
            <w:r>
              <w:rPr>
                <w:rFonts w:hint="eastAsia"/>
              </w:rPr>
              <w:t>㎡＜</w:t>
            </w:r>
            <w:r>
              <w:rPr>
                <w:rFonts w:hint="eastAsia"/>
                <w:lang w:val="en-US" w:eastAsia="zh-CN"/>
              </w:rPr>
              <w:t>10</w:t>
            </w:r>
            <w:r>
              <w:rPr>
                <w:rFonts w:hint="eastAsia"/>
              </w:rPr>
              <w:t>㎡，</w:t>
            </w:r>
            <w:r>
              <w:rPr>
                <w:rFonts w:hint="eastAsia"/>
                <w:color w:val="000000" w:themeColor="text1"/>
                <w14:textFill>
                  <w14:solidFill>
                    <w14:schemeClr w14:val="tx1"/>
                  </w14:solidFill>
                </w14:textFill>
              </w:rPr>
              <w:t>本项目危废间容积能够满足危废贮存的要求。本项目需</w:t>
            </w:r>
            <w:r>
              <w:rPr>
                <w:color w:val="000000" w:themeColor="text1"/>
                <w14:textFill>
                  <w14:solidFill>
                    <w14:schemeClr w14:val="tx1"/>
                  </w14:solidFill>
                </w14:textFill>
              </w:rPr>
              <w:t>按照危险废物管理要求，对危险废物进行临时贮存，转移和最终处置严格按照《危险废物收集、贮存、运输技术规范》（HJ2025-2012）中相关规定，危险废物临时贮存期间应满足《危险废物贮存污染控制标准》（</w:t>
            </w:r>
            <w:r>
              <w:rPr>
                <w:rFonts w:hint="eastAsia"/>
                <w:color w:val="000000" w:themeColor="text1"/>
                <w14:textFill>
                  <w14:solidFill>
                    <w14:schemeClr w14:val="tx1"/>
                  </w14:solidFill>
                </w14:textFill>
              </w:rPr>
              <w:t>GB18597-2023）</w:t>
            </w:r>
            <w:r>
              <w:rPr>
                <w:color w:val="000000" w:themeColor="text1"/>
                <w14:textFill>
                  <w14:solidFill>
                    <w14:schemeClr w14:val="tx1"/>
                  </w14:solidFill>
                </w14:textFill>
              </w:rPr>
              <w:t>对危险废物贮存设施的要求，严禁将危险废物混入非危险废物中。</w:t>
            </w:r>
          </w:p>
          <w:p w14:paraId="2592B9CF">
            <w:p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项目产生的危废使用专门容器分类存放，定期由危险废物处理资质的单位进行统一处理。</w:t>
            </w:r>
          </w:p>
          <w:p w14:paraId="60664815">
            <w:pPr>
              <w:ind w:firstLine="482"/>
              <w:jc w:val="both"/>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w:t>
            </w:r>
            <w:r>
              <w:rPr>
                <w:b/>
                <w:bCs/>
              </w:rPr>
              <w:t>危险废物的贮存设施满足要求</w:t>
            </w:r>
          </w:p>
          <w:p w14:paraId="464C0702">
            <w:p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按照《危险废物贮存污染控制标准》（GB18597-2023）中相关要求，项目危废暂存间要求做到以下几点： </w:t>
            </w:r>
          </w:p>
          <w:p w14:paraId="0AA2DDF9">
            <w:pPr>
              <w:pStyle w:val="42"/>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①贮存设施应根据危险废物的形态、物理化学性质、包装形式和污染物迁移途径，采取必要的防风、防晒、防雨、防漏、防渗、防腐以及其他环境污染防治措施，不应露天堆放危险废物。</w:t>
            </w:r>
          </w:p>
          <w:p w14:paraId="005D54E5">
            <w:pPr>
              <w:pStyle w:val="42"/>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②贮存设施应根据危险废物的类别、数量、形态、物理化学性质和污染防治等要求设置必要的贮存分区，避免不相容的危险废物接触、混合。</w:t>
            </w:r>
          </w:p>
          <w:p w14:paraId="51305446">
            <w:pPr>
              <w:pStyle w:val="42"/>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③贮存设施或贮存分区内地面、墙面裙脚、堵截泄漏的围堰、接触危险废物的隔板和墙体等应采用坚固的材料建造，表面无裂缝。</w:t>
            </w:r>
          </w:p>
          <w:p w14:paraId="41365CC5">
            <w:pPr>
              <w:pStyle w:val="42"/>
              <w:wordWrap w:val="0"/>
              <w:ind w:firstLine="480"/>
              <w:jc w:val="both"/>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 1m 厚黏土层(渗透系数不大于10</w:t>
            </w:r>
            <w:r>
              <w:rPr>
                <w:rFonts w:hint="eastAsia"/>
                <w:color w:val="000000" w:themeColor="text1"/>
                <w:vertAlign w:val="superscript"/>
                <w14:textFill>
                  <w14:solidFill>
                    <w14:schemeClr w14:val="tx1"/>
                  </w14:solidFill>
                </w14:textFill>
              </w:rPr>
              <w:t>-7</w:t>
            </w:r>
            <w:r>
              <w:rPr>
                <w:rFonts w:hint="eastAsia"/>
                <w:color w:val="000000" w:themeColor="text1"/>
                <w14:textFill>
                  <w14:solidFill>
                    <w14:schemeClr w14:val="tx1"/>
                  </w14:solidFill>
                </w14:textFill>
              </w:rPr>
              <w:t>cm/s)，或至少2mm 厚高密度聚乙烯膜等人工防渗材料(渗透系数不大于 10</w:t>
            </w:r>
            <w:r>
              <w:rPr>
                <w:rFonts w:hint="eastAsia"/>
                <w:color w:val="000000" w:themeColor="text1"/>
                <w:vertAlign w:val="superscript"/>
                <w14:textFill>
                  <w14:solidFill>
                    <w14:schemeClr w14:val="tx1"/>
                  </w14:solidFill>
                </w14:textFill>
              </w:rPr>
              <w:t>-10</w:t>
            </w:r>
            <w:r>
              <w:rPr>
                <w:rFonts w:hint="eastAsia"/>
                <w:color w:val="000000" w:themeColor="text1"/>
                <w14:textFill>
                  <w14:solidFill>
                    <w14:schemeClr w14:val="tx1"/>
                  </w14:solidFill>
                </w14:textFill>
              </w:rPr>
              <w:t>cm/s)，或其他防渗性能等效的材料。</w:t>
            </w:r>
          </w:p>
          <w:p w14:paraId="1E9A5A2E">
            <w:pPr>
              <w:pStyle w:val="42"/>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⑤同一贮存设施宜采用相同的防渗、防腐工艺(包括防渗、防腐结构或材料)，防渗、防腐材料应覆盖所有可能与废物及其渗滤液、渗漏液等接触的构筑物表面，采用不同防渗、防腐工艺应分别建设贮存分区。</w:t>
            </w:r>
          </w:p>
          <w:p w14:paraId="7E3FBAC0">
            <w:pPr>
              <w:pStyle w:val="42"/>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⑥贮存设施应采取技术和管理措施防止无关人员进入。</w:t>
            </w:r>
          </w:p>
          <w:p w14:paraId="13681AB4">
            <w:pPr>
              <w:ind w:firstLine="482"/>
              <w:jc w:val="both"/>
              <w:rPr>
                <w:b/>
                <w:bCs/>
              </w:rPr>
            </w:pPr>
            <w:r>
              <w:rPr>
                <w:rFonts w:hint="eastAsia"/>
                <w:b/>
                <w:bCs/>
              </w:rPr>
              <w:t>4）危险废物转移和运输</w:t>
            </w:r>
          </w:p>
          <w:p w14:paraId="54C6722A">
            <w:pPr>
              <w:ind w:firstLine="480"/>
              <w:jc w:val="both"/>
              <w:rPr>
                <w:color w:val="000000" w:themeColor="text1"/>
                <w14:textFill>
                  <w14:solidFill>
                    <w14:schemeClr w14:val="tx1"/>
                  </w14:solidFill>
                </w14:textFill>
              </w:rPr>
            </w:pPr>
            <w:r>
              <w:t>项目危废从产生场所转移运输到暂存场所过程中，采用防渗漏的袋装、桶装，由叉车运输至</w:t>
            </w:r>
            <w:r>
              <w:rPr>
                <w:rFonts w:hint="eastAsia"/>
              </w:rPr>
              <w:t>危废暂存间</w:t>
            </w:r>
            <w:r>
              <w:t>，通过规范管理，可以保证转移过程桶、袋不破裂，不撒漏，避免危废泄漏或撒漏对周边环境造成影响。在事故状态下，可能导致危险废物转运过程散落对厂区土壤产</w:t>
            </w:r>
            <w:r>
              <w:rPr>
                <w:color w:val="000000" w:themeColor="text1"/>
                <w14:textFill>
                  <w14:solidFill>
                    <w14:schemeClr w14:val="tx1"/>
                  </w14:solidFill>
                </w14:textFill>
              </w:rPr>
              <w:t>生一定影响。若发生液体危险废物泄露将对厂区内部的地下水产生一定影响。</w:t>
            </w:r>
          </w:p>
          <w:p w14:paraId="4EE8C7F9">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危险废物外运时严格按照国家环境保护总局令第5号文件《危险废物转移联单管理办法》的相关规定报批危险废物转移计划，转移危险废物时按照规定填报危险废物转移联单，并向危险废物移出地和接受地的县级以上地方人民政府环境保护行政主管部门报告。按照《危险货物道路安全管理办法》的相关规定，托运人在托运危险货物时，应当向承运人提交电子或者纸质形式的危险货物托运清单。危险货物托运清单应当载明危险货物的托运人、承运人、收货人、装货人、始发地、目的地、危险货物的类别、项别、品名、编号、包装及规格、数量、应急联系电话等信息，以及危险货物危险特性、运输注意事项、急救措施、消防措施、泄漏应急处置、次生环境污染处置措施等信息。</w:t>
            </w:r>
          </w:p>
          <w:p w14:paraId="748ABF46">
            <w:pPr>
              <w:ind w:firstLine="480"/>
              <w:jc w:val="both"/>
            </w:pPr>
            <w:r>
              <w:rPr>
                <w:color w:val="000000" w:themeColor="text1"/>
                <w14:textFill>
                  <w14:solidFill>
                    <w14:schemeClr w14:val="tx1"/>
                  </w14:solidFill>
                </w14:textFill>
              </w:rPr>
              <w:t>厂外运输由</w:t>
            </w:r>
            <w:r>
              <w:rPr>
                <w:rFonts w:hint="eastAsia"/>
                <w:color w:val="000000" w:themeColor="text1"/>
                <w14:textFill>
                  <w14:solidFill>
                    <w14:schemeClr w14:val="tx1"/>
                  </w14:solidFill>
                </w14:textFill>
              </w:rPr>
              <w:t>取</w:t>
            </w:r>
            <w:r>
              <w:rPr>
                <w:color w:val="000000" w:themeColor="text1"/>
                <w14:textFill>
                  <w14:solidFill>
                    <w14:schemeClr w14:val="tx1"/>
                  </w14:solidFill>
                </w14:textFill>
              </w:rPr>
              <w:t>得危险货物运输资质的单位承担，按照《道路危险货物运输管理规定》(交通部令2013年第2号)、JT617以及JT618相关要求执行制</w:t>
            </w:r>
            <w:r>
              <w:t>定了运输路线。运输过程中做到密闭，沿途不抛洒，应有明显的标志，并有防雨、防晒等设施，同时应配备全球卫星定位事故报警装置</w:t>
            </w:r>
            <w:r>
              <w:rPr>
                <w:rFonts w:hint="eastAsia"/>
              </w:rPr>
              <w:t>。</w:t>
            </w:r>
          </w:p>
          <w:p w14:paraId="50026371">
            <w:pPr>
              <w:ind w:firstLine="482"/>
              <w:jc w:val="both"/>
            </w:pPr>
            <w:r>
              <w:rPr>
                <w:rFonts w:hint="eastAsia"/>
                <w:b/>
                <w:bCs/>
              </w:rPr>
              <w:t>5）</w:t>
            </w:r>
            <w:r>
              <w:rPr>
                <w:b/>
                <w:bCs/>
              </w:rPr>
              <w:t>环境管理要求：</w:t>
            </w:r>
          </w:p>
          <w:p w14:paraId="6CAC3594">
            <w:pPr>
              <w:ind w:firstLine="480"/>
              <w:jc w:val="both"/>
            </w:pPr>
            <w:r>
              <w:t>针对本项目正常运行阶段所产生的危险废物的日常管理提出要求：</w:t>
            </w:r>
          </w:p>
          <w:p w14:paraId="5C2D7B13">
            <w:pPr>
              <w:ind w:firstLine="480"/>
              <w:jc w:val="both"/>
            </w:pPr>
            <w:r>
              <w:rPr>
                <w:rFonts w:hint="eastAsia"/>
              </w:rPr>
              <w:t>①</w:t>
            </w:r>
            <w:r>
              <w:t>履行申报登记制度；</w:t>
            </w:r>
          </w:p>
          <w:p w14:paraId="14C5C95A">
            <w:pPr>
              <w:ind w:firstLine="480"/>
              <w:jc w:val="both"/>
            </w:pPr>
            <w:r>
              <w:rPr>
                <w:rFonts w:hint="eastAsia"/>
              </w:rPr>
              <w:t>②</w:t>
            </w:r>
            <w:r>
              <w:t>建立台账管理制度，企业须做好危险废物情况的记录，记录上需注明危险废物的名称、来源、数量、特性和包装容器的类别；</w:t>
            </w:r>
          </w:p>
          <w:p w14:paraId="3FBE1C1D">
            <w:pPr>
              <w:ind w:firstLine="480"/>
              <w:jc w:val="both"/>
            </w:pPr>
            <w:r>
              <w:rPr>
                <w:rFonts w:hint="eastAsia"/>
              </w:rPr>
              <w:t>③</w:t>
            </w:r>
            <w:r>
              <w:t>委托处置应执行报批和转移联单等制度；</w:t>
            </w:r>
          </w:p>
          <w:p w14:paraId="39FEAB77">
            <w:pPr>
              <w:ind w:firstLine="480"/>
              <w:jc w:val="both"/>
            </w:pPr>
            <w:r>
              <w:rPr>
                <w:rFonts w:hint="eastAsia"/>
              </w:rPr>
              <w:t>④</w:t>
            </w:r>
            <w:r>
              <w:t>定期对暂存的危险废物包装容器及贮存设施进行检查，及早发现破损，及时采取措施清理更换；</w:t>
            </w:r>
          </w:p>
          <w:p w14:paraId="598AA543">
            <w:pPr>
              <w:ind w:firstLine="480"/>
              <w:jc w:val="both"/>
            </w:pPr>
            <w:r>
              <w:rPr>
                <w:rFonts w:hint="eastAsia"/>
              </w:rPr>
              <w:t>⑤</w:t>
            </w:r>
            <w:r>
              <w:t>直接从事收集、贮存、运输、利用、处置危险废物的人员，应当接受专业培训，经考核合格，方可从事该项工作。</w:t>
            </w:r>
          </w:p>
          <w:p w14:paraId="105FB3DB">
            <w:pPr>
              <w:ind w:firstLine="480"/>
              <w:jc w:val="both"/>
            </w:pPr>
            <w:r>
              <w:rPr>
                <w:rFonts w:hint="eastAsia"/>
              </w:rPr>
              <w:t>⑥</w:t>
            </w:r>
            <w:r>
              <w:t>固废贮存（处置）场所规范化设置，固体废物贮存</w:t>
            </w:r>
            <w:r>
              <w:rPr>
                <w:rFonts w:hint="eastAsia"/>
              </w:rPr>
              <w:t>（</w:t>
            </w:r>
            <w:r>
              <w:t>处置</w:t>
            </w:r>
            <w:r>
              <w:rPr>
                <w:rFonts w:hint="eastAsia"/>
              </w:rPr>
              <w:t>）</w:t>
            </w:r>
            <w:r>
              <w:t>场所应在醒目处设置标志牌。</w:t>
            </w:r>
          </w:p>
          <w:p w14:paraId="2A5F2CAC">
            <w:pPr>
              <w:ind w:firstLine="480"/>
              <w:jc w:val="both"/>
            </w:pPr>
            <w:r>
              <w:rPr>
                <w:rFonts w:hint="eastAsia"/>
              </w:rPr>
              <w:t>⑦</w:t>
            </w:r>
            <w:r>
              <w:t>危废应根据其化学特性选择合适的容器和存放地点，通过密闭容器存放，不可混合贮存，容器标签必须标明废物种类、贮存时间，定期处理。</w:t>
            </w:r>
          </w:p>
          <w:p w14:paraId="42EFF937">
            <w:pPr>
              <w:ind w:firstLine="480"/>
              <w:jc w:val="both"/>
            </w:pPr>
            <w:r>
              <w:rPr>
                <w:rFonts w:hint="eastAsia"/>
              </w:rPr>
              <w:t>⑧</w:t>
            </w:r>
            <w:r>
              <w:t>危险废物产生单位在关键位置设置在线视频监控，企业应指定专人专职维护视频监控设施运行，定期巡视并做好相应的监控运行、维修、使用记录，保持摄像头表面整洁干净、监控拍摄位置正确、监控设施完好无损，确保视频传输图像清晰、监控设备正常稳定运行。</w:t>
            </w:r>
          </w:p>
          <w:p w14:paraId="718E3419">
            <w:pPr>
              <w:ind w:firstLine="480"/>
              <w:jc w:val="both"/>
            </w:pPr>
            <w:r>
              <w:t>项目强化废物产生、收集、贮运各环节的管理，厂区内固废分类收集暂存，分类进行有效处置。危险废物收集在厂内危险废物暂存库内，避免危险废物在厂区内散失、渗漏。做好固体废物在厂区内的收集和贮存相关防护工作，收集后进行有效处置。建设单位应建立完善的规章制度，以降低固体废物散落对周围环境的影响，固废经妥善处理、处置后，可以实现零排放，对周围环境及人体不会造成影响，亦不会对环境产生二次污染，所采取的治理措施是可行的。</w:t>
            </w:r>
          </w:p>
          <w:p w14:paraId="36ABF263">
            <w:pPr>
              <w:ind w:firstLine="480"/>
              <w:jc w:val="both"/>
            </w:pPr>
            <w:r>
              <w:t>综上所述，经采取上述措施后，本项目固废均可得到有效处置，处置率100%，符合环保要求，不会对周围环境造成不良影响。</w:t>
            </w:r>
          </w:p>
          <w:p w14:paraId="63298C12">
            <w:pPr>
              <w:ind w:firstLine="482"/>
              <w:jc w:val="both"/>
              <w:rPr>
                <w:b/>
                <w:bCs/>
              </w:rPr>
            </w:pPr>
            <w:r>
              <w:rPr>
                <w:rFonts w:hint="eastAsia"/>
                <w:b/>
                <w:bCs/>
              </w:rPr>
              <w:t>五、地下水及土壤</w:t>
            </w:r>
          </w:p>
          <w:p w14:paraId="1BB3433A">
            <w:pPr>
              <w:ind w:firstLine="482"/>
              <w:jc w:val="both"/>
              <w:rPr>
                <w:b/>
                <w:bCs/>
              </w:rPr>
            </w:pPr>
            <w:r>
              <w:rPr>
                <w:rFonts w:hint="eastAsia"/>
                <w:b/>
                <w:bCs/>
              </w:rPr>
              <w:t>1、</w:t>
            </w:r>
            <w:r>
              <w:rPr>
                <w:b/>
                <w:bCs/>
              </w:rPr>
              <w:t>土壤、地下水污染途径</w:t>
            </w:r>
          </w:p>
          <w:p w14:paraId="2607309C">
            <w:pPr>
              <w:ind w:firstLine="480"/>
              <w:jc w:val="both"/>
            </w:pPr>
            <w:r>
              <w:t>本项目</w:t>
            </w:r>
            <w:r>
              <w:rPr>
                <w:rFonts w:hint="eastAsia"/>
              </w:rPr>
              <w:t>依托园区现有</w:t>
            </w:r>
            <w:r>
              <w:t>完整的</w:t>
            </w:r>
            <w:r>
              <w:rPr>
                <w:rFonts w:hint="eastAsia"/>
                <w:lang w:eastAsia="zh-CN"/>
              </w:rPr>
              <w:t>“</w:t>
            </w:r>
            <w:r>
              <w:t>雨污分流、清污分流</w:t>
            </w:r>
            <w:r>
              <w:rPr>
                <w:rFonts w:hint="eastAsia"/>
                <w:lang w:eastAsia="zh-CN"/>
              </w:rPr>
              <w:t>”</w:t>
            </w:r>
            <w:r>
              <w:t>排水系统，雨水排入雨水管网。生活污水经化粪池预处理接管</w:t>
            </w:r>
            <w:r>
              <w:rPr>
                <w:rFonts w:hint="eastAsia"/>
                <w:lang w:val="en-US" w:eastAsia="zh-CN"/>
              </w:rPr>
              <w:t>至淮南市经济开发区污水处理厂</w:t>
            </w:r>
            <w:r>
              <w:t>。</w:t>
            </w:r>
          </w:p>
          <w:p w14:paraId="28D42AAD">
            <w:pPr>
              <w:ind w:firstLine="480"/>
              <w:jc w:val="both"/>
            </w:pPr>
            <w:r>
              <w:t>本项目可能造成土壤和地下水污染的为危废间存储液态物料废机油物质泄漏，通过垂直入渗的方式进入土壤和地下水中，导致土壤和地下水污染。</w:t>
            </w:r>
          </w:p>
          <w:p w14:paraId="23008707">
            <w:pPr>
              <w:ind w:firstLine="480"/>
              <w:jc w:val="both"/>
            </w:pPr>
            <w:r>
              <w:t>本项目危废间采取重点防渗措施，废机油存储于包装桶内，包装桶存放于防泄漏托盘内，以防止存储物料外泄进入外环境造成污染地下水和土壤造成污染。</w:t>
            </w:r>
          </w:p>
          <w:p w14:paraId="40DC10B8">
            <w:pPr>
              <w:ind w:firstLine="482"/>
              <w:jc w:val="both"/>
              <w:rPr>
                <w:b/>
              </w:rPr>
            </w:pPr>
            <w:r>
              <w:rPr>
                <w:rFonts w:hint="eastAsia"/>
                <w:b/>
              </w:rPr>
              <w:t>2、</w:t>
            </w:r>
            <w:r>
              <w:rPr>
                <w:b/>
              </w:rPr>
              <w:t>污染防治措施</w:t>
            </w:r>
          </w:p>
          <w:p w14:paraId="04AA6EAB">
            <w:pPr>
              <w:ind w:firstLine="482"/>
              <w:jc w:val="both"/>
              <w:rPr>
                <w:b/>
              </w:rPr>
            </w:pPr>
            <w:r>
              <w:rPr>
                <w:rFonts w:hint="eastAsia"/>
                <w:b/>
              </w:rPr>
              <w:t>（1）</w:t>
            </w:r>
            <w:r>
              <w:rPr>
                <w:b/>
              </w:rPr>
              <w:t>源头控制措施</w:t>
            </w:r>
          </w:p>
          <w:p w14:paraId="6305B6FF">
            <w:pPr>
              <w:ind w:firstLine="480"/>
              <w:jc w:val="both"/>
              <w:rPr>
                <w:rFonts w:hint="eastAsia"/>
              </w:rPr>
            </w:pPr>
            <w:r>
              <w:fldChar w:fldCharType="begin"/>
            </w:r>
            <w:r>
              <w:instrText xml:space="preserve"> = 1 \* GB3 </w:instrText>
            </w:r>
            <w:r>
              <w:fldChar w:fldCharType="separate"/>
            </w:r>
            <w:r>
              <w:t>①</w:t>
            </w:r>
            <w:r>
              <w:fldChar w:fldCharType="end"/>
            </w:r>
            <w:r>
              <w:rPr>
                <w:rFonts w:hint="eastAsia"/>
                <w:lang w:val="en-US" w:eastAsia="zh-CN"/>
              </w:rPr>
              <w:t>本项目设置冷却水循环系统对蒸汽冷凝水及设备冷却水、模具冷却水进行回用，生产冷却水不外排。项目优化</w:t>
            </w:r>
            <w:r>
              <w:rPr>
                <w:rFonts w:hint="eastAsia"/>
              </w:rPr>
              <w:t>工艺、管道、设备、污染控制措施，将</w:t>
            </w:r>
            <w:r>
              <w:rPr>
                <w:rFonts w:hint="eastAsia"/>
                <w:lang w:val="en-US" w:eastAsia="zh-CN"/>
              </w:rPr>
              <w:t>冷却循环水</w:t>
            </w:r>
            <w:r>
              <w:rPr>
                <w:rFonts w:hint="eastAsia"/>
              </w:rPr>
              <w:t>跑、冒、滴、漏降到最低限度。</w:t>
            </w:r>
          </w:p>
          <w:p w14:paraId="7AF443F7">
            <w:pPr>
              <w:ind w:firstLine="480"/>
              <w:jc w:val="both"/>
            </w:pPr>
            <w:r>
              <w:fldChar w:fldCharType="begin"/>
            </w:r>
            <w:r>
              <w:instrText xml:space="preserve"> = 2 \* GB3 </w:instrText>
            </w:r>
            <w:r>
              <w:fldChar w:fldCharType="separate"/>
            </w:r>
            <w:r>
              <w:t>②</w:t>
            </w:r>
            <w:r>
              <w:fldChar w:fldCharType="end"/>
            </w:r>
            <w:r>
              <w:t>设备和管线尽量采用</w:t>
            </w:r>
            <w:r>
              <w:rPr>
                <w:rFonts w:hint="eastAsia"/>
                <w:lang w:eastAsia="zh-CN"/>
              </w:rPr>
              <w:t>“</w:t>
            </w:r>
            <w:r>
              <w:t>可视化</w:t>
            </w:r>
            <w:r>
              <w:rPr>
                <w:rFonts w:hint="eastAsia"/>
                <w:lang w:eastAsia="zh-CN"/>
              </w:rPr>
              <w:t>”</w:t>
            </w:r>
            <w:r>
              <w:t>原则，即尽可能地上敷设和放置，做到污染物</w:t>
            </w:r>
            <w:r>
              <w:rPr>
                <w:rFonts w:hint="eastAsia"/>
                <w:lang w:eastAsia="zh-CN"/>
              </w:rPr>
              <w:t>“</w:t>
            </w:r>
            <w:r>
              <w:t>早发现、早处理</w:t>
            </w:r>
            <w:r>
              <w:rPr>
                <w:rFonts w:hint="eastAsia"/>
                <w:lang w:eastAsia="zh-CN"/>
              </w:rPr>
              <w:t>”</w:t>
            </w:r>
            <w:r>
              <w:t>，以减少由于埋地泄漏而可能造成的地下水污染。对地下管道、管道内外均采用防腐处理，定期对管道进行检漏，对出现泄漏处的土壤进行换土。</w:t>
            </w:r>
          </w:p>
          <w:p w14:paraId="1CAA8DE4">
            <w:pPr>
              <w:ind w:firstLine="480"/>
              <w:jc w:val="both"/>
            </w:pPr>
            <w:r>
              <w:fldChar w:fldCharType="begin"/>
            </w:r>
            <w:r>
              <w:instrText xml:space="preserve"> = 3 \* GB3 </w:instrText>
            </w:r>
            <w:r>
              <w:fldChar w:fldCharType="separate"/>
            </w:r>
            <w:r>
              <w:t>③</w:t>
            </w:r>
            <w:r>
              <w:fldChar w:fldCharType="end"/>
            </w:r>
            <w:r>
              <w:t>严格固体废物管理，不接触外界降水，使其不产生淋滤液，严防污染物泄漏到地下水中。</w:t>
            </w:r>
          </w:p>
          <w:p w14:paraId="790E058C">
            <w:pPr>
              <w:ind w:firstLine="482"/>
              <w:jc w:val="both"/>
              <w:rPr>
                <w:b/>
              </w:rPr>
            </w:pPr>
            <w:r>
              <w:rPr>
                <w:rFonts w:hint="eastAsia"/>
                <w:b/>
              </w:rPr>
              <w:t>（2）</w:t>
            </w:r>
            <w:r>
              <w:rPr>
                <w:b/>
              </w:rPr>
              <w:t>分区防渗措施</w:t>
            </w:r>
          </w:p>
          <w:p w14:paraId="36E67E7B">
            <w:pPr>
              <w:ind w:firstLine="480"/>
              <w:jc w:val="both"/>
            </w:pPr>
            <w:r>
              <w:fldChar w:fldCharType="begin"/>
            </w:r>
            <w:r>
              <w:instrText xml:space="preserve"> = 1 \* GB3 </w:instrText>
            </w:r>
            <w:r>
              <w:fldChar w:fldCharType="separate"/>
            </w:r>
            <w:r>
              <w:t>①</w:t>
            </w:r>
            <w:r>
              <w:fldChar w:fldCharType="end"/>
            </w:r>
            <w:r>
              <w:t>重点防渗区域</w:t>
            </w:r>
          </w:p>
          <w:p w14:paraId="276826E2">
            <w:pPr>
              <w:ind w:firstLine="480"/>
              <w:jc w:val="both"/>
            </w:pPr>
            <w:r>
              <w:rPr>
                <w:rFonts w:hint="eastAsia"/>
                <w:color w:val="auto"/>
                <w:lang w:val="en-US" w:eastAsia="zh-CN"/>
              </w:rPr>
              <w:t>新建</w:t>
            </w:r>
            <w:r>
              <w:rPr>
                <w:color w:val="auto"/>
                <w:lang w:val="en-US" w:eastAsia="zh-CN"/>
              </w:rPr>
              <w:t>危废暂存间</w:t>
            </w:r>
            <w:r>
              <w:rPr>
                <w:rFonts w:hint="eastAsia"/>
                <w:color w:val="auto"/>
                <w:lang w:val="en-US" w:eastAsia="zh-CN"/>
              </w:rPr>
              <w:t>将采取重点防渗要求，做到</w:t>
            </w:r>
            <w:r>
              <w:rPr>
                <w:color w:val="auto"/>
                <w:lang w:val="en-US" w:eastAsia="zh-CN"/>
              </w:rPr>
              <w:t>等效黏土防渗层Mb≥6.0m，渗透系数K≤1</w:t>
            </w:r>
            <w:r>
              <w:rPr>
                <w:rFonts w:hint="eastAsia"/>
                <w:color w:val="auto"/>
                <w:lang w:val="en-US" w:eastAsia="zh-CN"/>
              </w:rPr>
              <w:t>×</w:t>
            </w:r>
            <w:r>
              <w:rPr>
                <w:color w:val="auto"/>
                <w:lang w:val="en-US" w:eastAsia="zh-CN"/>
              </w:rPr>
              <w:t>10</w:t>
            </w:r>
            <w:r>
              <w:rPr>
                <w:color w:val="auto"/>
                <w:vertAlign w:val="superscript"/>
                <w:lang w:val="en-US" w:eastAsia="zh-CN"/>
              </w:rPr>
              <w:t>-7</w:t>
            </w:r>
            <w:r>
              <w:rPr>
                <w:color w:val="auto"/>
                <w:lang w:val="en-US" w:eastAsia="zh-CN"/>
              </w:rPr>
              <w:t>cm/s，防渗设计应满足《危险废物贮存污染物控制标准》（GB18597-20</w:t>
            </w:r>
            <w:r>
              <w:rPr>
                <w:rFonts w:hint="eastAsia"/>
                <w:color w:val="auto"/>
                <w:lang w:val="en-US" w:eastAsia="zh-CN"/>
              </w:rPr>
              <w:t>23</w:t>
            </w:r>
            <w:r>
              <w:rPr>
                <w:color w:val="auto"/>
                <w:lang w:val="en-US" w:eastAsia="zh-CN"/>
              </w:rPr>
              <w:t>）</w:t>
            </w:r>
            <w:r>
              <w:t>。</w:t>
            </w:r>
          </w:p>
          <w:p w14:paraId="700788C0">
            <w:pPr>
              <w:ind w:firstLine="480"/>
              <w:jc w:val="both"/>
            </w:pPr>
            <w:r>
              <w:fldChar w:fldCharType="begin"/>
            </w:r>
            <w:r>
              <w:instrText xml:space="preserve"> = 2 \* GB3 </w:instrText>
            </w:r>
            <w:r>
              <w:fldChar w:fldCharType="separate"/>
            </w:r>
            <w:r>
              <w:t>②</w:t>
            </w:r>
            <w:r>
              <w:fldChar w:fldCharType="end"/>
            </w:r>
            <w:r>
              <w:t>一般防渗区域</w:t>
            </w:r>
          </w:p>
          <w:p w14:paraId="357CC88A">
            <w:pPr>
              <w:ind w:firstLine="480"/>
              <w:jc w:val="both"/>
            </w:pPr>
            <w:r>
              <w:t>车间、原料</w:t>
            </w:r>
            <w:r>
              <w:rPr>
                <w:rFonts w:hint="eastAsia"/>
              </w:rPr>
              <w:t>仓库</w:t>
            </w:r>
            <w:r>
              <w:t>、</w:t>
            </w:r>
            <w:r>
              <w:rPr>
                <w:rFonts w:hint="eastAsia"/>
              </w:rPr>
              <w:t>成品仓库、</w:t>
            </w:r>
            <w:r>
              <w:t>一般固废暂存间：一般防渗区，防渗设计满足等效黏土防渗层Mb≥1.5m，K≤1</w:t>
            </w:r>
            <w:r>
              <w:rPr>
                <w:rFonts w:hint="eastAsia"/>
              </w:rPr>
              <w:t>×</w:t>
            </w:r>
            <w:r>
              <w:t>10</w:t>
            </w:r>
            <w:r>
              <w:rPr>
                <w:vertAlign w:val="superscript"/>
              </w:rPr>
              <w:t>-7</w:t>
            </w:r>
            <w:r>
              <w:t>cm/s。</w:t>
            </w:r>
          </w:p>
          <w:p w14:paraId="49DF2B7B">
            <w:pPr>
              <w:ind w:firstLine="482"/>
              <w:jc w:val="both"/>
              <w:rPr>
                <w:b/>
              </w:rPr>
            </w:pPr>
            <w:r>
              <w:rPr>
                <w:b/>
              </w:rPr>
              <w:t>3）日常检查工作</w:t>
            </w:r>
          </w:p>
          <w:p w14:paraId="59FF4C85">
            <w:pPr>
              <w:ind w:firstLine="480"/>
              <w:jc w:val="both"/>
            </w:pPr>
            <w:r>
              <w:t>加强地下水污染源的日常管理与维护，尤其是重点防治区域，发现防渗性能有明显下降时应及时补修。</w:t>
            </w:r>
            <w:r>
              <w:rPr>
                <w:rFonts w:hint="eastAsia"/>
              </w:rPr>
              <w:t>一般固废暂存于一般固废间，杜绝露天堆放，安排专职人员进行日常检查。危废妥善暂存于规范危废暂存间内，做好台账记录</w:t>
            </w:r>
            <w:r>
              <w:t>。建设项目强化废物产生、收集、贮运各环节的管理，杜绝固废在厂区内的散失、渗漏。</w:t>
            </w:r>
          </w:p>
          <w:p w14:paraId="396A6F2F">
            <w:pPr>
              <w:ind w:firstLine="480"/>
              <w:jc w:val="both"/>
            </w:pPr>
            <w:r>
              <w:t>采取上述措施后，本项目营运期基本不会对地下水</w:t>
            </w:r>
            <w:r>
              <w:rPr>
                <w:rFonts w:hint="eastAsia"/>
              </w:rPr>
              <w:t>、土壤</w:t>
            </w:r>
            <w:r>
              <w:t>造成污染影响。</w:t>
            </w:r>
          </w:p>
          <w:p w14:paraId="5BDB69B6">
            <w:pPr>
              <w:numPr>
                <w:ilvl w:val="0"/>
                <w:numId w:val="12"/>
              </w:numPr>
              <w:ind w:firstLine="482"/>
              <w:jc w:val="both"/>
              <w:rPr>
                <w:b/>
                <w:bCs/>
              </w:rPr>
            </w:pPr>
            <w:r>
              <w:rPr>
                <w:rFonts w:hint="eastAsia"/>
                <w:b/>
                <w:bCs/>
              </w:rPr>
              <w:t>环</w:t>
            </w:r>
            <w:r>
              <w:rPr>
                <w:b/>
                <w:bCs/>
              </w:rPr>
              <w:t>境风险影响分析</w:t>
            </w:r>
          </w:p>
          <w:p w14:paraId="6CBBAE22">
            <w:pPr>
              <w:pStyle w:val="46"/>
              <w:ind w:firstLine="482"/>
              <w:jc w:val="both"/>
              <w:rPr>
                <w:b/>
                <w:bCs/>
              </w:rPr>
            </w:pPr>
            <w:r>
              <w:rPr>
                <w:rFonts w:hint="eastAsia"/>
                <w:b/>
                <w:bCs/>
              </w:rPr>
              <w:t>1、建设项目风险源调查</w:t>
            </w:r>
          </w:p>
          <w:p w14:paraId="6F15A611">
            <w:pPr>
              <w:pStyle w:val="46"/>
              <w:jc w:val="both"/>
              <w:rPr>
                <w:rFonts w:hint="default"/>
              </w:rPr>
            </w:pPr>
            <w:r>
              <w:rPr>
                <w:rFonts w:hint="eastAsia"/>
              </w:rPr>
              <w:t>根据《建设项目环境风险评价技术导则》（HJ 169-2018），</w:t>
            </w:r>
            <w:r>
              <w:t>附录B中表B.1，</w:t>
            </w:r>
            <w:r>
              <w:rPr>
                <w:rFonts w:hint="eastAsia"/>
              </w:rPr>
              <w:t>本</w:t>
            </w:r>
            <w:r>
              <w:t>项目建成后涉及的危险物质主要为</w:t>
            </w:r>
            <w:r>
              <w:rPr>
                <w:rFonts w:hint="eastAsia"/>
              </w:rPr>
              <w:t>废机油、废活性炭等，</w:t>
            </w:r>
            <w:r>
              <w:t>数量和分布详见下表。</w:t>
            </w:r>
          </w:p>
          <w:p w14:paraId="13608181">
            <w:pPr>
              <w:pStyle w:val="44"/>
              <w:rPr>
                <w:rFonts w:hint="default"/>
              </w:rPr>
            </w:pPr>
            <w:r>
              <w:t>表4-</w:t>
            </w:r>
            <w:r>
              <w:rPr>
                <w:rFonts w:hint="eastAsia"/>
                <w:lang w:val="en-US" w:eastAsia="zh-CN"/>
              </w:rPr>
              <w:t>26</w:t>
            </w:r>
            <w:r>
              <w:rPr>
                <w:rFonts w:hint="default"/>
              </w:rPr>
              <w:t xml:space="preserve"> 风险调查一览表</w:t>
            </w:r>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756"/>
              <w:gridCol w:w="1272"/>
              <w:gridCol w:w="765"/>
              <w:gridCol w:w="1164"/>
              <w:gridCol w:w="1273"/>
              <w:gridCol w:w="1922"/>
              <w:gridCol w:w="1292"/>
            </w:tblGrid>
            <w:tr w14:paraId="17B68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47" w:type="pct"/>
                  <w:noWrap/>
                  <w:vAlign w:val="center"/>
                </w:tcPr>
                <w:p w14:paraId="4BA830FF">
                  <w:pPr>
                    <w:pStyle w:val="47"/>
                    <w:rPr>
                      <w:rFonts w:hint="default"/>
                    </w:rPr>
                  </w:pPr>
                  <w:r>
                    <w:rPr>
                      <w:rFonts w:hint="default"/>
                    </w:rPr>
                    <w:t>序号</w:t>
                  </w:r>
                </w:p>
              </w:tc>
              <w:tc>
                <w:tcPr>
                  <w:tcW w:w="753" w:type="pct"/>
                  <w:noWrap/>
                  <w:vAlign w:val="center"/>
                </w:tcPr>
                <w:p w14:paraId="6E1AD45A">
                  <w:pPr>
                    <w:pStyle w:val="47"/>
                    <w:rPr>
                      <w:rFonts w:hint="default"/>
                    </w:rPr>
                  </w:pPr>
                  <w:r>
                    <w:rPr>
                      <w:rFonts w:hint="default"/>
                    </w:rPr>
                    <w:t>物料名称</w:t>
                  </w:r>
                </w:p>
              </w:tc>
              <w:tc>
                <w:tcPr>
                  <w:tcW w:w="452" w:type="pct"/>
                  <w:noWrap/>
                  <w:vAlign w:val="center"/>
                </w:tcPr>
                <w:p w14:paraId="2EA229A1">
                  <w:pPr>
                    <w:pStyle w:val="47"/>
                    <w:rPr>
                      <w:rFonts w:hint="default"/>
                    </w:rPr>
                  </w:pPr>
                  <w:r>
                    <w:rPr>
                      <w:rFonts w:hint="default"/>
                    </w:rPr>
                    <w:t>形态</w:t>
                  </w:r>
                </w:p>
              </w:tc>
              <w:tc>
                <w:tcPr>
                  <w:tcW w:w="689" w:type="pct"/>
                  <w:noWrap/>
                  <w:vAlign w:val="center"/>
                </w:tcPr>
                <w:p w14:paraId="7F95F5C5">
                  <w:pPr>
                    <w:pStyle w:val="47"/>
                    <w:rPr>
                      <w:rFonts w:hint="default"/>
                    </w:rPr>
                  </w:pPr>
                  <w:r>
                    <w:rPr>
                      <w:rFonts w:hint="default"/>
                    </w:rPr>
                    <w:t>年</w:t>
                  </w:r>
                  <w:r>
                    <w:t>产生</w:t>
                  </w:r>
                  <w:r>
                    <w:rPr>
                      <w:rFonts w:hint="default"/>
                    </w:rPr>
                    <w:t>量/t</w:t>
                  </w:r>
                </w:p>
              </w:tc>
              <w:tc>
                <w:tcPr>
                  <w:tcW w:w="753" w:type="pct"/>
                  <w:noWrap/>
                  <w:vAlign w:val="center"/>
                </w:tcPr>
                <w:p w14:paraId="234EE53C">
                  <w:pPr>
                    <w:pStyle w:val="47"/>
                    <w:rPr>
                      <w:rFonts w:hint="default"/>
                    </w:rPr>
                  </w:pPr>
                  <w:r>
                    <w:rPr>
                      <w:rFonts w:hint="default"/>
                    </w:rPr>
                    <w:t>包装规格</w:t>
                  </w:r>
                </w:p>
              </w:tc>
              <w:tc>
                <w:tcPr>
                  <w:tcW w:w="1138" w:type="pct"/>
                  <w:noWrap/>
                  <w:vAlign w:val="center"/>
                </w:tcPr>
                <w:p w14:paraId="730918A9">
                  <w:pPr>
                    <w:pStyle w:val="47"/>
                    <w:rPr>
                      <w:rFonts w:hint="default"/>
                    </w:rPr>
                  </w:pPr>
                  <w:r>
                    <w:rPr>
                      <w:rFonts w:hint="default"/>
                    </w:rPr>
                    <w:t>最大</w:t>
                  </w:r>
                  <w:r>
                    <w:t>存在总量</w:t>
                  </w:r>
                  <w:r>
                    <w:rPr>
                      <w:rFonts w:hint="default"/>
                    </w:rPr>
                    <w:t>/t</w:t>
                  </w:r>
                </w:p>
              </w:tc>
              <w:tc>
                <w:tcPr>
                  <w:tcW w:w="765" w:type="pct"/>
                  <w:noWrap/>
                  <w:vAlign w:val="center"/>
                </w:tcPr>
                <w:p w14:paraId="52B10759">
                  <w:pPr>
                    <w:pStyle w:val="47"/>
                    <w:rPr>
                      <w:rFonts w:hint="default"/>
                    </w:rPr>
                  </w:pPr>
                  <w:r>
                    <w:rPr>
                      <w:rFonts w:hint="default"/>
                    </w:rPr>
                    <w:t>储存位置</w:t>
                  </w:r>
                </w:p>
              </w:tc>
            </w:tr>
            <w:tr w14:paraId="6D27A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447" w:type="pct"/>
                  <w:noWrap/>
                  <w:vAlign w:val="center"/>
                </w:tcPr>
                <w:p w14:paraId="2850C144">
                  <w:pPr>
                    <w:pStyle w:val="47"/>
                    <w:rPr>
                      <w:rFonts w:hint="default"/>
                    </w:rPr>
                  </w:pPr>
                  <w:r>
                    <w:rPr>
                      <w:rFonts w:hint="default"/>
                    </w:rPr>
                    <w:t>1</w:t>
                  </w:r>
                </w:p>
              </w:tc>
              <w:tc>
                <w:tcPr>
                  <w:tcW w:w="753" w:type="pct"/>
                  <w:shd w:val="clear" w:color="auto" w:fill="auto"/>
                  <w:noWrap/>
                  <w:vAlign w:val="center"/>
                </w:tcPr>
                <w:p w14:paraId="2BF61BB4">
                  <w:pPr>
                    <w:pStyle w:val="47"/>
                    <w:ind w:left="24" w:leftChars="10" w:right="24" w:rightChars="10" w:firstLine="0" w:firstLineChars="0"/>
                    <w:rPr>
                      <w:rFonts w:hint="default" w:ascii="Times New Roman" w:hAnsi="Times New Roman" w:eastAsia="宋体" w:cs="Times New Roman"/>
                      <w:b w:val="0"/>
                      <w:kern w:val="2"/>
                      <w:sz w:val="21"/>
                      <w:szCs w:val="21"/>
                      <w:lang w:val="en-US" w:eastAsia="zh-CN" w:bidi="ar-SA"/>
                    </w:rPr>
                  </w:pPr>
                  <w:r>
                    <w:t>废机油</w:t>
                  </w:r>
                </w:p>
              </w:tc>
              <w:tc>
                <w:tcPr>
                  <w:tcW w:w="452" w:type="pct"/>
                  <w:shd w:val="clear" w:color="auto" w:fill="auto"/>
                  <w:noWrap/>
                  <w:vAlign w:val="center"/>
                </w:tcPr>
                <w:p w14:paraId="7BD9005D">
                  <w:pPr>
                    <w:pStyle w:val="47"/>
                    <w:ind w:left="24" w:leftChars="10" w:right="24" w:rightChars="10" w:firstLine="0" w:firstLineChars="0"/>
                    <w:rPr>
                      <w:rFonts w:hint="default" w:ascii="Times New Roman" w:hAnsi="Times New Roman" w:eastAsia="宋体" w:cs="Times New Roman"/>
                      <w:b w:val="0"/>
                      <w:kern w:val="2"/>
                      <w:sz w:val="21"/>
                      <w:szCs w:val="21"/>
                      <w:lang w:val="en-US" w:eastAsia="zh-CN" w:bidi="ar-SA"/>
                    </w:rPr>
                  </w:pPr>
                  <w:r>
                    <w:rPr>
                      <w:rFonts w:hint="default"/>
                    </w:rPr>
                    <w:t>液态</w:t>
                  </w:r>
                </w:p>
              </w:tc>
              <w:tc>
                <w:tcPr>
                  <w:tcW w:w="689" w:type="pct"/>
                  <w:shd w:val="clear" w:color="auto" w:fill="auto"/>
                  <w:noWrap/>
                  <w:vAlign w:val="center"/>
                </w:tcPr>
                <w:p w14:paraId="65166674">
                  <w:pPr>
                    <w:pStyle w:val="47"/>
                    <w:ind w:left="24" w:leftChars="10" w:right="24" w:rightChars="10" w:firstLine="0" w:firstLineChars="0"/>
                    <w:rPr>
                      <w:rFonts w:hint="eastAsia" w:ascii="Times New Roman" w:hAnsi="Times New Roman" w:eastAsia="宋体" w:cs="Times New Roman"/>
                      <w:b w:val="0"/>
                      <w:kern w:val="2"/>
                      <w:sz w:val="21"/>
                      <w:szCs w:val="21"/>
                      <w:lang w:val="en-US" w:eastAsia="zh-CN" w:bidi="ar-SA"/>
                    </w:rPr>
                  </w:pPr>
                  <w:r>
                    <w:t>0.0</w:t>
                  </w:r>
                  <w:r>
                    <w:rPr>
                      <w:rFonts w:hint="eastAsia"/>
                      <w:lang w:val="en-US" w:eastAsia="zh-CN"/>
                    </w:rPr>
                    <w:t>4</w:t>
                  </w:r>
                </w:p>
              </w:tc>
              <w:tc>
                <w:tcPr>
                  <w:tcW w:w="753" w:type="pct"/>
                  <w:shd w:val="clear" w:color="auto" w:fill="auto"/>
                  <w:noWrap/>
                  <w:vAlign w:val="center"/>
                </w:tcPr>
                <w:p w14:paraId="6FA815AB">
                  <w:pPr>
                    <w:pStyle w:val="47"/>
                    <w:ind w:left="24" w:leftChars="10" w:right="24" w:rightChars="10" w:firstLine="0" w:firstLineChars="0"/>
                    <w:rPr>
                      <w:rFonts w:hint="default" w:ascii="Times New Roman" w:hAnsi="Times New Roman" w:eastAsia="宋体" w:cs="Times New Roman"/>
                      <w:b w:val="0"/>
                      <w:kern w:val="2"/>
                      <w:sz w:val="21"/>
                      <w:szCs w:val="21"/>
                      <w:lang w:val="en-US" w:eastAsia="zh-CN" w:bidi="ar-SA"/>
                    </w:rPr>
                  </w:pPr>
                  <w:r>
                    <w:t>/</w:t>
                  </w:r>
                </w:p>
              </w:tc>
              <w:tc>
                <w:tcPr>
                  <w:tcW w:w="1138" w:type="pct"/>
                  <w:shd w:val="clear" w:color="auto" w:fill="auto"/>
                  <w:noWrap/>
                  <w:vAlign w:val="center"/>
                </w:tcPr>
                <w:p w14:paraId="77805B72">
                  <w:pPr>
                    <w:pStyle w:val="47"/>
                    <w:ind w:left="24" w:leftChars="10" w:right="24" w:rightChars="10" w:firstLine="0" w:firstLineChars="0"/>
                    <w:rPr>
                      <w:rFonts w:hint="eastAsia" w:ascii="Times New Roman" w:hAnsi="Times New Roman" w:eastAsia="宋体" w:cs="Times New Roman"/>
                      <w:b w:val="0"/>
                      <w:kern w:val="2"/>
                      <w:sz w:val="21"/>
                      <w:szCs w:val="21"/>
                      <w:lang w:val="en-US" w:eastAsia="zh-CN" w:bidi="ar-SA"/>
                    </w:rPr>
                  </w:pPr>
                  <w:r>
                    <w:t>0.0</w:t>
                  </w:r>
                  <w:r>
                    <w:rPr>
                      <w:rFonts w:hint="eastAsia"/>
                      <w:lang w:val="en-US" w:eastAsia="zh-CN"/>
                    </w:rPr>
                    <w:t>2</w:t>
                  </w:r>
                </w:p>
              </w:tc>
              <w:tc>
                <w:tcPr>
                  <w:tcW w:w="765" w:type="pct"/>
                  <w:shd w:val="clear" w:color="auto" w:fill="auto"/>
                  <w:noWrap/>
                  <w:vAlign w:val="center"/>
                </w:tcPr>
                <w:p w14:paraId="66286ECD">
                  <w:pPr>
                    <w:pStyle w:val="47"/>
                    <w:ind w:left="24" w:leftChars="10" w:right="24" w:rightChars="10" w:firstLine="0" w:firstLineChars="0"/>
                    <w:rPr>
                      <w:rFonts w:hint="default" w:ascii="Times New Roman" w:hAnsi="Times New Roman" w:eastAsia="宋体" w:cs="Times New Roman"/>
                      <w:b w:val="0"/>
                      <w:kern w:val="2"/>
                      <w:sz w:val="21"/>
                      <w:szCs w:val="21"/>
                      <w:lang w:val="en-US" w:eastAsia="zh-CN" w:bidi="ar-SA"/>
                    </w:rPr>
                  </w:pPr>
                  <w:r>
                    <w:t>危废暂存间</w:t>
                  </w:r>
                </w:p>
              </w:tc>
            </w:tr>
            <w:tr w14:paraId="700BC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447" w:type="pct"/>
                  <w:noWrap/>
                  <w:vAlign w:val="center"/>
                </w:tcPr>
                <w:p w14:paraId="4BEDFBAE">
                  <w:pPr>
                    <w:pStyle w:val="47"/>
                    <w:rPr>
                      <w:rFonts w:hint="default"/>
                    </w:rPr>
                  </w:pPr>
                  <w:r>
                    <w:t>2</w:t>
                  </w:r>
                </w:p>
              </w:tc>
              <w:tc>
                <w:tcPr>
                  <w:tcW w:w="753" w:type="pct"/>
                  <w:shd w:val="clear" w:color="auto" w:fill="auto"/>
                  <w:noWrap/>
                  <w:vAlign w:val="center"/>
                </w:tcPr>
                <w:p w14:paraId="2E6F0DF8">
                  <w:pPr>
                    <w:pStyle w:val="47"/>
                    <w:ind w:left="24" w:leftChars="10" w:right="24" w:rightChars="10" w:firstLine="0" w:firstLineChars="0"/>
                    <w:rPr>
                      <w:rFonts w:hint="default" w:ascii="Times New Roman" w:hAnsi="Times New Roman" w:eastAsia="宋体" w:cs="Times New Roman"/>
                      <w:b w:val="0"/>
                      <w:kern w:val="2"/>
                      <w:sz w:val="21"/>
                      <w:szCs w:val="21"/>
                      <w:lang w:val="en-US" w:eastAsia="zh-CN" w:bidi="ar-SA"/>
                    </w:rPr>
                  </w:pPr>
                  <w:r>
                    <w:t>废活性炭</w:t>
                  </w:r>
                </w:p>
              </w:tc>
              <w:tc>
                <w:tcPr>
                  <w:tcW w:w="452" w:type="pct"/>
                  <w:shd w:val="clear" w:color="auto" w:fill="auto"/>
                  <w:noWrap/>
                  <w:vAlign w:val="center"/>
                </w:tcPr>
                <w:p w14:paraId="75E3272D">
                  <w:pPr>
                    <w:pStyle w:val="47"/>
                    <w:ind w:left="24" w:leftChars="10" w:right="24" w:rightChars="10" w:firstLine="0" w:firstLineChars="0"/>
                    <w:rPr>
                      <w:rFonts w:hint="default" w:ascii="Times New Roman" w:hAnsi="Times New Roman" w:eastAsia="宋体" w:cs="Times New Roman"/>
                      <w:b w:val="0"/>
                      <w:kern w:val="2"/>
                      <w:sz w:val="21"/>
                      <w:szCs w:val="21"/>
                      <w:lang w:val="en-US" w:eastAsia="zh-CN" w:bidi="ar-SA"/>
                    </w:rPr>
                  </w:pPr>
                  <w:r>
                    <w:t>固态</w:t>
                  </w:r>
                </w:p>
              </w:tc>
              <w:tc>
                <w:tcPr>
                  <w:tcW w:w="689" w:type="pct"/>
                  <w:shd w:val="clear" w:color="auto" w:fill="auto"/>
                  <w:noWrap/>
                  <w:vAlign w:val="center"/>
                </w:tcPr>
                <w:p w14:paraId="660353AB">
                  <w:pPr>
                    <w:pStyle w:val="47"/>
                    <w:ind w:left="24" w:leftChars="10" w:right="24" w:rightChars="10" w:firstLine="0" w:firstLineChars="0"/>
                    <w:rPr>
                      <w:rFonts w:hint="default" w:ascii="Times New Roman" w:hAnsi="Times New Roman" w:eastAsia="宋体" w:cs="Times New Roman"/>
                      <w:b w:val="0"/>
                      <w:kern w:val="2"/>
                      <w:sz w:val="21"/>
                      <w:szCs w:val="21"/>
                      <w:highlight w:val="none"/>
                      <w:lang w:val="en-US" w:eastAsia="zh-CN" w:bidi="ar-SA"/>
                    </w:rPr>
                  </w:pPr>
                  <w:r>
                    <w:rPr>
                      <w:rFonts w:hint="eastAsia"/>
                      <w:highlight w:val="none"/>
                      <w:lang w:val="en-US" w:eastAsia="zh-CN"/>
                    </w:rPr>
                    <w:t>6.1487</w:t>
                  </w:r>
                </w:p>
              </w:tc>
              <w:tc>
                <w:tcPr>
                  <w:tcW w:w="753" w:type="pct"/>
                  <w:shd w:val="clear" w:color="auto" w:fill="auto"/>
                  <w:noWrap/>
                  <w:vAlign w:val="center"/>
                </w:tcPr>
                <w:p w14:paraId="67F1EA43">
                  <w:pPr>
                    <w:pStyle w:val="47"/>
                    <w:ind w:left="24" w:leftChars="10" w:right="24" w:rightChars="10" w:firstLine="0" w:firstLineChars="0"/>
                    <w:rPr>
                      <w:rFonts w:hint="default" w:ascii="Times New Roman" w:hAnsi="Times New Roman" w:eastAsia="宋体" w:cs="Times New Roman"/>
                      <w:b w:val="0"/>
                      <w:kern w:val="2"/>
                      <w:sz w:val="21"/>
                      <w:szCs w:val="21"/>
                      <w:highlight w:val="none"/>
                      <w:lang w:val="en-US" w:eastAsia="zh-CN" w:bidi="ar-SA"/>
                    </w:rPr>
                  </w:pPr>
                  <w:r>
                    <w:rPr>
                      <w:highlight w:val="none"/>
                    </w:rPr>
                    <w:t>/</w:t>
                  </w:r>
                </w:p>
              </w:tc>
              <w:tc>
                <w:tcPr>
                  <w:tcW w:w="1138" w:type="pct"/>
                  <w:shd w:val="clear" w:color="auto" w:fill="auto"/>
                  <w:noWrap/>
                  <w:vAlign w:val="center"/>
                </w:tcPr>
                <w:p w14:paraId="7E849DCD">
                  <w:pPr>
                    <w:pStyle w:val="47"/>
                    <w:ind w:left="24" w:leftChars="10" w:right="24" w:rightChars="10" w:firstLine="0" w:firstLineChars="0"/>
                    <w:rPr>
                      <w:rFonts w:hint="default" w:ascii="Times New Roman" w:hAnsi="Times New Roman" w:eastAsia="宋体" w:cs="Times New Roman"/>
                      <w:b w:val="0"/>
                      <w:kern w:val="2"/>
                      <w:sz w:val="21"/>
                      <w:szCs w:val="21"/>
                      <w:highlight w:val="none"/>
                      <w:lang w:val="en-US" w:eastAsia="zh-CN" w:bidi="ar-SA"/>
                    </w:rPr>
                  </w:pPr>
                  <w:r>
                    <w:rPr>
                      <w:rFonts w:hint="eastAsia"/>
                      <w:highlight w:val="none"/>
                      <w:lang w:val="en-US" w:eastAsia="zh-CN"/>
                    </w:rPr>
                    <w:t>1.5372</w:t>
                  </w:r>
                </w:p>
              </w:tc>
              <w:tc>
                <w:tcPr>
                  <w:tcW w:w="765" w:type="pct"/>
                  <w:shd w:val="clear" w:color="auto" w:fill="auto"/>
                  <w:noWrap/>
                  <w:vAlign w:val="center"/>
                </w:tcPr>
                <w:p w14:paraId="779BE87A">
                  <w:pPr>
                    <w:pStyle w:val="47"/>
                    <w:ind w:left="24" w:leftChars="10" w:right="24" w:rightChars="10" w:firstLine="0" w:firstLineChars="0"/>
                    <w:rPr>
                      <w:rFonts w:hint="default" w:ascii="Times New Roman" w:hAnsi="Times New Roman" w:eastAsia="宋体" w:cs="Times New Roman"/>
                      <w:b w:val="0"/>
                      <w:kern w:val="2"/>
                      <w:sz w:val="21"/>
                      <w:szCs w:val="21"/>
                      <w:lang w:val="en-US" w:eastAsia="zh-CN" w:bidi="ar-SA"/>
                    </w:rPr>
                  </w:pPr>
                  <w:r>
                    <w:t>危废暂存间</w:t>
                  </w:r>
                </w:p>
              </w:tc>
            </w:tr>
            <w:tr w14:paraId="4339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5000" w:type="pct"/>
                  <w:gridSpan w:val="7"/>
                  <w:noWrap/>
                  <w:vAlign w:val="center"/>
                </w:tcPr>
                <w:p w14:paraId="19850FD4">
                  <w:pPr>
                    <w:pStyle w:val="47"/>
                    <w:jc w:val="left"/>
                    <w:rPr>
                      <w:rFonts w:hint="default"/>
                    </w:rPr>
                  </w:pPr>
                  <w:r>
                    <w:rPr>
                      <w:sz w:val="18"/>
                      <w:szCs w:val="18"/>
                    </w:rPr>
                    <w:t>备注：废活性炭因吸附各类有机废气，具有一定的毒性，其临界量参照《建设项目环境风险评价技术导则》（HJ169-2018）附录B中表B.2健康危险急性毒性物质（类别2，类别3）临界量50t计算</w:t>
                  </w:r>
                </w:p>
              </w:tc>
            </w:tr>
          </w:tbl>
          <w:p w14:paraId="239EB966">
            <w:pPr>
              <w:ind w:firstLine="482"/>
              <w:jc w:val="both"/>
              <w:rPr>
                <w:b/>
                <w:bCs/>
              </w:rPr>
            </w:pPr>
            <w:r>
              <w:rPr>
                <w:rFonts w:hint="eastAsia"/>
                <w:b/>
                <w:bCs/>
              </w:rPr>
              <w:t>2、</w:t>
            </w:r>
            <w:r>
              <w:rPr>
                <w:b/>
                <w:bCs/>
              </w:rPr>
              <w:t>风险潜势初判</w:t>
            </w:r>
          </w:p>
          <w:p w14:paraId="1DF4ADA9">
            <w:pPr>
              <w:ind w:firstLine="480"/>
              <w:jc w:val="both"/>
            </w:pPr>
            <w:r>
              <w:t>根据《建设项目环境风险评价技术导则》（HJ169-2018）当存在多种危险物质时，则按式（C.1）计算物质总量与其临界量比值（Q）：</w:t>
            </w:r>
          </w:p>
          <w:p w14:paraId="64F2E2D9">
            <w:pPr>
              <w:ind w:firstLine="480"/>
              <w:jc w:val="center"/>
            </w:pPr>
            <m:oMathPara>
              <m:oMath>
                <m:r>
                  <m:rPr>
                    <m:sty m:val="p"/>
                  </m:rPr>
                  <w:rPr>
                    <w:rFonts w:ascii="Cambria Math" w:hAnsi="Cambria Math"/>
                  </w:rPr>
                  <m:t>Q=</m:t>
                </m:r>
                <m:f>
                  <m:fPr>
                    <m:ctrlPr>
                      <w:rPr>
                        <w:rFonts w:ascii="Cambria Math" w:hAnsi="Cambria Math"/>
                      </w:rPr>
                    </m:ctrlPr>
                  </m:fPr>
                  <m:num>
                    <m:sSub>
                      <m:sSubPr>
                        <m:ctrlPr>
                          <w:rPr>
                            <w:rFonts w:ascii="Cambria Math" w:hAnsi="Cambria Math"/>
                          </w:rPr>
                        </m:ctrlPr>
                      </m:sSubPr>
                      <m:e>
                        <m:r>
                          <m:rPr/>
                          <w:rPr>
                            <w:rFonts w:ascii="Cambria Math" w:hAnsi="Cambria Math"/>
                          </w:rPr>
                          <m:t>q</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Q</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q</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Q</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q</m:t>
                        </m:r>
                        <m:ctrlPr>
                          <w:rPr>
                            <w:rFonts w:ascii="Cambria Math" w:hAnsi="Cambria Math"/>
                          </w:rPr>
                        </m:ctrlPr>
                      </m:e>
                      <m:sub>
                        <m:r>
                          <m:rPr/>
                          <w:rPr>
                            <w:rFonts w:ascii="Cambria Math" w:hAnsi="Cambria Math"/>
                          </w:rPr>
                          <m:t>n</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Q</m:t>
                        </m:r>
                        <m:ctrlPr>
                          <w:rPr>
                            <w:rFonts w:ascii="Cambria Math" w:hAnsi="Cambria Math"/>
                          </w:rPr>
                        </m:ctrlPr>
                      </m:e>
                      <m:sub>
                        <m:r>
                          <m:rPr/>
                          <w:rPr>
                            <w:rFonts w:ascii="Cambria Math" w:hAnsi="Cambria Math"/>
                          </w:rPr>
                          <m:t>n</m:t>
                        </m:r>
                        <m:ctrlPr>
                          <w:rPr>
                            <w:rFonts w:ascii="Cambria Math" w:hAnsi="Cambria Math"/>
                          </w:rPr>
                        </m:ctrlPr>
                      </m:sub>
                    </m:sSub>
                    <m:ctrlPr>
                      <w:rPr>
                        <w:rFonts w:ascii="Cambria Math" w:hAnsi="Cambria Math"/>
                      </w:rPr>
                    </m:ctrlPr>
                  </m:den>
                </m:f>
              </m:oMath>
            </m:oMathPara>
          </w:p>
          <w:p w14:paraId="300C89AA">
            <w:pPr>
              <w:ind w:firstLine="480"/>
              <w:jc w:val="both"/>
              <w:rPr>
                <w:snapToGrid w:val="0"/>
                <w:kern w:val="0"/>
              </w:rPr>
            </w:pPr>
            <w:r>
              <w:rPr>
                <w:snapToGrid w:val="0"/>
                <w:kern w:val="0"/>
              </w:rPr>
              <w:t>式中：q</w:t>
            </w:r>
            <w:r>
              <w:rPr>
                <w:snapToGrid w:val="0"/>
                <w:kern w:val="0"/>
                <w:vertAlign w:val="subscript"/>
              </w:rPr>
              <w:t>1</w:t>
            </w:r>
            <w:r>
              <w:rPr>
                <w:snapToGrid w:val="0"/>
                <w:kern w:val="0"/>
              </w:rPr>
              <w:t>，q</w:t>
            </w:r>
            <w:r>
              <w:rPr>
                <w:snapToGrid w:val="0"/>
                <w:kern w:val="0"/>
                <w:vertAlign w:val="subscript"/>
              </w:rPr>
              <w:t>2</w:t>
            </w:r>
            <w:r>
              <w:rPr>
                <w:snapToGrid w:val="0"/>
                <w:kern w:val="0"/>
              </w:rPr>
              <w:t>…q</w:t>
            </w:r>
            <w:r>
              <w:rPr>
                <w:snapToGrid w:val="0"/>
                <w:kern w:val="0"/>
                <w:vertAlign w:val="subscript"/>
              </w:rPr>
              <w:t>n</w:t>
            </w:r>
            <w:r>
              <w:rPr>
                <w:snapToGrid w:val="0"/>
                <w:kern w:val="0"/>
              </w:rPr>
              <w:t>为每种危险物质最大存在总量，t。</w:t>
            </w:r>
          </w:p>
          <w:p w14:paraId="2CC34583">
            <w:pPr>
              <w:ind w:firstLine="1200" w:firstLineChars="500"/>
              <w:jc w:val="both"/>
              <w:rPr>
                <w:snapToGrid w:val="0"/>
                <w:kern w:val="0"/>
              </w:rPr>
            </w:pPr>
            <w:r>
              <w:rPr>
                <w:snapToGrid w:val="0"/>
                <w:kern w:val="0"/>
              </w:rPr>
              <w:t>Q</w:t>
            </w:r>
            <w:r>
              <w:rPr>
                <w:snapToGrid w:val="0"/>
                <w:kern w:val="0"/>
                <w:vertAlign w:val="subscript"/>
              </w:rPr>
              <w:t>1</w:t>
            </w:r>
            <w:r>
              <w:rPr>
                <w:snapToGrid w:val="0"/>
                <w:kern w:val="0"/>
              </w:rPr>
              <w:t>，Q</w:t>
            </w:r>
            <w:r>
              <w:rPr>
                <w:snapToGrid w:val="0"/>
                <w:kern w:val="0"/>
                <w:vertAlign w:val="subscript"/>
              </w:rPr>
              <w:t>2</w:t>
            </w:r>
            <w:r>
              <w:rPr>
                <w:snapToGrid w:val="0"/>
                <w:kern w:val="0"/>
              </w:rPr>
              <w:t>…Q</w:t>
            </w:r>
            <w:r>
              <w:rPr>
                <w:snapToGrid w:val="0"/>
                <w:kern w:val="0"/>
                <w:vertAlign w:val="subscript"/>
              </w:rPr>
              <w:t>n</w:t>
            </w:r>
            <w:r>
              <w:rPr>
                <w:snapToGrid w:val="0"/>
                <w:kern w:val="0"/>
              </w:rPr>
              <w:t>为每种危险物质的临界量，t。</w:t>
            </w:r>
          </w:p>
          <w:p w14:paraId="063FED0F">
            <w:pPr>
              <w:ind w:firstLine="960" w:firstLineChars="400"/>
              <w:jc w:val="both"/>
              <w:rPr>
                <w:snapToGrid w:val="0"/>
                <w:kern w:val="0"/>
              </w:rPr>
            </w:pPr>
            <w:r>
              <w:rPr>
                <w:snapToGrid w:val="0"/>
                <w:kern w:val="0"/>
              </w:rPr>
              <w:t>当Q＜1 时，</w:t>
            </w:r>
            <w:r>
              <w:rPr>
                <w:rFonts w:hint="eastAsia"/>
                <w:snapToGrid w:val="0"/>
                <w:kern w:val="0"/>
                <w:lang w:val="en-US" w:eastAsia="zh-CN"/>
              </w:rPr>
              <w:t>本</w:t>
            </w:r>
            <w:r>
              <w:rPr>
                <w:snapToGrid w:val="0"/>
                <w:kern w:val="0"/>
              </w:rPr>
              <w:t>项目环境风险潜势为I；</w:t>
            </w:r>
          </w:p>
          <w:p w14:paraId="34CE3563">
            <w:pPr>
              <w:bidi w:val="0"/>
              <w:jc w:val="both"/>
            </w:pPr>
            <w:r>
              <w:t>当Q≥1时，将Q值划分为：（1）1≤Q＜10；（2）10≤Q＜100；（3）Q≥100。</w:t>
            </w:r>
          </w:p>
          <w:p w14:paraId="5F9C9A0C">
            <w:pPr>
              <w:ind w:firstLine="480"/>
              <w:jc w:val="both"/>
              <w:rPr>
                <w:b/>
                <w:bCs/>
                <w:sz w:val="21"/>
                <w:szCs w:val="21"/>
              </w:rPr>
            </w:pPr>
            <w:r>
              <w:t>对照《建设项目环境风险评价技术导则》</w:t>
            </w:r>
            <w:r>
              <w:rPr>
                <w:rFonts w:hint="eastAsia"/>
              </w:rPr>
              <w:t>（</w:t>
            </w:r>
            <w:r>
              <w:t>HJT169－2018</w:t>
            </w:r>
            <w:r>
              <w:rPr>
                <w:rFonts w:hint="eastAsia"/>
              </w:rPr>
              <w:t>）</w:t>
            </w:r>
            <w:r>
              <w:t>附录B.1中的突发环境事件风险物质及临界量情况，筛选出本项目危险物质为</w:t>
            </w:r>
            <w:r>
              <w:rPr>
                <w:rFonts w:hint="eastAsia"/>
              </w:rPr>
              <w:t>废机油、废活性炭等</w:t>
            </w:r>
            <w:r>
              <w:t>，具体判别情况见下表。</w:t>
            </w:r>
          </w:p>
          <w:p w14:paraId="2B17F409">
            <w:pPr>
              <w:pStyle w:val="44"/>
              <w:rPr>
                <w:rFonts w:hint="default"/>
              </w:rPr>
            </w:pPr>
            <w:r>
              <w:rPr>
                <w:rFonts w:hint="default"/>
              </w:rPr>
              <w:t>表</w:t>
            </w:r>
            <w:r>
              <w:t>4</w:t>
            </w:r>
            <w:r>
              <w:rPr>
                <w:rFonts w:hint="default"/>
              </w:rPr>
              <w:t>-</w:t>
            </w:r>
            <w:r>
              <w:t>2</w:t>
            </w:r>
            <w:r>
              <w:rPr>
                <w:rFonts w:hint="eastAsia"/>
                <w:lang w:val="en-US" w:eastAsia="zh-CN"/>
              </w:rPr>
              <w:t>7</w:t>
            </w:r>
            <w:r>
              <w:rPr>
                <w:rFonts w:hint="default"/>
              </w:rPr>
              <w:t xml:space="preserve"> 危险物质数量与临界量比值（Q）计算结果一览表</w:t>
            </w:r>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04"/>
              <w:gridCol w:w="1511"/>
              <w:gridCol w:w="1034"/>
              <w:gridCol w:w="1291"/>
              <w:gridCol w:w="1755"/>
              <w:gridCol w:w="1181"/>
              <w:gridCol w:w="1068"/>
            </w:tblGrid>
            <w:tr w14:paraId="2DDA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357" w:type="pct"/>
                  <w:noWrap/>
                  <w:vAlign w:val="center"/>
                </w:tcPr>
                <w:p w14:paraId="776336F8">
                  <w:pPr>
                    <w:pStyle w:val="47"/>
                    <w:rPr>
                      <w:rFonts w:hint="default"/>
                    </w:rPr>
                  </w:pPr>
                  <w:r>
                    <w:rPr>
                      <w:rFonts w:hint="default"/>
                    </w:rPr>
                    <w:t>序号</w:t>
                  </w:r>
                </w:p>
              </w:tc>
              <w:tc>
                <w:tcPr>
                  <w:tcW w:w="894" w:type="pct"/>
                  <w:noWrap/>
                  <w:vAlign w:val="center"/>
                </w:tcPr>
                <w:p w14:paraId="68BA4B45">
                  <w:pPr>
                    <w:pStyle w:val="47"/>
                    <w:rPr>
                      <w:rFonts w:hint="default"/>
                    </w:rPr>
                  </w:pPr>
                  <w:r>
                    <w:rPr>
                      <w:rFonts w:hint="default"/>
                    </w:rPr>
                    <w:t>危险物质名称</w:t>
                  </w:r>
                </w:p>
              </w:tc>
              <w:tc>
                <w:tcPr>
                  <w:tcW w:w="612" w:type="pct"/>
                  <w:noWrap/>
                  <w:vAlign w:val="center"/>
                </w:tcPr>
                <w:p w14:paraId="757F9BA0">
                  <w:pPr>
                    <w:pStyle w:val="47"/>
                    <w:rPr>
                      <w:rFonts w:hint="default"/>
                    </w:rPr>
                  </w:pPr>
                  <w:r>
                    <w:rPr>
                      <w:rFonts w:hint="default"/>
                    </w:rPr>
                    <w:t>CAS号</w:t>
                  </w:r>
                </w:p>
              </w:tc>
              <w:tc>
                <w:tcPr>
                  <w:tcW w:w="764" w:type="pct"/>
                  <w:noWrap/>
                  <w:vAlign w:val="center"/>
                </w:tcPr>
                <w:p w14:paraId="6D39E4C3">
                  <w:pPr>
                    <w:pStyle w:val="47"/>
                    <w:rPr>
                      <w:rFonts w:hint="default"/>
                    </w:rPr>
                  </w:pPr>
                  <w:r>
                    <w:rPr>
                      <w:rFonts w:hint="default"/>
                    </w:rPr>
                    <w:t>储存位置</w:t>
                  </w:r>
                </w:p>
              </w:tc>
              <w:tc>
                <w:tcPr>
                  <w:tcW w:w="1039" w:type="pct"/>
                  <w:noWrap/>
                  <w:vAlign w:val="center"/>
                </w:tcPr>
                <w:p w14:paraId="2C6D2DFE">
                  <w:pPr>
                    <w:pStyle w:val="47"/>
                    <w:rPr>
                      <w:rFonts w:hint="default"/>
                    </w:rPr>
                  </w:pPr>
                  <w:r>
                    <w:rPr>
                      <w:rFonts w:hint="default"/>
                    </w:rPr>
                    <w:t>最大</w:t>
                  </w:r>
                  <w:r>
                    <w:t>存在总量/t</w:t>
                  </w:r>
                </w:p>
              </w:tc>
              <w:tc>
                <w:tcPr>
                  <w:tcW w:w="699" w:type="pct"/>
                  <w:noWrap/>
                  <w:vAlign w:val="center"/>
                </w:tcPr>
                <w:p w14:paraId="6A2BF274">
                  <w:pPr>
                    <w:pStyle w:val="47"/>
                    <w:rPr>
                      <w:rFonts w:hint="default"/>
                    </w:rPr>
                  </w:pPr>
                  <w:r>
                    <w:rPr>
                      <w:rFonts w:hint="default"/>
                    </w:rPr>
                    <w:t>临界量</w:t>
                  </w:r>
                  <w:r>
                    <w:t>/t</w:t>
                  </w:r>
                </w:p>
              </w:tc>
              <w:tc>
                <w:tcPr>
                  <w:tcW w:w="632" w:type="pct"/>
                  <w:noWrap/>
                  <w:vAlign w:val="center"/>
                </w:tcPr>
                <w:p w14:paraId="4BF77B55">
                  <w:pPr>
                    <w:pStyle w:val="47"/>
                    <w:rPr>
                      <w:rFonts w:hint="default"/>
                    </w:rPr>
                  </w:pPr>
                  <w:r>
                    <w:rPr>
                      <w:rFonts w:hint="default"/>
                    </w:rPr>
                    <w:t>Q</w:t>
                  </w:r>
                  <w:r>
                    <w:t>值</w:t>
                  </w:r>
                </w:p>
              </w:tc>
            </w:tr>
            <w:tr w14:paraId="01492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357" w:type="pct"/>
                  <w:noWrap/>
                  <w:vAlign w:val="center"/>
                </w:tcPr>
                <w:p w14:paraId="41AEF9DA">
                  <w:pPr>
                    <w:pStyle w:val="47"/>
                    <w:rPr>
                      <w:rFonts w:hint="eastAsia" w:eastAsia="宋体"/>
                      <w:lang w:eastAsia="zh-CN"/>
                    </w:rPr>
                  </w:pPr>
                  <w:r>
                    <w:rPr>
                      <w:rFonts w:hint="eastAsia"/>
                      <w:lang w:val="en-US" w:eastAsia="zh-CN"/>
                    </w:rPr>
                    <w:t>1</w:t>
                  </w:r>
                </w:p>
              </w:tc>
              <w:tc>
                <w:tcPr>
                  <w:tcW w:w="894" w:type="pct"/>
                  <w:noWrap/>
                  <w:vAlign w:val="center"/>
                </w:tcPr>
                <w:p w14:paraId="3804D4A5">
                  <w:pPr>
                    <w:pStyle w:val="47"/>
                    <w:rPr>
                      <w:rFonts w:hint="default"/>
                    </w:rPr>
                  </w:pPr>
                  <w:r>
                    <w:t>废机油</w:t>
                  </w:r>
                </w:p>
              </w:tc>
              <w:tc>
                <w:tcPr>
                  <w:tcW w:w="612" w:type="pct"/>
                  <w:noWrap/>
                  <w:vAlign w:val="center"/>
                </w:tcPr>
                <w:p w14:paraId="40A962B7">
                  <w:pPr>
                    <w:pStyle w:val="47"/>
                    <w:rPr>
                      <w:rFonts w:hint="default"/>
                    </w:rPr>
                  </w:pPr>
                  <w:r>
                    <w:t>/</w:t>
                  </w:r>
                </w:p>
              </w:tc>
              <w:tc>
                <w:tcPr>
                  <w:tcW w:w="764" w:type="pct"/>
                  <w:noWrap/>
                  <w:vAlign w:val="center"/>
                </w:tcPr>
                <w:p w14:paraId="01075BFF">
                  <w:pPr>
                    <w:pStyle w:val="47"/>
                    <w:rPr>
                      <w:rFonts w:hint="default"/>
                    </w:rPr>
                  </w:pPr>
                  <w:r>
                    <w:t>危废暂存间</w:t>
                  </w:r>
                </w:p>
              </w:tc>
              <w:tc>
                <w:tcPr>
                  <w:tcW w:w="1039" w:type="pct"/>
                  <w:noWrap/>
                  <w:vAlign w:val="center"/>
                </w:tcPr>
                <w:p w14:paraId="6B45DD60">
                  <w:pPr>
                    <w:pStyle w:val="47"/>
                    <w:rPr>
                      <w:rFonts w:hint="default" w:eastAsia="宋体"/>
                      <w:lang w:val="en-US" w:eastAsia="zh-CN"/>
                    </w:rPr>
                  </w:pPr>
                  <w:r>
                    <w:rPr>
                      <w:rFonts w:hint="eastAsia"/>
                      <w:lang w:val="en-US" w:eastAsia="zh-CN"/>
                    </w:rPr>
                    <w:t>0.04</w:t>
                  </w:r>
                </w:p>
              </w:tc>
              <w:tc>
                <w:tcPr>
                  <w:tcW w:w="699" w:type="pct"/>
                  <w:noWrap/>
                  <w:vAlign w:val="center"/>
                </w:tcPr>
                <w:p w14:paraId="0447FFAE">
                  <w:pPr>
                    <w:pStyle w:val="47"/>
                    <w:rPr>
                      <w:rFonts w:hint="default"/>
                    </w:rPr>
                  </w:pPr>
                  <w:r>
                    <w:t>2500</w:t>
                  </w:r>
                </w:p>
              </w:tc>
              <w:tc>
                <w:tcPr>
                  <w:tcW w:w="632" w:type="pct"/>
                  <w:noWrap/>
                  <w:vAlign w:val="center"/>
                </w:tcPr>
                <w:p w14:paraId="4FCCBBC0">
                  <w:pPr>
                    <w:pStyle w:val="51"/>
                    <w:spacing w:before="33" w:after="33"/>
                    <w:rPr>
                      <w:rFonts w:hint="default" w:eastAsia="宋体"/>
                      <w:lang w:val="en-US" w:eastAsia="zh-CN"/>
                    </w:rPr>
                  </w:pPr>
                  <w:r>
                    <w:rPr>
                      <w:rFonts w:hint="eastAsia"/>
                    </w:rPr>
                    <w:t>0.0000</w:t>
                  </w:r>
                  <w:r>
                    <w:rPr>
                      <w:rFonts w:hint="eastAsia"/>
                      <w:lang w:val="en-US" w:eastAsia="zh-CN"/>
                    </w:rPr>
                    <w:t>16</w:t>
                  </w:r>
                </w:p>
              </w:tc>
            </w:tr>
            <w:tr w14:paraId="04D5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9" w:hRule="atLeast"/>
                <w:jc w:val="center"/>
              </w:trPr>
              <w:tc>
                <w:tcPr>
                  <w:tcW w:w="357" w:type="pct"/>
                  <w:noWrap/>
                  <w:vAlign w:val="center"/>
                </w:tcPr>
                <w:p w14:paraId="6D631756">
                  <w:pPr>
                    <w:pStyle w:val="47"/>
                    <w:rPr>
                      <w:rFonts w:hint="eastAsia" w:eastAsia="宋体"/>
                      <w:lang w:eastAsia="zh-CN"/>
                    </w:rPr>
                  </w:pPr>
                  <w:r>
                    <w:rPr>
                      <w:rFonts w:hint="eastAsia"/>
                      <w:lang w:val="en-US" w:eastAsia="zh-CN"/>
                    </w:rPr>
                    <w:t>2</w:t>
                  </w:r>
                </w:p>
              </w:tc>
              <w:tc>
                <w:tcPr>
                  <w:tcW w:w="894" w:type="pct"/>
                  <w:noWrap/>
                  <w:vAlign w:val="center"/>
                </w:tcPr>
                <w:p w14:paraId="16C10BF0">
                  <w:pPr>
                    <w:pStyle w:val="47"/>
                    <w:rPr>
                      <w:rFonts w:hint="default"/>
                    </w:rPr>
                  </w:pPr>
                  <w:r>
                    <w:t>废活性炭</w:t>
                  </w:r>
                </w:p>
              </w:tc>
              <w:tc>
                <w:tcPr>
                  <w:tcW w:w="612" w:type="pct"/>
                  <w:noWrap/>
                  <w:vAlign w:val="center"/>
                </w:tcPr>
                <w:p w14:paraId="03032009">
                  <w:pPr>
                    <w:pStyle w:val="47"/>
                    <w:rPr>
                      <w:rFonts w:hint="default"/>
                    </w:rPr>
                  </w:pPr>
                  <w:r>
                    <w:t>/</w:t>
                  </w:r>
                </w:p>
              </w:tc>
              <w:tc>
                <w:tcPr>
                  <w:tcW w:w="764" w:type="pct"/>
                  <w:noWrap/>
                  <w:vAlign w:val="center"/>
                </w:tcPr>
                <w:p w14:paraId="417B23AF">
                  <w:pPr>
                    <w:pStyle w:val="47"/>
                    <w:rPr>
                      <w:rFonts w:hint="default"/>
                    </w:rPr>
                  </w:pPr>
                  <w:r>
                    <w:t>危废暂存间</w:t>
                  </w:r>
                </w:p>
              </w:tc>
              <w:tc>
                <w:tcPr>
                  <w:tcW w:w="1039" w:type="pct"/>
                  <w:noWrap/>
                  <w:vAlign w:val="center"/>
                </w:tcPr>
                <w:p w14:paraId="7F45FA04">
                  <w:pPr>
                    <w:pStyle w:val="47"/>
                    <w:rPr>
                      <w:rFonts w:hint="default" w:eastAsia="宋体"/>
                      <w:lang w:val="en-US" w:eastAsia="zh-CN"/>
                    </w:rPr>
                  </w:pPr>
                  <w:r>
                    <w:rPr>
                      <w:rFonts w:hint="eastAsia"/>
                      <w:highlight w:val="none"/>
                      <w:lang w:val="en-US" w:eastAsia="zh-CN"/>
                    </w:rPr>
                    <w:t>1.5372</w:t>
                  </w:r>
                </w:p>
              </w:tc>
              <w:tc>
                <w:tcPr>
                  <w:tcW w:w="699" w:type="pct"/>
                  <w:noWrap/>
                  <w:vAlign w:val="center"/>
                </w:tcPr>
                <w:p w14:paraId="6B2AC9B7">
                  <w:pPr>
                    <w:pStyle w:val="47"/>
                    <w:rPr>
                      <w:rFonts w:hint="default"/>
                    </w:rPr>
                  </w:pPr>
                  <w:r>
                    <w:t>50</w:t>
                  </w:r>
                </w:p>
              </w:tc>
              <w:tc>
                <w:tcPr>
                  <w:tcW w:w="632" w:type="pct"/>
                  <w:noWrap/>
                  <w:vAlign w:val="center"/>
                </w:tcPr>
                <w:p w14:paraId="72960293">
                  <w:pPr>
                    <w:pStyle w:val="51"/>
                    <w:spacing w:before="33" w:after="33"/>
                    <w:rPr>
                      <w:rFonts w:hint="default"/>
                      <w:lang w:val="en-US"/>
                    </w:rPr>
                  </w:pPr>
                  <w:r>
                    <w:rPr>
                      <w:rFonts w:hint="eastAsia"/>
                      <w:lang w:val="en-US" w:eastAsia="zh-CN"/>
                    </w:rPr>
                    <w:t>0.030744</w:t>
                  </w:r>
                </w:p>
              </w:tc>
            </w:tr>
            <w:tr w14:paraId="4F19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4367" w:type="pct"/>
                  <w:gridSpan w:val="6"/>
                  <w:noWrap/>
                  <w:vAlign w:val="center"/>
                </w:tcPr>
                <w:p w14:paraId="3BAB116F">
                  <w:pPr>
                    <w:pStyle w:val="47"/>
                    <w:rPr>
                      <w:rFonts w:hint="default"/>
                    </w:rPr>
                  </w:pPr>
                  <w:r>
                    <w:rPr>
                      <w:rFonts w:hint="default"/>
                    </w:rPr>
                    <w:t>合计</w:t>
                  </w:r>
                </w:p>
              </w:tc>
              <w:tc>
                <w:tcPr>
                  <w:tcW w:w="632" w:type="pct"/>
                  <w:noWrap/>
                  <w:vAlign w:val="center"/>
                </w:tcPr>
                <w:p w14:paraId="0BFB885A">
                  <w:pPr>
                    <w:pStyle w:val="51"/>
                    <w:spacing w:before="33" w:after="33"/>
                    <w:rPr>
                      <w:rFonts w:hint="default"/>
                      <w:lang w:val="en-US"/>
                    </w:rPr>
                  </w:pPr>
                  <w:r>
                    <w:rPr>
                      <w:rFonts w:hint="eastAsia"/>
                      <w:lang w:val="en-US" w:eastAsia="zh-CN"/>
                    </w:rPr>
                    <w:t>0.03076</w:t>
                  </w:r>
                </w:p>
              </w:tc>
            </w:tr>
          </w:tbl>
          <w:p w14:paraId="62BB7042">
            <w:pPr>
              <w:ind w:firstLine="480"/>
              <w:jc w:val="both"/>
            </w:pPr>
            <w:r>
              <w:rPr>
                <w:rFonts w:hint="eastAsia"/>
              </w:rPr>
              <w:t>根据上表可知，Q</w:t>
            </w:r>
            <w:r>
              <w:rPr>
                <w:snapToGrid w:val="0"/>
                <w:kern w:val="0"/>
              </w:rPr>
              <w:t>＜1</w:t>
            </w:r>
            <w:r>
              <w:rPr>
                <w:rFonts w:hint="eastAsia"/>
              </w:rPr>
              <w:t>，环境风险潜势为</w:t>
            </w:r>
            <w:r>
              <w:rPr>
                <w:snapToGrid w:val="0"/>
                <w:kern w:val="0"/>
              </w:rPr>
              <w:t>I</w:t>
            </w:r>
            <w:r>
              <w:rPr>
                <w:rFonts w:hint="eastAsia"/>
                <w:snapToGrid w:val="0"/>
                <w:kern w:val="0"/>
              </w:rPr>
              <w:t>，本项目环境风险评价简单分析即可</w:t>
            </w:r>
            <w:r>
              <w:t>。</w:t>
            </w:r>
            <w:r>
              <w:rPr>
                <w:rFonts w:hint="eastAsia"/>
              </w:rPr>
              <w:t>本项目环境风险影响途径见下表：</w:t>
            </w:r>
          </w:p>
          <w:p w14:paraId="396AD494">
            <w:pPr>
              <w:autoSpaceDE w:val="0"/>
              <w:autoSpaceDN w:val="0"/>
              <w:adjustRightInd w:val="0"/>
              <w:ind w:firstLine="482"/>
              <w:jc w:val="center"/>
              <w:rPr>
                <w:b/>
                <w:bCs/>
                <w:szCs w:val="21"/>
              </w:rPr>
            </w:pPr>
            <w:r>
              <w:rPr>
                <w:b/>
                <w:bCs/>
                <w:szCs w:val="21"/>
              </w:rPr>
              <w:t>表</w:t>
            </w:r>
            <w:r>
              <w:rPr>
                <w:rFonts w:hint="eastAsia"/>
                <w:b/>
                <w:bCs/>
                <w:szCs w:val="21"/>
              </w:rPr>
              <w:t>4</w:t>
            </w:r>
            <w:r>
              <w:rPr>
                <w:b/>
                <w:bCs/>
                <w:szCs w:val="21"/>
              </w:rPr>
              <w:t>-</w:t>
            </w:r>
            <w:r>
              <w:rPr>
                <w:rFonts w:hint="eastAsia"/>
                <w:b/>
                <w:bCs/>
                <w:szCs w:val="21"/>
              </w:rPr>
              <w:t>2</w:t>
            </w:r>
            <w:r>
              <w:rPr>
                <w:rFonts w:hint="eastAsia"/>
                <w:b/>
                <w:bCs/>
                <w:szCs w:val="21"/>
                <w:lang w:val="en-US" w:eastAsia="zh-CN"/>
              </w:rPr>
              <w:t>9</w:t>
            </w:r>
            <w:r>
              <w:rPr>
                <w:rFonts w:hint="eastAsia"/>
                <w:b/>
                <w:bCs/>
                <w:szCs w:val="21"/>
              </w:rPr>
              <w:t xml:space="preserve"> 本项目环境风险影响途径一览表</w:t>
            </w:r>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186"/>
              <w:gridCol w:w="1210"/>
              <w:gridCol w:w="1117"/>
              <w:gridCol w:w="1117"/>
              <w:gridCol w:w="2398"/>
              <w:gridCol w:w="1416"/>
            </w:tblGrid>
            <w:tr w14:paraId="5066B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0" w:hRule="atLeast"/>
                <w:jc w:val="center"/>
              </w:trPr>
              <w:tc>
                <w:tcPr>
                  <w:tcW w:w="702" w:type="pct"/>
                  <w:vAlign w:val="center"/>
                </w:tcPr>
                <w:p w14:paraId="0B935774">
                  <w:pPr>
                    <w:pStyle w:val="47"/>
                    <w:rPr>
                      <w:rFonts w:hint="default"/>
                    </w:rPr>
                  </w:pPr>
                  <w:r>
                    <w:t>危险单元</w:t>
                  </w:r>
                </w:p>
              </w:tc>
              <w:tc>
                <w:tcPr>
                  <w:tcW w:w="716" w:type="pct"/>
                  <w:vAlign w:val="center"/>
                </w:tcPr>
                <w:p w14:paraId="2466165B">
                  <w:pPr>
                    <w:pStyle w:val="47"/>
                    <w:rPr>
                      <w:rFonts w:hint="default"/>
                    </w:rPr>
                  </w:pPr>
                  <w:r>
                    <w:t>潜在风险源</w:t>
                  </w:r>
                </w:p>
              </w:tc>
              <w:tc>
                <w:tcPr>
                  <w:tcW w:w="661" w:type="pct"/>
                  <w:vAlign w:val="center"/>
                </w:tcPr>
                <w:p w14:paraId="4565B295">
                  <w:pPr>
                    <w:pStyle w:val="47"/>
                    <w:rPr>
                      <w:rFonts w:hint="default"/>
                    </w:rPr>
                  </w:pPr>
                  <w:r>
                    <w:t>主要危险物质</w:t>
                  </w:r>
                </w:p>
              </w:tc>
              <w:tc>
                <w:tcPr>
                  <w:tcW w:w="661" w:type="pct"/>
                  <w:vAlign w:val="center"/>
                </w:tcPr>
                <w:p w14:paraId="6CE74D9A">
                  <w:pPr>
                    <w:pStyle w:val="47"/>
                    <w:rPr>
                      <w:rFonts w:hint="default"/>
                    </w:rPr>
                  </w:pPr>
                  <w:r>
                    <w:t>环境风险类型</w:t>
                  </w:r>
                </w:p>
              </w:tc>
              <w:tc>
                <w:tcPr>
                  <w:tcW w:w="1419" w:type="pct"/>
                  <w:vAlign w:val="center"/>
                </w:tcPr>
                <w:p w14:paraId="290394AB">
                  <w:pPr>
                    <w:pStyle w:val="47"/>
                    <w:rPr>
                      <w:rFonts w:hint="default"/>
                    </w:rPr>
                  </w:pPr>
                  <w:r>
                    <w:t>环境影响途径</w:t>
                  </w:r>
                </w:p>
              </w:tc>
              <w:tc>
                <w:tcPr>
                  <w:tcW w:w="838" w:type="pct"/>
                  <w:vAlign w:val="center"/>
                </w:tcPr>
                <w:p w14:paraId="19C6E820">
                  <w:pPr>
                    <w:pStyle w:val="47"/>
                    <w:rPr>
                      <w:rFonts w:hint="default"/>
                    </w:rPr>
                  </w:pPr>
                  <w:r>
                    <w:t>可能受影响的环境敏感目标</w:t>
                  </w:r>
                </w:p>
              </w:tc>
            </w:tr>
            <w:tr w14:paraId="63041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702" w:type="pct"/>
                  <w:vMerge w:val="restart"/>
                  <w:vAlign w:val="center"/>
                </w:tcPr>
                <w:p w14:paraId="3DFE1B07">
                  <w:pPr>
                    <w:pStyle w:val="47"/>
                    <w:rPr>
                      <w:rFonts w:hint="default"/>
                    </w:rPr>
                  </w:pPr>
                  <w:r>
                    <w:t>危废暂存间</w:t>
                  </w:r>
                </w:p>
                <w:p w14:paraId="7ED15E84">
                  <w:pPr>
                    <w:pStyle w:val="47"/>
                    <w:rPr>
                      <w:rFonts w:hint="default"/>
                    </w:rPr>
                  </w:pPr>
                </w:p>
              </w:tc>
              <w:tc>
                <w:tcPr>
                  <w:tcW w:w="716" w:type="pct"/>
                  <w:vAlign w:val="center"/>
                </w:tcPr>
                <w:p w14:paraId="6040AE7A">
                  <w:pPr>
                    <w:pStyle w:val="47"/>
                    <w:rPr>
                      <w:rFonts w:hint="default"/>
                    </w:rPr>
                  </w:pPr>
                  <w:r>
                    <w:t>废机油</w:t>
                  </w:r>
                </w:p>
              </w:tc>
              <w:tc>
                <w:tcPr>
                  <w:tcW w:w="661" w:type="pct"/>
                  <w:vAlign w:val="center"/>
                </w:tcPr>
                <w:p w14:paraId="15A29A15">
                  <w:pPr>
                    <w:pStyle w:val="47"/>
                    <w:rPr>
                      <w:rFonts w:hint="default"/>
                    </w:rPr>
                  </w:pPr>
                  <w:r>
                    <w:t>矿物油类</w:t>
                  </w:r>
                </w:p>
              </w:tc>
              <w:tc>
                <w:tcPr>
                  <w:tcW w:w="661" w:type="pct"/>
                  <w:vAlign w:val="center"/>
                </w:tcPr>
                <w:p w14:paraId="265CAA44">
                  <w:pPr>
                    <w:pStyle w:val="47"/>
                    <w:rPr>
                      <w:rFonts w:hint="default"/>
                    </w:rPr>
                  </w:pPr>
                  <w:r>
                    <w:t>泄露、火灾</w:t>
                  </w:r>
                </w:p>
              </w:tc>
              <w:tc>
                <w:tcPr>
                  <w:tcW w:w="1419" w:type="pct"/>
                  <w:vAlign w:val="center"/>
                </w:tcPr>
                <w:p w14:paraId="242DB64F">
                  <w:pPr>
                    <w:pStyle w:val="47"/>
                    <w:rPr>
                      <w:rFonts w:hint="default"/>
                    </w:rPr>
                  </w:pPr>
                  <w:r>
                    <w:t>土壤、大气、地下水</w:t>
                  </w:r>
                </w:p>
              </w:tc>
              <w:tc>
                <w:tcPr>
                  <w:tcW w:w="838" w:type="pct"/>
                  <w:vAlign w:val="center"/>
                </w:tcPr>
                <w:p w14:paraId="1746C046">
                  <w:pPr>
                    <w:pStyle w:val="47"/>
                    <w:rPr>
                      <w:rFonts w:hint="default"/>
                    </w:rPr>
                  </w:pPr>
                  <w:r>
                    <w:t>周边居民区</w:t>
                  </w:r>
                </w:p>
              </w:tc>
            </w:tr>
            <w:tr w14:paraId="7A528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702" w:type="pct"/>
                  <w:vMerge w:val="continue"/>
                  <w:vAlign w:val="center"/>
                </w:tcPr>
                <w:p w14:paraId="55937AF8">
                  <w:pPr>
                    <w:pStyle w:val="47"/>
                    <w:rPr>
                      <w:rFonts w:hint="default"/>
                    </w:rPr>
                  </w:pPr>
                </w:p>
              </w:tc>
              <w:tc>
                <w:tcPr>
                  <w:tcW w:w="716" w:type="pct"/>
                  <w:vAlign w:val="center"/>
                </w:tcPr>
                <w:p w14:paraId="2F9CAA58">
                  <w:pPr>
                    <w:pStyle w:val="51"/>
                    <w:spacing w:before="33" w:after="33"/>
                  </w:pPr>
                  <w:r>
                    <w:t>废活性炭</w:t>
                  </w:r>
                  <w:r>
                    <w:rPr>
                      <w:rFonts w:hint="eastAsia"/>
                    </w:rPr>
                    <w:t>包装桶</w:t>
                  </w:r>
                </w:p>
              </w:tc>
              <w:tc>
                <w:tcPr>
                  <w:tcW w:w="661" w:type="pct"/>
                  <w:vAlign w:val="center"/>
                </w:tcPr>
                <w:p w14:paraId="494AB40E">
                  <w:pPr>
                    <w:pStyle w:val="51"/>
                    <w:spacing w:before="33" w:after="33"/>
                  </w:pPr>
                  <w:r>
                    <w:t>吸附有机废物</w:t>
                  </w:r>
                </w:p>
              </w:tc>
              <w:tc>
                <w:tcPr>
                  <w:tcW w:w="661" w:type="pct"/>
                  <w:vAlign w:val="center"/>
                </w:tcPr>
                <w:p w14:paraId="01DFB768">
                  <w:pPr>
                    <w:pStyle w:val="51"/>
                    <w:spacing w:before="33" w:after="33"/>
                  </w:pPr>
                  <w:r>
                    <w:t>火灾</w:t>
                  </w:r>
                </w:p>
              </w:tc>
              <w:tc>
                <w:tcPr>
                  <w:tcW w:w="1419" w:type="pct"/>
                  <w:vAlign w:val="center"/>
                </w:tcPr>
                <w:p w14:paraId="3111A2C1">
                  <w:pPr>
                    <w:pStyle w:val="51"/>
                    <w:spacing w:before="33" w:after="33"/>
                  </w:pPr>
                  <w:r>
                    <w:rPr>
                      <w:rFonts w:hint="eastAsia"/>
                    </w:rPr>
                    <w:t>土壤、大气、地下水</w:t>
                  </w:r>
                </w:p>
              </w:tc>
              <w:tc>
                <w:tcPr>
                  <w:tcW w:w="838" w:type="pct"/>
                  <w:vAlign w:val="center"/>
                </w:tcPr>
                <w:p w14:paraId="7153804F">
                  <w:pPr>
                    <w:pStyle w:val="47"/>
                    <w:rPr>
                      <w:rFonts w:hint="default"/>
                    </w:rPr>
                  </w:pPr>
                  <w:r>
                    <w:t>周边居民区</w:t>
                  </w:r>
                </w:p>
              </w:tc>
            </w:tr>
          </w:tbl>
          <w:p w14:paraId="3522D4BE">
            <w:pPr>
              <w:pStyle w:val="5"/>
              <w:spacing w:before="0" w:after="0" w:line="360" w:lineRule="auto"/>
              <w:ind w:firstLine="482"/>
              <w:jc w:val="both"/>
              <w:rPr>
                <w:snapToGrid w:val="0"/>
                <w:sz w:val="24"/>
                <w:szCs w:val="24"/>
              </w:rPr>
            </w:pPr>
            <w:r>
              <w:rPr>
                <w:rFonts w:hint="eastAsia"/>
                <w:snapToGrid w:val="0"/>
                <w:sz w:val="24"/>
                <w:szCs w:val="24"/>
              </w:rPr>
              <w:t>3、风险防范措施</w:t>
            </w:r>
          </w:p>
          <w:p w14:paraId="2D7CBC33">
            <w:pPr>
              <w:ind w:firstLine="480"/>
              <w:jc w:val="both"/>
              <w:rPr>
                <w:kern w:val="0"/>
              </w:rPr>
            </w:pPr>
            <w:r>
              <w:rPr>
                <w:rFonts w:hint="eastAsia"/>
                <w:kern w:val="0"/>
              </w:rPr>
              <w:t>对本项目可能发生的环境风险事故，提出以下风险防范措施：</w:t>
            </w:r>
          </w:p>
          <w:p w14:paraId="2F652A7C">
            <w:pPr>
              <w:tabs>
                <w:tab w:val="left" w:pos="2295"/>
              </w:tabs>
              <w:ind w:firstLine="482"/>
              <w:jc w:val="both"/>
              <w:rPr>
                <w:b/>
                <w:bCs/>
              </w:rPr>
            </w:pPr>
            <w:r>
              <w:rPr>
                <w:rFonts w:hint="eastAsia"/>
                <w:b/>
                <w:bCs/>
              </w:rPr>
              <w:t>（1）生产区风险防范措施</w:t>
            </w:r>
          </w:p>
          <w:p w14:paraId="30D89477">
            <w:pPr>
              <w:ind w:firstLine="480"/>
              <w:jc w:val="both"/>
            </w:pPr>
            <w:r>
              <w:rPr>
                <w:rFonts w:hint="eastAsia"/>
              </w:rPr>
              <w:t>①厂区总图布置及建筑安全防护应根据《建筑防火设计规范》（</w:t>
            </w:r>
            <w:r>
              <w:t>GB50016-2014</w:t>
            </w:r>
            <w:r>
              <w:rPr>
                <w:rFonts w:hint="eastAsia"/>
              </w:rPr>
              <w:t>）有关要求，在建筑设计布置方面均设置足够的安全防护距离和建筑防火间距，并在厂内设置应急急救设施、应急消防及疏散通道等。</w:t>
            </w:r>
          </w:p>
          <w:p w14:paraId="26393CA0">
            <w:pPr>
              <w:ind w:firstLine="480"/>
              <w:jc w:val="both"/>
            </w:pPr>
            <w:r>
              <w:rPr>
                <w:rFonts w:hint="eastAsia"/>
              </w:rPr>
              <w:t>②加强管理，防止因管理不善而导致生产区火灾。每天对设备，特别是电器设备进行检查，防止因为设备故障而引起火灾；对员工进行上岗培训，使其了解生产作业中应该注意的具体事项。</w:t>
            </w:r>
          </w:p>
          <w:p w14:paraId="0A2CDD5F">
            <w:pPr>
              <w:ind w:firstLine="480"/>
              <w:jc w:val="both"/>
            </w:pPr>
            <w:r>
              <w:rPr>
                <w:rFonts w:hint="eastAsia"/>
              </w:rPr>
              <w:t>③在生产过程中可能发生易燃易爆事故的环节注意监控，设置一定的消防设备，并做定期检查、维护，以保障在万一事故发生时能及时处理与补救，并在处理过程中能够控制事故的影响及扩大，同时又要便于事故后恢复生产。</w:t>
            </w:r>
          </w:p>
          <w:p w14:paraId="546AA45D">
            <w:pPr>
              <w:tabs>
                <w:tab w:val="left" w:pos="2295"/>
              </w:tabs>
              <w:ind w:firstLine="482"/>
              <w:jc w:val="both"/>
              <w:rPr>
                <w:b/>
                <w:bCs/>
                <w:snapToGrid w:val="0"/>
                <w:kern w:val="0"/>
              </w:rPr>
            </w:pPr>
            <w:r>
              <w:rPr>
                <w:rFonts w:hint="eastAsia"/>
                <w:b/>
                <w:bCs/>
                <w:snapToGrid w:val="0"/>
                <w:kern w:val="0"/>
              </w:rPr>
              <w:t>（2）贮存区风险防范措施</w:t>
            </w:r>
          </w:p>
          <w:p w14:paraId="2734AFE2">
            <w:pPr>
              <w:ind w:firstLine="480"/>
              <w:jc w:val="both"/>
            </w:pPr>
            <w:r>
              <w:rPr>
                <w:rFonts w:hint="eastAsia"/>
              </w:rPr>
              <w:t>本次评价针对贮存区（危废暂存间）环境风险提出以下措施：</w:t>
            </w:r>
          </w:p>
          <w:p w14:paraId="6174E4A3">
            <w:pPr>
              <w:ind w:firstLine="480"/>
              <w:jc w:val="both"/>
            </w:pPr>
            <w:r>
              <w:rPr>
                <w:rFonts w:hint="eastAsia"/>
              </w:rPr>
              <w:t>①</w:t>
            </w:r>
            <w:r>
              <w:rPr>
                <w:rFonts w:hint="eastAsia"/>
                <w:lang w:val="en-US" w:eastAsia="zh-CN"/>
              </w:rPr>
              <w:t>对新建</w:t>
            </w:r>
            <w:r>
              <w:rPr>
                <w:rFonts w:hint="eastAsia" w:ascii="Times New Roman" w:hAnsi="Times New Roman" w:eastAsia="宋体" w:cs="Times New Roman"/>
                <w:lang w:val="en-US" w:eastAsia="zh-CN"/>
              </w:rPr>
              <w:t>危废暂存库</w:t>
            </w:r>
            <w:r>
              <w:rPr>
                <w:rFonts w:hint="eastAsia" w:ascii="Times New Roman" w:hAnsi="Times New Roman" w:eastAsia="宋体" w:cs="Times New Roman"/>
              </w:rPr>
              <w:t>进行重点防</w:t>
            </w:r>
            <w:r>
              <w:rPr>
                <w:rFonts w:hint="default" w:ascii="Times New Roman" w:hAnsi="Times New Roman" w:eastAsia="宋体" w:cs="Times New Roman"/>
              </w:rPr>
              <w:t>渗，防渗层为2mm</w:t>
            </w:r>
            <w:r>
              <w:rPr>
                <w:rFonts w:hint="eastAsia" w:ascii="Times New Roman" w:hAnsi="Times New Roman" w:eastAsia="宋体" w:cs="Times New Roman"/>
              </w:rPr>
              <w:t>厚的环氧树脂防水涂料，其渗透系数</w:t>
            </w:r>
            <w:r>
              <w:rPr>
                <w:rFonts w:hint="eastAsia" w:ascii="Times New Roman" w:hAnsi="Times New Roman" w:eastAsia="宋体" w:cs="Times New Roman"/>
                <w:lang w:val="en-GB"/>
              </w:rPr>
              <w:t>≤10</w:t>
            </w:r>
            <w:r>
              <w:rPr>
                <w:rFonts w:hint="eastAsia" w:ascii="Times New Roman" w:hAnsi="Times New Roman" w:eastAsia="宋体" w:cs="Times New Roman"/>
                <w:vertAlign w:val="superscript"/>
                <w:lang w:val="en-GB"/>
              </w:rPr>
              <w:t>-10</w:t>
            </w:r>
            <w:r>
              <w:rPr>
                <w:rFonts w:hint="eastAsia" w:ascii="Times New Roman" w:hAnsi="Times New Roman" w:eastAsia="宋体" w:cs="Times New Roman"/>
                <w:lang w:val="en-GB"/>
              </w:rPr>
              <w:t>cm/s</w:t>
            </w:r>
            <w:r>
              <w:rPr>
                <w:rFonts w:hint="eastAsia" w:ascii="Times New Roman" w:hAnsi="Times New Roman" w:eastAsia="宋体" w:cs="Times New Roman"/>
                <w:lang w:val="en-GB" w:eastAsia="zh-CN"/>
              </w:rPr>
              <w:t>，</w:t>
            </w:r>
            <w:r>
              <w:rPr>
                <w:rFonts w:hint="eastAsia"/>
              </w:rPr>
              <w:t>以达到防静电、防尘、防腐、防渗作用，周围设置环形消防通道及消防栓、灭火器等应急器材。</w:t>
            </w:r>
          </w:p>
          <w:p w14:paraId="73BA955A">
            <w:pPr>
              <w:ind w:firstLine="480"/>
              <w:jc w:val="both"/>
            </w:pPr>
            <w:r>
              <w:rPr>
                <w:rFonts w:hint="eastAsia"/>
              </w:rPr>
              <w:t>②必须有泄漏液体收集装置，应设计堵截泄漏的裙脚，地面与裙脚所围建的容积不低于堵截最大容器的最大储量或总储存量的</w:t>
            </w:r>
            <w:r>
              <w:t>1/5</w:t>
            </w:r>
            <w:r>
              <w:rPr>
                <w:rFonts w:hint="eastAsia"/>
              </w:rPr>
              <w:t>；地面与裙脚要用坚固、防渗的材料建造，建筑材料必须与危险废物相容。</w:t>
            </w:r>
          </w:p>
          <w:p w14:paraId="4DFB6238">
            <w:pPr>
              <w:ind w:firstLine="480"/>
              <w:jc w:val="both"/>
            </w:pPr>
            <w:r>
              <w:rPr>
                <w:rFonts w:hint="eastAsia"/>
              </w:rPr>
              <w:t>③定期对所贮存的危险废物包装容器及贮存设施进行检查，发现破损应及时采取措施清理更换。</w:t>
            </w:r>
          </w:p>
          <w:p w14:paraId="06886D18">
            <w:pPr>
              <w:ind w:firstLine="480"/>
              <w:jc w:val="both"/>
            </w:pPr>
            <w:r>
              <w:rPr>
                <w:rFonts w:hint="eastAsia"/>
              </w:rPr>
              <w:t>④危险废物分类贮存在符合标准的容器内。</w:t>
            </w:r>
          </w:p>
          <w:p w14:paraId="31D92FED">
            <w:pPr>
              <w:ind w:firstLine="480"/>
              <w:jc w:val="both"/>
            </w:pPr>
            <w:r>
              <w:rPr>
                <w:rFonts w:hint="eastAsia"/>
              </w:rPr>
              <w:t>⑤危险废物必须交由有资质的单位进行安全处置，并签订危废处置协议。</w:t>
            </w:r>
          </w:p>
          <w:p w14:paraId="524CC467">
            <w:pPr>
              <w:ind w:firstLine="480"/>
              <w:jc w:val="both"/>
              <w:rPr>
                <w:rFonts w:hint="eastAsia"/>
              </w:rPr>
            </w:pPr>
            <w:r>
              <w:rPr>
                <w:rFonts w:hint="eastAsia"/>
              </w:rPr>
              <w:t>⑥设置台账，如实记录危险废物的名称、来源、数量、出入库时间、交接人等信息，定期汇总保存。</w:t>
            </w:r>
          </w:p>
          <w:p w14:paraId="24910285">
            <w:pPr>
              <w:bidi w:val="0"/>
              <w:jc w:val="both"/>
              <w:rPr>
                <w:b/>
                <w:bCs/>
              </w:rPr>
            </w:pPr>
            <w:r>
              <w:rPr>
                <w:rFonts w:hint="eastAsia"/>
                <w:b/>
                <w:bCs/>
                <w:lang w:val="en-US" w:eastAsia="zh-CN"/>
              </w:rPr>
              <w:t>（3）</w:t>
            </w:r>
            <w:r>
              <w:rPr>
                <w:b/>
                <w:bCs/>
              </w:rPr>
              <w:t>消防及火灾报警系统</w:t>
            </w:r>
          </w:p>
          <w:p w14:paraId="4B8DB0FE">
            <w:pPr>
              <w:bidi w:val="0"/>
              <w:jc w:val="both"/>
              <w:rPr>
                <w:rFonts w:hint="default"/>
              </w:rPr>
            </w:pPr>
            <w:r>
              <w:rPr>
                <w:rFonts w:hint="eastAsia"/>
                <w:lang w:eastAsia="zh-CN"/>
              </w:rPr>
              <w:t>本项目使用的</w:t>
            </w:r>
            <w:r>
              <w:rPr>
                <w:rFonts w:hint="eastAsia"/>
                <w:lang w:val="en-US" w:eastAsia="zh-CN"/>
              </w:rPr>
              <w:t>原辅材料及产品属于易燃物品</w:t>
            </w:r>
            <w:r>
              <w:rPr>
                <w:rFonts w:hint="default"/>
              </w:rPr>
              <w:t>，</w:t>
            </w:r>
            <w:r>
              <w:t>在</w:t>
            </w:r>
            <w:r>
              <w:rPr>
                <w:rFonts w:hint="eastAsia"/>
                <w:lang w:eastAsia="zh-CN"/>
              </w:rPr>
              <w:t>运输</w:t>
            </w:r>
            <w:r>
              <w:t>、</w:t>
            </w:r>
            <w:r>
              <w:rPr>
                <w:rFonts w:hint="eastAsia"/>
                <w:lang w:val="en-US" w:eastAsia="zh-CN"/>
              </w:rPr>
              <w:t>生产、</w:t>
            </w:r>
            <w:r>
              <w:t>储存过程中操作不当</w:t>
            </w:r>
            <w:r>
              <w:rPr>
                <w:rFonts w:hint="eastAsia"/>
                <w:lang w:eastAsia="zh-CN"/>
              </w:rPr>
              <w:t>可能</w:t>
            </w:r>
            <w:r>
              <w:t>会导致火灾发生。一旦发生火灾</w:t>
            </w:r>
            <w:r>
              <w:rPr>
                <w:rFonts w:hint="default"/>
              </w:rPr>
              <w:t>，</w:t>
            </w:r>
            <w:r>
              <w:t>将放出大量的辐射热，危及火灾周围人员的生命及毗邻建筑物和设备的安全</w:t>
            </w:r>
            <w:r>
              <w:rPr>
                <w:rFonts w:hint="eastAsia"/>
                <w:lang w:eastAsia="zh-CN"/>
              </w:rPr>
              <w:t>，</w:t>
            </w:r>
            <w:r>
              <w:rPr>
                <w:rFonts w:hint="default"/>
              </w:rPr>
              <w:t>要减少事故发生的概率，最主要的手段是从管理入手，制定应急预案，加强风险防范措施。</w:t>
            </w:r>
          </w:p>
          <w:p w14:paraId="706A9648">
            <w:pPr>
              <w:bidi w:val="0"/>
              <w:jc w:val="both"/>
            </w:pPr>
            <w:r>
              <w:t>①根据火灾危险性等级和防火、防爆要求，建筑物的防火等级均应采用国家现行规范要求设计，满足建筑防火要求。凡禁火区均设置明显标志牌。安全出口及安全疏散距离应符合《建筑设计防火规范》（GB50016-2006）的要求。</w:t>
            </w:r>
          </w:p>
          <w:p w14:paraId="7C1281CB">
            <w:pPr>
              <w:bidi w:val="0"/>
              <w:jc w:val="both"/>
              <w:rPr>
                <w:rFonts w:hint="default"/>
                <w:lang w:val="en-US" w:eastAsia="zh-CN"/>
              </w:rPr>
            </w:pPr>
            <w:r>
              <w:rPr>
                <w:rFonts w:hint="eastAsia"/>
                <w:lang w:val="en-US" w:eastAsia="zh-CN"/>
              </w:rPr>
              <w:t>②</w:t>
            </w:r>
            <w:r>
              <w:rPr>
                <w:rFonts w:hint="default"/>
              </w:rPr>
              <w:t>各类设备和管道从设计、安装，制造严格按照安全规定要求进行，车间加强通风。所有设施必须由当地有关质检部门进行验收并通过后方能投入使用。</w:t>
            </w:r>
          </w:p>
          <w:p w14:paraId="03700D07">
            <w:pPr>
              <w:numPr>
                <w:ilvl w:val="0"/>
                <w:numId w:val="0"/>
              </w:numPr>
              <w:bidi w:val="0"/>
              <w:ind w:leftChars="200"/>
              <w:jc w:val="both"/>
              <w:rPr>
                <w:rFonts w:hint="eastAsia"/>
                <w:b/>
                <w:bCs/>
                <w:color w:val="auto"/>
                <w:lang w:val="en-US" w:eastAsia="zh-CN"/>
              </w:rPr>
            </w:pPr>
            <w:r>
              <w:rPr>
                <w:rFonts w:hint="eastAsia"/>
                <w:b/>
                <w:bCs/>
                <w:color w:val="auto"/>
                <w:lang w:val="en-US" w:eastAsia="zh-CN"/>
              </w:rPr>
              <w:t>（4）事故池</w:t>
            </w:r>
          </w:p>
          <w:p w14:paraId="72238DC5">
            <w:pPr>
              <w:bidi w:val="0"/>
              <w:jc w:val="both"/>
              <w:rPr>
                <w:rFonts w:hint="default"/>
                <w:b/>
                <w:bCs/>
                <w:color w:val="auto"/>
                <w:lang w:val="en-US" w:eastAsia="zh-CN"/>
              </w:rPr>
            </w:pPr>
            <w:r>
              <w:rPr>
                <w:rFonts w:hint="eastAsia"/>
                <w:b/>
                <w:bCs/>
                <w:color w:val="auto"/>
                <w:lang w:val="en-US" w:eastAsia="zh-CN"/>
              </w:rPr>
              <w:t>1）事故池容积核算</w:t>
            </w:r>
          </w:p>
          <w:p w14:paraId="4460DAFB">
            <w:pPr>
              <w:bidi w:val="0"/>
              <w:jc w:val="both"/>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color w:val="auto"/>
                <w:kern w:val="0"/>
                <w:sz w:val="24"/>
                <w:szCs w:val="24"/>
                <w:lang w:val="en-US" w:eastAsia="zh-CN" w:bidi="ar"/>
              </w:rPr>
              <w:t>事故水池主要收集</w:t>
            </w:r>
            <w:r>
              <w:rPr>
                <w:rFonts w:hint="eastAsia" w:ascii="Times New Roman" w:hAnsi="Times New Roman" w:eastAsia="宋体" w:cs="Times New Roman"/>
                <w:color w:val="auto"/>
                <w:kern w:val="0"/>
                <w:sz w:val="24"/>
                <w:szCs w:val="24"/>
                <w:lang w:val="en-US" w:eastAsia="zh-CN" w:bidi="ar"/>
              </w:rPr>
              <w:t>由原</w:t>
            </w:r>
            <w:r>
              <w:rPr>
                <w:rFonts w:hint="eastAsia" w:ascii="Times New Roman" w:hAnsi="Times New Roman" w:eastAsia="宋体" w:cs="Times New Roman"/>
                <w:b w:val="0"/>
                <w:bCs w:val="0"/>
                <w:color w:val="auto"/>
                <w:lang w:val="en-US" w:eastAsia="zh-CN"/>
              </w:rPr>
              <w:t>辅材料及产品燃烧引发火灾产生的</w:t>
            </w:r>
            <w:r>
              <w:rPr>
                <w:rFonts w:hint="default" w:ascii="Times New Roman" w:hAnsi="Times New Roman" w:eastAsia="宋体" w:cs="Times New Roman"/>
                <w:b w:val="0"/>
                <w:bCs w:val="0"/>
                <w:color w:val="auto"/>
                <w:lang w:val="en-US" w:eastAsia="zh-CN"/>
              </w:rPr>
              <w:t>消防废水</w:t>
            </w:r>
            <w:r>
              <w:rPr>
                <w:rFonts w:hint="eastAsia" w:ascii="Times New Roman" w:hAnsi="Times New Roman" w:eastAsia="宋体" w:cs="Times New Roman"/>
                <w:b w:val="0"/>
                <w:bCs w:val="0"/>
                <w:color w:val="auto"/>
                <w:lang w:val="en-US" w:eastAsia="zh-CN"/>
              </w:rPr>
              <w:t>。</w:t>
            </w:r>
          </w:p>
          <w:p w14:paraId="32BBB99B">
            <w:pPr>
              <w:bidi w:val="0"/>
              <w:jc w:val="both"/>
              <w:rPr>
                <w:color w:val="auto"/>
              </w:rPr>
            </w:pPr>
            <w:r>
              <w:rPr>
                <w:rFonts w:ascii="Times New Roman" w:hAnsi="Times New Roman" w:eastAsia="宋体" w:cs="Times New Roman"/>
                <w:b w:val="0"/>
                <w:bCs w:val="0"/>
                <w:color w:val="auto"/>
              </w:rPr>
              <w:t>参考中国石油天然气集团公司企业</w:t>
            </w:r>
            <w:r>
              <w:rPr>
                <w:color w:val="auto"/>
              </w:rPr>
              <w:t>标准《事故状态下水体污染的预防与控制技术要求》(Q/SY1190-2013)，事故储存设施总有效容积计算依据：</w:t>
            </w:r>
          </w:p>
          <w:p w14:paraId="4234DEAD">
            <w:pPr>
              <w:ind w:firstLine="480"/>
              <w:jc w:val="center"/>
              <w:rPr>
                <w:color w:val="auto"/>
              </w:rPr>
            </w:pPr>
            <w:r>
              <w:rPr>
                <w:color w:val="auto"/>
              </w:rPr>
              <w:t>V</w:t>
            </w:r>
            <w:r>
              <w:rPr>
                <w:color w:val="auto"/>
                <w:vertAlign w:val="subscript"/>
              </w:rPr>
              <w:t>总</w:t>
            </w:r>
            <w:r>
              <w:rPr>
                <w:color w:val="auto"/>
              </w:rPr>
              <w:t>=（V</w:t>
            </w:r>
            <w:r>
              <w:rPr>
                <w:color w:val="auto"/>
                <w:vertAlign w:val="subscript"/>
              </w:rPr>
              <w:t>1</w:t>
            </w:r>
            <w:r>
              <w:rPr>
                <w:rFonts w:hint="eastAsia"/>
                <w:color w:val="auto"/>
              </w:rPr>
              <w:t>+</w:t>
            </w:r>
            <w:r>
              <w:rPr>
                <w:color w:val="auto"/>
              </w:rPr>
              <w:t>V</w:t>
            </w:r>
            <w:r>
              <w:rPr>
                <w:color w:val="auto"/>
                <w:vertAlign w:val="subscript"/>
              </w:rPr>
              <w:t>2</w:t>
            </w:r>
            <w:r>
              <w:rPr>
                <w:color w:val="auto"/>
              </w:rPr>
              <w:drawing>
                <wp:inline distT="0" distB="0" distL="0" distR="0">
                  <wp:extent cx="101600" cy="55880"/>
                  <wp:effectExtent l="0" t="0" r="0" b="0"/>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34"/>
                          <a:stretch>
                            <a:fillRect/>
                          </a:stretch>
                        </pic:blipFill>
                        <pic:spPr>
                          <a:xfrm>
                            <a:off x="0" y="0"/>
                            <a:ext cx="101799" cy="55880"/>
                          </a:xfrm>
                          <a:prstGeom prst="rect">
                            <a:avLst/>
                          </a:prstGeom>
                        </pic:spPr>
                      </pic:pic>
                    </a:graphicData>
                  </a:graphic>
                </wp:inline>
              </w:drawing>
            </w:r>
            <w:r>
              <w:rPr>
                <w:color w:val="auto"/>
              </w:rPr>
              <w:t>V</w:t>
            </w:r>
            <w:r>
              <w:rPr>
                <w:color w:val="auto"/>
                <w:vertAlign w:val="subscript"/>
              </w:rPr>
              <w:t>3</w:t>
            </w:r>
            <w:r>
              <w:rPr>
                <w:color w:val="auto"/>
              </w:rPr>
              <w:t>)ma</w:t>
            </w:r>
            <w:r>
              <w:rPr>
                <w:rFonts w:hint="eastAsia"/>
                <w:color w:val="auto"/>
              </w:rPr>
              <w:t>×+</w:t>
            </w:r>
            <w:r>
              <w:rPr>
                <w:color w:val="auto"/>
              </w:rPr>
              <w:t>V</w:t>
            </w:r>
            <w:r>
              <w:rPr>
                <w:color w:val="auto"/>
                <w:vertAlign w:val="subscript"/>
              </w:rPr>
              <w:t>4</w:t>
            </w:r>
            <w:r>
              <w:rPr>
                <w:rFonts w:hint="eastAsia"/>
                <w:color w:val="auto"/>
              </w:rPr>
              <w:t>+</w:t>
            </w:r>
            <w:r>
              <w:rPr>
                <w:color w:val="auto"/>
              </w:rPr>
              <w:t>V</w:t>
            </w:r>
            <w:r>
              <w:rPr>
                <w:color w:val="auto"/>
                <w:vertAlign w:val="subscript"/>
              </w:rPr>
              <w:t>5</w:t>
            </w:r>
          </w:p>
          <w:p w14:paraId="282DFF01">
            <w:pPr>
              <w:ind w:firstLine="480"/>
              <w:jc w:val="center"/>
              <w:rPr>
                <w:color w:val="auto"/>
              </w:rPr>
            </w:pPr>
            <w:r>
              <w:rPr>
                <w:color w:val="auto"/>
              </w:rPr>
              <w:t>V</w:t>
            </w:r>
            <w:r>
              <w:rPr>
                <w:color w:val="auto"/>
                <w:vertAlign w:val="subscript"/>
              </w:rPr>
              <w:t>5</w:t>
            </w:r>
            <w:r>
              <w:rPr>
                <w:color w:val="auto"/>
              </w:rPr>
              <w:t>=10</w:t>
            </w:r>
            <w:r>
              <w:rPr>
                <w:rFonts w:hint="eastAsia"/>
                <w:color w:val="auto"/>
              </w:rPr>
              <w:t>×</w:t>
            </w:r>
            <w:r>
              <w:rPr>
                <w:color w:val="auto"/>
              </w:rPr>
              <w:t>q</w:t>
            </w:r>
            <w:r>
              <w:rPr>
                <w:rFonts w:hint="eastAsia"/>
                <w:color w:val="auto"/>
              </w:rPr>
              <w:t>×</w:t>
            </w:r>
            <w:r>
              <w:rPr>
                <w:color w:val="auto"/>
              </w:rPr>
              <w:t>f</w:t>
            </w:r>
          </w:p>
          <w:p w14:paraId="2FF79F31">
            <w:pPr>
              <w:ind w:firstLine="480"/>
              <w:jc w:val="center"/>
              <w:rPr>
                <w:color w:val="auto"/>
              </w:rPr>
            </w:pPr>
            <w:r>
              <w:rPr>
                <w:color w:val="auto"/>
              </w:rPr>
              <w:t>q=qa/n</w:t>
            </w:r>
          </w:p>
          <w:p w14:paraId="219ABC2A">
            <w:pPr>
              <w:ind w:firstLine="480"/>
              <w:jc w:val="both"/>
              <w:rPr>
                <w:color w:val="auto"/>
              </w:rPr>
            </w:pPr>
            <w:r>
              <w:rPr>
                <w:color w:val="auto"/>
              </w:rPr>
              <w:t>式中：</w:t>
            </w:r>
          </w:p>
          <w:p w14:paraId="6C041F89">
            <w:pPr>
              <w:ind w:firstLine="480"/>
              <w:jc w:val="both"/>
              <w:rPr>
                <w:rFonts w:hint="eastAsia" w:eastAsia="宋体" w:cs="Times New Roman"/>
                <w:color w:val="auto"/>
                <w:spacing w:val="-6"/>
                <w:lang w:val="en-US" w:eastAsia="zh-CN"/>
              </w:rPr>
            </w:pPr>
            <w:r>
              <w:rPr>
                <w:rFonts w:hint="eastAsia"/>
                <w:color w:val="auto"/>
                <w:lang w:val="en-US" w:eastAsia="zh-CN"/>
              </w:rPr>
              <w:t>V</w:t>
            </w:r>
            <w:r>
              <w:rPr>
                <w:rFonts w:hint="eastAsia"/>
                <w:color w:val="auto"/>
                <w:vertAlign w:val="subscript"/>
                <w:lang w:val="en-US" w:eastAsia="zh-CN"/>
              </w:rPr>
              <w:t>1</w:t>
            </w:r>
            <w:r>
              <w:rPr>
                <w:rFonts w:eastAsia="Times New Roman" w:cs="Times New Roman"/>
                <w:color w:val="auto"/>
                <w:spacing w:val="-6"/>
              </w:rPr>
              <w:t>—</w:t>
            </w:r>
            <w:r>
              <w:rPr>
                <w:color w:val="auto"/>
              </w:rPr>
              <w:t>收集系统范围内发生事故的物料量</w:t>
            </w:r>
            <w:r>
              <w:rPr>
                <w:rFonts w:hint="eastAsia"/>
                <w:color w:val="auto"/>
                <w:lang w:eastAsia="zh-CN"/>
              </w:rPr>
              <w:t>，</w:t>
            </w:r>
            <w:r>
              <w:rPr>
                <w:rFonts w:hint="eastAsia" w:eastAsia="宋体" w:cs="Times New Roman"/>
                <w:color w:val="auto"/>
                <w:spacing w:val="-6"/>
                <w:lang w:val="en-US" w:eastAsia="zh-CN"/>
              </w:rPr>
              <w:t>本项目取0；</w:t>
            </w:r>
          </w:p>
          <w:p w14:paraId="61967342">
            <w:pPr>
              <w:ind w:firstLine="480"/>
              <w:jc w:val="both"/>
              <w:rPr>
                <w:color w:val="auto"/>
              </w:rPr>
            </w:pPr>
            <w:r>
              <w:rPr>
                <w:color w:val="auto"/>
              </w:rPr>
              <w:t>V</w:t>
            </w:r>
            <w:r>
              <w:rPr>
                <w:color w:val="auto"/>
                <w:vertAlign w:val="subscript"/>
              </w:rPr>
              <w:t>2</w:t>
            </w:r>
            <w:r>
              <w:rPr>
                <w:color w:val="auto"/>
              </w:rPr>
              <w:t>—发生事故的消防水量，</w:t>
            </w:r>
            <w:r>
              <w:rPr>
                <w:rFonts w:hint="eastAsia"/>
                <w:color w:val="auto"/>
              </w:rPr>
              <w:t>m³</w:t>
            </w:r>
            <w:r>
              <w:rPr>
                <w:color w:val="auto"/>
              </w:rPr>
              <w:t>；</w:t>
            </w:r>
          </w:p>
          <w:p w14:paraId="49144D26">
            <w:pPr>
              <w:ind w:firstLine="480"/>
              <w:jc w:val="both"/>
              <w:rPr>
                <w:color w:val="auto"/>
              </w:rPr>
            </w:pPr>
            <w:r>
              <w:rPr>
                <w:color w:val="auto"/>
              </w:rPr>
              <w:t>根据《建筑设计防火规范》(GB50016-2014)和《消防给水及消火栓系统技术规范》(GB50974-2014)，消防水量为q=</w:t>
            </w:r>
            <w:r>
              <w:rPr>
                <w:rFonts w:hint="eastAsia"/>
                <w:color w:val="auto"/>
              </w:rPr>
              <w:t>1</w:t>
            </w:r>
            <w:r>
              <w:rPr>
                <w:color w:val="auto"/>
              </w:rPr>
              <w:t>5L/s，</w:t>
            </w:r>
            <w:r>
              <w:rPr>
                <w:rFonts w:hint="eastAsia"/>
                <w:color w:val="auto"/>
              </w:rPr>
              <w:t>消防时间</w:t>
            </w:r>
            <w:r>
              <w:rPr>
                <w:rFonts w:hint="eastAsia"/>
                <w:color w:val="auto"/>
                <w:lang w:val="en-US" w:eastAsia="zh-CN"/>
              </w:rPr>
              <w:t>2</w:t>
            </w:r>
            <w:r>
              <w:rPr>
                <w:rFonts w:hint="eastAsia"/>
                <w:color w:val="auto"/>
              </w:rPr>
              <w:t>h</w:t>
            </w:r>
            <w:r>
              <w:rPr>
                <w:rFonts w:hint="eastAsia"/>
                <w:color w:val="auto"/>
                <w:lang w:eastAsia="zh-CN"/>
              </w:rPr>
              <w:t>，</w:t>
            </w:r>
            <w:r>
              <w:rPr>
                <w:rFonts w:hint="eastAsia"/>
                <w:color w:val="auto"/>
                <w:lang w:val="en-US" w:eastAsia="zh-CN"/>
              </w:rPr>
              <w:t>则</w:t>
            </w:r>
            <w:r>
              <w:rPr>
                <w:color w:val="auto"/>
              </w:rPr>
              <w:t>一次消防用水量V</w:t>
            </w:r>
            <w:r>
              <w:rPr>
                <w:rFonts w:hint="eastAsia"/>
                <w:color w:val="auto"/>
                <w:vertAlign w:val="subscript"/>
                <w:lang w:val="en-US" w:eastAsia="zh-CN"/>
              </w:rPr>
              <w:t>2</w:t>
            </w:r>
            <w:r>
              <w:rPr>
                <w:color w:val="auto"/>
              </w:rPr>
              <w:t>=</w:t>
            </w:r>
            <w:r>
              <w:rPr>
                <w:rFonts w:hint="eastAsia"/>
                <w:color w:val="auto"/>
                <w:lang w:val="en-US" w:eastAsia="zh-CN"/>
              </w:rPr>
              <w:t>108</w:t>
            </w:r>
            <w:r>
              <w:rPr>
                <w:rFonts w:hint="eastAsia"/>
                <w:color w:val="auto"/>
              </w:rPr>
              <w:t>m³</w:t>
            </w:r>
            <w:r>
              <w:rPr>
                <w:color w:val="auto"/>
              </w:rPr>
              <w:t>。</w:t>
            </w:r>
          </w:p>
          <w:p w14:paraId="4DD39945">
            <w:pPr>
              <w:ind w:firstLine="456"/>
              <w:jc w:val="both"/>
              <w:rPr>
                <w:rFonts w:ascii="宋体" w:hAnsi="宋体" w:cs="宋体"/>
                <w:color w:val="auto"/>
              </w:rPr>
            </w:pPr>
            <w:r>
              <w:rPr>
                <w:rFonts w:eastAsia="Times New Roman" w:cs="Times New Roman"/>
                <w:color w:val="auto"/>
                <w:spacing w:val="-6"/>
              </w:rPr>
              <w:t>V</w:t>
            </w:r>
            <w:r>
              <w:rPr>
                <w:rFonts w:eastAsia="Times New Roman" w:cs="Times New Roman"/>
                <w:color w:val="auto"/>
                <w:spacing w:val="-6"/>
                <w:position w:val="-3"/>
                <w:sz w:val="16"/>
                <w:szCs w:val="16"/>
              </w:rPr>
              <w:t>3</w:t>
            </w:r>
            <w:r>
              <w:rPr>
                <w:rFonts w:eastAsia="Times New Roman" w:cs="Times New Roman"/>
                <w:color w:val="auto"/>
                <w:spacing w:val="-6"/>
              </w:rPr>
              <w:t>—</w:t>
            </w:r>
            <w:r>
              <w:rPr>
                <w:rFonts w:ascii="宋体" w:hAnsi="宋体" w:cs="宋体"/>
                <w:color w:val="auto"/>
                <w:spacing w:val="-6"/>
              </w:rPr>
              <w:t>发生事故时可以转输到其他储存或处理设施的物料量，</w:t>
            </w:r>
            <w:r>
              <w:rPr>
                <w:rFonts w:hint="eastAsia" w:cs="Times New Roman"/>
                <w:color w:val="auto"/>
                <w:spacing w:val="-6"/>
              </w:rPr>
              <w:t>m³</w:t>
            </w:r>
            <w:r>
              <w:rPr>
                <w:rFonts w:ascii="宋体" w:hAnsi="宋体" w:cs="宋体"/>
                <w:color w:val="auto"/>
                <w:spacing w:val="-6"/>
              </w:rPr>
              <w:t>，</w:t>
            </w:r>
            <w:r>
              <w:rPr>
                <w:rFonts w:hint="eastAsia" w:ascii="宋体" w:hAnsi="宋体" w:cs="宋体"/>
                <w:color w:val="auto"/>
                <w:spacing w:val="-6"/>
                <w:lang w:val="en-US" w:eastAsia="zh-CN"/>
              </w:rPr>
              <w:t>项目取0m³</w:t>
            </w:r>
            <w:r>
              <w:rPr>
                <w:rFonts w:ascii="宋体" w:hAnsi="宋体" w:cs="宋体"/>
                <w:color w:val="auto"/>
                <w:spacing w:val="-6"/>
              </w:rPr>
              <w:t>；</w:t>
            </w:r>
          </w:p>
          <w:p w14:paraId="5674DCA2">
            <w:pPr>
              <w:ind w:firstLine="456"/>
              <w:jc w:val="both"/>
              <w:rPr>
                <w:color w:val="auto"/>
              </w:rPr>
            </w:pPr>
            <w:r>
              <w:rPr>
                <w:rFonts w:eastAsia="Times New Roman" w:cs="Times New Roman"/>
                <w:color w:val="auto"/>
                <w:spacing w:val="-6"/>
              </w:rPr>
              <w:t>V</w:t>
            </w:r>
            <w:r>
              <w:rPr>
                <w:rFonts w:eastAsia="Times New Roman" w:cs="Times New Roman"/>
                <w:color w:val="auto"/>
                <w:spacing w:val="-6"/>
                <w:position w:val="-3"/>
                <w:szCs w:val="16"/>
              </w:rPr>
              <w:t>4</w:t>
            </w:r>
            <w:r>
              <w:rPr>
                <w:rFonts w:eastAsia="Times New Roman" w:cs="Times New Roman"/>
                <w:color w:val="auto"/>
                <w:spacing w:val="-6"/>
              </w:rPr>
              <w:t>—</w:t>
            </w:r>
            <w:r>
              <w:rPr>
                <w:rFonts w:ascii="宋体" w:hAnsi="宋体" w:cs="宋体"/>
                <w:color w:val="auto"/>
                <w:spacing w:val="-6"/>
              </w:rPr>
              <w:t>发生事故时仍必须进入该收集系统的生产废水量</w:t>
            </w:r>
            <w:r>
              <w:rPr>
                <w:rFonts w:hint="eastAsia" w:cs="Times New Roman"/>
                <w:color w:val="auto"/>
                <w:spacing w:val="-6"/>
              </w:rPr>
              <w:t>m³</w:t>
            </w:r>
            <w:r>
              <w:rPr>
                <w:rFonts w:ascii="宋体" w:hAnsi="宋体" w:cs="宋体"/>
                <w:color w:val="auto"/>
                <w:spacing w:val="-6"/>
              </w:rPr>
              <w:t>，</w:t>
            </w:r>
            <w:r>
              <w:rPr>
                <w:color w:val="auto"/>
              </w:rPr>
              <w:t>本项目</w:t>
            </w:r>
            <w:r>
              <w:rPr>
                <w:rFonts w:hint="eastAsia"/>
                <w:color w:val="auto"/>
              </w:rPr>
              <w:t>排放废水主要为生活污水，生活污水为间断性排放，</w:t>
            </w:r>
            <w:r>
              <w:rPr>
                <w:color w:val="auto"/>
              </w:rPr>
              <w:t>事故后一般会立即停止生产，取0；</w:t>
            </w:r>
          </w:p>
          <w:p w14:paraId="22674945">
            <w:pPr>
              <w:ind w:firstLine="480"/>
              <w:jc w:val="both"/>
              <w:rPr>
                <w:color w:val="auto"/>
              </w:rPr>
            </w:pPr>
            <w:r>
              <w:rPr>
                <w:color w:val="auto"/>
              </w:rPr>
              <w:t>V</w:t>
            </w:r>
            <w:r>
              <w:rPr>
                <w:color w:val="auto"/>
                <w:vertAlign w:val="subscript"/>
              </w:rPr>
              <w:t>5</w:t>
            </w:r>
            <w:r>
              <w:rPr>
                <w:color w:val="auto"/>
              </w:rPr>
              <w:t>—发生事故时可能进入该收集系统的降雨量，</w:t>
            </w:r>
            <w:r>
              <w:rPr>
                <w:rFonts w:hint="eastAsia"/>
                <w:color w:val="auto"/>
                <w:lang w:val="en-US" w:eastAsia="zh-CN"/>
              </w:rPr>
              <w:t>44.5</w:t>
            </w:r>
            <w:r>
              <w:rPr>
                <w:rFonts w:hint="eastAsia"/>
                <w:color w:val="auto"/>
              </w:rPr>
              <w:t>m³</w:t>
            </w:r>
            <w:r>
              <w:rPr>
                <w:color w:val="auto"/>
              </w:rPr>
              <w:t>；</w:t>
            </w:r>
          </w:p>
          <w:p w14:paraId="050B71AE">
            <w:pPr>
              <w:pStyle w:val="36"/>
              <w:jc w:val="both"/>
              <w:rPr>
                <w:rFonts w:hint="eastAsia" w:eastAsia="宋体"/>
                <w:color w:val="auto"/>
                <w:lang w:val="en-US" w:eastAsia="zh-CN"/>
              </w:rPr>
            </w:pPr>
            <w:r>
              <w:rPr>
                <w:rFonts w:hint="eastAsia" w:eastAsia="宋体"/>
                <w:color w:val="auto"/>
                <w:lang w:val="en-US" w:eastAsia="zh-CN"/>
              </w:rPr>
              <w:t>q</w:t>
            </w:r>
            <w:r>
              <w:rPr>
                <w:color w:val="auto"/>
              </w:rPr>
              <w:t>—</w:t>
            </w:r>
            <w:r>
              <w:rPr>
                <w:rFonts w:hint="eastAsia" w:eastAsia="宋体"/>
                <w:color w:val="auto"/>
                <w:lang w:val="en-US" w:eastAsia="zh-CN"/>
              </w:rPr>
              <w:t>降雨强度，按平均日降雨量，mm；</w:t>
            </w:r>
          </w:p>
          <w:p w14:paraId="697BB211">
            <w:pPr>
              <w:jc w:val="both"/>
              <w:rPr>
                <w:rFonts w:hint="eastAsia"/>
                <w:color w:val="auto"/>
                <w:lang w:val="en-US" w:eastAsia="zh-CN"/>
              </w:rPr>
            </w:pPr>
            <w:r>
              <w:rPr>
                <w:rFonts w:hint="eastAsia" w:eastAsia="宋体"/>
                <w:color w:val="auto"/>
                <w:lang w:val="en-US" w:eastAsia="zh-CN"/>
              </w:rPr>
              <w:t>q</w:t>
            </w:r>
            <w:r>
              <w:rPr>
                <w:rFonts w:hint="eastAsia" w:eastAsia="宋体"/>
                <w:color w:val="auto"/>
                <w:vertAlign w:val="subscript"/>
                <w:lang w:val="en-US" w:eastAsia="zh-CN"/>
              </w:rPr>
              <w:t>a</w:t>
            </w:r>
            <w:r>
              <w:rPr>
                <w:color w:val="auto"/>
              </w:rPr>
              <w:t>—</w:t>
            </w:r>
            <w:r>
              <w:rPr>
                <w:rFonts w:hint="eastAsia"/>
                <w:color w:val="auto"/>
                <w:lang w:val="en-US" w:eastAsia="zh-CN"/>
              </w:rPr>
              <w:t>年平均降雨量，mm，本项目取906mm；</w:t>
            </w:r>
          </w:p>
          <w:p w14:paraId="678F2086">
            <w:pPr>
              <w:pStyle w:val="36"/>
              <w:jc w:val="both"/>
              <w:rPr>
                <w:rFonts w:hint="eastAsia" w:eastAsia="宋体"/>
                <w:color w:val="auto"/>
                <w:lang w:val="en-US" w:eastAsia="zh-CN"/>
              </w:rPr>
            </w:pPr>
            <w:r>
              <w:rPr>
                <w:rFonts w:hint="eastAsia"/>
                <w:color w:val="auto"/>
                <w:lang w:val="en-US" w:eastAsia="zh-CN"/>
              </w:rPr>
              <w:t>n</w:t>
            </w:r>
            <w:r>
              <w:rPr>
                <w:color w:val="auto"/>
              </w:rPr>
              <w:t>—</w:t>
            </w:r>
            <w:r>
              <w:rPr>
                <w:rFonts w:hint="eastAsia" w:eastAsia="宋体"/>
                <w:color w:val="auto"/>
                <w:lang w:val="en-US" w:eastAsia="zh-CN"/>
              </w:rPr>
              <w:t>年平均降雨日数，本项目取</w:t>
            </w:r>
            <w:r>
              <w:rPr>
                <w:rFonts w:hint="eastAsia"/>
                <w:color w:val="auto"/>
                <w:lang w:val="en-US" w:eastAsia="zh-CN"/>
              </w:rPr>
              <w:t>101.8</w:t>
            </w:r>
            <w:r>
              <w:rPr>
                <w:rFonts w:hint="eastAsia" w:eastAsia="宋体"/>
                <w:color w:val="auto"/>
                <w:lang w:val="en-US" w:eastAsia="zh-CN"/>
              </w:rPr>
              <w:t>d；</w:t>
            </w:r>
          </w:p>
          <w:p w14:paraId="14DB25D5">
            <w:pPr>
              <w:jc w:val="both"/>
              <w:rPr>
                <w:rFonts w:hint="default" w:eastAsia="宋体"/>
                <w:color w:val="auto"/>
                <w:lang w:val="en-US" w:eastAsia="zh-CN"/>
              </w:rPr>
            </w:pPr>
            <w:r>
              <w:rPr>
                <w:rFonts w:hint="eastAsia" w:eastAsia="宋体"/>
                <w:color w:val="auto"/>
                <w:lang w:val="en-US" w:eastAsia="zh-CN"/>
              </w:rPr>
              <w:t>f</w:t>
            </w:r>
            <w:r>
              <w:rPr>
                <w:color w:val="auto"/>
              </w:rPr>
              <w:t>—</w:t>
            </w:r>
            <w:r>
              <w:rPr>
                <w:rFonts w:hint="eastAsia"/>
                <w:color w:val="auto"/>
                <w:lang w:val="en-US" w:eastAsia="zh-CN"/>
              </w:rPr>
              <w:t>必须进入事故废水收集系统的雨水汇水面积，ha，本项取0.5ha。</w:t>
            </w:r>
          </w:p>
          <w:p w14:paraId="31AE0482">
            <w:pPr>
              <w:ind w:firstLine="480"/>
              <w:jc w:val="both"/>
              <w:rPr>
                <w:color w:val="auto"/>
              </w:rPr>
            </w:pPr>
            <w:r>
              <w:rPr>
                <w:rFonts w:hint="eastAsia"/>
                <w:color w:val="auto"/>
              </w:rPr>
              <w:t>因此拟建项目所需事故储存设施有效容积为：</w:t>
            </w:r>
          </w:p>
          <w:p w14:paraId="5FD49F8C">
            <w:pPr>
              <w:ind w:firstLine="480"/>
              <w:jc w:val="center"/>
              <w:rPr>
                <w:color w:val="auto"/>
                <w:vertAlign w:val="superscript"/>
              </w:rPr>
            </w:pPr>
            <w:r>
              <w:rPr>
                <w:rFonts w:hint="eastAsia"/>
                <w:color w:val="auto"/>
              </w:rPr>
              <w:t>V</w:t>
            </w:r>
            <w:r>
              <w:rPr>
                <w:rFonts w:hint="eastAsia"/>
                <w:color w:val="auto"/>
                <w:vertAlign w:val="subscript"/>
              </w:rPr>
              <w:t>总</w:t>
            </w:r>
            <w:r>
              <w:rPr>
                <w:rFonts w:hint="eastAsia"/>
                <w:color w:val="auto"/>
              </w:rPr>
              <w:t>=（</w:t>
            </w:r>
            <w:r>
              <w:rPr>
                <w:rFonts w:hint="eastAsia"/>
                <w:color w:val="auto"/>
                <w:lang w:val="en-US" w:eastAsia="zh-CN"/>
              </w:rPr>
              <w:t>0</w:t>
            </w:r>
            <w:r>
              <w:rPr>
                <w:rFonts w:hint="eastAsia"/>
                <w:color w:val="auto"/>
              </w:rPr>
              <w:t>+</w:t>
            </w:r>
            <w:r>
              <w:rPr>
                <w:rFonts w:hint="eastAsia"/>
                <w:color w:val="auto"/>
                <w:lang w:val="en-US" w:eastAsia="zh-CN"/>
              </w:rPr>
              <w:t>108</w:t>
            </w:r>
            <w:r>
              <w:rPr>
                <w:rFonts w:hint="eastAsia"/>
                <w:color w:val="auto"/>
              </w:rPr>
              <w:t>-</w:t>
            </w:r>
            <w:r>
              <w:rPr>
                <w:rFonts w:hint="eastAsia"/>
                <w:color w:val="auto"/>
                <w:lang w:val="en-US" w:eastAsia="zh-CN"/>
              </w:rPr>
              <w:t>0</w:t>
            </w:r>
            <w:r>
              <w:rPr>
                <w:rFonts w:hint="eastAsia"/>
                <w:color w:val="auto"/>
              </w:rPr>
              <w:t>）+0+</w:t>
            </w:r>
            <w:r>
              <w:rPr>
                <w:rFonts w:hint="eastAsia"/>
                <w:color w:val="auto"/>
                <w:lang w:val="en-US" w:eastAsia="zh-CN"/>
              </w:rPr>
              <w:t>44.5</w:t>
            </w:r>
            <w:r>
              <w:rPr>
                <w:rFonts w:hint="eastAsia"/>
                <w:color w:val="auto"/>
              </w:rPr>
              <w:t>=</w:t>
            </w:r>
            <w:r>
              <w:rPr>
                <w:rFonts w:hint="eastAsia"/>
                <w:color w:val="auto"/>
                <w:lang w:val="en-US" w:eastAsia="zh-CN"/>
              </w:rPr>
              <w:t>152.5</w:t>
            </w:r>
            <w:r>
              <w:rPr>
                <w:rFonts w:hint="eastAsia"/>
                <w:color w:val="auto"/>
              </w:rPr>
              <w:t>m³</w:t>
            </w:r>
          </w:p>
          <w:p w14:paraId="7B817E4E">
            <w:pPr>
              <w:ind w:firstLine="480"/>
              <w:jc w:val="both"/>
              <w:rPr>
                <w:rFonts w:hint="eastAsia"/>
                <w:color w:val="auto"/>
                <w:lang w:eastAsia="zh-CN"/>
              </w:rPr>
            </w:pPr>
            <w:r>
              <w:rPr>
                <w:rFonts w:hint="eastAsia"/>
                <w:color w:val="auto"/>
              </w:rPr>
              <w:t>要能满足事故状况下厂区事故废水收集，</w:t>
            </w:r>
            <w:r>
              <w:rPr>
                <w:rFonts w:hint="eastAsia"/>
                <w:color w:val="auto"/>
                <w:lang w:val="en-US" w:eastAsia="zh-CN"/>
              </w:rPr>
              <w:t>需设置</w:t>
            </w:r>
            <w:r>
              <w:rPr>
                <w:rFonts w:hint="eastAsia"/>
                <w:color w:val="auto"/>
              </w:rPr>
              <w:t>1座</w:t>
            </w:r>
            <w:r>
              <w:rPr>
                <w:rFonts w:hint="eastAsia"/>
                <w:color w:val="auto"/>
                <w:lang w:val="en-US" w:eastAsia="zh-CN"/>
              </w:rPr>
              <w:t>152.5</w:t>
            </w:r>
            <w:r>
              <w:rPr>
                <w:rFonts w:hint="eastAsia"/>
                <w:color w:val="auto"/>
              </w:rPr>
              <w:t>m³的事故池</w:t>
            </w:r>
            <w:r>
              <w:rPr>
                <w:rFonts w:hint="eastAsia"/>
                <w:color w:val="auto"/>
                <w:lang w:eastAsia="zh-CN"/>
              </w:rPr>
              <w:t>。</w:t>
            </w:r>
          </w:p>
          <w:p w14:paraId="6BDC334F">
            <w:pPr>
              <w:bidi w:val="0"/>
              <w:jc w:val="both"/>
              <w:rPr>
                <w:rFonts w:hint="default"/>
                <w:b/>
                <w:bCs/>
                <w:color w:val="auto"/>
                <w:lang w:val="en-US" w:eastAsia="zh-CN"/>
              </w:rPr>
            </w:pPr>
            <w:r>
              <w:rPr>
                <w:rFonts w:hint="eastAsia"/>
                <w:b/>
                <w:bCs/>
                <w:color w:val="auto"/>
                <w:lang w:val="en-US" w:eastAsia="zh-CN"/>
              </w:rPr>
              <w:t>2）事故池依托可行性分析</w:t>
            </w:r>
          </w:p>
          <w:p w14:paraId="73A0A9EC">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eastAsia"/>
                <w:color w:val="auto"/>
                <w:sz w:val="24"/>
                <w:lang w:eastAsia="zh-CN"/>
              </w:rPr>
            </w:pPr>
            <w:r>
              <w:rPr>
                <w:rFonts w:hint="eastAsia"/>
                <w:color w:val="auto"/>
                <w:sz w:val="24"/>
                <w:szCs w:val="24"/>
                <w:lang w:eastAsia="zh-CN"/>
              </w:rPr>
              <w:t>本项目</w:t>
            </w:r>
            <w:r>
              <w:rPr>
                <w:rFonts w:hint="eastAsia" w:cs="Times New Roman"/>
                <w:color w:val="auto"/>
                <w:kern w:val="2"/>
                <w:sz w:val="24"/>
                <w:szCs w:val="32"/>
                <w:lang w:val="en-US" w:eastAsia="zh-CN"/>
              </w:rPr>
              <w:t>租赁</w:t>
            </w:r>
            <w:r>
              <w:rPr>
                <w:rFonts w:hint="eastAsia"/>
                <w:color w:val="auto"/>
                <w:lang w:val="en-US" w:eastAsia="zh-CN"/>
              </w:rPr>
              <w:t>淮南益生啤酒有限公司</w:t>
            </w:r>
            <w:r>
              <w:rPr>
                <w:rFonts w:hint="eastAsia" w:cs="Times New Roman"/>
                <w:color w:val="auto"/>
                <w:kern w:val="2"/>
                <w:sz w:val="24"/>
                <w:szCs w:val="32"/>
                <w:lang w:eastAsia="zh-CN"/>
              </w:rPr>
              <w:t>厂房</w:t>
            </w:r>
            <w:r>
              <w:rPr>
                <w:rFonts w:hint="eastAsia"/>
                <w:color w:val="auto"/>
                <w:sz w:val="24"/>
                <w:lang w:eastAsia="zh-CN"/>
              </w:rPr>
              <w:t>，</w:t>
            </w:r>
            <w:r>
              <w:rPr>
                <w:rFonts w:hint="eastAsia"/>
                <w:color w:val="auto"/>
                <w:sz w:val="24"/>
                <w:lang w:val="en-US" w:eastAsia="zh-CN"/>
              </w:rPr>
              <w:t>根据现场调查可知</w:t>
            </w:r>
            <w:r>
              <w:rPr>
                <w:rFonts w:hint="eastAsia"/>
                <w:color w:val="auto"/>
                <w:lang w:val="en-US" w:eastAsia="zh-CN"/>
              </w:rPr>
              <w:t>安徽益生酒业有限公司</w:t>
            </w:r>
            <w:r>
              <w:rPr>
                <w:rFonts w:hint="eastAsia"/>
                <w:color w:val="auto"/>
                <w:sz w:val="24"/>
                <w:lang w:eastAsia="zh-CN"/>
              </w:rPr>
              <w:t>已建设了事故池，</w:t>
            </w:r>
            <w:r>
              <w:rPr>
                <w:rFonts w:hint="eastAsia"/>
                <w:color w:val="auto"/>
                <w:sz w:val="24"/>
                <w:lang w:val="en-US" w:eastAsia="zh-CN"/>
              </w:rPr>
              <w:t>该事故池位于</w:t>
            </w:r>
            <w:r>
              <w:rPr>
                <w:rFonts w:hint="eastAsia"/>
                <w:color w:val="auto"/>
                <w:lang w:val="en-US" w:eastAsia="zh-CN"/>
              </w:rPr>
              <w:t>安徽益生酒业有限公司</w:t>
            </w:r>
            <w:r>
              <w:rPr>
                <w:rFonts w:hint="eastAsia" w:cs="Times New Roman"/>
                <w:color w:val="auto"/>
                <w:kern w:val="2"/>
                <w:sz w:val="24"/>
                <w:szCs w:val="32"/>
                <w:lang w:val="en-US" w:eastAsia="zh-CN"/>
              </w:rPr>
              <w:t>北侧中部（见附图</w:t>
            </w:r>
            <w:r>
              <w:rPr>
                <w:rFonts w:hint="eastAsia" w:cs="Times New Roman"/>
                <w:color w:val="auto"/>
                <w:kern w:val="2"/>
                <w:sz w:val="24"/>
                <w:szCs w:val="32"/>
                <w:highlight w:val="none"/>
                <w:lang w:val="en-US" w:eastAsia="zh-CN"/>
              </w:rPr>
              <w:t>11）</w:t>
            </w:r>
            <w:r>
              <w:rPr>
                <w:rFonts w:hint="eastAsia"/>
                <w:color w:val="auto"/>
                <w:sz w:val="24"/>
                <w:highlight w:val="none"/>
                <w:lang w:eastAsia="zh-CN"/>
              </w:rPr>
              <w:t>。</w:t>
            </w:r>
          </w:p>
          <w:p w14:paraId="653A42FC">
            <w:pPr>
              <w:pStyle w:val="2"/>
              <w:jc w:val="both"/>
              <w:rPr>
                <w:rFonts w:hint="eastAsia"/>
                <w:color w:val="auto"/>
                <w:sz w:val="24"/>
                <w:lang w:val="en-US" w:eastAsia="zh-CN"/>
              </w:rPr>
            </w:pPr>
            <w:r>
              <w:rPr>
                <w:rFonts w:hint="eastAsia"/>
                <w:color w:val="auto"/>
                <w:sz w:val="24"/>
                <w:lang w:val="en-US" w:eastAsia="zh-CN"/>
              </w:rPr>
              <w:t>①事故池容积</w:t>
            </w:r>
          </w:p>
          <w:p w14:paraId="27D52822">
            <w:pPr>
              <w:jc w:val="both"/>
              <w:rPr>
                <w:rFonts w:hint="eastAsia" w:cs="Times New Roman"/>
                <w:color w:val="auto"/>
                <w:kern w:val="2"/>
                <w:sz w:val="24"/>
                <w:szCs w:val="32"/>
                <w:lang w:val="en-US" w:eastAsia="zh-CN"/>
              </w:rPr>
            </w:pPr>
            <w:r>
              <w:rPr>
                <w:rFonts w:hint="eastAsia"/>
                <w:color w:val="auto"/>
                <w:lang w:val="en-US" w:eastAsia="zh-CN"/>
              </w:rPr>
              <w:t>安徽益生酒业有限公司</w:t>
            </w:r>
            <w:r>
              <w:rPr>
                <w:rFonts w:hint="eastAsia" w:cs="Times New Roman"/>
                <w:color w:val="auto"/>
                <w:kern w:val="2"/>
                <w:sz w:val="24"/>
                <w:szCs w:val="32"/>
                <w:lang w:val="en-US" w:eastAsia="zh-CN"/>
              </w:rPr>
              <w:t>事故池容积约2000m³，本项目事故废水产生量约152.5m³，储存容积可满足暂存要求。</w:t>
            </w:r>
          </w:p>
          <w:p w14:paraId="5F8548E7">
            <w:pPr>
              <w:pStyle w:val="2"/>
              <w:jc w:val="both"/>
              <w:rPr>
                <w:rFonts w:hint="eastAsia" w:cs="Times New Roman"/>
                <w:color w:val="auto"/>
                <w:kern w:val="2"/>
                <w:sz w:val="24"/>
                <w:szCs w:val="32"/>
                <w:lang w:val="en-US" w:eastAsia="zh-CN"/>
              </w:rPr>
            </w:pPr>
            <w:r>
              <w:rPr>
                <w:rFonts w:hint="eastAsia" w:cs="Times New Roman"/>
                <w:color w:val="auto"/>
                <w:kern w:val="2"/>
                <w:sz w:val="24"/>
                <w:szCs w:val="32"/>
                <w:lang w:val="en-US" w:eastAsia="zh-CN"/>
              </w:rPr>
              <w:t>②事故废水收集管线</w:t>
            </w:r>
          </w:p>
          <w:p w14:paraId="26CAB8E0">
            <w:pPr>
              <w:jc w:val="both"/>
              <w:rPr>
                <w:rFonts w:hint="eastAsia" w:cs="Times New Roman"/>
                <w:color w:val="auto"/>
                <w:kern w:val="2"/>
                <w:sz w:val="24"/>
                <w:szCs w:val="32"/>
                <w:lang w:val="en-US" w:eastAsia="zh-CN"/>
              </w:rPr>
            </w:pPr>
            <w:r>
              <w:rPr>
                <w:rFonts w:hint="eastAsia"/>
                <w:color w:val="auto"/>
                <w:lang w:val="en-US" w:eastAsia="zh-CN"/>
              </w:rPr>
              <w:t>安徽益生酒业有限公司</w:t>
            </w:r>
            <w:r>
              <w:rPr>
                <w:rFonts w:hint="eastAsia" w:cs="Times New Roman"/>
                <w:color w:val="auto"/>
                <w:kern w:val="2"/>
                <w:sz w:val="24"/>
                <w:szCs w:val="32"/>
                <w:lang w:val="en-US" w:eastAsia="zh-CN"/>
              </w:rPr>
              <w:t>事故池于厂区规划建设期设计，其设计理念是服务于全厂，满足整个厂区事故废水暂存需求，因此事故废水收集管线铺设覆盖全厂，本项目位于厂区内东侧，在其收集范围内。</w:t>
            </w:r>
          </w:p>
          <w:p w14:paraId="2750FBB2">
            <w:pPr>
              <w:pStyle w:val="2"/>
              <w:jc w:val="both"/>
              <w:rPr>
                <w:rFonts w:hint="eastAsia" w:cs="Times New Roman"/>
                <w:color w:val="auto"/>
                <w:kern w:val="2"/>
                <w:sz w:val="24"/>
                <w:szCs w:val="32"/>
                <w:lang w:val="en-US" w:eastAsia="zh-CN"/>
              </w:rPr>
            </w:pPr>
            <w:r>
              <w:rPr>
                <w:rFonts w:hint="eastAsia" w:cs="Times New Roman"/>
                <w:color w:val="auto"/>
                <w:kern w:val="2"/>
                <w:sz w:val="24"/>
                <w:szCs w:val="32"/>
                <w:lang w:val="en-US" w:eastAsia="zh-CN"/>
              </w:rPr>
              <w:t>③截止阀设置情况</w:t>
            </w:r>
          </w:p>
          <w:p w14:paraId="51F791B6">
            <w:pPr>
              <w:jc w:val="both"/>
              <w:rPr>
                <w:color w:val="auto"/>
              </w:rPr>
            </w:pPr>
            <w:r>
              <w:rPr>
                <w:color w:val="auto"/>
              </w:rPr>
              <w:t>为防止消防废水等从雨</w:t>
            </w:r>
            <w:r>
              <w:rPr>
                <w:rFonts w:hint="eastAsia"/>
                <w:color w:val="auto"/>
                <w:lang w:val="en-US" w:eastAsia="zh-CN"/>
              </w:rPr>
              <w:t>水</w:t>
            </w:r>
            <w:r>
              <w:rPr>
                <w:color w:val="auto"/>
              </w:rPr>
              <w:t>排口直接排出，</w:t>
            </w:r>
            <w:r>
              <w:rPr>
                <w:rFonts w:hint="eastAsia"/>
                <w:color w:val="auto"/>
                <w:lang w:val="en-US" w:eastAsia="zh-CN"/>
              </w:rPr>
              <w:t>厂区内</w:t>
            </w:r>
            <w:r>
              <w:rPr>
                <w:color w:val="auto"/>
              </w:rPr>
              <w:t>排水管网（包括雨水管网、污水管网）全部设置切断装置，必要时</w:t>
            </w:r>
            <w:r>
              <w:rPr>
                <w:rFonts w:hint="eastAsia"/>
                <w:color w:val="auto"/>
                <w:lang w:val="en-US" w:eastAsia="zh-CN"/>
              </w:rPr>
              <w:t>可</w:t>
            </w:r>
            <w:r>
              <w:rPr>
                <w:color w:val="auto"/>
              </w:rPr>
              <w:t>立即切断所有排水管网（包括雨水管网、污水管网），严防未经处理的事故废水外排。</w:t>
            </w:r>
          </w:p>
          <w:p w14:paraId="5F1C53F9">
            <w:pPr>
              <w:jc w:val="both"/>
              <w:rPr>
                <w:rFonts w:hint="default" w:eastAsia="宋体"/>
                <w:color w:val="auto"/>
                <w:highlight w:val="none"/>
                <w:lang w:val="en-US" w:eastAsia="zh-CN"/>
              </w:rPr>
            </w:pPr>
            <w:r>
              <w:rPr>
                <w:rFonts w:hint="eastAsia"/>
                <w:color w:val="auto"/>
                <w:highlight w:val="none"/>
                <w:lang w:val="en-US" w:eastAsia="zh-CN"/>
              </w:rPr>
              <w:t>由上可知，本项目依托</w:t>
            </w:r>
            <w:r>
              <w:rPr>
                <w:rFonts w:hint="eastAsia"/>
                <w:color w:val="auto"/>
                <w:lang w:val="en-US" w:eastAsia="zh-CN"/>
              </w:rPr>
              <w:t>安徽益生酒业有限公司</w:t>
            </w:r>
            <w:r>
              <w:rPr>
                <w:rFonts w:hint="eastAsia" w:cs="Times New Roman"/>
                <w:color w:val="auto"/>
                <w:kern w:val="2"/>
                <w:sz w:val="24"/>
                <w:szCs w:val="32"/>
                <w:lang w:val="en-US" w:eastAsia="zh-CN"/>
              </w:rPr>
              <w:t>事故池可行。</w:t>
            </w:r>
          </w:p>
          <w:p w14:paraId="693E5B19">
            <w:pPr>
              <w:bidi w:val="0"/>
              <w:jc w:val="both"/>
              <w:rPr>
                <w:b/>
                <w:bCs/>
              </w:rPr>
            </w:pPr>
            <w:r>
              <w:rPr>
                <w:rFonts w:hint="eastAsia"/>
                <w:b/>
                <w:bCs/>
                <w:lang w:eastAsia="zh-CN"/>
              </w:rPr>
              <w:t>（</w:t>
            </w:r>
            <w:r>
              <w:rPr>
                <w:rFonts w:hint="eastAsia"/>
                <w:b/>
                <w:bCs/>
                <w:lang w:val="en-US" w:eastAsia="zh-CN"/>
              </w:rPr>
              <w:t>5</w:t>
            </w:r>
            <w:r>
              <w:rPr>
                <w:rFonts w:hint="eastAsia"/>
                <w:b/>
                <w:bCs/>
                <w:lang w:eastAsia="zh-CN"/>
              </w:rPr>
              <w:t>）</w:t>
            </w:r>
            <w:r>
              <w:rPr>
                <w:b/>
                <w:bCs/>
              </w:rPr>
              <w:t>风险事故应急预案</w:t>
            </w:r>
          </w:p>
          <w:p w14:paraId="590BCEC1">
            <w:pPr>
              <w:bidi w:val="0"/>
              <w:jc w:val="both"/>
              <w:rPr>
                <w:rFonts w:hint="eastAsia"/>
              </w:rPr>
            </w:pPr>
            <w:r>
              <w:t>制定风险事故应急预案的目的是为了在发生风险事故时，能以最快的速度发挥最大效能，有序的实施救援，尽快控制事态的发展，降低事故造成的危害，减少事故造成的损失。根据HJ/T169-2004《建设项目环境风险评价技术导则》（HJ169-2018），本项目投入运行前按规定需编制应急预案。</w:t>
            </w:r>
          </w:p>
          <w:p w14:paraId="449A281A">
            <w:pPr>
              <w:pStyle w:val="44"/>
              <w:rPr>
                <w:rFonts w:hint="default"/>
              </w:rPr>
            </w:pPr>
            <w:r>
              <w:t>表4-</w:t>
            </w:r>
            <w:r>
              <w:rPr>
                <w:rFonts w:hint="eastAsia"/>
                <w:lang w:val="en-US" w:eastAsia="zh-CN"/>
              </w:rPr>
              <w:t>28</w:t>
            </w:r>
            <w:r>
              <w:t>本项目环境风险简单分析一览表</w:t>
            </w:r>
          </w:p>
          <w:tbl>
            <w:tblPr>
              <w:tblStyle w:val="26"/>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966"/>
              <w:gridCol w:w="2586"/>
              <w:gridCol w:w="716"/>
              <w:gridCol w:w="2610"/>
            </w:tblGrid>
            <w:tr w14:paraId="38B3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7" w:type="pct"/>
                  <w:vAlign w:val="center"/>
                </w:tcPr>
                <w:p w14:paraId="7A0C4D1B">
                  <w:pPr>
                    <w:pStyle w:val="47"/>
                    <w:rPr>
                      <w:rFonts w:hint="default"/>
                    </w:rPr>
                  </w:pPr>
                  <w:r>
                    <w:t>建设项目名称</w:t>
                  </w:r>
                </w:p>
              </w:tc>
              <w:tc>
                <w:tcPr>
                  <w:tcW w:w="4072" w:type="pct"/>
                  <w:gridSpan w:val="4"/>
                  <w:vAlign w:val="center"/>
                </w:tcPr>
                <w:p w14:paraId="3A9DDB6B">
                  <w:pPr>
                    <w:pStyle w:val="36"/>
                    <w:ind w:left="0" w:leftChars="0" w:firstLine="0" w:firstLineChars="0"/>
                    <w:jc w:val="both"/>
                  </w:pPr>
                  <w:r>
                    <w:rPr>
                      <w:rFonts w:hint="eastAsia" w:ascii="Times New Roman" w:hAnsi="Times New Roman" w:cs="Times New Roman"/>
                      <w:sz w:val="21"/>
                      <w:szCs w:val="21"/>
                    </w:rPr>
                    <w:t>淮南益生包装材料有限公司EPP汽车零配件和EPS包装材料生产基地项目</w:t>
                  </w:r>
                </w:p>
              </w:tc>
            </w:tr>
            <w:tr w14:paraId="4716E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7" w:type="pct"/>
                  <w:vAlign w:val="center"/>
                </w:tcPr>
                <w:p w14:paraId="245944A5">
                  <w:pPr>
                    <w:pStyle w:val="47"/>
                    <w:rPr>
                      <w:rFonts w:hint="default"/>
                    </w:rPr>
                  </w:pPr>
                  <w:r>
                    <w:t>建设地点</w:t>
                  </w:r>
                </w:p>
              </w:tc>
              <w:tc>
                <w:tcPr>
                  <w:tcW w:w="4072" w:type="pct"/>
                  <w:gridSpan w:val="4"/>
                  <w:vAlign w:val="center"/>
                </w:tcPr>
                <w:p w14:paraId="52A8972B">
                  <w:pPr>
                    <w:pStyle w:val="47"/>
                    <w:rPr>
                      <w:rFonts w:hint="default" w:eastAsia="宋体"/>
                      <w:lang w:val="en-US" w:eastAsia="zh-CN"/>
                    </w:rPr>
                  </w:pPr>
                  <w:r>
                    <w:t>安徽淮南市经济开发区</w:t>
                  </w:r>
                  <w:r>
                    <w:rPr>
                      <w:rFonts w:hint="eastAsia"/>
                      <w:lang w:val="en-US" w:eastAsia="zh-CN"/>
                    </w:rPr>
                    <w:t>吉兴路西侧</w:t>
                  </w:r>
                </w:p>
              </w:tc>
            </w:tr>
            <w:tr w14:paraId="2880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7" w:type="pct"/>
                  <w:vAlign w:val="center"/>
                </w:tcPr>
                <w:p w14:paraId="03514749">
                  <w:pPr>
                    <w:pStyle w:val="47"/>
                    <w:rPr>
                      <w:rFonts w:hint="default"/>
                    </w:rPr>
                  </w:pPr>
                  <w:r>
                    <w:t>地理坐标</w:t>
                  </w:r>
                </w:p>
              </w:tc>
              <w:tc>
                <w:tcPr>
                  <w:tcW w:w="572" w:type="pct"/>
                  <w:vAlign w:val="center"/>
                </w:tcPr>
                <w:p w14:paraId="062F4D23">
                  <w:pPr>
                    <w:pStyle w:val="47"/>
                    <w:rPr>
                      <w:rFonts w:hint="default"/>
                    </w:rPr>
                  </w:pPr>
                  <w:r>
                    <w:t>经度</w:t>
                  </w:r>
                </w:p>
              </w:tc>
              <w:tc>
                <w:tcPr>
                  <w:tcW w:w="1531" w:type="pct"/>
                  <w:vAlign w:val="center"/>
                </w:tcPr>
                <w:p w14:paraId="2F8044D1">
                  <w:pPr>
                    <w:pStyle w:val="47"/>
                    <w:rPr>
                      <w:rFonts w:hint="default"/>
                      <w:highlight w:val="yellow"/>
                    </w:rPr>
                  </w:pPr>
                  <w:r>
                    <w:rPr>
                      <w:rFonts w:hint="default"/>
                    </w:rPr>
                    <w:t>117度4分56.734秒</w:t>
                  </w:r>
                </w:p>
              </w:tc>
              <w:tc>
                <w:tcPr>
                  <w:tcW w:w="423" w:type="pct"/>
                  <w:vAlign w:val="center"/>
                </w:tcPr>
                <w:p w14:paraId="625ADABF">
                  <w:pPr>
                    <w:pStyle w:val="47"/>
                    <w:rPr>
                      <w:rFonts w:hint="default"/>
                      <w:highlight w:val="yellow"/>
                    </w:rPr>
                  </w:pPr>
                  <w:r>
                    <w:t>纬度</w:t>
                  </w:r>
                </w:p>
              </w:tc>
              <w:tc>
                <w:tcPr>
                  <w:tcW w:w="1545" w:type="pct"/>
                  <w:vAlign w:val="center"/>
                </w:tcPr>
                <w:p w14:paraId="198CCA13">
                  <w:pPr>
                    <w:pStyle w:val="47"/>
                    <w:rPr>
                      <w:rFonts w:hint="default"/>
                      <w:highlight w:val="yellow"/>
                    </w:rPr>
                  </w:pPr>
                  <w:r>
                    <w:rPr>
                      <w:rFonts w:hint="default"/>
                    </w:rPr>
                    <w:t>32度38分23.849秒</w:t>
                  </w:r>
                </w:p>
              </w:tc>
            </w:tr>
            <w:tr w14:paraId="6FA55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27" w:type="pct"/>
                  <w:vAlign w:val="center"/>
                </w:tcPr>
                <w:p w14:paraId="2D7544A7">
                  <w:pPr>
                    <w:pStyle w:val="47"/>
                    <w:rPr>
                      <w:rFonts w:hint="default"/>
                    </w:rPr>
                  </w:pPr>
                  <w:r>
                    <w:t>主要危险物质及分布</w:t>
                  </w:r>
                </w:p>
              </w:tc>
              <w:tc>
                <w:tcPr>
                  <w:tcW w:w="4072" w:type="pct"/>
                  <w:gridSpan w:val="4"/>
                  <w:vAlign w:val="center"/>
                </w:tcPr>
                <w:p w14:paraId="784AC566">
                  <w:pPr>
                    <w:pStyle w:val="47"/>
                    <w:rPr>
                      <w:rFonts w:hint="default"/>
                    </w:rPr>
                  </w:pPr>
                  <w:r>
                    <w:t>危废暂存间的废机油、废活性炭</w:t>
                  </w:r>
                </w:p>
              </w:tc>
            </w:tr>
            <w:tr w14:paraId="70B0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927" w:type="pct"/>
                  <w:vAlign w:val="center"/>
                </w:tcPr>
                <w:p w14:paraId="11A4079F">
                  <w:pPr>
                    <w:pStyle w:val="47"/>
                    <w:rPr>
                      <w:rFonts w:hint="default"/>
                    </w:rPr>
                  </w:pPr>
                  <w:r>
                    <w:t>环境影响途径及危害后果（大气、地表水、地下水等）</w:t>
                  </w:r>
                </w:p>
              </w:tc>
              <w:tc>
                <w:tcPr>
                  <w:tcW w:w="4072" w:type="pct"/>
                  <w:gridSpan w:val="4"/>
                  <w:vAlign w:val="center"/>
                </w:tcPr>
                <w:p w14:paraId="622EECD1">
                  <w:pPr>
                    <w:pStyle w:val="47"/>
                    <w:rPr>
                      <w:rFonts w:hint="default"/>
                    </w:rPr>
                  </w:pPr>
                  <w:r>
                    <w:t>液态物料泄漏到土壤，对土壤、地下水造成影响；可燃物料燃烧发生火灾或爆炸事故，产生的热辐射、烟雾对周边大气、水环境和人身健康安全存在影响</w:t>
                  </w:r>
                </w:p>
              </w:tc>
            </w:tr>
            <w:tr w14:paraId="02325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7" w:type="pct"/>
                  <w:vAlign w:val="center"/>
                </w:tcPr>
                <w:p w14:paraId="531677DD">
                  <w:pPr>
                    <w:pStyle w:val="47"/>
                    <w:rPr>
                      <w:rFonts w:hint="default"/>
                    </w:rPr>
                  </w:pPr>
                  <w:r>
                    <w:t>风险防范措施要求</w:t>
                  </w:r>
                </w:p>
              </w:tc>
              <w:tc>
                <w:tcPr>
                  <w:tcW w:w="4072" w:type="pct"/>
                  <w:gridSpan w:val="4"/>
                  <w:vAlign w:val="center"/>
                </w:tcPr>
                <w:p w14:paraId="00695B55">
                  <w:pPr>
                    <w:pStyle w:val="47"/>
                    <w:rPr>
                      <w:rFonts w:hint="default" w:eastAsia="宋体"/>
                      <w:lang w:val="en-US" w:eastAsia="zh-CN"/>
                    </w:rPr>
                  </w:pPr>
                  <w:r>
                    <w:t>厂区严禁明火；危废规范收集贮存、处置，建立健全危废台账制度，严格管理</w:t>
                  </w:r>
                  <w:r>
                    <w:rPr>
                      <w:rFonts w:hint="eastAsia"/>
                      <w:lang w:eastAsia="zh-CN"/>
                    </w:rPr>
                    <w:t>；</w:t>
                  </w:r>
                  <w:r>
                    <w:rPr>
                      <w:rFonts w:hint="eastAsia"/>
                      <w:lang w:val="en-US" w:eastAsia="zh-CN"/>
                    </w:rPr>
                    <w:t>制定应急预案</w:t>
                  </w:r>
                </w:p>
              </w:tc>
            </w:tr>
          </w:tbl>
          <w:p w14:paraId="58E4EB8D">
            <w:pPr>
              <w:pStyle w:val="16"/>
              <w:ind w:firstLine="480"/>
              <w:jc w:val="both"/>
            </w:pPr>
            <w:r>
              <w:rPr>
                <w:rFonts w:hint="eastAsia"/>
              </w:rPr>
              <w:t>综上，本项目风险潜势为I，环境风险影响较小。项目可能发生的风险事故为废机油泄漏</w:t>
            </w:r>
            <w:r>
              <w:rPr>
                <w:rFonts w:hint="eastAsia"/>
                <w:lang w:val="en-US" w:eastAsia="zh-CN"/>
              </w:rPr>
              <w:t>及火灾</w:t>
            </w:r>
            <w:r>
              <w:rPr>
                <w:rFonts w:hint="eastAsia"/>
              </w:rPr>
              <w:t>，通过采取风险防治措施，可有效降低事故发生概率，对外环境造成环境可接受。因此，本项目的环境风险可防控。</w:t>
            </w:r>
          </w:p>
          <w:p w14:paraId="3FEC0C0E">
            <w:pPr>
              <w:pStyle w:val="16"/>
              <w:ind w:firstLine="482"/>
              <w:jc w:val="both"/>
              <w:rPr>
                <w:b/>
                <w:bCs/>
              </w:rPr>
            </w:pPr>
            <w:r>
              <w:rPr>
                <w:rFonts w:hint="eastAsia"/>
                <w:b/>
                <w:bCs/>
              </w:rPr>
              <w:t>七、环境管理与监测计划</w:t>
            </w:r>
          </w:p>
          <w:p w14:paraId="32FC580A">
            <w:pPr>
              <w:ind w:firstLine="482"/>
              <w:jc w:val="both"/>
              <w:rPr>
                <w:b/>
                <w:bCs/>
              </w:rPr>
            </w:pPr>
            <w:r>
              <w:rPr>
                <w:rFonts w:hint="eastAsia"/>
                <w:b/>
                <w:bCs/>
              </w:rPr>
              <w:t>1、</w:t>
            </w:r>
            <w:r>
              <w:rPr>
                <w:b/>
                <w:bCs/>
              </w:rPr>
              <w:t>环境管理</w:t>
            </w:r>
          </w:p>
          <w:p w14:paraId="0E0EFB00">
            <w:pPr>
              <w:ind w:firstLine="480"/>
              <w:jc w:val="both"/>
            </w:pPr>
            <w:r>
              <w:t>根据《建设项目环境保护设计规定》的要求，拟建项目应在</w:t>
            </w:r>
            <w:r>
              <w:rPr>
                <w:rFonts w:hint="eastAsia"/>
                <w:lang w:eastAsia="zh-CN"/>
              </w:rPr>
              <w:t>“</w:t>
            </w:r>
            <w:r>
              <w:t>三同时</w:t>
            </w:r>
            <w:r>
              <w:rPr>
                <w:rFonts w:hint="eastAsia"/>
                <w:lang w:eastAsia="zh-CN"/>
              </w:rPr>
              <w:t>”</w:t>
            </w:r>
            <w:r>
              <w:t>的原则下配套建设相应的污染治理设施，一方面为有效保护区域环境提供良好的技术基础，另一方面科学地管理、监督这些环保设施的运行又是保证治理效果的必要手段。因此项目实施后，设置专职环保人员负责环境管理、环境监测。</w:t>
            </w:r>
          </w:p>
          <w:p w14:paraId="7EAA4073">
            <w:pPr>
              <w:ind w:firstLine="480"/>
              <w:jc w:val="both"/>
            </w:pPr>
            <w:r>
              <w:rPr>
                <w:rFonts w:hint="eastAsia"/>
              </w:rPr>
              <w:t>（1）</w:t>
            </w:r>
            <w:r>
              <w:t>环境管理制度：</w:t>
            </w:r>
          </w:p>
          <w:p w14:paraId="15574BB7">
            <w:pPr>
              <w:ind w:firstLine="480"/>
              <w:jc w:val="both"/>
            </w:pPr>
            <w:r>
              <w:rPr>
                <w:rFonts w:hint="eastAsia"/>
              </w:rPr>
              <w:t>①</w:t>
            </w:r>
            <w:r>
              <w:t>严格执行</w:t>
            </w:r>
            <w:r>
              <w:rPr>
                <w:rFonts w:hint="eastAsia"/>
                <w:lang w:eastAsia="zh-CN"/>
              </w:rPr>
              <w:t>“</w:t>
            </w:r>
            <w:r>
              <w:t>三同时</w:t>
            </w:r>
            <w:r>
              <w:rPr>
                <w:rFonts w:hint="eastAsia"/>
                <w:lang w:eastAsia="zh-CN"/>
              </w:rPr>
              <w:t>”</w:t>
            </w:r>
            <w:r>
              <w:t>制度，在项目筹备、实施、建设阶段，应严格执行</w:t>
            </w:r>
            <w:r>
              <w:rPr>
                <w:rFonts w:hint="eastAsia"/>
                <w:lang w:eastAsia="zh-CN"/>
              </w:rPr>
              <w:t>“</w:t>
            </w:r>
            <w:r>
              <w:t>三同时</w:t>
            </w:r>
            <w:r>
              <w:rPr>
                <w:rFonts w:hint="eastAsia"/>
                <w:lang w:eastAsia="zh-CN"/>
              </w:rPr>
              <w:t>”</w:t>
            </w:r>
            <w:r>
              <w:t>，确保污染处理设施和生产工艺</w:t>
            </w:r>
            <w:r>
              <w:rPr>
                <w:rFonts w:hint="eastAsia"/>
                <w:lang w:eastAsia="zh-CN"/>
              </w:rPr>
              <w:t>“</w:t>
            </w:r>
            <w:r>
              <w:t>同时设计、同时施工、同时竣工</w:t>
            </w:r>
            <w:r>
              <w:rPr>
                <w:rFonts w:hint="eastAsia"/>
                <w:lang w:eastAsia="zh-CN"/>
              </w:rPr>
              <w:t>”</w:t>
            </w:r>
            <w:r>
              <w:t>。</w:t>
            </w:r>
          </w:p>
          <w:p w14:paraId="1362D9F0">
            <w:pPr>
              <w:ind w:firstLine="480"/>
              <w:jc w:val="both"/>
            </w:pPr>
            <w:r>
              <w:rPr>
                <w:rFonts w:hint="eastAsia"/>
              </w:rPr>
              <w:t>②</w:t>
            </w:r>
            <w:r>
              <w:t>建立排污定期报告制度</w:t>
            </w:r>
          </w:p>
          <w:p w14:paraId="23CF1565">
            <w:pPr>
              <w:ind w:firstLine="480"/>
              <w:jc w:val="both"/>
            </w:pPr>
            <w:r>
              <w:t>在企业产品结构和排污量发生重大变化、污染治理设施发生改变时，必须向当地环保主管部门申报。</w:t>
            </w:r>
          </w:p>
          <w:p w14:paraId="08CFF688">
            <w:pPr>
              <w:ind w:firstLine="480"/>
              <w:jc w:val="both"/>
            </w:pPr>
            <w:r>
              <w:rPr>
                <w:rFonts w:hint="eastAsia"/>
              </w:rPr>
              <w:t>③</w:t>
            </w:r>
            <w:r>
              <w:t>健全污染处理设施管理制度</w:t>
            </w:r>
          </w:p>
          <w:p w14:paraId="1EAF2B78">
            <w:pPr>
              <w:ind w:firstLine="480"/>
              <w:jc w:val="both"/>
            </w:pPr>
            <w:r>
              <w:t>将污染处理设施的管理和生产经营活动一起纳入企业单位日常管理工作的范畴，落实责任人，不得擅自拆除或闲置已有的污染处理设施，严禁故意不正常使用污染处理设施。</w:t>
            </w:r>
          </w:p>
          <w:p w14:paraId="55D27505">
            <w:pPr>
              <w:ind w:firstLine="480"/>
              <w:jc w:val="both"/>
            </w:pPr>
            <w:r>
              <w:rPr>
                <w:rFonts w:hint="eastAsia"/>
              </w:rPr>
              <w:t>④</w:t>
            </w:r>
            <w:r>
              <w:t>环境目标管理责任制和环保奖惩条例</w:t>
            </w:r>
          </w:p>
          <w:p w14:paraId="5685764A">
            <w:pPr>
              <w:ind w:firstLine="480"/>
              <w:jc w:val="both"/>
            </w:pPr>
            <w:r>
              <w:t>建立并实施从</w:t>
            </w:r>
            <w:r>
              <w:rPr>
                <w:rFonts w:hint="eastAsia"/>
              </w:rPr>
              <w:t>员工</w:t>
            </w:r>
            <w:r>
              <w:t>到各部门的环境目标管理责任制，把完成环境目标责任与奖惩制度结合起来。设置环境保护奖惩条例，对爱护环保设施、节能降耗、减少污染物排放、改善环境者实施奖励；对环保观念淡薄，不按环保要求管理，造成环保设施非正常损坏、发生污染事故以及浪费资源者一律予以重罚。</w:t>
            </w:r>
          </w:p>
          <w:p w14:paraId="4D694441">
            <w:pPr>
              <w:ind w:firstLine="480"/>
              <w:jc w:val="both"/>
            </w:pPr>
            <w:r>
              <w:rPr>
                <w:rFonts w:hint="eastAsia"/>
              </w:rPr>
              <w:t>⑤</w:t>
            </w:r>
            <w:r>
              <w:t>职工环保教育、培训制度</w:t>
            </w:r>
          </w:p>
          <w:p w14:paraId="759F05BE">
            <w:pPr>
              <w:ind w:firstLine="480"/>
              <w:jc w:val="both"/>
            </w:pPr>
            <w:r>
              <w:t>加强职工的环保知识教育，提高职工环保意识，增加对生产污染危害的认识，明白自身在工作过程中的位置和责任。加强员工的上岗培训工作，严格执行培训考核制度，不合格人员均不允许上岗操作。</w:t>
            </w:r>
          </w:p>
          <w:p w14:paraId="6D3BA53A">
            <w:pPr>
              <w:ind w:firstLine="482"/>
              <w:jc w:val="both"/>
              <w:rPr>
                <w:b/>
                <w:bCs/>
              </w:rPr>
            </w:pPr>
            <w:r>
              <w:rPr>
                <w:rFonts w:hint="eastAsia"/>
                <w:b/>
                <w:bCs/>
              </w:rPr>
              <w:t>2、项目环评与排污许可联动内容</w:t>
            </w:r>
          </w:p>
          <w:p w14:paraId="33E1510F">
            <w:pPr>
              <w:ind w:firstLine="480"/>
              <w:jc w:val="both"/>
            </w:pPr>
            <w:r>
              <w:rPr>
                <w:rFonts w:hint="eastAsia"/>
              </w:rPr>
              <w:t>根据安徽省生态环境厅于2021年1月30日发布的《安徽省生态环境厅关于统筹做好固定污染源排污许可日常监管工作的通知》（皖环发〔2021〕7号），属于现行《固定污染源排污许可分类管理名录》内重点管理和简化管理的行业，在环评文件中应明确</w:t>
            </w:r>
            <w:r>
              <w:rPr>
                <w:rFonts w:hint="eastAsia"/>
                <w:lang w:eastAsia="zh-CN"/>
              </w:rPr>
              <w:t>“</w:t>
            </w:r>
            <w:r>
              <w:rPr>
                <w:rFonts w:hint="eastAsia"/>
              </w:rPr>
              <w:t>建设项目环境影响评价与排污许可联动内容</w:t>
            </w:r>
            <w:r>
              <w:rPr>
                <w:rFonts w:hint="eastAsia"/>
                <w:lang w:eastAsia="zh-CN"/>
              </w:rPr>
              <w:t>”</w:t>
            </w:r>
            <w:r>
              <w:rPr>
                <w:rFonts w:hint="eastAsia"/>
              </w:rPr>
              <w:t>和《建设项目排污许可申请与填发信息表》。</w:t>
            </w:r>
          </w:p>
          <w:p w14:paraId="20CD2B1D">
            <w:pPr>
              <w:ind w:firstLine="482"/>
              <w:jc w:val="both"/>
              <w:rPr>
                <w:b/>
                <w:bCs/>
              </w:rPr>
            </w:pPr>
            <w:r>
              <w:rPr>
                <w:rFonts w:hint="eastAsia"/>
                <w:b/>
                <w:bCs/>
              </w:rPr>
              <w:t>（1）排污许可管理</w:t>
            </w:r>
          </w:p>
          <w:p w14:paraId="639D8251">
            <w:pPr>
              <w:ind w:firstLine="480"/>
              <w:jc w:val="both"/>
            </w:pPr>
            <w:r>
              <w:rPr>
                <w:rFonts w:hint="eastAsia"/>
              </w:rPr>
              <w:t>根据项目备案文件，可知本项目排污许可证管理类别属于名录表中</w:t>
            </w:r>
            <w:r>
              <w:rPr>
                <w:rFonts w:hint="eastAsia"/>
                <w:lang w:eastAsia="zh-CN"/>
              </w:rPr>
              <w:t>“</w:t>
            </w:r>
            <w:r>
              <w:rPr>
                <w:rFonts w:hint="eastAsia"/>
              </w:rPr>
              <w:t>二十四、橡胶和塑料制品业29</w:t>
            </w:r>
            <w:r>
              <w:rPr>
                <w:rFonts w:hint="eastAsia"/>
                <w:lang w:eastAsia="zh-CN"/>
              </w:rPr>
              <w:t>”</w:t>
            </w:r>
            <w:r>
              <w:rPr>
                <w:rFonts w:hint="eastAsia"/>
              </w:rPr>
              <w:t>之下的</w:t>
            </w:r>
            <w:r>
              <w:rPr>
                <w:rFonts w:hint="eastAsia"/>
                <w:lang w:eastAsia="zh-CN"/>
              </w:rPr>
              <w:t>“</w:t>
            </w:r>
            <w:r>
              <w:rPr>
                <w:rFonts w:hint="eastAsia"/>
              </w:rPr>
              <w:t>62塑料制品业292</w:t>
            </w:r>
            <w:r>
              <w:rPr>
                <w:rFonts w:hint="eastAsia"/>
                <w:lang w:eastAsia="zh-CN"/>
              </w:rPr>
              <w:t>”</w:t>
            </w:r>
            <w:r>
              <w:rPr>
                <w:rFonts w:hint="eastAsia"/>
              </w:rPr>
              <w:t>的</w:t>
            </w:r>
            <w:r>
              <w:rPr>
                <w:rFonts w:hint="eastAsia"/>
                <w:lang w:val="en-US" w:eastAsia="zh-CN"/>
              </w:rPr>
              <w:t>登记</w:t>
            </w:r>
            <w:r>
              <w:rPr>
                <w:rFonts w:hint="eastAsia"/>
              </w:rPr>
              <w:t>管理项-</w:t>
            </w:r>
            <w:r>
              <w:rPr>
                <w:rFonts w:hint="eastAsia"/>
                <w:lang w:eastAsia="zh-CN"/>
              </w:rPr>
              <w:t>“</w:t>
            </w:r>
            <w:r>
              <w:rPr>
                <w:rFonts w:hint="eastAsia" w:ascii="宋体" w:hAnsi="宋体" w:cs="宋体"/>
                <w:kern w:val="0"/>
                <w:lang w:val="en-US" w:eastAsia="zh-CN"/>
              </w:rPr>
              <w:t>其他</w:t>
            </w:r>
            <w:r>
              <w:rPr>
                <w:rFonts w:hint="eastAsia"/>
                <w:lang w:eastAsia="zh-CN"/>
              </w:rPr>
              <w:t>”</w:t>
            </w:r>
            <w:r>
              <w:rPr>
                <w:rFonts w:hint="eastAsia"/>
              </w:rPr>
              <w:t>，因此，项目运营前应办理排污</w:t>
            </w:r>
            <w:r>
              <w:rPr>
                <w:rFonts w:hint="eastAsia"/>
                <w:color w:val="auto"/>
              </w:rPr>
              <w:t>许可</w:t>
            </w:r>
            <w:r>
              <w:rPr>
                <w:rFonts w:hint="eastAsia"/>
                <w:color w:val="auto"/>
                <w:lang w:val="en-US" w:eastAsia="zh-CN"/>
              </w:rPr>
              <w:t>登记</w:t>
            </w:r>
            <w:r>
              <w:rPr>
                <w:rFonts w:hint="eastAsia"/>
                <w:color w:val="auto"/>
              </w:rPr>
              <w:t>手续。</w:t>
            </w:r>
          </w:p>
          <w:p w14:paraId="360588AA">
            <w:pPr>
              <w:ind w:firstLine="482"/>
              <w:jc w:val="both"/>
              <w:rPr>
                <w:b/>
                <w:bCs/>
              </w:rPr>
            </w:pPr>
            <w:r>
              <w:rPr>
                <w:rFonts w:hint="eastAsia"/>
                <w:b/>
                <w:bCs/>
              </w:rPr>
              <w:t>（2）排</w:t>
            </w:r>
            <w:r>
              <w:rPr>
                <w:b/>
                <w:bCs/>
              </w:rPr>
              <w:t>污口规划化整治</w:t>
            </w:r>
          </w:p>
          <w:p w14:paraId="5C7C34C6">
            <w:pPr>
              <w:ind w:firstLine="480"/>
              <w:jc w:val="both"/>
            </w:pPr>
            <w:r>
              <w:t>按《安徽省污染源排放口规范化整治管理办法》（环法函〔2005〕114）号要求，</w:t>
            </w:r>
            <w:r>
              <w:rPr>
                <w:rFonts w:hint="eastAsia"/>
              </w:rPr>
              <w:t>本</w:t>
            </w:r>
            <w:r>
              <w:t>项目废气排气筒、固废堆放场所必须进行规范化设置。排放口图形标志见</w:t>
            </w:r>
            <w:r>
              <w:rPr>
                <w:rFonts w:hint="eastAsia"/>
              </w:rPr>
              <w:t>下</w:t>
            </w:r>
            <w:r>
              <w:t>表</w:t>
            </w:r>
            <w:r>
              <w:rPr>
                <w:rFonts w:hint="eastAsia"/>
              </w:rPr>
              <w:t>：</w:t>
            </w:r>
          </w:p>
          <w:p w14:paraId="215DE961">
            <w:pPr>
              <w:pStyle w:val="49"/>
            </w:pPr>
            <w:r>
              <w:rPr>
                <w:rFonts w:hint="eastAsia"/>
              </w:rPr>
              <w:t>表4-</w:t>
            </w:r>
            <w:r>
              <w:rPr>
                <w:rFonts w:hint="eastAsia"/>
                <w:lang w:val="en-US" w:eastAsia="zh-CN"/>
              </w:rPr>
              <w:t>29</w:t>
            </w:r>
            <w:r>
              <w:rPr>
                <w:rFonts w:hint="eastAsia"/>
              </w:rPr>
              <w:t xml:space="preserve"> 厂区排污口图形符号（提示标志）一览表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07"/>
              <w:gridCol w:w="1837"/>
              <w:gridCol w:w="1815"/>
              <w:gridCol w:w="1899"/>
              <w:gridCol w:w="1691"/>
            </w:tblGrid>
            <w:tr w14:paraId="02248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4" w:type="pct"/>
                  <w:vAlign w:val="center"/>
                </w:tcPr>
                <w:p w14:paraId="4B726473">
                  <w:pPr>
                    <w:pStyle w:val="47"/>
                    <w:rPr>
                      <w:rFonts w:hint="default"/>
                    </w:rPr>
                  </w:pPr>
                  <w:r>
                    <w:t>项目排放部位</w:t>
                  </w:r>
                </w:p>
              </w:tc>
              <w:tc>
                <w:tcPr>
                  <w:tcW w:w="1087" w:type="pct"/>
                  <w:vAlign w:val="center"/>
                </w:tcPr>
                <w:p w14:paraId="4445B0DD">
                  <w:pPr>
                    <w:pStyle w:val="47"/>
                    <w:rPr>
                      <w:rFonts w:hint="default"/>
                    </w:rPr>
                  </w:pPr>
                  <w:r>
                    <w:t>噪声排放源</w:t>
                  </w:r>
                </w:p>
              </w:tc>
              <w:tc>
                <w:tcPr>
                  <w:tcW w:w="1074" w:type="pct"/>
                  <w:vAlign w:val="center"/>
                </w:tcPr>
                <w:p w14:paraId="56CB8A16">
                  <w:pPr>
                    <w:pStyle w:val="47"/>
                    <w:rPr>
                      <w:rFonts w:hint="default"/>
                    </w:rPr>
                  </w:pPr>
                  <w:r>
                    <w:t>一般固体废物排放源</w:t>
                  </w:r>
                </w:p>
              </w:tc>
              <w:tc>
                <w:tcPr>
                  <w:tcW w:w="1123" w:type="pct"/>
                  <w:vAlign w:val="center"/>
                </w:tcPr>
                <w:p w14:paraId="1200399F">
                  <w:pPr>
                    <w:pStyle w:val="47"/>
                    <w:rPr>
                      <w:rFonts w:hint="default"/>
                    </w:rPr>
                  </w:pPr>
                  <w:r>
                    <w:t>废气排放源</w:t>
                  </w:r>
                </w:p>
              </w:tc>
              <w:tc>
                <w:tcPr>
                  <w:tcW w:w="1000" w:type="pct"/>
                  <w:vAlign w:val="center"/>
                </w:tcPr>
                <w:p w14:paraId="2DA026DD">
                  <w:pPr>
                    <w:pStyle w:val="47"/>
                    <w:rPr>
                      <w:rFonts w:hint="default"/>
                    </w:rPr>
                  </w:pPr>
                  <w:r>
                    <w:t>危废暂存间</w:t>
                  </w:r>
                </w:p>
              </w:tc>
            </w:tr>
            <w:tr w14:paraId="27560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4" w:type="pct"/>
                  <w:vAlign w:val="center"/>
                </w:tcPr>
                <w:p w14:paraId="6E86C9FE">
                  <w:pPr>
                    <w:pStyle w:val="47"/>
                    <w:rPr>
                      <w:rFonts w:hint="default"/>
                    </w:rPr>
                  </w:pPr>
                  <w:r>
                    <w:t>图形符号</w:t>
                  </w:r>
                </w:p>
              </w:tc>
              <w:tc>
                <w:tcPr>
                  <w:tcW w:w="1087" w:type="pct"/>
                  <w:vAlign w:val="center"/>
                </w:tcPr>
                <w:p w14:paraId="7B12BD51">
                  <w:pPr>
                    <w:pStyle w:val="47"/>
                    <w:rPr>
                      <w:rFonts w:hint="default"/>
                    </w:rPr>
                  </w:pPr>
                  <w:r>
                    <w:drawing>
                      <wp:inline distT="0" distB="0" distL="114300" distR="114300">
                        <wp:extent cx="845820" cy="802640"/>
                        <wp:effectExtent l="0" t="0" r="11430" b="16510"/>
                        <wp:docPr id="18"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5"/>
                                <pic:cNvPicPr>
                                  <a:picLocks noChangeAspect="1"/>
                                </pic:cNvPicPr>
                              </pic:nvPicPr>
                              <pic:blipFill>
                                <a:blip r:embed="rId35" cstate="print"/>
                                <a:stretch>
                                  <a:fillRect/>
                                </a:stretch>
                              </pic:blipFill>
                              <pic:spPr>
                                <a:xfrm>
                                  <a:off x="0" y="0"/>
                                  <a:ext cx="845820" cy="802640"/>
                                </a:xfrm>
                                <a:prstGeom prst="rect">
                                  <a:avLst/>
                                </a:prstGeom>
                                <a:noFill/>
                                <a:ln>
                                  <a:noFill/>
                                </a:ln>
                              </pic:spPr>
                            </pic:pic>
                          </a:graphicData>
                        </a:graphic>
                      </wp:inline>
                    </w:drawing>
                  </w:r>
                </w:p>
              </w:tc>
              <w:tc>
                <w:tcPr>
                  <w:tcW w:w="1074" w:type="pct"/>
                  <w:vAlign w:val="center"/>
                </w:tcPr>
                <w:p w14:paraId="3DC3BB52">
                  <w:pPr>
                    <w:pStyle w:val="47"/>
                    <w:rPr>
                      <w:rFonts w:hint="default"/>
                    </w:rPr>
                  </w:pPr>
                  <w:r>
                    <w:drawing>
                      <wp:inline distT="0" distB="0" distL="114300" distR="114300">
                        <wp:extent cx="751840" cy="760730"/>
                        <wp:effectExtent l="0" t="0" r="10160" b="1270"/>
                        <wp:docPr id="19"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6"/>
                                <pic:cNvPicPr>
                                  <a:picLocks noChangeAspect="1"/>
                                </pic:cNvPicPr>
                              </pic:nvPicPr>
                              <pic:blipFill>
                                <a:blip r:embed="rId36" cstate="print"/>
                                <a:stretch>
                                  <a:fillRect/>
                                </a:stretch>
                              </pic:blipFill>
                              <pic:spPr>
                                <a:xfrm>
                                  <a:off x="0" y="0"/>
                                  <a:ext cx="751840" cy="760730"/>
                                </a:xfrm>
                                <a:prstGeom prst="rect">
                                  <a:avLst/>
                                </a:prstGeom>
                                <a:noFill/>
                                <a:ln>
                                  <a:noFill/>
                                </a:ln>
                              </pic:spPr>
                            </pic:pic>
                          </a:graphicData>
                        </a:graphic>
                      </wp:inline>
                    </w:drawing>
                  </w:r>
                </w:p>
              </w:tc>
              <w:tc>
                <w:tcPr>
                  <w:tcW w:w="1123" w:type="pct"/>
                  <w:vAlign w:val="center"/>
                </w:tcPr>
                <w:p w14:paraId="69DFC77A">
                  <w:pPr>
                    <w:pStyle w:val="47"/>
                    <w:rPr>
                      <w:rFonts w:hint="default"/>
                    </w:rPr>
                  </w:pPr>
                  <w:r>
                    <w:drawing>
                      <wp:inline distT="0" distB="0" distL="114300" distR="114300">
                        <wp:extent cx="769620" cy="679450"/>
                        <wp:effectExtent l="0" t="0" r="11430" b="6350"/>
                        <wp:docPr id="2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8"/>
                                <pic:cNvPicPr>
                                  <a:picLocks noChangeAspect="1"/>
                                </pic:cNvPicPr>
                              </pic:nvPicPr>
                              <pic:blipFill>
                                <a:blip r:embed="rId37" cstate="print"/>
                                <a:srcRect t="11118" b="8553"/>
                                <a:stretch>
                                  <a:fillRect/>
                                </a:stretch>
                              </pic:blipFill>
                              <pic:spPr>
                                <a:xfrm>
                                  <a:off x="0" y="0"/>
                                  <a:ext cx="769620" cy="679450"/>
                                </a:xfrm>
                                <a:prstGeom prst="rect">
                                  <a:avLst/>
                                </a:prstGeom>
                                <a:noFill/>
                                <a:ln>
                                  <a:noFill/>
                                </a:ln>
                              </pic:spPr>
                            </pic:pic>
                          </a:graphicData>
                        </a:graphic>
                      </wp:inline>
                    </w:drawing>
                  </w:r>
                </w:p>
              </w:tc>
              <w:tc>
                <w:tcPr>
                  <w:tcW w:w="1000" w:type="pct"/>
                  <w:vAlign w:val="center"/>
                </w:tcPr>
                <w:p w14:paraId="7BD12EF3">
                  <w:pPr>
                    <w:pStyle w:val="47"/>
                    <w:rPr>
                      <w:rFonts w:hint="default"/>
                    </w:rPr>
                  </w:pPr>
                  <w:r>
                    <w:drawing>
                      <wp:inline distT="0" distB="0" distL="114300" distR="114300">
                        <wp:extent cx="797560" cy="685165"/>
                        <wp:effectExtent l="0" t="0" r="2540" b="635"/>
                        <wp:docPr id="22"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3"/>
                                <pic:cNvPicPr>
                                  <a:picLocks noChangeAspect="1"/>
                                </pic:cNvPicPr>
                              </pic:nvPicPr>
                              <pic:blipFill>
                                <a:blip r:embed="rId38" cstate="print"/>
                                <a:stretch>
                                  <a:fillRect/>
                                </a:stretch>
                              </pic:blipFill>
                              <pic:spPr>
                                <a:xfrm>
                                  <a:off x="0" y="0"/>
                                  <a:ext cx="797560" cy="685165"/>
                                </a:xfrm>
                                <a:prstGeom prst="rect">
                                  <a:avLst/>
                                </a:prstGeom>
                                <a:noFill/>
                                <a:ln>
                                  <a:noFill/>
                                </a:ln>
                              </pic:spPr>
                            </pic:pic>
                          </a:graphicData>
                        </a:graphic>
                      </wp:inline>
                    </w:drawing>
                  </w:r>
                </w:p>
              </w:tc>
            </w:tr>
            <w:tr w14:paraId="7C36A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4" w:type="pct"/>
                  <w:vAlign w:val="center"/>
                </w:tcPr>
                <w:p w14:paraId="4EE8DBB4">
                  <w:pPr>
                    <w:pStyle w:val="47"/>
                    <w:rPr>
                      <w:rFonts w:hint="default"/>
                    </w:rPr>
                  </w:pPr>
                  <w:r>
                    <w:t>形状</w:t>
                  </w:r>
                </w:p>
              </w:tc>
              <w:tc>
                <w:tcPr>
                  <w:tcW w:w="1087" w:type="pct"/>
                  <w:vAlign w:val="center"/>
                </w:tcPr>
                <w:p w14:paraId="3499C83A">
                  <w:pPr>
                    <w:pStyle w:val="47"/>
                    <w:rPr>
                      <w:rFonts w:hint="default"/>
                    </w:rPr>
                  </w:pPr>
                  <w:r>
                    <w:t>正方形边框</w:t>
                  </w:r>
                </w:p>
              </w:tc>
              <w:tc>
                <w:tcPr>
                  <w:tcW w:w="1074" w:type="pct"/>
                  <w:vAlign w:val="center"/>
                </w:tcPr>
                <w:p w14:paraId="29C48A57">
                  <w:pPr>
                    <w:pStyle w:val="47"/>
                    <w:rPr>
                      <w:rFonts w:hint="default"/>
                    </w:rPr>
                  </w:pPr>
                  <w:r>
                    <w:t>正方形边框</w:t>
                  </w:r>
                </w:p>
              </w:tc>
              <w:tc>
                <w:tcPr>
                  <w:tcW w:w="1123" w:type="pct"/>
                  <w:vAlign w:val="center"/>
                </w:tcPr>
                <w:p w14:paraId="23BB61E1">
                  <w:pPr>
                    <w:pStyle w:val="47"/>
                    <w:rPr>
                      <w:rFonts w:hint="default"/>
                    </w:rPr>
                  </w:pPr>
                  <w:r>
                    <w:t>正方形边框</w:t>
                  </w:r>
                </w:p>
              </w:tc>
              <w:tc>
                <w:tcPr>
                  <w:tcW w:w="1000" w:type="pct"/>
                  <w:vAlign w:val="center"/>
                </w:tcPr>
                <w:p w14:paraId="5BC029F6">
                  <w:pPr>
                    <w:pStyle w:val="47"/>
                    <w:rPr>
                      <w:rFonts w:hint="default"/>
                    </w:rPr>
                  </w:pPr>
                  <w:r>
                    <w:t>等边三角形</w:t>
                  </w:r>
                </w:p>
              </w:tc>
            </w:tr>
            <w:tr w14:paraId="19ACB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4" w:type="pct"/>
                  <w:vAlign w:val="center"/>
                </w:tcPr>
                <w:p w14:paraId="607C2471">
                  <w:pPr>
                    <w:pStyle w:val="47"/>
                    <w:rPr>
                      <w:rFonts w:hint="default"/>
                    </w:rPr>
                  </w:pPr>
                  <w:r>
                    <w:t>背景颜色</w:t>
                  </w:r>
                </w:p>
              </w:tc>
              <w:tc>
                <w:tcPr>
                  <w:tcW w:w="1087" w:type="pct"/>
                  <w:vAlign w:val="center"/>
                </w:tcPr>
                <w:p w14:paraId="2ACF05D6">
                  <w:pPr>
                    <w:pStyle w:val="47"/>
                    <w:rPr>
                      <w:rFonts w:hint="default"/>
                    </w:rPr>
                  </w:pPr>
                  <w:r>
                    <w:t>绿色</w:t>
                  </w:r>
                </w:p>
              </w:tc>
              <w:tc>
                <w:tcPr>
                  <w:tcW w:w="1074" w:type="pct"/>
                  <w:vAlign w:val="center"/>
                </w:tcPr>
                <w:p w14:paraId="0E69A7B5">
                  <w:pPr>
                    <w:pStyle w:val="47"/>
                    <w:rPr>
                      <w:rFonts w:hint="default"/>
                    </w:rPr>
                  </w:pPr>
                  <w:r>
                    <w:t>绿色</w:t>
                  </w:r>
                </w:p>
              </w:tc>
              <w:tc>
                <w:tcPr>
                  <w:tcW w:w="1123" w:type="pct"/>
                  <w:vAlign w:val="center"/>
                </w:tcPr>
                <w:p w14:paraId="05888569">
                  <w:pPr>
                    <w:pStyle w:val="47"/>
                    <w:rPr>
                      <w:rFonts w:hint="default"/>
                    </w:rPr>
                  </w:pPr>
                  <w:r>
                    <w:t>绿色</w:t>
                  </w:r>
                </w:p>
              </w:tc>
              <w:tc>
                <w:tcPr>
                  <w:tcW w:w="1000" w:type="pct"/>
                  <w:vAlign w:val="center"/>
                </w:tcPr>
                <w:p w14:paraId="5E2932E4">
                  <w:pPr>
                    <w:pStyle w:val="47"/>
                    <w:rPr>
                      <w:rFonts w:hint="default"/>
                    </w:rPr>
                  </w:pPr>
                  <w:r>
                    <w:t>黄色</w:t>
                  </w:r>
                </w:p>
              </w:tc>
            </w:tr>
            <w:tr w14:paraId="6BAFC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4" w:type="pct"/>
                  <w:vAlign w:val="center"/>
                </w:tcPr>
                <w:p w14:paraId="51580080">
                  <w:pPr>
                    <w:pStyle w:val="47"/>
                    <w:rPr>
                      <w:rFonts w:hint="default"/>
                    </w:rPr>
                  </w:pPr>
                  <w:r>
                    <w:t>图形颜色</w:t>
                  </w:r>
                </w:p>
              </w:tc>
              <w:tc>
                <w:tcPr>
                  <w:tcW w:w="1087" w:type="pct"/>
                  <w:vAlign w:val="center"/>
                </w:tcPr>
                <w:p w14:paraId="2938EC8F">
                  <w:pPr>
                    <w:pStyle w:val="47"/>
                    <w:rPr>
                      <w:rFonts w:hint="default"/>
                    </w:rPr>
                  </w:pPr>
                  <w:r>
                    <w:t>白色</w:t>
                  </w:r>
                </w:p>
              </w:tc>
              <w:tc>
                <w:tcPr>
                  <w:tcW w:w="1074" w:type="pct"/>
                  <w:vAlign w:val="center"/>
                </w:tcPr>
                <w:p w14:paraId="45D33F71">
                  <w:pPr>
                    <w:pStyle w:val="47"/>
                    <w:rPr>
                      <w:rFonts w:hint="default"/>
                    </w:rPr>
                  </w:pPr>
                  <w:r>
                    <w:t>白色</w:t>
                  </w:r>
                </w:p>
              </w:tc>
              <w:tc>
                <w:tcPr>
                  <w:tcW w:w="1123" w:type="pct"/>
                  <w:vAlign w:val="center"/>
                </w:tcPr>
                <w:p w14:paraId="703BDB25">
                  <w:pPr>
                    <w:pStyle w:val="47"/>
                    <w:rPr>
                      <w:rFonts w:hint="default"/>
                    </w:rPr>
                  </w:pPr>
                  <w:r>
                    <w:t>白色</w:t>
                  </w:r>
                </w:p>
              </w:tc>
              <w:tc>
                <w:tcPr>
                  <w:tcW w:w="1000" w:type="pct"/>
                  <w:vAlign w:val="center"/>
                </w:tcPr>
                <w:p w14:paraId="76DECEF9">
                  <w:pPr>
                    <w:pStyle w:val="47"/>
                    <w:rPr>
                      <w:rFonts w:hint="default"/>
                    </w:rPr>
                  </w:pPr>
                  <w:r>
                    <w:t>黑色</w:t>
                  </w:r>
                </w:p>
              </w:tc>
            </w:tr>
            <w:tr w14:paraId="7CBED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4" w:type="pct"/>
                  <w:vAlign w:val="center"/>
                </w:tcPr>
                <w:p w14:paraId="3412B7B9">
                  <w:pPr>
                    <w:pStyle w:val="47"/>
                    <w:rPr>
                      <w:rFonts w:hint="default"/>
                    </w:rPr>
                  </w:pPr>
                  <w:r>
                    <w:t>功能</w:t>
                  </w:r>
                </w:p>
              </w:tc>
              <w:tc>
                <w:tcPr>
                  <w:tcW w:w="1087" w:type="pct"/>
                  <w:vAlign w:val="center"/>
                </w:tcPr>
                <w:p w14:paraId="07C16B7D">
                  <w:pPr>
                    <w:pStyle w:val="47"/>
                    <w:rPr>
                      <w:rFonts w:hint="default"/>
                    </w:rPr>
                  </w:pPr>
                  <w:r>
                    <w:t>表示噪声向外环境排放</w:t>
                  </w:r>
                </w:p>
              </w:tc>
              <w:tc>
                <w:tcPr>
                  <w:tcW w:w="1074" w:type="pct"/>
                  <w:vAlign w:val="center"/>
                </w:tcPr>
                <w:p w14:paraId="43D622DF">
                  <w:pPr>
                    <w:pStyle w:val="47"/>
                    <w:rPr>
                      <w:rFonts w:hint="default"/>
                    </w:rPr>
                  </w:pPr>
                  <w:r>
                    <w:t>表示一般固体废物</w:t>
                  </w:r>
                </w:p>
              </w:tc>
              <w:tc>
                <w:tcPr>
                  <w:tcW w:w="1123" w:type="pct"/>
                  <w:vAlign w:val="center"/>
                </w:tcPr>
                <w:p w14:paraId="70FADDA4">
                  <w:pPr>
                    <w:pStyle w:val="47"/>
                    <w:rPr>
                      <w:rFonts w:hint="default"/>
                    </w:rPr>
                  </w:pPr>
                  <w:r>
                    <w:t>表示废气向外排放</w:t>
                  </w:r>
                </w:p>
              </w:tc>
              <w:tc>
                <w:tcPr>
                  <w:tcW w:w="1000" w:type="pct"/>
                  <w:vAlign w:val="center"/>
                </w:tcPr>
                <w:p w14:paraId="48053F63">
                  <w:pPr>
                    <w:pStyle w:val="47"/>
                    <w:rPr>
                      <w:rFonts w:hint="default"/>
                    </w:rPr>
                  </w:pPr>
                  <w:r>
                    <w:t>表示危险废物</w:t>
                  </w:r>
                </w:p>
              </w:tc>
            </w:tr>
          </w:tbl>
          <w:p w14:paraId="640E62FB">
            <w:pPr>
              <w:autoSpaceDE w:val="0"/>
              <w:autoSpaceDN w:val="0"/>
              <w:spacing w:before="24" w:after="24"/>
              <w:ind w:firstLine="480"/>
              <w:jc w:val="both"/>
            </w:pPr>
            <w:r>
              <w:rPr>
                <w:rFonts w:hint="eastAsia"/>
              </w:rPr>
              <w:t>①</w:t>
            </w:r>
            <w:r>
              <w:t>废气排气筒规范化</w:t>
            </w:r>
          </w:p>
          <w:p w14:paraId="13E596F0">
            <w:pPr>
              <w:autoSpaceDE w:val="0"/>
              <w:autoSpaceDN w:val="0"/>
              <w:spacing w:before="24" w:after="24"/>
              <w:ind w:firstLine="480"/>
              <w:jc w:val="both"/>
            </w:pPr>
            <w:r>
              <w:t>废气排气筒应设置便于采样、监测并符合《污染源监测技术规范》要求的采样口和采样平台，无法满足要求的应由市级以上环境监测部门确认采样口位置。并且按照《环境保护图形标志</w:t>
            </w:r>
            <w:r>
              <w:rPr>
                <w:rFonts w:hint="eastAsia"/>
              </w:rPr>
              <w:t>-排放口（源）</w:t>
            </w:r>
            <w:r>
              <w:t>》（GB15562.1-1995）的规定设置与之相适应的环境保护图形标志牌。环境保护图形标志牌设置位置应距污染物排放口或采样点较近且醒目处，并能长久保留。</w:t>
            </w:r>
          </w:p>
          <w:p w14:paraId="7979D231">
            <w:pPr>
              <w:autoSpaceDE w:val="0"/>
              <w:autoSpaceDN w:val="0"/>
              <w:spacing w:before="24" w:after="24"/>
              <w:ind w:firstLine="480"/>
              <w:jc w:val="both"/>
            </w:pPr>
            <w:r>
              <w:rPr>
                <w:rFonts w:hint="eastAsia"/>
              </w:rPr>
              <w:t>②</w:t>
            </w:r>
            <w:r>
              <w:t>固体废物堆放场所规范化</w:t>
            </w:r>
          </w:p>
          <w:p w14:paraId="1FBBA44A">
            <w:pPr>
              <w:ind w:firstLine="480"/>
              <w:jc w:val="both"/>
            </w:pPr>
            <w:r>
              <w:t>本项目固体废物应按照固废处理相关规定加强管理，应加强暂存期间的管理，存放场应采取严格的防渗、防流失措施，并按照《环境保护图形标志—固体废物贮存（处置）场》（GB15562.</w:t>
            </w:r>
            <w:r>
              <w:rPr>
                <w:rFonts w:hint="eastAsia"/>
              </w:rPr>
              <w:t>2</w:t>
            </w:r>
            <w:r>
              <w:t>-1995）</w:t>
            </w:r>
            <w:r>
              <w:rPr>
                <w:rFonts w:hint="eastAsia"/>
              </w:rPr>
              <w:t>及其修改单</w:t>
            </w:r>
            <w:r>
              <w:t>的规定设置与之相适应的环境保护图形标志牌。环境保护图形标志牌设置位置应距固体废物贮存场较近且醒目处，并能长久保留。危险废物贮存（堆放）场应设置警告性环境保护图形标志牌。</w:t>
            </w:r>
          </w:p>
          <w:p w14:paraId="34D8F4FC">
            <w:pPr>
              <w:pStyle w:val="3"/>
              <w:rPr>
                <w:color w:val="auto"/>
                <w:spacing w:val="6"/>
                <w:highlight w:val="none"/>
                <w:vertAlign w:val="baseline"/>
              </w:rPr>
            </w:pPr>
          </w:p>
        </w:tc>
      </w:tr>
    </w:tbl>
    <w:p w14:paraId="516A8A96">
      <w:pPr>
        <w:pStyle w:val="3"/>
        <w:ind w:firstLine="667"/>
        <w:rPr>
          <w:b w:val="0"/>
          <w:bCs w:val="0"/>
        </w:rPr>
      </w:pPr>
      <w:r>
        <w:rPr>
          <w:color w:val="auto"/>
          <w:spacing w:val="6"/>
          <w:highlight w:val="none"/>
        </w:rPr>
        <w:br w:type="page"/>
      </w:r>
      <w:r>
        <w:rPr>
          <w:rFonts w:hint="eastAsia"/>
        </w:rPr>
        <w:t>五</w:t>
      </w:r>
      <w:r>
        <w:t>、</w:t>
      </w:r>
      <w:r>
        <w:rPr>
          <w:rFonts w:hint="eastAsia"/>
        </w:rPr>
        <w:t>环境保护措施监督检查清单</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101"/>
        <w:gridCol w:w="1343"/>
        <w:gridCol w:w="1455"/>
        <w:gridCol w:w="2475"/>
        <w:gridCol w:w="2523"/>
      </w:tblGrid>
      <w:tr w14:paraId="3DBC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1101" w:type="dxa"/>
            <w:tcBorders>
              <w:tl2br w:val="single" w:color="auto" w:sz="12" w:space="0"/>
            </w:tcBorders>
            <w:vAlign w:val="center"/>
          </w:tcPr>
          <w:p w14:paraId="777ADFF5">
            <w:pPr>
              <w:pStyle w:val="51"/>
              <w:spacing w:before="33" w:after="33"/>
              <w:rPr>
                <w:bCs/>
              </w:rPr>
            </w:pPr>
            <w:bookmarkStart w:id="8" w:name="_GoBack"/>
            <w:r>
              <w:rPr>
                <w:rFonts w:hint="eastAsia"/>
                <w:bCs/>
              </w:rPr>
              <w:t xml:space="preserve">    内容</w:t>
            </w:r>
          </w:p>
          <w:p w14:paraId="067EEE96">
            <w:pPr>
              <w:pStyle w:val="51"/>
              <w:spacing w:before="33" w:after="33"/>
              <w:jc w:val="both"/>
              <w:rPr>
                <w:bCs/>
              </w:rPr>
            </w:pPr>
            <w:r>
              <w:rPr>
                <w:rFonts w:hint="eastAsia"/>
                <w:bCs/>
              </w:rPr>
              <w:t>要素</w:t>
            </w:r>
          </w:p>
        </w:tc>
        <w:tc>
          <w:tcPr>
            <w:tcW w:w="1343" w:type="dxa"/>
            <w:tcBorders>
              <w:tl2br w:val="nil"/>
              <w:tr2bl w:val="nil"/>
            </w:tcBorders>
            <w:vAlign w:val="center"/>
          </w:tcPr>
          <w:p w14:paraId="49C8E189">
            <w:pPr>
              <w:pStyle w:val="51"/>
              <w:spacing w:before="33" w:after="33"/>
              <w:rPr>
                <w:bCs/>
              </w:rPr>
            </w:pPr>
            <w:r>
              <w:rPr>
                <w:rFonts w:hint="eastAsia"/>
                <w:bCs/>
              </w:rPr>
              <w:t>排放口(编号、名称)/污染源</w:t>
            </w:r>
          </w:p>
        </w:tc>
        <w:tc>
          <w:tcPr>
            <w:tcW w:w="1455" w:type="dxa"/>
            <w:tcBorders>
              <w:tl2br w:val="nil"/>
              <w:tr2bl w:val="nil"/>
            </w:tcBorders>
            <w:vAlign w:val="center"/>
          </w:tcPr>
          <w:p w14:paraId="01B0DA5B">
            <w:pPr>
              <w:pStyle w:val="51"/>
              <w:spacing w:before="33" w:after="33"/>
              <w:rPr>
                <w:bCs/>
              </w:rPr>
            </w:pPr>
            <w:r>
              <w:rPr>
                <w:rFonts w:hint="eastAsia"/>
                <w:bCs/>
              </w:rPr>
              <w:t>污染物项目</w:t>
            </w:r>
          </w:p>
        </w:tc>
        <w:tc>
          <w:tcPr>
            <w:tcW w:w="2475" w:type="dxa"/>
            <w:tcBorders>
              <w:tl2br w:val="nil"/>
              <w:tr2bl w:val="nil"/>
            </w:tcBorders>
            <w:vAlign w:val="center"/>
          </w:tcPr>
          <w:p w14:paraId="79888116">
            <w:pPr>
              <w:pStyle w:val="51"/>
              <w:spacing w:before="33" w:after="33"/>
              <w:rPr>
                <w:bCs/>
              </w:rPr>
            </w:pPr>
            <w:r>
              <w:rPr>
                <w:rFonts w:hint="eastAsia"/>
                <w:bCs/>
              </w:rPr>
              <w:t>环境保护措施</w:t>
            </w:r>
          </w:p>
        </w:tc>
        <w:tc>
          <w:tcPr>
            <w:tcW w:w="2523" w:type="dxa"/>
            <w:tcBorders>
              <w:tl2br w:val="nil"/>
              <w:tr2bl w:val="nil"/>
            </w:tcBorders>
            <w:vAlign w:val="center"/>
          </w:tcPr>
          <w:p w14:paraId="13B7A6CE">
            <w:pPr>
              <w:pStyle w:val="51"/>
              <w:spacing w:before="33" w:after="33"/>
              <w:rPr>
                <w:bCs/>
              </w:rPr>
            </w:pPr>
            <w:r>
              <w:rPr>
                <w:rFonts w:hint="eastAsia"/>
                <w:bCs/>
              </w:rPr>
              <w:t>执行标准</w:t>
            </w:r>
          </w:p>
        </w:tc>
      </w:tr>
      <w:tr w14:paraId="335B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1101" w:type="dxa"/>
            <w:vMerge w:val="restart"/>
            <w:tcBorders>
              <w:tl2br w:val="nil"/>
              <w:tr2bl w:val="nil"/>
            </w:tcBorders>
            <w:vAlign w:val="center"/>
          </w:tcPr>
          <w:p w14:paraId="5B791CB7">
            <w:pPr>
              <w:pStyle w:val="51"/>
              <w:spacing w:before="33" w:after="33"/>
              <w:rPr>
                <w:bCs/>
              </w:rPr>
            </w:pPr>
            <w:r>
              <w:rPr>
                <w:rFonts w:hint="eastAsia"/>
                <w:bCs/>
              </w:rPr>
              <w:t>大气环境</w:t>
            </w:r>
          </w:p>
        </w:tc>
        <w:tc>
          <w:tcPr>
            <w:tcW w:w="1343" w:type="dxa"/>
            <w:vMerge w:val="restart"/>
            <w:tcBorders>
              <w:tl2br w:val="nil"/>
              <w:tr2bl w:val="nil"/>
            </w:tcBorders>
            <w:vAlign w:val="center"/>
          </w:tcPr>
          <w:p w14:paraId="443AE33E">
            <w:pPr>
              <w:pStyle w:val="51"/>
              <w:spacing w:before="33" w:after="33"/>
              <w:rPr>
                <w:rFonts w:hint="default" w:eastAsia="宋体"/>
                <w:bCs/>
                <w:lang w:val="en-US" w:eastAsia="zh-CN"/>
              </w:rPr>
            </w:pPr>
            <w:r>
              <w:rPr>
                <w:rFonts w:hint="eastAsia"/>
                <w:bCs/>
                <w:lang w:val="en-US" w:eastAsia="zh-CN"/>
              </w:rPr>
              <w:t>DA001</w:t>
            </w:r>
          </w:p>
        </w:tc>
        <w:tc>
          <w:tcPr>
            <w:tcW w:w="1455" w:type="dxa"/>
            <w:tcBorders>
              <w:tl2br w:val="nil"/>
              <w:tr2bl w:val="nil"/>
            </w:tcBorders>
            <w:vAlign w:val="center"/>
          </w:tcPr>
          <w:p w14:paraId="3B77D777">
            <w:pPr>
              <w:pStyle w:val="51"/>
              <w:spacing w:before="33" w:after="33"/>
              <w:rPr>
                <w:rFonts w:hint="default" w:eastAsia="宋体"/>
                <w:bCs/>
                <w:lang w:val="en-US" w:eastAsia="zh-CN"/>
              </w:rPr>
            </w:pPr>
            <w:r>
              <w:rPr>
                <w:rFonts w:hint="eastAsia"/>
                <w:bCs/>
                <w:lang w:val="en-US" w:eastAsia="zh-CN"/>
              </w:rPr>
              <w:t>非甲烷总烃</w:t>
            </w:r>
          </w:p>
        </w:tc>
        <w:tc>
          <w:tcPr>
            <w:tcW w:w="2475" w:type="dxa"/>
            <w:vMerge w:val="restart"/>
            <w:tcBorders>
              <w:tl2br w:val="nil"/>
              <w:tr2bl w:val="nil"/>
            </w:tcBorders>
            <w:vAlign w:val="center"/>
          </w:tcPr>
          <w:p w14:paraId="1C222D51">
            <w:pPr>
              <w:pStyle w:val="51"/>
              <w:spacing w:before="33" w:after="33"/>
              <w:ind w:left="0" w:leftChars="0"/>
              <w:rPr>
                <w:rFonts w:hint="default"/>
                <w:bCs/>
                <w:highlight w:val="none"/>
                <w:lang w:val="en-US" w:eastAsia="zh-CN"/>
              </w:rPr>
            </w:pPr>
            <w:r>
              <w:rPr>
                <w:rFonts w:hint="eastAsia"/>
                <w:bCs/>
                <w:highlight w:val="none"/>
                <w:lang w:val="en-US" w:eastAsia="zh-CN"/>
              </w:rPr>
              <w:t>发泡废气经集气罩收集后与经管道收集的成型、烘干废气一同进入冷凝+二级活性炭装置+21m排气筒</w:t>
            </w:r>
          </w:p>
        </w:tc>
        <w:tc>
          <w:tcPr>
            <w:tcW w:w="2523" w:type="dxa"/>
            <w:tcBorders>
              <w:tl2br w:val="nil"/>
              <w:tr2bl w:val="nil"/>
            </w:tcBorders>
            <w:vAlign w:val="center"/>
          </w:tcPr>
          <w:p w14:paraId="38902024">
            <w:pPr>
              <w:pStyle w:val="51"/>
              <w:spacing w:before="33" w:after="33"/>
              <w:rPr>
                <w:rFonts w:hint="eastAsia"/>
                <w:lang w:val="en-US" w:eastAsia="zh-CN"/>
              </w:rPr>
            </w:pPr>
            <w:r>
              <w:rPr>
                <w:rFonts w:hint="eastAsia"/>
                <w:lang w:val="en-US" w:eastAsia="zh-CN"/>
              </w:rPr>
              <w:t>《固定源挥发性有机物综合排放标准-第6部分：其他行业》（DB34 4812.6-2024 ）表1排放限制</w:t>
            </w:r>
          </w:p>
        </w:tc>
      </w:tr>
      <w:tr w14:paraId="382C8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1101" w:type="dxa"/>
            <w:vMerge w:val="continue"/>
            <w:tcBorders>
              <w:tl2br w:val="nil"/>
              <w:tr2bl w:val="nil"/>
            </w:tcBorders>
            <w:vAlign w:val="center"/>
          </w:tcPr>
          <w:p w14:paraId="5CF9778C">
            <w:pPr>
              <w:pStyle w:val="51"/>
              <w:spacing w:before="33" w:after="33"/>
              <w:rPr>
                <w:rFonts w:hint="eastAsia"/>
                <w:bCs/>
              </w:rPr>
            </w:pPr>
          </w:p>
        </w:tc>
        <w:tc>
          <w:tcPr>
            <w:tcW w:w="1343" w:type="dxa"/>
            <w:vMerge w:val="continue"/>
            <w:tcBorders>
              <w:tl2br w:val="nil"/>
              <w:tr2bl w:val="nil"/>
            </w:tcBorders>
            <w:vAlign w:val="center"/>
          </w:tcPr>
          <w:p w14:paraId="0AC3A1EC">
            <w:pPr>
              <w:pStyle w:val="51"/>
              <w:spacing w:before="33" w:after="33"/>
              <w:rPr>
                <w:rFonts w:hint="eastAsia"/>
                <w:bCs/>
                <w:lang w:val="en-US" w:eastAsia="zh-CN"/>
              </w:rPr>
            </w:pPr>
          </w:p>
        </w:tc>
        <w:tc>
          <w:tcPr>
            <w:tcW w:w="1455" w:type="dxa"/>
            <w:tcBorders>
              <w:tl2br w:val="nil"/>
              <w:tr2bl w:val="nil"/>
            </w:tcBorders>
            <w:vAlign w:val="center"/>
          </w:tcPr>
          <w:p w14:paraId="3CE40EE4">
            <w:pPr>
              <w:pStyle w:val="51"/>
              <w:spacing w:before="33" w:after="33"/>
              <w:rPr>
                <w:rFonts w:hint="eastAsia" w:eastAsia="宋体"/>
                <w:bCs/>
                <w:lang w:val="en-US" w:eastAsia="zh-CN"/>
              </w:rPr>
            </w:pPr>
            <w:r>
              <w:rPr>
                <w:rFonts w:hint="eastAsia"/>
                <w:bCs/>
                <w:lang w:val="en-US" w:eastAsia="zh-CN"/>
              </w:rPr>
              <w:t>苯乙烯</w:t>
            </w:r>
          </w:p>
        </w:tc>
        <w:tc>
          <w:tcPr>
            <w:tcW w:w="2475" w:type="dxa"/>
            <w:vMerge w:val="continue"/>
            <w:tcBorders>
              <w:tl2br w:val="nil"/>
              <w:tr2bl w:val="nil"/>
            </w:tcBorders>
            <w:vAlign w:val="center"/>
          </w:tcPr>
          <w:p w14:paraId="0DB44AF0">
            <w:pPr>
              <w:pStyle w:val="51"/>
              <w:spacing w:before="33" w:after="33"/>
              <w:ind w:left="0" w:leftChars="0"/>
              <w:rPr>
                <w:rFonts w:hint="eastAsia"/>
                <w:bCs/>
                <w:highlight w:val="none"/>
                <w:lang w:val="en-US" w:eastAsia="zh-CN"/>
              </w:rPr>
            </w:pPr>
          </w:p>
        </w:tc>
        <w:tc>
          <w:tcPr>
            <w:tcW w:w="2523" w:type="dxa"/>
            <w:tcBorders>
              <w:tl2br w:val="nil"/>
              <w:tr2bl w:val="nil"/>
            </w:tcBorders>
            <w:vAlign w:val="center"/>
          </w:tcPr>
          <w:p w14:paraId="7B5361E7">
            <w:pPr>
              <w:pStyle w:val="51"/>
              <w:spacing w:before="33" w:after="33"/>
              <w:rPr>
                <w:rFonts w:hint="eastAsia"/>
                <w:lang w:val="en-US" w:eastAsia="zh-CN"/>
              </w:rPr>
            </w:pPr>
            <w:r>
              <w:rPr>
                <w:rFonts w:hint="eastAsia"/>
                <w:lang w:val="en-US" w:eastAsia="zh-CN"/>
              </w:rPr>
              <w:t>《固定源挥发性有机物综合排放标准-第6部分：其他行业》（DB34 4812.6-2024 ）表2排放限制</w:t>
            </w:r>
          </w:p>
        </w:tc>
      </w:tr>
      <w:tr w14:paraId="302E4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1101" w:type="dxa"/>
            <w:vMerge w:val="continue"/>
            <w:tcBorders>
              <w:tl2br w:val="nil"/>
              <w:tr2bl w:val="nil"/>
            </w:tcBorders>
            <w:vAlign w:val="center"/>
          </w:tcPr>
          <w:p w14:paraId="7755D11C">
            <w:pPr>
              <w:pStyle w:val="51"/>
              <w:spacing w:before="33" w:after="33"/>
              <w:rPr>
                <w:rFonts w:hint="eastAsia"/>
                <w:bCs/>
              </w:rPr>
            </w:pPr>
          </w:p>
        </w:tc>
        <w:tc>
          <w:tcPr>
            <w:tcW w:w="1343" w:type="dxa"/>
            <w:vMerge w:val="continue"/>
            <w:tcBorders>
              <w:tl2br w:val="nil"/>
              <w:tr2bl w:val="nil"/>
            </w:tcBorders>
            <w:vAlign w:val="center"/>
          </w:tcPr>
          <w:p w14:paraId="14B49AEF">
            <w:pPr>
              <w:pStyle w:val="51"/>
              <w:spacing w:before="33" w:after="33"/>
              <w:rPr>
                <w:rFonts w:hint="eastAsia"/>
                <w:bCs/>
                <w:lang w:val="en-US" w:eastAsia="zh-CN"/>
              </w:rPr>
            </w:pPr>
          </w:p>
        </w:tc>
        <w:tc>
          <w:tcPr>
            <w:tcW w:w="1455" w:type="dxa"/>
            <w:tcBorders>
              <w:tl2br w:val="nil"/>
              <w:tr2bl w:val="nil"/>
            </w:tcBorders>
            <w:vAlign w:val="center"/>
          </w:tcPr>
          <w:p w14:paraId="1DD65A9B">
            <w:pPr>
              <w:pStyle w:val="51"/>
              <w:spacing w:before="33" w:after="33"/>
              <w:rPr>
                <w:rFonts w:hint="default" w:eastAsia="宋体"/>
                <w:bCs/>
                <w:lang w:val="en-US" w:eastAsia="zh-CN"/>
              </w:rPr>
            </w:pPr>
            <w:r>
              <w:rPr>
                <w:rFonts w:hint="eastAsia"/>
                <w:bCs/>
                <w:lang w:val="en-US" w:eastAsia="zh-CN"/>
              </w:rPr>
              <w:t>臭气浓度</w:t>
            </w:r>
          </w:p>
        </w:tc>
        <w:tc>
          <w:tcPr>
            <w:tcW w:w="2475" w:type="dxa"/>
            <w:vMerge w:val="continue"/>
            <w:tcBorders>
              <w:tl2br w:val="nil"/>
              <w:tr2bl w:val="nil"/>
            </w:tcBorders>
            <w:vAlign w:val="center"/>
          </w:tcPr>
          <w:p w14:paraId="71CA571A">
            <w:pPr>
              <w:pStyle w:val="51"/>
              <w:spacing w:before="33" w:after="33"/>
              <w:ind w:left="0" w:leftChars="0"/>
              <w:rPr>
                <w:rFonts w:hint="eastAsia"/>
                <w:bCs/>
                <w:highlight w:val="none"/>
                <w:lang w:val="en-US" w:eastAsia="zh-CN"/>
              </w:rPr>
            </w:pPr>
          </w:p>
        </w:tc>
        <w:tc>
          <w:tcPr>
            <w:tcW w:w="2523" w:type="dxa"/>
            <w:tcBorders>
              <w:tl2br w:val="nil"/>
              <w:tr2bl w:val="nil"/>
            </w:tcBorders>
            <w:vAlign w:val="center"/>
          </w:tcPr>
          <w:p w14:paraId="0C5C1773">
            <w:pPr>
              <w:pStyle w:val="51"/>
              <w:spacing w:before="33" w:after="33"/>
              <w:rPr>
                <w:rFonts w:hint="eastAsia"/>
                <w:lang w:val="en-US" w:eastAsia="zh-CN"/>
              </w:rPr>
            </w:pPr>
            <w:r>
              <w:rPr>
                <w:rFonts w:hint="eastAsia"/>
              </w:rPr>
              <w:t>《恶臭污染物排放标准》（GB14554-93）表 2 恶臭污染物排放标准值</w:t>
            </w:r>
          </w:p>
        </w:tc>
      </w:tr>
      <w:tr w14:paraId="7EE2A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1101" w:type="dxa"/>
            <w:vMerge w:val="continue"/>
            <w:tcBorders>
              <w:tl2br w:val="nil"/>
              <w:tr2bl w:val="nil"/>
            </w:tcBorders>
            <w:vAlign w:val="center"/>
          </w:tcPr>
          <w:p w14:paraId="424F1289">
            <w:pPr>
              <w:pStyle w:val="51"/>
              <w:spacing w:before="33" w:after="33"/>
              <w:rPr>
                <w:bCs/>
              </w:rPr>
            </w:pPr>
          </w:p>
        </w:tc>
        <w:tc>
          <w:tcPr>
            <w:tcW w:w="1343" w:type="dxa"/>
            <w:tcBorders>
              <w:tl2br w:val="nil"/>
              <w:tr2bl w:val="nil"/>
            </w:tcBorders>
            <w:vAlign w:val="center"/>
          </w:tcPr>
          <w:p w14:paraId="1F8C189E">
            <w:pPr>
              <w:pStyle w:val="51"/>
              <w:spacing w:before="33" w:after="33"/>
              <w:rPr>
                <w:bCs/>
              </w:rPr>
            </w:pPr>
            <w:r>
              <w:rPr>
                <w:rFonts w:hint="eastAsia"/>
                <w:bCs/>
              </w:rPr>
              <w:t>DA002</w:t>
            </w:r>
          </w:p>
        </w:tc>
        <w:tc>
          <w:tcPr>
            <w:tcW w:w="1455" w:type="dxa"/>
            <w:tcBorders>
              <w:tl2br w:val="nil"/>
              <w:tr2bl w:val="nil"/>
            </w:tcBorders>
            <w:vAlign w:val="center"/>
          </w:tcPr>
          <w:p w14:paraId="04B04FF8">
            <w:pPr>
              <w:pStyle w:val="51"/>
              <w:spacing w:before="33" w:after="33"/>
              <w:rPr>
                <w:bCs/>
              </w:rPr>
            </w:pPr>
            <w:r>
              <w:rPr>
                <w:rFonts w:hint="eastAsia"/>
                <w:bCs/>
              </w:rPr>
              <w:t>非甲烷总烃</w:t>
            </w:r>
          </w:p>
        </w:tc>
        <w:tc>
          <w:tcPr>
            <w:tcW w:w="2475" w:type="dxa"/>
            <w:tcBorders>
              <w:tl2br w:val="nil"/>
              <w:tr2bl w:val="nil"/>
            </w:tcBorders>
            <w:vAlign w:val="center"/>
          </w:tcPr>
          <w:p w14:paraId="0D2A52F2">
            <w:pPr>
              <w:pStyle w:val="51"/>
              <w:spacing w:before="33" w:after="33"/>
              <w:ind w:left="0" w:leftChars="0"/>
              <w:rPr>
                <w:bCs/>
                <w:highlight w:val="none"/>
              </w:rPr>
            </w:pPr>
            <w:r>
              <w:rPr>
                <w:rFonts w:hint="eastAsia"/>
                <w:bCs/>
                <w:highlight w:val="none"/>
                <w:lang w:val="en-US" w:eastAsia="zh-CN"/>
              </w:rPr>
              <w:t>成型、烘干废气经</w:t>
            </w:r>
            <w:r>
              <w:rPr>
                <w:rFonts w:hint="eastAsia"/>
                <w:bCs/>
                <w:highlight w:val="none"/>
              </w:rPr>
              <w:t>集气</w:t>
            </w:r>
            <w:r>
              <w:rPr>
                <w:rFonts w:hint="eastAsia"/>
                <w:bCs/>
                <w:highlight w:val="none"/>
                <w:lang w:val="en-US" w:eastAsia="zh-CN"/>
              </w:rPr>
              <w:t>管道</w:t>
            </w:r>
            <w:r>
              <w:rPr>
                <w:rFonts w:hint="eastAsia"/>
                <w:bCs/>
                <w:highlight w:val="none"/>
              </w:rPr>
              <w:t>+</w:t>
            </w:r>
            <w:r>
              <w:rPr>
                <w:rFonts w:hint="eastAsia"/>
                <w:bCs/>
                <w:highlight w:val="none"/>
                <w:lang w:eastAsia="zh-CN"/>
              </w:rPr>
              <w:t>冷凝+二级活性炭</w:t>
            </w:r>
            <w:r>
              <w:rPr>
                <w:rFonts w:hint="eastAsia"/>
                <w:bCs/>
                <w:highlight w:val="none"/>
              </w:rPr>
              <w:t>装置+</w:t>
            </w:r>
            <w:r>
              <w:rPr>
                <w:rFonts w:hint="eastAsia"/>
                <w:bCs/>
                <w:highlight w:val="none"/>
                <w:lang w:val="en-US" w:eastAsia="zh-CN"/>
              </w:rPr>
              <w:t>21</w:t>
            </w:r>
            <w:r>
              <w:rPr>
                <w:rFonts w:hint="eastAsia"/>
                <w:bCs/>
                <w:highlight w:val="none"/>
              </w:rPr>
              <w:t>m排气筒</w:t>
            </w:r>
          </w:p>
        </w:tc>
        <w:tc>
          <w:tcPr>
            <w:tcW w:w="2523" w:type="dxa"/>
            <w:tcBorders>
              <w:tl2br w:val="nil"/>
              <w:tr2bl w:val="nil"/>
            </w:tcBorders>
            <w:vAlign w:val="center"/>
          </w:tcPr>
          <w:p w14:paraId="1EFFA207">
            <w:pPr>
              <w:pStyle w:val="51"/>
              <w:spacing w:before="33" w:after="33"/>
              <w:rPr>
                <w:bCs/>
                <w:szCs w:val="21"/>
              </w:rPr>
            </w:pPr>
            <w:r>
              <w:rPr>
                <w:rFonts w:hint="eastAsia"/>
                <w:lang w:val="en-US" w:eastAsia="zh-CN"/>
              </w:rPr>
              <w:t>《固定源挥发性有机物综合排放标准-第6部分：其他行业》（DB34 4812.6-2024 ）表1排放限制</w:t>
            </w:r>
          </w:p>
        </w:tc>
      </w:tr>
      <w:tr w14:paraId="33CFE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374" w:hRule="atLeast"/>
          <w:jc w:val="center"/>
        </w:trPr>
        <w:tc>
          <w:tcPr>
            <w:tcW w:w="1101" w:type="dxa"/>
            <w:vMerge w:val="continue"/>
            <w:tcBorders>
              <w:tl2br w:val="nil"/>
              <w:tr2bl w:val="nil"/>
            </w:tcBorders>
            <w:vAlign w:val="center"/>
          </w:tcPr>
          <w:p w14:paraId="1677F3B3">
            <w:pPr>
              <w:pStyle w:val="51"/>
              <w:spacing w:before="33" w:after="33"/>
              <w:rPr>
                <w:bCs/>
              </w:rPr>
            </w:pPr>
          </w:p>
        </w:tc>
        <w:tc>
          <w:tcPr>
            <w:tcW w:w="1343" w:type="dxa"/>
            <w:vMerge w:val="restart"/>
            <w:tcBorders>
              <w:tl2br w:val="nil"/>
              <w:tr2bl w:val="nil"/>
            </w:tcBorders>
            <w:vAlign w:val="center"/>
          </w:tcPr>
          <w:p w14:paraId="3AF5D140">
            <w:pPr>
              <w:pStyle w:val="51"/>
              <w:spacing w:before="33" w:after="33"/>
              <w:rPr>
                <w:bCs/>
              </w:rPr>
            </w:pPr>
            <w:r>
              <w:rPr>
                <w:rFonts w:hint="eastAsia"/>
                <w:bCs/>
              </w:rPr>
              <w:t>无组织</w:t>
            </w:r>
          </w:p>
        </w:tc>
        <w:tc>
          <w:tcPr>
            <w:tcW w:w="1455" w:type="dxa"/>
            <w:tcBorders>
              <w:tl2br w:val="nil"/>
              <w:tr2bl w:val="nil"/>
            </w:tcBorders>
            <w:vAlign w:val="center"/>
          </w:tcPr>
          <w:p w14:paraId="6CDD2CBE">
            <w:pPr>
              <w:pStyle w:val="51"/>
              <w:spacing w:before="33" w:after="33"/>
              <w:rPr>
                <w:bCs/>
              </w:rPr>
            </w:pPr>
            <w:r>
              <w:rPr>
                <w:rFonts w:hint="eastAsia"/>
                <w:bCs/>
              </w:rPr>
              <w:t>非甲烷总烃</w:t>
            </w:r>
          </w:p>
        </w:tc>
        <w:tc>
          <w:tcPr>
            <w:tcW w:w="2475" w:type="dxa"/>
            <w:vMerge w:val="restart"/>
            <w:tcBorders>
              <w:tl2br w:val="nil"/>
              <w:tr2bl w:val="nil"/>
            </w:tcBorders>
            <w:vAlign w:val="center"/>
          </w:tcPr>
          <w:p w14:paraId="085DE1EC">
            <w:pPr>
              <w:pStyle w:val="51"/>
              <w:spacing w:before="33" w:after="33"/>
              <w:rPr>
                <w:rFonts w:hint="eastAsia" w:eastAsia="宋体"/>
                <w:bCs/>
                <w:lang w:eastAsia="zh-CN"/>
              </w:rPr>
            </w:pPr>
            <w:r>
              <w:rPr>
                <w:rFonts w:hint="eastAsia"/>
                <w:bCs/>
                <w:lang w:val="en-US" w:eastAsia="zh-CN"/>
              </w:rPr>
              <w:t>/</w:t>
            </w:r>
          </w:p>
        </w:tc>
        <w:tc>
          <w:tcPr>
            <w:tcW w:w="2523" w:type="dxa"/>
            <w:tcBorders>
              <w:tl2br w:val="nil"/>
              <w:tr2bl w:val="nil"/>
            </w:tcBorders>
            <w:vAlign w:val="center"/>
          </w:tcPr>
          <w:p w14:paraId="5DEB5931">
            <w:pPr>
              <w:pStyle w:val="51"/>
              <w:spacing w:before="33" w:after="33"/>
              <w:rPr>
                <w:bCs/>
                <w:szCs w:val="21"/>
              </w:rPr>
            </w:pPr>
            <w:r>
              <w:rPr>
                <w:rFonts w:hint="eastAsia"/>
              </w:rPr>
              <w:t>厂区</w:t>
            </w:r>
            <w:r>
              <w:rPr>
                <w:rFonts w:hint="eastAsia"/>
                <w:lang w:val="en-US" w:eastAsia="zh-CN"/>
              </w:rPr>
              <w:t>内</w:t>
            </w:r>
            <w:r>
              <w:rPr>
                <w:rFonts w:hint="eastAsia"/>
              </w:rPr>
              <w:t>非甲烷总烃执行</w:t>
            </w:r>
            <w:r>
              <w:rPr>
                <w:rFonts w:hint="eastAsia"/>
                <w:lang w:val="en-US" w:eastAsia="zh-CN"/>
              </w:rPr>
              <w:t>《固定源挥发性有机物综合排放标准-第6部分：其他行业》（DB34 4812.6-2024 ）表4排放限制</w:t>
            </w:r>
          </w:p>
        </w:tc>
      </w:tr>
      <w:tr w14:paraId="2367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1101" w:type="dxa"/>
            <w:vMerge w:val="continue"/>
            <w:tcBorders>
              <w:tl2br w:val="nil"/>
              <w:tr2bl w:val="nil"/>
            </w:tcBorders>
            <w:vAlign w:val="center"/>
          </w:tcPr>
          <w:p w14:paraId="6BFDF0F6">
            <w:pPr>
              <w:pStyle w:val="51"/>
              <w:spacing w:before="33" w:after="33"/>
              <w:rPr>
                <w:bCs/>
              </w:rPr>
            </w:pPr>
          </w:p>
        </w:tc>
        <w:tc>
          <w:tcPr>
            <w:tcW w:w="1343" w:type="dxa"/>
            <w:vMerge w:val="continue"/>
            <w:tcBorders>
              <w:tl2br w:val="nil"/>
              <w:tr2bl w:val="nil"/>
            </w:tcBorders>
            <w:vAlign w:val="center"/>
          </w:tcPr>
          <w:p w14:paraId="65E250D6">
            <w:pPr>
              <w:pStyle w:val="51"/>
              <w:spacing w:before="33" w:after="33"/>
              <w:rPr>
                <w:bCs/>
              </w:rPr>
            </w:pPr>
          </w:p>
        </w:tc>
        <w:tc>
          <w:tcPr>
            <w:tcW w:w="1455" w:type="dxa"/>
            <w:tcBorders>
              <w:tl2br w:val="nil"/>
              <w:tr2bl w:val="nil"/>
            </w:tcBorders>
            <w:vAlign w:val="center"/>
          </w:tcPr>
          <w:p w14:paraId="3290FAC4">
            <w:pPr>
              <w:pStyle w:val="51"/>
              <w:spacing w:before="33" w:after="33"/>
              <w:rPr>
                <w:rFonts w:hint="default" w:eastAsia="宋体"/>
                <w:bCs/>
                <w:lang w:val="en-US" w:eastAsia="zh-CN"/>
              </w:rPr>
            </w:pPr>
            <w:r>
              <w:rPr>
                <w:rFonts w:hint="eastAsia"/>
                <w:bCs/>
              </w:rPr>
              <w:t>臭气浓度</w:t>
            </w:r>
            <w:r>
              <w:rPr>
                <w:rFonts w:hint="eastAsia"/>
                <w:bCs/>
                <w:lang w:eastAsia="zh-CN"/>
              </w:rPr>
              <w:t>、</w:t>
            </w:r>
            <w:r>
              <w:rPr>
                <w:rFonts w:hint="eastAsia"/>
                <w:bCs/>
                <w:lang w:val="en-US" w:eastAsia="zh-CN"/>
              </w:rPr>
              <w:t>苯乙烯</w:t>
            </w:r>
          </w:p>
        </w:tc>
        <w:tc>
          <w:tcPr>
            <w:tcW w:w="2475" w:type="dxa"/>
            <w:vMerge w:val="continue"/>
            <w:tcBorders>
              <w:tl2br w:val="nil"/>
              <w:tr2bl w:val="nil"/>
            </w:tcBorders>
            <w:vAlign w:val="center"/>
          </w:tcPr>
          <w:p w14:paraId="2CD39488">
            <w:pPr>
              <w:pStyle w:val="51"/>
              <w:spacing w:before="33" w:after="33"/>
            </w:pPr>
          </w:p>
        </w:tc>
        <w:tc>
          <w:tcPr>
            <w:tcW w:w="2523" w:type="dxa"/>
            <w:tcBorders>
              <w:tl2br w:val="nil"/>
              <w:tr2bl w:val="nil"/>
            </w:tcBorders>
            <w:vAlign w:val="center"/>
          </w:tcPr>
          <w:p w14:paraId="174DD36C">
            <w:pPr>
              <w:pStyle w:val="51"/>
              <w:spacing w:before="33" w:after="33"/>
            </w:pPr>
            <w:r>
              <w:t>《恶臭污染物排放标准》（GB14554-93）表 1 中恶臭污染物厂界浓度控制限值</w:t>
            </w:r>
          </w:p>
        </w:tc>
      </w:tr>
      <w:tr w14:paraId="41C75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6" w:hRule="atLeast"/>
          <w:jc w:val="center"/>
        </w:trPr>
        <w:tc>
          <w:tcPr>
            <w:tcW w:w="1101" w:type="dxa"/>
            <w:tcBorders>
              <w:tl2br w:val="nil"/>
              <w:tr2bl w:val="nil"/>
            </w:tcBorders>
            <w:vAlign w:val="center"/>
          </w:tcPr>
          <w:p w14:paraId="24E453FD">
            <w:pPr>
              <w:pStyle w:val="51"/>
              <w:spacing w:before="33" w:after="33"/>
              <w:rPr>
                <w:bCs/>
              </w:rPr>
            </w:pPr>
            <w:r>
              <w:rPr>
                <w:rFonts w:hint="eastAsia"/>
                <w:bCs/>
              </w:rPr>
              <w:t>地表水环境</w:t>
            </w:r>
          </w:p>
        </w:tc>
        <w:tc>
          <w:tcPr>
            <w:tcW w:w="1343" w:type="dxa"/>
            <w:tcBorders>
              <w:tl2br w:val="nil"/>
              <w:tr2bl w:val="nil"/>
            </w:tcBorders>
            <w:vAlign w:val="center"/>
          </w:tcPr>
          <w:p w14:paraId="78B3B6A8">
            <w:pPr>
              <w:pStyle w:val="51"/>
              <w:spacing w:before="33" w:after="33"/>
            </w:pPr>
            <w:r>
              <w:rPr>
                <w:rFonts w:hint="eastAsia"/>
              </w:rPr>
              <w:t>/</w:t>
            </w:r>
          </w:p>
        </w:tc>
        <w:tc>
          <w:tcPr>
            <w:tcW w:w="1455" w:type="dxa"/>
            <w:tcBorders>
              <w:tl2br w:val="nil"/>
              <w:tr2bl w:val="nil"/>
            </w:tcBorders>
            <w:vAlign w:val="center"/>
          </w:tcPr>
          <w:p w14:paraId="549DBE79">
            <w:pPr>
              <w:pStyle w:val="51"/>
              <w:spacing w:before="33" w:after="33"/>
            </w:pPr>
            <w:r>
              <w:rPr>
                <w:rFonts w:hint="eastAsia"/>
              </w:rPr>
              <w:t>pH、</w:t>
            </w:r>
            <w:r>
              <w:t>COD、</w:t>
            </w:r>
            <w:r>
              <w:rPr>
                <w:rFonts w:hint="eastAsia"/>
              </w:rPr>
              <w:t>BOD</w:t>
            </w:r>
            <w:r>
              <w:rPr>
                <w:rFonts w:hint="eastAsia"/>
                <w:vertAlign w:val="subscript"/>
              </w:rPr>
              <w:t>5</w:t>
            </w:r>
            <w:r>
              <w:t>、SS、NH</w:t>
            </w:r>
            <w:r>
              <w:rPr>
                <w:vertAlign w:val="subscript"/>
              </w:rPr>
              <w:t>3</w:t>
            </w:r>
            <w:r>
              <w:t>-N</w:t>
            </w:r>
            <w:r>
              <w:rPr>
                <w:rFonts w:hint="eastAsia"/>
                <w:lang w:eastAsia="zh-CN"/>
              </w:rPr>
              <w:t>、</w:t>
            </w:r>
            <w:r>
              <w:rPr>
                <w:rFonts w:hint="eastAsia"/>
                <w:lang w:val="en-US" w:eastAsia="zh-CN"/>
              </w:rPr>
              <w:t>TP、TN</w:t>
            </w:r>
          </w:p>
        </w:tc>
        <w:tc>
          <w:tcPr>
            <w:tcW w:w="2475" w:type="dxa"/>
            <w:tcBorders>
              <w:tl2br w:val="nil"/>
              <w:tr2bl w:val="nil"/>
            </w:tcBorders>
            <w:vAlign w:val="center"/>
          </w:tcPr>
          <w:p w14:paraId="07863E2F">
            <w:pPr>
              <w:pStyle w:val="51"/>
              <w:spacing w:before="33" w:after="33"/>
            </w:pPr>
            <w:r>
              <w:rPr>
                <w:rFonts w:hint="eastAsia"/>
              </w:rPr>
              <w:t>生活污水</w:t>
            </w:r>
            <w:r>
              <w:t>经厂区化粪池</w:t>
            </w:r>
            <w:r>
              <w:rPr>
                <w:rFonts w:hint="eastAsia"/>
              </w:rPr>
              <w:t>预</w:t>
            </w:r>
            <w:r>
              <w:t>处理后</w:t>
            </w:r>
            <w:r>
              <w:rPr>
                <w:rFonts w:hint="eastAsia"/>
              </w:rPr>
              <w:t>接管淮南</w:t>
            </w:r>
            <w:r>
              <w:rPr>
                <w:rFonts w:hint="eastAsia"/>
                <w:lang w:val="en-US" w:eastAsia="zh-CN"/>
              </w:rPr>
              <w:t>经济开发区污水处理厂</w:t>
            </w:r>
          </w:p>
        </w:tc>
        <w:tc>
          <w:tcPr>
            <w:tcW w:w="2523" w:type="dxa"/>
            <w:tcBorders>
              <w:tl2br w:val="nil"/>
              <w:tr2bl w:val="nil"/>
            </w:tcBorders>
            <w:vAlign w:val="center"/>
          </w:tcPr>
          <w:p w14:paraId="17652110">
            <w:pPr>
              <w:pStyle w:val="51"/>
              <w:spacing w:before="33" w:after="33"/>
              <w:rPr>
                <w:rFonts w:hint="default"/>
                <w:lang w:val="en-US"/>
              </w:rPr>
            </w:pPr>
            <w:r>
              <w:rPr>
                <w:rFonts w:hint="eastAsia"/>
              </w:rPr>
              <w:t>淮南</w:t>
            </w:r>
            <w:r>
              <w:rPr>
                <w:rFonts w:hint="eastAsia"/>
                <w:lang w:val="en-US" w:eastAsia="zh-CN"/>
              </w:rPr>
              <w:t>经济开发区污水处理厂接管限值</w:t>
            </w:r>
          </w:p>
        </w:tc>
      </w:tr>
      <w:tr w14:paraId="17A1D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1101" w:type="dxa"/>
            <w:vMerge w:val="restart"/>
            <w:tcBorders>
              <w:tl2br w:val="nil"/>
              <w:tr2bl w:val="nil"/>
            </w:tcBorders>
            <w:vAlign w:val="center"/>
          </w:tcPr>
          <w:p w14:paraId="472681B5">
            <w:pPr>
              <w:pStyle w:val="51"/>
              <w:spacing w:before="33" w:after="33"/>
              <w:rPr>
                <w:bCs/>
              </w:rPr>
            </w:pPr>
            <w:r>
              <w:rPr>
                <w:rFonts w:hint="eastAsia"/>
                <w:bCs/>
              </w:rPr>
              <w:t>固体废物</w:t>
            </w:r>
          </w:p>
        </w:tc>
        <w:tc>
          <w:tcPr>
            <w:tcW w:w="1343" w:type="dxa"/>
            <w:vMerge w:val="restart"/>
            <w:tcBorders>
              <w:tl2br w:val="nil"/>
              <w:tr2bl w:val="nil"/>
            </w:tcBorders>
            <w:vAlign w:val="center"/>
          </w:tcPr>
          <w:p w14:paraId="03A27CA0">
            <w:pPr>
              <w:pStyle w:val="51"/>
              <w:spacing w:before="33" w:after="33"/>
              <w:rPr>
                <w:bCs/>
              </w:rPr>
            </w:pPr>
            <w:r>
              <w:rPr>
                <w:rFonts w:hint="eastAsia"/>
                <w:bCs/>
              </w:rPr>
              <w:t>生产</w:t>
            </w:r>
          </w:p>
        </w:tc>
        <w:tc>
          <w:tcPr>
            <w:tcW w:w="1455" w:type="dxa"/>
            <w:tcBorders>
              <w:tl2br w:val="nil"/>
              <w:tr2bl w:val="nil"/>
            </w:tcBorders>
            <w:vAlign w:val="center"/>
          </w:tcPr>
          <w:p w14:paraId="77710535">
            <w:pPr>
              <w:pStyle w:val="51"/>
              <w:spacing w:before="33" w:after="33"/>
              <w:rPr>
                <w:bCs/>
              </w:rPr>
            </w:pPr>
            <w:r>
              <w:rPr>
                <w:rFonts w:hint="eastAsia"/>
                <w:bCs/>
              </w:rPr>
              <w:t>不合格品</w:t>
            </w:r>
          </w:p>
        </w:tc>
        <w:tc>
          <w:tcPr>
            <w:tcW w:w="2475" w:type="dxa"/>
            <w:vMerge w:val="restart"/>
            <w:tcBorders>
              <w:tl2br w:val="nil"/>
              <w:tr2bl w:val="nil"/>
            </w:tcBorders>
            <w:vAlign w:val="center"/>
          </w:tcPr>
          <w:p w14:paraId="222DCCC1">
            <w:pPr>
              <w:pStyle w:val="51"/>
              <w:spacing w:before="33" w:after="33"/>
              <w:rPr>
                <w:bCs/>
              </w:rPr>
            </w:pPr>
            <w:r>
              <w:rPr>
                <w:rFonts w:hint="eastAsia"/>
                <w:bCs/>
              </w:rPr>
              <w:t>收集后外售塑料回收企业</w:t>
            </w:r>
          </w:p>
        </w:tc>
        <w:tc>
          <w:tcPr>
            <w:tcW w:w="2523" w:type="dxa"/>
            <w:vMerge w:val="restart"/>
            <w:tcBorders>
              <w:tl2br w:val="nil"/>
              <w:tr2bl w:val="nil"/>
            </w:tcBorders>
            <w:vAlign w:val="center"/>
          </w:tcPr>
          <w:p w14:paraId="5BA33EC2">
            <w:pPr>
              <w:pStyle w:val="51"/>
              <w:spacing w:before="33" w:after="33"/>
              <w:rPr>
                <w:bCs/>
              </w:rPr>
            </w:pPr>
            <w:r>
              <w:t>不对环境造成影响</w:t>
            </w:r>
          </w:p>
        </w:tc>
      </w:tr>
      <w:tr w14:paraId="07B00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1101" w:type="dxa"/>
            <w:vMerge w:val="continue"/>
            <w:tcBorders>
              <w:tl2br w:val="nil"/>
              <w:tr2bl w:val="nil"/>
            </w:tcBorders>
            <w:vAlign w:val="center"/>
          </w:tcPr>
          <w:p w14:paraId="5F66E3DC">
            <w:pPr>
              <w:pStyle w:val="51"/>
              <w:spacing w:before="33" w:after="33"/>
              <w:rPr>
                <w:bCs/>
              </w:rPr>
            </w:pPr>
          </w:p>
        </w:tc>
        <w:tc>
          <w:tcPr>
            <w:tcW w:w="1343" w:type="dxa"/>
            <w:vMerge w:val="continue"/>
            <w:tcBorders>
              <w:tl2br w:val="nil"/>
              <w:tr2bl w:val="nil"/>
            </w:tcBorders>
            <w:vAlign w:val="center"/>
          </w:tcPr>
          <w:p w14:paraId="2FB125F2">
            <w:pPr>
              <w:pStyle w:val="51"/>
              <w:spacing w:before="33" w:after="33"/>
              <w:rPr>
                <w:bCs/>
              </w:rPr>
            </w:pPr>
          </w:p>
        </w:tc>
        <w:tc>
          <w:tcPr>
            <w:tcW w:w="1455" w:type="dxa"/>
            <w:tcBorders>
              <w:tl2br w:val="nil"/>
              <w:tr2bl w:val="nil"/>
            </w:tcBorders>
            <w:vAlign w:val="center"/>
          </w:tcPr>
          <w:p w14:paraId="77F6690C">
            <w:pPr>
              <w:pStyle w:val="51"/>
              <w:spacing w:before="33" w:after="33"/>
              <w:rPr>
                <w:bCs/>
              </w:rPr>
            </w:pPr>
            <w:r>
              <w:rPr>
                <w:rFonts w:hint="eastAsia"/>
                <w:bCs/>
              </w:rPr>
              <w:t>废包装物</w:t>
            </w:r>
          </w:p>
        </w:tc>
        <w:tc>
          <w:tcPr>
            <w:tcW w:w="2475" w:type="dxa"/>
            <w:vMerge w:val="continue"/>
            <w:tcBorders>
              <w:tl2br w:val="nil"/>
              <w:tr2bl w:val="nil"/>
            </w:tcBorders>
            <w:vAlign w:val="center"/>
          </w:tcPr>
          <w:p w14:paraId="608C3A53">
            <w:pPr>
              <w:pStyle w:val="51"/>
              <w:spacing w:before="33" w:after="33"/>
              <w:rPr>
                <w:bCs/>
              </w:rPr>
            </w:pPr>
          </w:p>
        </w:tc>
        <w:tc>
          <w:tcPr>
            <w:tcW w:w="2523" w:type="dxa"/>
            <w:vMerge w:val="continue"/>
            <w:tcBorders>
              <w:tl2br w:val="nil"/>
              <w:tr2bl w:val="nil"/>
            </w:tcBorders>
            <w:vAlign w:val="center"/>
          </w:tcPr>
          <w:p w14:paraId="6E3187C2">
            <w:pPr>
              <w:pStyle w:val="51"/>
              <w:spacing w:before="33" w:after="33"/>
              <w:rPr>
                <w:bCs/>
              </w:rPr>
            </w:pPr>
          </w:p>
        </w:tc>
      </w:tr>
      <w:tr w14:paraId="7EF63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85" w:hRule="atLeast"/>
          <w:jc w:val="center"/>
        </w:trPr>
        <w:tc>
          <w:tcPr>
            <w:tcW w:w="1101" w:type="dxa"/>
            <w:vMerge w:val="continue"/>
            <w:tcBorders>
              <w:tl2br w:val="nil"/>
              <w:tr2bl w:val="nil"/>
            </w:tcBorders>
            <w:vAlign w:val="center"/>
          </w:tcPr>
          <w:p w14:paraId="5B5981AF">
            <w:pPr>
              <w:pStyle w:val="51"/>
              <w:spacing w:before="33" w:after="33"/>
              <w:rPr>
                <w:bCs/>
              </w:rPr>
            </w:pPr>
          </w:p>
        </w:tc>
        <w:tc>
          <w:tcPr>
            <w:tcW w:w="1343" w:type="dxa"/>
            <w:tcBorders>
              <w:tl2br w:val="nil"/>
              <w:tr2bl w:val="nil"/>
            </w:tcBorders>
            <w:vAlign w:val="center"/>
          </w:tcPr>
          <w:p w14:paraId="7696C9AB">
            <w:pPr>
              <w:pStyle w:val="51"/>
              <w:spacing w:before="33" w:after="33"/>
              <w:rPr>
                <w:bCs/>
              </w:rPr>
            </w:pPr>
            <w:r>
              <w:rPr>
                <w:rFonts w:hint="eastAsia"/>
                <w:bCs/>
              </w:rPr>
              <w:t>员工生活</w:t>
            </w:r>
          </w:p>
        </w:tc>
        <w:tc>
          <w:tcPr>
            <w:tcW w:w="1455" w:type="dxa"/>
            <w:tcBorders>
              <w:tl2br w:val="nil"/>
              <w:tr2bl w:val="nil"/>
            </w:tcBorders>
            <w:vAlign w:val="center"/>
          </w:tcPr>
          <w:p w14:paraId="0D279C11">
            <w:pPr>
              <w:pStyle w:val="51"/>
              <w:spacing w:before="33" w:after="33"/>
              <w:rPr>
                <w:bCs/>
              </w:rPr>
            </w:pPr>
            <w:r>
              <w:rPr>
                <w:rFonts w:hint="eastAsia"/>
                <w:bCs/>
              </w:rPr>
              <w:t>生活垃圾</w:t>
            </w:r>
          </w:p>
        </w:tc>
        <w:tc>
          <w:tcPr>
            <w:tcW w:w="2475" w:type="dxa"/>
            <w:tcBorders>
              <w:tl2br w:val="nil"/>
              <w:tr2bl w:val="nil"/>
            </w:tcBorders>
            <w:vAlign w:val="center"/>
          </w:tcPr>
          <w:p w14:paraId="306FBDB7">
            <w:pPr>
              <w:pStyle w:val="51"/>
              <w:spacing w:before="33" w:after="33"/>
              <w:rPr>
                <w:bCs/>
              </w:rPr>
            </w:pPr>
            <w:r>
              <w:rPr>
                <w:rFonts w:hint="eastAsia"/>
                <w:bCs/>
              </w:rPr>
              <w:t>由环卫部门清洗</w:t>
            </w:r>
          </w:p>
        </w:tc>
        <w:tc>
          <w:tcPr>
            <w:tcW w:w="2523" w:type="dxa"/>
            <w:vMerge w:val="continue"/>
            <w:tcBorders>
              <w:tl2br w:val="nil"/>
              <w:tr2bl w:val="nil"/>
            </w:tcBorders>
            <w:vAlign w:val="center"/>
          </w:tcPr>
          <w:p w14:paraId="3A7ED3B4">
            <w:pPr>
              <w:pStyle w:val="51"/>
              <w:spacing w:before="33" w:after="33"/>
              <w:rPr>
                <w:bCs/>
              </w:rPr>
            </w:pPr>
          </w:p>
        </w:tc>
      </w:tr>
      <w:tr w14:paraId="76D3A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1101" w:type="dxa"/>
            <w:vMerge w:val="continue"/>
            <w:tcBorders>
              <w:tl2br w:val="nil"/>
              <w:tr2bl w:val="nil"/>
            </w:tcBorders>
            <w:vAlign w:val="center"/>
          </w:tcPr>
          <w:p w14:paraId="285E0000">
            <w:pPr>
              <w:pStyle w:val="51"/>
              <w:spacing w:before="33" w:after="33"/>
              <w:rPr>
                <w:bCs/>
              </w:rPr>
            </w:pPr>
          </w:p>
        </w:tc>
        <w:tc>
          <w:tcPr>
            <w:tcW w:w="1343" w:type="dxa"/>
            <w:tcBorders>
              <w:tl2br w:val="nil"/>
              <w:tr2bl w:val="nil"/>
            </w:tcBorders>
            <w:vAlign w:val="center"/>
          </w:tcPr>
          <w:p w14:paraId="17E3E933">
            <w:pPr>
              <w:pStyle w:val="51"/>
              <w:spacing w:before="33" w:after="33"/>
              <w:rPr>
                <w:bCs/>
              </w:rPr>
            </w:pPr>
            <w:r>
              <w:rPr>
                <w:bCs/>
              </w:rPr>
              <w:t>废气处理</w:t>
            </w:r>
          </w:p>
        </w:tc>
        <w:tc>
          <w:tcPr>
            <w:tcW w:w="1455" w:type="dxa"/>
            <w:tcBorders>
              <w:tl2br w:val="nil"/>
              <w:tr2bl w:val="nil"/>
            </w:tcBorders>
            <w:vAlign w:val="center"/>
          </w:tcPr>
          <w:p w14:paraId="50A5752B">
            <w:pPr>
              <w:pStyle w:val="51"/>
              <w:spacing w:before="33" w:after="33"/>
              <w:rPr>
                <w:bCs/>
              </w:rPr>
            </w:pPr>
            <w:r>
              <w:rPr>
                <w:rFonts w:hint="eastAsia"/>
                <w:bCs/>
              </w:rPr>
              <w:t>废活性炭</w:t>
            </w:r>
          </w:p>
        </w:tc>
        <w:tc>
          <w:tcPr>
            <w:tcW w:w="2475" w:type="dxa"/>
            <w:vMerge w:val="restart"/>
            <w:tcBorders>
              <w:tl2br w:val="nil"/>
              <w:tr2bl w:val="nil"/>
            </w:tcBorders>
            <w:vAlign w:val="center"/>
          </w:tcPr>
          <w:p w14:paraId="47D2AC0D">
            <w:pPr>
              <w:pStyle w:val="51"/>
              <w:spacing w:before="33" w:after="33"/>
              <w:rPr>
                <w:bCs/>
              </w:rPr>
            </w:pPr>
            <w:r>
              <w:rPr>
                <w:bCs/>
              </w:rPr>
              <w:t>集中收集</w:t>
            </w:r>
            <w:r>
              <w:rPr>
                <w:rFonts w:hint="eastAsia"/>
                <w:bCs/>
              </w:rPr>
              <w:t>存于危废暂存间，</w:t>
            </w:r>
            <w:r>
              <w:rPr>
                <w:bCs/>
              </w:rPr>
              <w:t>交由</w:t>
            </w:r>
            <w:r>
              <w:rPr>
                <w:rFonts w:hint="eastAsia"/>
                <w:bCs/>
              </w:rPr>
              <w:t>有</w:t>
            </w:r>
            <w:r>
              <w:rPr>
                <w:bCs/>
              </w:rPr>
              <w:t>资质单位处理</w:t>
            </w:r>
          </w:p>
        </w:tc>
        <w:tc>
          <w:tcPr>
            <w:tcW w:w="2523" w:type="dxa"/>
            <w:vMerge w:val="continue"/>
            <w:tcBorders>
              <w:tl2br w:val="nil"/>
              <w:tr2bl w:val="nil"/>
            </w:tcBorders>
            <w:vAlign w:val="center"/>
          </w:tcPr>
          <w:p w14:paraId="7E52748F">
            <w:pPr>
              <w:pStyle w:val="51"/>
              <w:spacing w:before="33" w:after="33"/>
              <w:rPr>
                <w:bCs/>
              </w:rPr>
            </w:pPr>
          </w:p>
        </w:tc>
      </w:tr>
      <w:tr w14:paraId="57C75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1101" w:type="dxa"/>
            <w:vMerge w:val="continue"/>
            <w:tcBorders>
              <w:tl2br w:val="nil"/>
              <w:tr2bl w:val="nil"/>
            </w:tcBorders>
            <w:vAlign w:val="center"/>
          </w:tcPr>
          <w:p w14:paraId="35C4986A">
            <w:pPr>
              <w:pStyle w:val="51"/>
              <w:spacing w:before="33" w:after="33"/>
              <w:rPr>
                <w:bCs/>
              </w:rPr>
            </w:pPr>
          </w:p>
        </w:tc>
        <w:tc>
          <w:tcPr>
            <w:tcW w:w="1343" w:type="dxa"/>
            <w:tcBorders>
              <w:tl2br w:val="nil"/>
              <w:tr2bl w:val="nil"/>
            </w:tcBorders>
            <w:vAlign w:val="center"/>
          </w:tcPr>
          <w:p w14:paraId="527AD928">
            <w:pPr>
              <w:pStyle w:val="51"/>
              <w:spacing w:before="33" w:after="33"/>
              <w:rPr>
                <w:bCs/>
              </w:rPr>
            </w:pPr>
            <w:r>
              <w:rPr>
                <w:rFonts w:hint="eastAsia"/>
                <w:bCs/>
              </w:rPr>
              <w:t>设备</w:t>
            </w:r>
            <w:r>
              <w:rPr>
                <w:bCs/>
              </w:rPr>
              <w:t>维修</w:t>
            </w:r>
          </w:p>
        </w:tc>
        <w:tc>
          <w:tcPr>
            <w:tcW w:w="1455" w:type="dxa"/>
            <w:tcBorders>
              <w:tl2br w:val="nil"/>
              <w:tr2bl w:val="nil"/>
            </w:tcBorders>
            <w:vAlign w:val="center"/>
          </w:tcPr>
          <w:p w14:paraId="6B5BF963">
            <w:pPr>
              <w:pStyle w:val="51"/>
              <w:spacing w:before="33" w:after="33"/>
              <w:rPr>
                <w:rFonts w:hint="default" w:eastAsia="宋体"/>
                <w:bCs/>
                <w:lang w:val="en-US" w:eastAsia="zh-CN"/>
              </w:rPr>
            </w:pPr>
            <w:r>
              <w:rPr>
                <w:rFonts w:hint="eastAsia"/>
                <w:bCs/>
              </w:rPr>
              <w:t>废机油、废机油桶</w:t>
            </w:r>
            <w:r>
              <w:rPr>
                <w:rFonts w:hint="eastAsia"/>
                <w:bCs/>
                <w:lang w:eastAsia="zh-CN"/>
              </w:rPr>
              <w:t>、</w:t>
            </w:r>
            <w:r>
              <w:rPr>
                <w:rFonts w:hint="eastAsia"/>
                <w:bCs/>
                <w:lang w:val="en-US" w:eastAsia="zh-CN"/>
              </w:rPr>
              <w:t>废含油抹布、废手套</w:t>
            </w:r>
          </w:p>
        </w:tc>
        <w:tc>
          <w:tcPr>
            <w:tcW w:w="2475" w:type="dxa"/>
            <w:vMerge w:val="continue"/>
            <w:tcBorders>
              <w:tl2br w:val="nil"/>
              <w:tr2bl w:val="nil"/>
            </w:tcBorders>
            <w:vAlign w:val="center"/>
          </w:tcPr>
          <w:p w14:paraId="66FD8799">
            <w:pPr>
              <w:pStyle w:val="51"/>
              <w:spacing w:before="33" w:after="33"/>
              <w:rPr>
                <w:bCs/>
              </w:rPr>
            </w:pPr>
          </w:p>
        </w:tc>
        <w:tc>
          <w:tcPr>
            <w:tcW w:w="2523" w:type="dxa"/>
            <w:vMerge w:val="continue"/>
            <w:tcBorders>
              <w:tl2br w:val="nil"/>
              <w:tr2bl w:val="nil"/>
            </w:tcBorders>
            <w:vAlign w:val="center"/>
          </w:tcPr>
          <w:p w14:paraId="2EE12F59">
            <w:pPr>
              <w:pStyle w:val="51"/>
              <w:spacing w:before="33" w:after="33"/>
              <w:rPr>
                <w:bCs/>
              </w:rPr>
            </w:pPr>
          </w:p>
        </w:tc>
      </w:tr>
      <w:tr w14:paraId="02D6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1101" w:type="dxa"/>
            <w:tcBorders>
              <w:tl2br w:val="nil"/>
              <w:tr2bl w:val="nil"/>
            </w:tcBorders>
            <w:vAlign w:val="center"/>
          </w:tcPr>
          <w:p w14:paraId="7B721204">
            <w:pPr>
              <w:pStyle w:val="51"/>
              <w:spacing w:before="33" w:after="33"/>
              <w:rPr>
                <w:bCs/>
              </w:rPr>
            </w:pPr>
            <w:r>
              <w:rPr>
                <w:rFonts w:hint="eastAsia"/>
                <w:bCs/>
              </w:rPr>
              <w:t>声环境</w:t>
            </w:r>
          </w:p>
        </w:tc>
        <w:tc>
          <w:tcPr>
            <w:tcW w:w="1343" w:type="dxa"/>
            <w:tcBorders>
              <w:tl2br w:val="nil"/>
              <w:tr2bl w:val="nil"/>
            </w:tcBorders>
            <w:vAlign w:val="center"/>
          </w:tcPr>
          <w:p w14:paraId="1FC0FA08">
            <w:pPr>
              <w:pStyle w:val="51"/>
              <w:spacing w:before="33" w:after="33"/>
              <w:rPr>
                <w:bCs/>
              </w:rPr>
            </w:pPr>
            <w:r>
              <w:rPr>
                <w:rFonts w:hint="eastAsia"/>
                <w:bCs/>
              </w:rPr>
              <w:t>/</w:t>
            </w:r>
          </w:p>
        </w:tc>
        <w:tc>
          <w:tcPr>
            <w:tcW w:w="1455" w:type="dxa"/>
            <w:tcBorders>
              <w:tl2br w:val="nil"/>
              <w:tr2bl w:val="nil"/>
            </w:tcBorders>
            <w:vAlign w:val="center"/>
          </w:tcPr>
          <w:p w14:paraId="02AD4A73">
            <w:pPr>
              <w:pStyle w:val="51"/>
              <w:spacing w:before="33" w:after="33"/>
              <w:rPr>
                <w:bCs/>
              </w:rPr>
            </w:pPr>
            <w:r>
              <w:rPr>
                <w:rFonts w:hint="eastAsia"/>
                <w:bCs/>
              </w:rPr>
              <w:t>Leq</w:t>
            </w:r>
          </w:p>
        </w:tc>
        <w:tc>
          <w:tcPr>
            <w:tcW w:w="2475" w:type="dxa"/>
            <w:tcBorders>
              <w:tl2br w:val="nil"/>
              <w:tr2bl w:val="nil"/>
            </w:tcBorders>
            <w:vAlign w:val="center"/>
          </w:tcPr>
          <w:p w14:paraId="3F55227C">
            <w:pPr>
              <w:pStyle w:val="51"/>
              <w:spacing w:before="33" w:after="33"/>
              <w:rPr>
                <w:bCs/>
              </w:rPr>
            </w:pPr>
            <w:r>
              <w:rPr>
                <w:rFonts w:hint="eastAsia"/>
                <w:bCs/>
              </w:rPr>
              <w:t>设备合理选型（低噪设备）、合理空间布局、基础减振、加强日常维护、厂房隔声等</w:t>
            </w:r>
          </w:p>
        </w:tc>
        <w:tc>
          <w:tcPr>
            <w:tcW w:w="2523" w:type="dxa"/>
            <w:tcBorders>
              <w:tl2br w:val="nil"/>
              <w:tr2bl w:val="nil"/>
            </w:tcBorders>
            <w:vAlign w:val="center"/>
          </w:tcPr>
          <w:p w14:paraId="140AAA34">
            <w:pPr>
              <w:pStyle w:val="51"/>
              <w:spacing w:before="33" w:after="33"/>
              <w:rPr>
                <w:bCs/>
              </w:rPr>
            </w:pPr>
            <w:r>
              <w:rPr>
                <w:rFonts w:hint="eastAsia"/>
                <w:bCs/>
              </w:rPr>
              <w:t>《工业企业厂界环境噪声排放标准》GB12348-2008 中3类标准</w:t>
            </w:r>
          </w:p>
        </w:tc>
      </w:tr>
      <w:tr w14:paraId="30EB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1101" w:type="dxa"/>
            <w:tcBorders>
              <w:tl2br w:val="nil"/>
              <w:tr2bl w:val="nil"/>
            </w:tcBorders>
            <w:vAlign w:val="center"/>
          </w:tcPr>
          <w:p w14:paraId="7D62E42E">
            <w:pPr>
              <w:pStyle w:val="51"/>
              <w:spacing w:before="33" w:after="33"/>
              <w:rPr>
                <w:bCs/>
              </w:rPr>
            </w:pPr>
            <w:r>
              <w:rPr>
                <w:rFonts w:hint="eastAsia"/>
                <w:bCs/>
              </w:rPr>
              <w:t>电磁辐射</w:t>
            </w:r>
          </w:p>
        </w:tc>
        <w:tc>
          <w:tcPr>
            <w:tcW w:w="1343" w:type="dxa"/>
            <w:tcBorders>
              <w:tl2br w:val="nil"/>
              <w:tr2bl w:val="nil"/>
            </w:tcBorders>
            <w:vAlign w:val="center"/>
          </w:tcPr>
          <w:p w14:paraId="0DD0B7F1">
            <w:pPr>
              <w:pStyle w:val="51"/>
              <w:spacing w:before="33" w:after="33"/>
              <w:rPr>
                <w:bCs/>
              </w:rPr>
            </w:pPr>
            <w:r>
              <w:rPr>
                <w:rFonts w:hint="eastAsia"/>
                <w:bCs/>
              </w:rPr>
              <w:t>/</w:t>
            </w:r>
          </w:p>
        </w:tc>
        <w:tc>
          <w:tcPr>
            <w:tcW w:w="1455" w:type="dxa"/>
            <w:tcBorders>
              <w:tl2br w:val="nil"/>
              <w:tr2bl w:val="nil"/>
            </w:tcBorders>
            <w:vAlign w:val="center"/>
          </w:tcPr>
          <w:p w14:paraId="5D2BE605">
            <w:pPr>
              <w:pStyle w:val="51"/>
              <w:spacing w:before="33" w:after="33"/>
              <w:rPr>
                <w:bCs/>
              </w:rPr>
            </w:pPr>
            <w:r>
              <w:rPr>
                <w:rFonts w:hint="eastAsia"/>
                <w:bCs/>
              </w:rPr>
              <w:t>/</w:t>
            </w:r>
          </w:p>
        </w:tc>
        <w:tc>
          <w:tcPr>
            <w:tcW w:w="2475" w:type="dxa"/>
            <w:tcBorders>
              <w:tl2br w:val="nil"/>
              <w:tr2bl w:val="nil"/>
            </w:tcBorders>
            <w:vAlign w:val="center"/>
          </w:tcPr>
          <w:p w14:paraId="0E68ACEF">
            <w:pPr>
              <w:pStyle w:val="51"/>
              <w:spacing w:before="33" w:after="33"/>
              <w:rPr>
                <w:bCs/>
              </w:rPr>
            </w:pPr>
            <w:r>
              <w:rPr>
                <w:rFonts w:hint="eastAsia"/>
                <w:bCs/>
              </w:rPr>
              <w:t>/</w:t>
            </w:r>
          </w:p>
        </w:tc>
        <w:tc>
          <w:tcPr>
            <w:tcW w:w="2523" w:type="dxa"/>
            <w:tcBorders>
              <w:tl2br w:val="nil"/>
              <w:tr2bl w:val="nil"/>
            </w:tcBorders>
            <w:vAlign w:val="center"/>
          </w:tcPr>
          <w:p w14:paraId="63BB3775">
            <w:pPr>
              <w:pStyle w:val="51"/>
              <w:spacing w:before="33" w:after="33"/>
              <w:rPr>
                <w:bCs/>
              </w:rPr>
            </w:pPr>
            <w:r>
              <w:rPr>
                <w:rFonts w:hint="eastAsia"/>
                <w:bCs/>
              </w:rPr>
              <w:t>/</w:t>
            </w:r>
          </w:p>
        </w:tc>
      </w:tr>
      <w:tr w14:paraId="50450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1101" w:type="dxa"/>
            <w:tcBorders>
              <w:tl2br w:val="nil"/>
              <w:tr2bl w:val="nil"/>
            </w:tcBorders>
            <w:vAlign w:val="center"/>
          </w:tcPr>
          <w:p w14:paraId="2436D53A">
            <w:pPr>
              <w:pStyle w:val="51"/>
              <w:spacing w:before="33" w:after="33"/>
              <w:rPr>
                <w:bCs/>
              </w:rPr>
            </w:pPr>
            <w:r>
              <w:rPr>
                <w:rFonts w:hint="eastAsia"/>
                <w:bCs/>
              </w:rPr>
              <w:t>土壤及地下水污染防治措施</w:t>
            </w:r>
          </w:p>
        </w:tc>
        <w:tc>
          <w:tcPr>
            <w:tcW w:w="7796" w:type="dxa"/>
            <w:gridSpan w:val="4"/>
            <w:tcBorders>
              <w:tl2br w:val="nil"/>
              <w:tr2bl w:val="nil"/>
            </w:tcBorders>
            <w:vAlign w:val="center"/>
          </w:tcPr>
          <w:p w14:paraId="7DFD5C15">
            <w:pPr>
              <w:pStyle w:val="51"/>
              <w:spacing w:before="33" w:after="33"/>
            </w:pPr>
            <w:r>
              <w:rPr>
                <w:rFonts w:hint="eastAsia"/>
              </w:rPr>
              <w:t>成品仓库、原料仓库、车间地面、一般固废暂存间一般防渗；重点防渗：危废间重点防渗</w:t>
            </w:r>
          </w:p>
        </w:tc>
      </w:tr>
      <w:tr w14:paraId="15AA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31" w:hRule="atLeast"/>
          <w:jc w:val="center"/>
        </w:trPr>
        <w:tc>
          <w:tcPr>
            <w:tcW w:w="1101" w:type="dxa"/>
            <w:tcBorders>
              <w:tl2br w:val="nil"/>
              <w:tr2bl w:val="nil"/>
            </w:tcBorders>
            <w:vAlign w:val="center"/>
          </w:tcPr>
          <w:p w14:paraId="73E5102E">
            <w:pPr>
              <w:pStyle w:val="51"/>
              <w:spacing w:before="33" w:after="33"/>
              <w:rPr>
                <w:bCs/>
              </w:rPr>
            </w:pPr>
            <w:r>
              <w:rPr>
                <w:rFonts w:hint="eastAsia"/>
                <w:bCs/>
              </w:rPr>
              <w:t>生态保护措施</w:t>
            </w:r>
          </w:p>
        </w:tc>
        <w:tc>
          <w:tcPr>
            <w:tcW w:w="7796" w:type="dxa"/>
            <w:gridSpan w:val="4"/>
            <w:tcBorders>
              <w:tl2br w:val="nil"/>
              <w:tr2bl w:val="nil"/>
            </w:tcBorders>
            <w:vAlign w:val="center"/>
          </w:tcPr>
          <w:p w14:paraId="201DEEB0">
            <w:pPr>
              <w:pStyle w:val="51"/>
              <w:spacing w:before="33" w:after="33"/>
              <w:rPr>
                <w:bCs/>
              </w:rPr>
            </w:pPr>
            <w:r>
              <w:rPr>
                <w:rFonts w:hint="eastAsia"/>
                <w:bCs/>
              </w:rPr>
              <w:t>不涉及</w:t>
            </w:r>
          </w:p>
        </w:tc>
      </w:tr>
      <w:tr w14:paraId="5604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1101" w:type="dxa"/>
            <w:tcBorders>
              <w:tl2br w:val="nil"/>
              <w:tr2bl w:val="nil"/>
            </w:tcBorders>
            <w:vAlign w:val="center"/>
          </w:tcPr>
          <w:p w14:paraId="43A2FC82">
            <w:pPr>
              <w:pStyle w:val="51"/>
              <w:spacing w:before="33" w:after="33"/>
            </w:pPr>
            <w:r>
              <w:rPr>
                <w:rFonts w:hint="eastAsia"/>
              </w:rPr>
              <w:t>环境风险防范措施</w:t>
            </w:r>
          </w:p>
        </w:tc>
        <w:tc>
          <w:tcPr>
            <w:tcW w:w="7796" w:type="dxa"/>
            <w:gridSpan w:val="4"/>
            <w:tcBorders>
              <w:tl2br w:val="nil"/>
              <w:tr2bl w:val="nil"/>
            </w:tcBorders>
            <w:vAlign w:val="center"/>
          </w:tcPr>
          <w:p w14:paraId="2EF6D4BF">
            <w:pPr>
              <w:pStyle w:val="51"/>
              <w:spacing w:before="33" w:after="33"/>
            </w:pPr>
            <w:r>
              <w:rPr>
                <w:rFonts w:hint="eastAsia"/>
              </w:rPr>
              <w:t>加强安全教育培训和宣传；配备完善的消防措施；危废间规范化建设。</w:t>
            </w:r>
          </w:p>
        </w:tc>
      </w:tr>
      <w:tr w14:paraId="607AF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1101" w:type="dxa"/>
            <w:tcBorders>
              <w:tl2br w:val="nil"/>
              <w:tr2bl w:val="nil"/>
            </w:tcBorders>
            <w:vAlign w:val="center"/>
          </w:tcPr>
          <w:p w14:paraId="33DCDB0E">
            <w:pPr>
              <w:pStyle w:val="51"/>
              <w:spacing w:before="33" w:after="33"/>
              <w:rPr>
                <w:bCs/>
              </w:rPr>
            </w:pPr>
            <w:r>
              <w:rPr>
                <w:rFonts w:hint="eastAsia"/>
                <w:bCs/>
              </w:rPr>
              <w:t>其他环境管理要求</w:t>
            </w:r>
          </w:p>
        </w:tc>
        <w:tc>
          <w:tcPr>
            <w:tcW w:w="7796" w:type="dxa"/>
            <w:gridSpan w:val="4"/>
            <w:tcBorders>
              <w:tl2br w:val="nil"/>
              <w:tr2bl w:val="nil"/>
            </w:tcBorders>
            <w:vAlign w:val="center"/>
          </w:tcPr>
          <w:p w14:paraId="6AF337BA">
            <w:pPr>
              <w:numPr>
                <w:ilvl w:val="0"/>
                <w:numId w:val="13"/>
              </w:numPr>
              <w:spacing w:line="240" w:lineRule="auto"/>
              <w:ind w:firstLine="0" w:firstLineChars="0"/>
              <w:rPr>
                <w:rFonts w:ascii="宋体" w:hAnsi="宋体" w:cs="宋体"/>
                <w:sz w:val="21"/>
                <w:szCs w:val="21"/>
              </w:rPr>
            </w:pPr>
            <w:r>
              <w:rPr>
                <w:rFonts w:ascii="宋体" w:hAnsi="宋体" w:cs="宋体"/>
                <w:sz w:val="21"/>
                <w:szCs w:val="21"/>
              </w:rPr>
              <w:t>企业应严格落实环保</w:t>
            </w:r>
            <w:r>
              <w:rPr>
                <w:rFonts w:hint="eastAsia" w:ascii="宋体" w:hAnsi="宋体" w:cs="宋体"/>
                <w:sz w:val="21"/>
                <w:szCs w:val="21"/>
                <w:lang w:eastAsia="zh-CN"/>
              </w:rPr>
              <w:t>“</w:t>
            </w:r>
            <w:r>
              <w:rPr>
                <w:rFonts w:ascii="宋体" w:hAnsi="宋体" w:cs="宋体"/>
                <w:sz w:val="21"/>
                <w:szCs w:val="21"/>
              </w:rPr>
              <w:t>三同时</w:t>
            </w:r>
            <w:r>
              <w:rPr>
                <w:rFonts w:hint="eastAsia" w:ascii="宋体" w:hAnsi="宋体" w:cs="宋体"/>
                <w:sz w:val="21"/>
                <w:szCs w:val="21"/>
                <w:lang w:eastAsia="zh-CN"/>
              </w:rPr>
              <w:t>”</w:t>
            </w:r>
            <w:r>
              <w:rPr>
                <w:rFonts w:ascii="宋体" w:hAnsi="宋体" w:cs="宋体"/>
                <w:sz w:val="21"/>
                <w:szCs w:val="21"/>
              </w:rPr>
              <w:t>制度；</w:t>
            </w:r>
          </w:p>
          <w:p w14:paraId="1B0CFFAA">
            <w:pPr>
              <w:numPr>
                <w:ilvl w:val="0"/>
                <w:numId w:val="13"/>
              </w:numPr>
              <w:spacing w:line="240" w:lineRule="auto"/>
              <w:ind w:firstLine="0" w:firstLineChars="0"/>
              <w:rPr>
                <w:rFonts w:ascii="宋体" w:hAnsi="宋体" w:cs="宋体"/>
                <w:sz w:val="21"/>
                <w:szCs w:val="21"/>
              </w:rPr>
            </w:pPr>
            <w:r>
              <w:rPr>
                <w:rFonts w:ascii="宋体" w:hAnsi="宋体" w:cs="宋体"/>
                <w:sz w:val="21"/>
                <w:szCs w:val="21"/>
              </w:rPr>
              <w:t>企业项目建设性质、规模、地点、生产工艺、环保措施等有重大变动时，建设单位应及时另行报批，必要时重新进行环境影响评价；</w:t>
            </w:r>
          </w:p>
          <w:p w14:paraId="539C082E">
            <w:pPr>
              <w:numPr>
                <w:ilvl w:val="0"/>
                <w:numId w:val="13"/>
              </w:numPr>
              <w:spacing w:line="240" w:lineRule="auto"/>
              <w:ind w:firstLine="0" w:firstLineChars="0"/>
              <w:rPr>
                <w:rFonts w:ascii="宋体" w:hAnsi="宋体" w:cs="宋体"/>
                <w:sz w:val="21"/>
                <w:szCs w:val="21"/>
              </w:rPr>
            </w:pPr>
            <w:r>
              <w:rPr>
                <w:rFonts w:ascii="宋体" w:hAnsi="宋体" w:cs="宋体"/>
                <w:sz w:val="21"/>
                <w:szCs w:val="21"/>
              </w:rPr>
              <w:t>企业应在本项目投入生产前根据《排污许可管理办法(试行)》(环境保护部令第 48 号)和《排污许可管理条例》等要求办理或更新排污许可证。</w:t>
            </w:r>
          </w:p>
          <w:p w14:paraId="583FB72A">
            <w:pPr>
              <w:spacing w:line="240" w:lineRule="auto"/>
              <w:ind w:firstLine="0" w:firstLineChars="0"/>
              <w:rPr>
                <w:rFonts w:ascii="宋体" w:hAnsi="宋体" w:cs="宋体"/>
                <w:sz w:val="21"/>
                <w:szCs w:val="21"/>
              </w:rPr>
            </w:pPr>
          </w:p>
          <w:p w14:paraId="02C47DE1">
            <w:pPr>
              <w:spacing w:line="240" w:lineRule="auto"/>
              <w:ind w:firstLine="0" w:firstLineChars="0"/>
              <w:rPr>
                <w:rFonts w:ascii="宋体" w:hAnsi="宋体" w:cs="宋体"/>
                <w:sz w:val="21"/>
                <w:szCs w:val="21"/>
              </w:rPr>
            </w:pPr>
          </w:p>
          <w:p w14:paraId="603DAF8D">
            <w:pPr>
              <w:spacing w:line="240" w:lineRule="auto"/>
              <w:ind w:firstLine="0" w:firstLineChars="0"/>
              <w:rPr>
                <w:rFonts w:ascii="宋体" w:hAnsi="宋体" w:cs="宋体"/>
                <w:sz w:val="21"/>
                <w:szCs w:val="21"/>
              </w:rPr>
            </w:pPr>
          </w:p>
          <w:p w14:paraId="3FB92FEB">
            <w:pPr>
              <w:spacing w:line="240" w:lineRule="auto"/>
              <w:ind w:firstLine="0" w:firstLineChars="0"/>
              <w:rPr>
                <w:rFonts w:ascii="宋体" w:hAnsi="宋体" w:cs="宋体"/>
                <w:sz w:val="21"/>
                <w:szCs w:val="21"/>
              </w:rPr>
            </w:pPr>
          </w:p>
          <w:p w14:paraId="71B529FC">
            <w:pPr>
              <w:spacing w:line="240" w:lineRule="auto"/>
              <w:ind w:firstLine="0" w:firstLineChars="0"/>
              <w:rPr>
                <w:rFonts w:ascii="宋体" w:hAnsi="宋体" w:cs="宋体"/>
                <w:sz w:val="21"/>
                <w:szCs w:val="21"/>
              </w:rPr>
            </w:pPr>
          </w:p>
          <w:p w14:paraId="096AD606">
            <w:pPr>
              <w:spacing w:line="240" w:lineRule="auto"/>
              <w:ind w:firstLine="0" w:firstLineChars="0"/>
              <w:rPr>
                <w:rFonts w:ascii="宋体" w:hAnsi="宋体" w:cs="宋体"/>
                <w:sz w:val="21"/>
                <w:szCs w:val="21"/>
              </w:rPr>
            </w:pPr>
          </w:p>
          <w:p w14:paraId="4EB4496D">
            <w:pPr>
              <w:spacing w:line="240" w:lineRule="auto"/>
              <w:ind w:firstLine="0" w:firstLineChars="0"/>
              <w:rPr>
                <w:rFonts w:ascii="宋体" w:hAnsi="宋体" w:cs="宋体"/>
                <w:sz w:val="21"/>
                <w:szCs w:val="21"/>
              </w:rPr>
            </w:pPr>
          </w:p>
          <w:p w14:paraId="460642DD">
            <w:pPr>
              <w:spacing w:line="240" w:lineRule="auto"/>
              <w:ind w:firstLine="0" w:firstLineChars="0"/>
              <w:rPr>
                <w:rFonts w:ascii="宋体" w:hAnsi="宋体" w:cs="宋体"/>
                <w:sz w:val="21"/>
                <w:szCs w:val="21"/>
              </w:rPr>
            </w:pPr>
          </w:p>
          <w:p w14:paraId="159D4FF0">
            <w:pPr>
              <w:spacing w:line="240" w:lineRule="auto"/>
              <w:ind w:firstLine="0" w:firstLineChars="0"/>
              <w:rPr>
                <w:rFonts w:ascii="宋体" w:hAnsi="宋体" w:cs="宋体"/>
                <w:sz w:val="21"/>
                <w:szCs w:val="21"/>
              </w:rPr>
            </w:pPr>
          </w:p>
          <w:p w14:paraId="2527B989">
            <w:pPr>
              <w:spacing w:line="240" w:lineRule="auto"/>
              <w:ind w:firstLine="0" w:firstLineChars="0"/>
              <w:rPr>
                <w:rFonts w:ascii="宋体" w:hAnsi="宋体" w:cs="宋体"/>
                <w:sz w:val="21"/>
                <w:szCs w:val="21"/>
              </w:rPr>
            </w:pPr>
          </w:p>
          <w:p w14:paraId="2382AFAA">
            <w:pPr>
              <w:spacing w:line="240" w:lineRule="auto"/>
              <w:ind w:firstLine="0" w:firstLineChars="0"/>
              <w:rPr>
                <w:rFonts w:ascii="宋体" w:hAnsi="宋体" w:cs="宋体"/>
                <w:sz w:val="21"/>
                <w:szCs w:val="21"/>
              </w:rPr>
            </w:pPr>
          </w:p>
          <w:p w14:paraId="6808C454">
            <w:pPr>
              <w:spacing w:line="240" w:lineRule="auto"/>
              <w:ind w:firstLine="0" w:firstLineChars="0"/>
              <w:rPr>
                <w:rFonts w:ascii="宋体" w:hAnsi="宋体" w:cs="宋体"/>
                <w:sz w:val="21"/>
                <w:szCs w:val="21"/>
              </w:rPr>
            </w:pPr>
          </w:p>
          <w:p w14:paraId="2BB92416">
            <w:pPr>
              <w:spacing w:line="240" w:lineRule="auto"/>
              <w:ind w:firstLine="0" w:firstLineChars="0"/>
              <w:rPr>
                <w:rFonts w:ascii="宋体" w:hAnsi="宋体" w:cs="宋体"/>
                <w:sz w:val="21"/>
                <w:szCs w:val="21"/>
              </w:rPr>
            </w:pPr>
          </w:p>
          <w:p w14:paraId="7CD642E9">
            <w:pPr>
              <w:spacing w:line="240" w:lineRule="auto"/>
              <w:ind w:firstLine="0" w:firstLineChars="0"/>
              <w:rPr>
                <w:rFonts w:ascii="宋体" w:hAnsi="宋体" w:cs="宋体"/>
                <w:sz w:val="21"/>
                <w:szCs w:val="21"/>
              </w:rPr>
            </w:pPr>
          </w:p>
          <w:p w14:paraId="4A85FEC9">
            <w:pPr>
              <w:spacing w:line="240" w:lineRule="auto"/>
              <w:ind w:firstLine="0" w:firstLineChars="0"/>
              <w:rPr>
                <w:rFonts w:ascii="宋体" w:hAnsi="宋体" w:cs="宋体"/>
                <w:sz w:val="21"/>
                <w:szCs w:val="21"/>
              </w:rPr>
            </w:pPr>
          </w:p>
          <w:p w14:paraId="21A8FF43">
            <w:pPr>
              <w:spacing w:line="240" w:lineRule="auto"/>
              <w:ind w:firstLine="0" w:firstLineChars="0"/>
              <w:rPr>
                <w:rFonts w:ascii="宋体" w:hAnsi="宋体" w:cs="宋体"/>
                <w:sz w:val="21"/>
                <w:szCs w:val="21"/>
              </w:rPr>
            </w:pPr>
          </w:p>
          <w:p w14:paraId="043C366B">
            <w:pPr>
              <w:spacing w:line="240" w:lineRule="auto"/>
              <w:ind w:firstLine="0" w:firstLineChars="0"/>
              <w:rPr>
                <w:rFonts w:ascii="宋体" w:hAnsi="宋体" w:cs="宋体"/>
                <w:sz w:val="21"/>
                <w:szCs w:val="21"/>
              </w:rPr>
            </w:pPr>
          </w:p>
          <w:p w14:paraId="7FA8936A">
            <w:pPr>
              <w:spacing w:line="240" w:lineRule="auto"/>
              <w:ind w:firstLine="0" w:firstLineChars="0"/>
              <w:rPr>
                <w:rFonts w:ascii="宋体" w:hAnsi="宋体" w:cs="宋体"/>
                <w:sz w:val="21"/>
                <w:szCs w:val="21"/>
              </w:rPr>
            </w:pPr>
          </w:p>
          <w:p w14:paraId="673345EB">
            <w:pPr>
              <w:spacing w:line="240" w:lineRule="auto"/>
              <w:ind w:firstLine="0" w:firstLineChars="0"/>
              <w:rPr>
                <w:rFonts w:ascii="宋体" w:hAnsi="宋体" w:cs="宋体"/>
                <w:sz w:val="21"/>
                <w:szCs w:val="21"/>
              </w:rPr>
            </w:pPr>
          </w:p>
          <w:p w14:paraId="5EDEE108">
            <w:pPr>
              <w:spacing w:line="240" w:lineRule="auto"/>
              <w:ind w:firstLine="0" w:firstLineChars="0"/>
              <w:rPr>
                <w:rFonts w:ascii="宋体" w:hAnsi="宋体" w:cs="宋体"/>
                <w:sz w:val="21"/>
                <w:szCs w:val="21"/>
              </w:rPr>
            </w:pPr>
          </w:p>
          <w:p w14:paraId="0E8740A7">
            <w:pPr>
              <w:spacing w:line="240" w:lineRule="auto"/>
              <w:ind w:firstLine="0" w:firstLineChars="0"/>
              <w:rPr>
                <w:rFonts w:ascii="宋体" w:hAnsi="宋体" w:cs="宋体"/>
                <w:sz w:val="21"/>
                <w:szCs w:val="21"/>
              </w:rPr>
            </w:pPr>
          </w:p>
          <w:p w14:paraId="768D1DDB">
            <w:pPr>
              <w:spacing w:line="240" w:lineRule="auto"/>
              <w:ind w:firstLine="0" w:firstLineChars="0"/>
              <w:rPr>
                <w:rFonts w:ascii="宋体" w:hAnsi="宋体" w:cs="宋体"/>
                <w:sz w:val="21"/>
                <w:szCs w:val="21"/>
              </w:rPr>
            </w:pPr>
          </w:p>
          <w:p w14:paraId="7B5D5389">
            <w:pPr>
              <w:spacing w:line="240" w:lineRule="auto"/>
              <w:ind w:firstLine="0" w:firstLineChars="0"/>
              <w:rPr>
                <w:rFonts w:ascii="宋体" w:hAnsi="宋体" w:cs="宋体"/>
                <w:sz w:val="21"/>
                <w:szCs w:val="21"/>
              </w:rPr>
            </w:pPr>
          </w:p>
          <w:p w14:paraId="15E5B9B9">
            <w:pPr>
              <w:spacing w:line="240" w:lineRule="auto"/>
              <w:ind w:firstLine="0" w:firstLineChars="0"/>
              <w:rPr>
                <w:rFonts w:ascii="宋体" w:hAnsi="宋体" w:cs="宋体"/>
                <w:sz w:val="21"/>
                <w:szCs w:val="21"/>
              </w:rPr>
            </w:pPr>
          </w:p>
          <w:p w14:paraId="1E00FDB0">
            <w:pPr>
              <w:spacing w:line="240" w:lineRule="auto"/>
              <w:ind w:firstLine="0" w:firstLineChars="0"/>
              <w:rPr>
                <w:rFonts w:ascii="宋体" w:hAnsi="宋体" w:cs="宋体"/>
                <w:sz w:val="21"/>
                <w:szCs w:val="21"/>
              </w:rPr>
            </w:pPr>
          </w:p>
          <w:p w14:paraId="1ACE4B7E">
            <w:pPr>
              <w:spacing w:line="240" w:lineRule="auto"/>
              <w:ind w:firstLine="0" w:firstLineChars="0"/>
              <w:rPr>
                <w:rFonts w:ascii="宋体" w:hAnsi="宋体" w:cs="宋体"/>
                <w:sz w:val="21"/>
                <w:szCs w:val="21"/>
              </w:rPr>
            </w:pPr>
          </w:p>
          <w:p w14:paraId="2CDE39CC">
            <w:pPr>
              <w:spacing w:line="240" w:lineRule="auto"/>
              <w:ind w:firstLine="0" w:firstLineChars="0"/>
              <w:rPr>
                <w:rFonts w:ascii="宋体" w:hAnsi="宋体" w:cs="宋体"/>
                <w:sz w:val="21"/>
                <w:szCs w:val="21"/>
              </w:rPr>
            </w:pPr>
          </w:p>
          <w:p w14:paraId="40FF795A">
            <w:pPr>
              <w:spacing w:line="240" w:lineRule="auto"/>
              <w:ind w:firstLine="0" w:firstLineChars="0"/>
              <w:rPr>
                <w:rFonts w:ascii="宋体" w:hAnsi="宋体" w:cs="宋体"/>
                <w:sz w:val="21"/>
                <w:szCs w:val="21"/>
              </w:rPr>
            </w:pPr>
          </w:p>
          <w:p w14:paraId="75C85997">
            <w:pPr>
              <w:spacing w:line="240" w:lineRule="auto"/>
              <w:ind w:firstLine="0" w:firstLineChars="0"/>
              <w:rPr>
                <w:rFonts w:ascii="宋体" w:hAnsi="宋体" w:cs="宋体"/>
                <w:sz w:val="21"/>
                <w:szCs w:val="21"/>
              </w:rPr>
            </w:pPr>
          </w:p>
          <w:p w14:paraId="79F6B609">
            <w:pPr>
              <w:spacing w:line="240" w:lineRule="auto"/>
              <w:ind w:firstLine="0" w:firstLineChars="0"/>
              <w:rPr>
                <w:rFonts w:ascii="宋体" w:hAnsi="宋体" w:cs="宋体"/>
                <w:sz w:val="21"/>
                <w:szCs w:val="21"/>
              </w:rPr>
            </w:pPr>
          </w:p>
        </w:tc>
      </w:tr>
      <w:bookmarkEnd w:id="8"/>
    </w:tbl>
    <w:p w14:paraId="0AB0A398">
      <w:pPr>
        <w:ind w:firstLine="480"/>
        <w:rPr>
          <w:color w:val="auto"/>
          <w:highlight w:val="none"/>
        </w:rPr>
      </w:pPr>
      <w:r>
        <w:rPr>
          <w:color w:val="auto"/>
          <w:highlight w:val="none"/>
        </w:rPr>
        <w:br w:type="page"/>
      </w:r>
    </w:p>
    <w:p w14:paraId="07209467">
      <w:pPr>
        <w:pStyle w:val="3"/>
        <w:ind w:firstLine="643"/>
        <w:rPr>
          <w:b w:val="0"/>
          <w:bCs w:val="0"/>
          <w:color w:val="auto"/>
          <w:highlight w:val="none"/>
        </w:rPr>
      </w:pPr>
      <w:r>
        <w:rPr>
          <w:rFonts w:hint="eastAsia"/>
          <w:color w:val="auto"/>
          <w:highlight w:val="none"/>
        </w:rPr>
        <w:t>六</w:t>
      </w:r>
      <w:r>
        <w:rPr>
          <w:color w:val="auto"/>
          <w:highlight w:val="none"/>
        </w:rPr>
        <w:t>、</w:t>
      </w:r>
      <w:r>
        <w:rPr>
          <w:rFonts w:hint="eastAsia"/>
          <w:color w:val="auto"/>
          <w:highlight w:val="none"/>
        </w:rPr>
        <w:t>结论</w:t>
      </w:r>
      <w:r>
        <w:rPr>
          <w:color w:val="auto"/>
          <w:highlight w:val="none"/>
        </w:rPr>
        <w:t>与建议</w:t>
      </w:r>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047"/>
      </w:tblGrid>
      <w:tr w14:paraId="2B92D46E">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477" w:hRule="atLeast"/>
        </w:trPr>
        <w:tc>
          <w:tcPr>
            <w:tcW w:w="9047" w:type="dxa"/>
          </w:tcPr>
          <w:p w14:paraId="0FBE5B08">
            <w:pPr>
              <w:ind w:firstLine="480"/>
              <w:rPr>
                <w:color w:val="auto"/>
                <w:highlight w:val="none"/>
              </w:rPr>
            </w:pPr>
            <w:r>
              <w:rPr>
                <w:rFonts w:hint="eastAsia"/>
                <w:color w:val="auto"/>
                <w:highlight w:val="none"/>
                <w:lang w:eastAsia="zh-CN"/>
              </w:rPr>
              <w:t>淮南益生包装材料有限公司EPP汽车零配件和EPS包装材料生产基地项目</w:t>
            </w:r>
            <w:r>
              <w:rPr>
                <w:rFonts w:hint="eastAsia"/>
                <w:color w:val="auto"/>
                <w:highlight w:val="none"/>
              </w:rPr>
              <w:t>符合国家产业政策、当地规划以及相关法律法规要求。建设单位需认真落实本报告提出的各项污染防治措施，切实做到</w:t>
            </w:r>
            <w:r>
              <w:rPr>
                <w:rFonts w:hint="eastAsia"/>
                <w:color w:val="auto"/>
                <w:highlight w:val="none"/>
                <w:lang w:eastAsia="zh-CN"/>
              </w:rPr>
              <w:t>“</w:t>
            </w:r>
            <w:r>
              <w:rPr>
                <w:rFonts w:hint="eastAsia"/>
                <w:color w:val="auto"/>
                <w:highlight w:val="none"/>
              </w:rPr>
              <w:t>三同时</w:t>
            </w:r>
            <w:r>
              <w:rPr>
                <w:rFonts w:hint="eastAsia"/>
                <w:color w:val="auto"/>
                <w:highlight w:val="none"/>
                <w:lang w:eastAsia="zh-CN"/>
              </w:rPr>
              <w:t>”</w:t>
            </w:r>
            <w:r>
              <w:rPr>
                <w:rFonts w:hint="eastAsia"/>
                <w:color w:val="auto"/>
                <w:highlight w:val="none"/>
              </w:rPr>
              <w:t>，加强环境管理，做好环境污染防治工作，项目营运过程中各污染物均能达标排放，可满足当地环境质量要求，对区域环境造成影响较小。</w:t>
            </w:r>
          </w:p>
          <w:p w14:paraId="53E2AE3E">
            <w:pPr>
              <w:ind w:firstLine="480"/>
              <w:rPr>
                <w:color w:val="auto"/>
                <w:highlight w:val="none"/>
              </w:rPr>
            </w:pPr>
            <w:r>
              <w:rPr>
                <w:rFonts w:hint="eastAsia"/>
                <w:color w:val="auto"/>
                <w:highlight w:val="none"/>
              </w:rPr>
              <w:t>因此，从环境影响角度看，本项目是可行的。</w:t>
            </w:r>
          </w:p>
          <w:p w14:paraId="6C0A75C1">
            <w:pPr>
              <w:ind w:firstLine="480"/>
              <w:rPr>
                <w:color w:val="auto"/>
                <w:highlight w:val="none"/>
              </w:rPr>
            </w:pPr>
          </w:p>
          <w:p w14:paraId="494E4423">
            <w:pPr>
              <w:ind w:firstLine="480"/>
              <w:rPr>
                <w:color w:val="auto"/>
                <w:highlight w:val="none"/>
              </w:rPr>
            </w:pPr>
          </w:p>
          <w:p w14:paraId="7881EEA6">
            <w:pPr>
              <w:ind w:firstLine="480"/>
              <w:rPr>
                <w:color w:val="auto"/>
                <w:highlight w:val="none"/>
              </w:rPr>
            </w:pPr>
          </w:p>
          <w:p w14:paraId="04B2DBF6">
            <w:pPr>
              <w:ind w:firstLine="480"/>
              <w:rPr>
                <w:color w:val="auto"/>
                <w:highlight w:val="none"/>
              </w:rPr>
            </w:pPr>
          </w:p>
          <w:p w14:paraId="35C50C09">
            <w:pPr>
              <w:ind w:firstLine="480"/>
              <w:rPr>
                <w:color w:val="auto"/>
                <w:highlight w:val="none"/>
              </w:rPr>
            </w:pPr>
          </w:p>
          <w:p w14:paraId="2C2174A3">
            <w:pPr>
              <w:ind w:firstLine="480"/>
              <w:rPr>
                <w:color w:val="auto"/>
                <w:highlight w:val="none"/>
              </w:rPr>
            </w:pPr>
          </w:p>
          <w:p w14:paraId="5A2185E3">
            <w:pPr>
              <w:ind w:firstLine="480"/>
              <w:rPr>
                <w:color w:val="auto"/>
                <w:highlight w:val="none"/>
              </w:rPr>
            </w:pPr>
          </w:p>
          <w:p w14:paraId="2F279F06">
            <w:pPr>
              <w:ind w:firstLine="480"/>
              <w:rPr>
                <w:color w:val="auto"/>
                <w:highlight w:val="none"/>
              </w:rPr>
            </w:pPr>
          </w:p>
          <w:p w14:paraId="6ED844BA">
            <w:pPr>
              <w:ind w:firstLine="480"/>
              <w:rPr>
                <w:color w:val="auto"/>
                <w:highlight w:val="none"/>
              </w:rPr>
            </w:pPr>
          </w:p>
          <w:p w14:paraId="18B4EBCD">
            <w:pPr>
              <w:ind w:firstLine="480"/>
              <w:rPr>
                <w:color w:val="auto"/>
                <w:highlight w:val="none"/>
              </w:rPr>
            </w:pPr>
          </w:p>
          <w:p w14:paraId="21EE4182">
            <w:pPr>
              <w:ind w:firstLine="480"/>
              <w:rPr>
                <w:color w:val="auto"/>
                <w:highlight w:val="none"/>
              </w:rPr>
            </w:pPr>
          </w:p>
          <w:p w14:paraId="4A5DAA08">
            <w:pPr>
              <w:ind w:firstLine="480"/>
              <w:rPr>
                <w:color w:val="auto"/>
                <w:highlight w:val="none"/>
              </w:rPr>
            </w:pPr>
          </w:p>
          <w:p w14:paraId="53596E41">
            <w:pPr>
              <w:ind w:firstLine="480"/>
              <w:rPr>
                <w:color w:val="auto"/>
                <w:highlight w:val="none"/>
              </w:rPr>
            </w:pPr>
          </w:p>
          <w:p w14:paraId="4B9F4458">
            <w:pPr>
              <w:ind w:firstLine="480"/>
              <w:rPr>
                <w:color w:val="auto"/>
                <w:highlight w:val="none"/>
              </w:rPr>
            </w:pPr>
          </w:p>
          <w:p w14:paraId="7AB81D92">
            <w:pPr>
              <w:ind w:firstLine="480"/>
              <w:rPr>
                <w:color w:val="auto"/>
                <w:highlight w:val="none"/>
              </w:rPr>
            </w:pPr>
          </w:p>
          <w:p w14:paraId="116E9C45">
            <w:pPr>
              <w:ind w:firstLine="480"/>
              <w:rPr>
                <w:color w:val="auto"/>
                <w:highlight w:val="none"/>
              </w:rPr>
            </w:pPr>
          </w:p>
          <w:p w14:paraId="5860E564">
            <w:pPr>
              <w:ind w:firstLine="480"/>
              <w:rPr>
                <w:color w:val="auto"/>
                <w:highlight w:val="none"/>
              </w:rPr>
            </w:pPr>
          </w:p>
          <w:p w14:paraId="44854C67">
            <w:pPr>
              <w:ind w:firstLine="480"/>
              <w:rPr>
                <w:color w:val="auto"/>
                <w:highlight w:val="none"/>
              </w:rPr>
            </w:pPr>
          </w:p>
          <w:p w14:paraId="016D0459">
            <w:pPr>
              <w:ind w:firstLine="480"/>
              <w:rPr>
                <w:color w:val="auto"/>
                <w:highlight w:val="none"/>
              </w:rPr>
            </w:pPr>
          </w:p>
          <w:p w14:paraId="316DDB24">
            <w:pPr>
              <w:ind w:firstLine="0" w:firstLineChars="0"/>
              <w:rPr>
                <w:color w:val="auto"/>
                <w:highlight w:val="none"/>
              </w:rPr>
            </w:pPr>
          </w:p>
        </w:tc>
      </w:tr>
    </w:tbl>
    <w:p w14:paraId="61FA298F">
      <w:pPr>
        <w:ind w:firstLine="760"/>
        <w:rPr>
          <w:rFonts w:ascii="微软雅黑" w:eastAsia="微软雅黑"/>
          <w:color w:val="auto"/>
          <w:sz w:val="38"/>
          <w:highlight w:val="none"/>
        </w:rPr>
        <w:sectPr>
          <w:pgSz w:w="11906" w:h="16838"/>
          <w:pgMar w:top="1417" w:right="1417" w:bottom="1417" w:left="1417" w:header="737" w:footer="850" w:gutter="0"/>
          <w:pgBorders>
            <w:top w:val="none" w:sz="0" w:space="0"/>
            <w:left w:val="none" w:sz="0" w:space="0"/>
            <w:bottom w:val="none" w:sz="0" w:space="0"/>
            <w:right w:val="none" w:sz="0" w:space="0"/>
          </w:pgBorders>
          <w:pgNumType w:start="1"/>
          <w:cols w:space="0" w:num="1"/>
          <w:rtlGutter w:val="0"/>
          <w:docGrid w:type="lines" w:linePitch="336" w:charSpace="0"/>
        </w:sectPr>
      </w:pPr>
    </w:p>
    <w:p w14:paraId="4117FBA7">
      <w:pPr>
        <w:ind w:firstLine="760"/>
        <w:jc w:val="center"/>
        <w:rPr>
          <w:color w:val="auto"/>
          <w:highlight w:val="none"/>
        </w:rPr>
      </w:pPr>
      <w:r>
        <w:rPr>
          <w:rFonts w:hint="eastAsia" w:ascii="微软雅黑" w:eastAsia="微软雅黑"/>
          <w:color w:val="auto"/>
          <w:sz w:val="38"/>
          <w:highlight w:val="none"/>
        </w:rPr>
        <w:t>建设项目污染物排放量汇总表</w:t>
      </w:r>
    </w:p>
    <w:tbl>
      <w:tblPr>
        <w:tblStyle w:val="26"/>
        <w:tblW w:w="53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1306"/>
        <w:gridCol w:w="1714"/>
        <w:gridCol w:w="1955"/>
        <w:gridCol w:w="1348"/>
        <w:gridCol w:w="1800"/>
        <w:gridCol w:w="1649"/>
        <w:gridCol w:w="1863"/>
        <w:gridCol w:w="1952"/>
        <w:gridCol w:w="1278"/>
      </w:tblGrid>
      <w:tr w14:paraId="1405CE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39" w:type="pct"/>
            <w:tcBorders>
              <w:top w:val="single" w:color="000000" w:sz="8" w:space="0"/>
              <w:left w:val="single" w:color="000000" w:sz="8" w:space="0"/>
              <w:bottom w:val="single" w:color="000000" w:sz="8" w:space="0"/>
              <w:right w:val="single" w:color="000000" w:sz="8" w:space="0"/>
              <w:tl2br w:val="single" w:color="000000" w:sz="8" w:space="0"/>
            </w:tcBorders>
            <w:vAlign w:val="center"/>
          </w:tcPr>
          <w:p w14:paraId="1F31F5DE">
            <w:pPr>
              <w:pStyle w:val="51"/>
              <w:bidi w:val="0"/>
              <w:jc w:val="right"/>
            </w:pPr>
            <w:r>
              <w:t>项目</w:t>
            </w:r>
          </w:p>
          <w:p w14:paraId="741F7D7F">
            <w:pPr>
              <w:pStyle w:val="51"/>
              <w:bidi w:val="0"/>
              <w:jc w:val="left"/>
            </w:pPr>
            <w:r>
              <w:t>分类</w:t>
            </w:r>
          </w:p>
        </w:tc>
        <w:tc>
          <w:tcPr>
            <w:tcW w:w="576" w:type="pct"/>
            <w:tcBorders>
              <w:top w:val="single" w:color="000000" w:sz="8" w:space="0"/>
              <w:left w:val="single" w:color="000000" w:sz="8" w:space="0"/>
              <w:bottom w:val="single" w:color="000000" w:sz="4" w:space="0"/>
              <w:right w:val="single" w:color="000000" w:sz="4" w:space="0"/>
            </w:tcBorders>
            <w:vAlign w:val="center"/>
          </w:tcPr>
          <w:p w14:paraId="0D4714DD">
            <w:pPr>
              <w:pStyle w:val="51"/>
              <w:bidi w:val="0"/>
              <w:rPr>
                <w:rFonts w:hint="default"/>
              </w:rPr>
            </w:pPr>
            <w:r>
              <w:t>污染物名称</w:t>
            </w:r>
          </w:p>
        </w:tc>
        <w:tc>
          <w:tcPr>
            <w:tcW w:w="657" w:type="pct"/>
            <w:tcBorders>
              <w:top w:val="single" w:color="000000" w:sz="8" w:space="0"/>
              <w:left w:val="single" w:color="000000" w:sz="4" w:space="0"/>
              <w:bottom w:val="single" w:color="000000" w:sz="4" w:space="0"/>
              <w:right w:val="single" w:color="000000" w:sz="4" w:space="0"/>
            </w:tcBorders>
            <w:vAlign w:val="center"/>
          </w:tcPr>
          <w:p w14:paraId="6BE78356">
            <w:pPr>
              <w:pStyle w:val="51"/>
              <w:bidi w:val="0"/>
              <w:rPr>
                <w:rFonts w:hint="default"/>
              </w:rPr>
            </w:pPr>
            <w:r>
              <w:t>现有工程</w:t>
            </w:r>
          </w:p>
          <w:p w14:paraId="0E7E9DCC">
            <w:pPr>
              <w:pStyle w:val="51"/>
              <w:bidi w:val="0"/>
              <w:rPr>
                <w:rFonts w:hint="default"/>
              </w:rPr>
            </w:pPr>
            <w:r>
              <w:t>排放量（固体废物产生量）</w:t>
            </w:r>
            <w:r>
              <w:fldChar w:fldCharType="begin"/>
            </w:r>
            <w:r>
              <w:instrText xml:space="preserve"> = 1 \* GB3 \* MERGEFORMAT </w:instrText>
            </w:r>
            <w:r>
              <w:fldChar w:fldCharType="separate"/>
            </w:r>
            <w:r>
              <w:t>①</w:t>
            </w:r>
            <w:r>
              <w:fldChar w:fldCharType="end"/>
            </w:r>
          </w:p>
        </w:tc>
        <w:tc>
          <w:tcPr>
            <w:tcW w:w="453" w:type="pct"/>
            <w:tcBorders>
              <w:top w:val="single" w:color="000000" w:sz="8" w:space="0"/>
              <w:left w:val="single" w:color="000000" w:sz="4" w:space="0"/>
              <w:bottom w:val="single" w:color="000000" w:sz="4" w:space="0"/>
              <w:right w:val="single" w:color="000000" w:sz="4" w:space="0"/>
            </w:tcBorders>
            <w:vAlign w:val="center"/>
          </w:tcPr>
          <w:p w14:paraId="0FD8D00D">
            <w:pPr>
              <w:pStyle w:val="51"/>
              <w:bidi w:val="0"/>
              <w:rPr>
                <w:rFonts w:hint="default"/>
              </w:rPr>
            </w:pPr>
            <w:r>
              <w:t>现有工程</w:t>
            </w:r>
          </w:p>
          <w:p w14:paraId="4BADEA74">
            <w:pPr>
              <w:pStyle w:val="51"/>
              <w:bidi w:val="0"/>
              <w:rPr>
                <w:rFonts w:hint="default"/>
              </w:rPr>
            </w:pPr>
            <w:r>
              <w:t>许可排放量</w:t>
            </w:r>
          </w:p>
          <w:p w14:paraId="06A3E8C6">
            <w:pPr>
              <w:pStyle w:val="51"/>
              <w:bidi w:val="0"/>
              <w:rPr>
                <w:rFonts w:hint="default"/>
              </w:rPr>
            </w:pPr>
            <w:r>
              <w:fldChar w:fldCharType="begin"/>
            </w:r>
            <w:r>
              <w:instrText xml:space="preserve"> = 2 \* GB3 \* MERGEFORMAT </w:instrText>
            </w:r>
            <w:r>
              <w:fldChar w:fldCharType="separate"/>
            </w:r>
            <w:r>
              <w:t>②</w:t>
            </w:r>
            <w:r>
              <w:fldChar w:fldCharType="end"/>
            </w:r>
          </w:p>
        </w:tc>
        <w:tc>
          <w:tcPr>
            <w:tcW w:w="605" w:type="pct"/>
            <w:tcBorders>
              <w:top w:val="single" w:color="000000" w:sz="8" w:space="0"/>
              <w:left w:val="single" w:color="000000" w:sz="4" w:space="0"/>
              <w:bottom w:val="single" w:color="000000" w:sz="4" w:space="0"/>
              <w:right w:val="single" w:color="000000" w:sz="4" w:space="0"/>
            </w:tcBorders>
            <w:vAlign w:val="center"/>
          </w:tcPr>
          <w:p w14:paraId="5B128DA7">
            <w:pPr>
              <w:pStyle w:val="51"/>
              <w:bidi w:val="0"/>
              <w:rPr>
                <w:rFonts w:hint="default"/>
              </w:rPr>
            </w:pPr>
            <w:r>
              <w:t>在建工程</w:t>
            </w:r>
          </w:p>
          <w:p w14:paraId="51F0A97A">
            <w:pPr>
              <w:pStyle w:val="51"/>
              <w:bidi w:val="0"/>
              <w:rPr>
                <w:rFonts w:hint="default"/>
              </w:rPr>
            </w:pPr>
            <w:r>
              <w:t>排放量（固体废物产生量）</w:t>
            </w:r>
            <w:r>
              <w:fldChar w:fldCharType="begin"/>
            </w:r>
            <w:r>
              <w:instrText xml:space="preserve"> = 3 \* GB3 \* MERGEFORMAT </w:instrText>
            </w:r>
            <w:r>
              <w:fldChar w:fldCharType="separate"/>
            </w:r>
            <w:r>
              <w:t>③</w:t>
            </w:r>
            <w:r>
              <w:fldChar w:fldCharType="end"/>
            </w:r>
          </w:p>
        </w:tc>
        <w:tc>
          <w:tcPr>
            <w:tcW w:w="554" w:type="pct"/>
            <w:tcBorders>
              <w:top w:val="single" w:color="000000" w:sz="8" w:space="0"/>
              <w:left w:val="single" w:color="000000" w:sz="4" w:space="0"/>
              <w:bottom w:val="single" w:color="000000" w:sz="4" w:space="0"/>
              <w:right w:val="single" w:color="000000" w:sz="4" w:space="0"/>
            </w:tcBorders>
            <w:vAlign w:val="center"/>
          </w:tcPr>
          <w:p w14:paraId="66C7EC88">
            <w:pPr>
              <w:pStyle w:val="51"/>
              <w:bidi w:val="0"/>
              <w:rPr>
                <w:rFonts w:hint="default"/>
              </w:rPr>
            </w:pPr>
            <w:r>
              <w:t>本项目</w:t>
            </w:r>
          </w:p>
          <w:p w14:paraId="6B06885F">
            <w:pPr>
              <w:pStyle w:val="51"/>
              <w:bidi w:val="0"/>
              <w:rPr>
                <w:rFonts w:hint="default"/>
              </w:rPr>
            </w:pPr>
            <w:r>
              <w:t>排放量（固体废物产生量）</w:t>
            </w:r>
            <w:r>
              <w:fldChar w:fldCharType="begin"/>
            </w:r>
            <w:r>
              <w:instrText xml:space="preserve"> = 4 \* GB3 \* MERGEFORMAT </w:instrText>
            </w:r>
            <w:r>
              <w:fldChar w:fldCharType="separate"/>
            </w:r>
            <w:r>
              <w:t>④</w:t>
            </w:r>
            <w:r>
              <w:fldChar w:fldCharType="end"/>
            </w:r>
          </w:p>
        </w:tc>
        <w:tc>
          <w:tcPr>
            <w:tcW w:w="626" w:type="pct"/>
            <w:tcBorders>
              <w:top w:val="single" w:color="000000" w:sz="8" w:space="0"/>
              <w:left w:val="single" w:color="000000" w:sz="4" w:space="0"/>
              <w:bottom w:val="single" w:color="000000" w:sz="4" w:space="0"/>
              <w:right w:val="single" w:color="000000" w:sz="4" w:space="0"/>
            </w:tcBorders>
            <w:vAlign w:val="center"/>
          </w:tcPr>
          <w:p w14:paraId="139353DF">
            <w:pPr>
              <w:pStyle w:val="51"/>
              <w:bidi w:val="0"/>
              <w:rPr>
                <w:rFonts w:hint="default"/>
              </w:rPr>
            </w:pPr>
            <w:r>
              <w:t>以新带老削减量</w:t>
            </w:r>
          </w:p>
          <w:p w14:paraId="51369C1B">
            <w:pPr>
              <w:pStyle w:val="51"/>
              <w:bidi w:val="0"/>
              <w:rPr>
                <w:rFonts w:hint="default"/>
              </w:rPr>
            </w:pPr>
            <w:r>
              <w:t>（新建项目不填）</w:t>
            </w:r>
            <w:r>
              <w:fldChar w:fldCharType="begin"/>
            </w:r>
            <w:r>
              <w:instrText xml:space="preserve"> = 5 \* GB3 \* MERGEFORMAT </w:instrText>
            </w:r>
            <w:r>
              <w:fldChar w:fldCharType="separate"/>
            </w:r>
            <w:r>
              <w:t>⑤</w:t>
            </w:r>
            <w:r>
              <w:fldChar w:fldCharType="end"/>
            </w:r>
          </w:p>
        </w:tc>
        <w:tc>
          <w:tcPr>
            <w:tcW w:w="656" w:type="pct"/>
            <w:tcBorders>
              <w:top w:val="single" w:color="000000" w:sz="8" w:space="0"/>
              <w:left w:val="single" w:color="000000" w:sz="4" w:space="0"/>
              <w:bottom w:val="single" w:color="000000" w:sz="4" w:space="0"/>
              <w:right w:val="single" w:color="000000" w:sz="4" w:space="0"/>
            </w:tcBorders>
            <w:vAlign w:val="center"/>
          </w:tcPr>
          <w:p w14:paraId="15AD5963">
            <w:pPr>
              <w:pStyle w:val="51"/>
              <w:bidi w:val="0"/>
              <w:rPr>
                <w:rFonts w:hint="default"/>
              </w:rPr>
            </w:pPr>
            <w:r>
              <w:t>本项目建成后</w:t>
            </w:r>
          </w:p>
          <w:p w14:paraId="7172FE2D">
            <w:pPr>
              <w:pStyle w:val="51"/>
              <w:bidi w:val="0"/>
              <w:rPr>
                <w:rFonts w:hint="default"/>
              </w:rPr>
            </w:pPr>
            <w:r>
              <w:t>全厂排放量（固体废物产生量）</w:t>
            </w:r>
            <w:r>
              <w:fldChar w:fldCharType="begin"/>
            </w:r>
            <w:r>
              <w:instrText xml:space="preserve"> = 6 \* GB3 \* MERGEFORMAT </w:instrText>
            </w:r>
            <w:r>
              <w:fldChar w:fldCharType="separate"/>
            </w:r>
            <w:r>
              <w:t>⑥</w:t>
            </w:r>
            <w:r>
              <w:fldChar w:fldCharType="end"/>
            </w:r>
          </w:p>
        </w:tc>
        <w:tc>
          <w:tcPr>
            <w:tcW w:w="429" w:type="pct"/>
            <w:tcBorders>
              <w:top w:val="single" w:color="000000" w:sz="8" w:space="0"/>
              <w:left w:val="single" w:color="000000" w:sz="4" w:space="0"/>
              <w:bottom w:val="single" w:color="000000" w:sz="4" w:space="0"/>
              <w:right w:val="single" w:color="000000" w:sz="8" w:space="0"/>
            </w:tcBorders>
            <w:vAlign w:val="center"/>
          </w:tcPr>
          <w:p w14:paraId="5128EE17">
            <w:pPr>
              <w:pStyle w:val="51"/>
              <w:bidi w:val="0"/>
              <w:rPr>
                <w:rFonts w:hint="default"/>
              </w:rPr>
            </w:pPr>
            <w:r>
              <w:t>变化量</w:t>
            </w:r>
          </w:p>
          <w:p w14:paraId="1BED3412">
            <w:pPr>
              <w:pStyle w:val="51"/>
              <w:bidi w:val="0"/>
              <w:rPr>
                <w:rFonts w:hint="default"/>
              </w:rPr>
            </w:pPr>
            <w:r>
              <w:fldChar w:fldCharType="begin"/>
            </w:r>
            <w:r>
              <w:instrText xml:space="preserve"> = 7 \* GB3 \* MERGEFORMAT </w:instrText>
            </w:r>
            <w:r>
              <w:fldChar w:fldCharType="separate"/>
            </w:r>
            <w:r>
              <w:t>⑦</w:t>
            </w:r>
            <w:r>
              <w:fldChar w:fldCharType="end"/>
            </w:r>
          </w:p>
        </w:tc>
      </w:tr>
      <w:tr w14:paraId="0274DB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39" w:type="pct"/>
            <w:vMerge w:val="restart"/>
            <w:tcBorders>
              <w:left w:val="single" w:color="000000" w:sz="8" w:space="0"/>
              <w:right w:val="single" w:color="000000" w:sz="4" w:space="0"/>
            </w:tcBorders>
            <w:vAlign w:val="center"/>
          </w:tcPr>
          <w:p w14:paraId="174446CF">
            <w:pPr>
              <w:pStyle w:val="51"/>
              <w:bidi w:val="0"/>
            </w:pPr>
            <w:r>
              <w:rPr>
                <w:rFonts w:hint="eastAsia"/>
              </w:rPr>
              <w:t>废气</w:t>
            </w:r>
          </w:p>
        </w:tc>
        <w:tc>
          <w:tcPr>
            <w:tcW w:w="576" w:type="pct"/>
            <w:tcBorders>
              <w:top w:val="single" w:color="000000" w:sz="4" w:space="0"/>
              <w:left w:val="single" w:color="000000" w:sz="4" w:space="0"/>
              <w:bottom w:val="single" w:color="000000" w:sz="4" w:space="0"/>
              <w:right w:val="single" w:color="000000" w:sz="4" w:space="0"/>
            </w:tcBorders>
            <w:vAlign w:val="center"/>
          </w:tcPr>
          <w:p w14:paraId="759A20E0">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非甲烷总烃</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2D46C">
            <w:pPr>
              <w:pStyle w:val="51"/>
              <w:bidi w:val="0"/>
              <w:ind w:left="24" w:leftChars="10" w:right="24" w:rightChars="10" w:firstLine="0" w:firstLineChars="0"/>
              <w:rPr>
                <w:rFonts w:hint="default" w:ascii="Times New Roman" w:hAnsi="Times New Roman" w:eastAsia="宋体" w:cs="Times New Roman"/>
                <w:spacing w:val="-2"/>
                <w:kern w:val="2"/>
                <w:sz w:val="21"/>
                <w:szCs w:val="18"/>
                <w:highlight w:val="none"/>
                <w:lang w:val="en-US" w:eastAsia="zh-CN" w:bidi="ar-SA"/>
              </w:rPr>
            </w:pPr>
            <w:r>
              <w:rPr>
                <w:rFonts w:hint="eastAsia"/>
                <w:highlight w:val="none"/>
                <w:lang w:val="en-US" w:eastAsia="zh-CN"/>
              </w:rPr>
              <w:t>/</w:t>
            </w:r>
          </w:p>
        </w:tc>
        <w:tc>
          <w:tcPr>
            <w:tcW w:w="453" w:type="pct"/>
            <w:tcBorders>
              <w:top w:val="single" w:color="000000" w:sz="4" w:space="0"/>
              <w:left w:val="single" w:color="000000" w:sz="4" w:space="0"/>
              <w:bottom w:val="single" w:color="000000" w:sz="4" w:space="0"/>
              <w:right w:val="single" w:color="000000" w:sz="4" w:space="0"/>
            </w:tcBorders>
            <w:vAlign w:val="center"/>
          </w:tcPr>
          <w:p w14:paraId="464E6384">
            <w:pPr>
              <w:pStyle w:val="51"/>
              <w:bidi w:val="0"/>
              <w:rPr>
                <w:rFonts w:hint="eastAsia"/>
                <w:highlight w:val="none"/>
                <w:lang w:val="en-US" w:eastAsia="zh-CN"/>
              </w:rPr>
            </w:pPr>
            <w:r>
              <w:rPr>
                <w:rFonts w:hint="eastAsia"/>
                <w:highlight w:val="none"/>
                <w:lang w:val="en-US" w:eastAsia="zh-CN"/>
              </w:rPr>
              <w:t>/</w:t>
            </w:r>
          </w:p>
        </w:tc>
        <w:tc>
          <w:tcPr>
            <w:tcW w:w="605" w:type="pct"/>
            <w:tcBorders>
              <w:top w:val="single" w:color="000000" w:sz="4" w:space="0"/>
              <w:left w:val="single" w:color="000000" w:sz="4" w:space="0"/>
              <w:bottom w:val="single" w:color="000000" w:sz="4" w:space="0"/>
              <w:right w:val="single" w:color="000000" w:sz="4" w:space="0"/>
            </w:tcBorders>
            <w:vAlign w:val="center"/>
          </w:tcPr>
          <w:p w14:paraId="7816FD0A">
            <w:pPr>
              <w:pStyle w:val="51"/>
              <w:bidi w:val="0"/>
              <w:rPr>
                <w:rFonts w:hint="eastAsia"/>
                <w:highlight w:val="none"/>
                <w:lang w:val="en-US" w:eastAsia="zh-CN"/>
              </w:rPr>
            </w:pPr>
            <w:r>
              <w:rPr>
                <w:rFonts w:hint="eastAsia"/>
                <w:highlight w:val="none"/>
                <w:lang w:val="en-US" w:eastAsia="zh-CN"/>
              </w:rPr>
              <w:t>/</w:t>
            </w:r>
          </w:p>
        </w:tc>
        <w:tc>
          <w:tcPr>
            <w:tcW w:w="554" w:type="pct"/>
            <w:tcBorders>
              <w:top w:val="single" w:color="000000" w:sz="4" w:space="0"/>
              <w:left w:val="single" w:color="000000" w:sz="4" w:space="0"/>
              <w:bottom w:val="single" w:color="000000" w:sz="4" w:space="0"/>
              <w:right w:val="single" w:color="000000" w:sz="4" w:space="0"/>
            </w:tcBorders>
            <w:vAlign w:val="center"/>
          </w:tcPr>
          <w:p w14:paraId="5FE2C3B2">
            <w:pPr>
              <w:pStyle w:val="51"/>
              <w:bidi w:val="0"/>
              <w:rPr>
                <w:rFonts w:hint="default"/>
                <w:highlight w:val="none"/>
                <w:lang w:val="en-US" w:eastAsia="zh-CN"/>
              </w:rPr>
            </w:pPr>
            <w:r>
              <w:rPr>
                <w:rFonts w:hint="eastAsia"/>
                <w:highlight w:val="none"/>
                <w:lang w:val="en-US" w:eastAsia="zh-CN"/>
              </w:rPr>
              <w:t>1.132</w:t>
            </w:r>
          </w:p>
        </w:tc>
        <w:tc>
          <w:tcPr>
            <w:tcW w:w="626" w:type="pct"/>
            <w:tcBorders>
              <w:top w:val="single" w:color="000000" w:sz="4" w:space="0"/>
              <w:left w:val="single" w:color="000000" w:sz="4" w:space="0"/>
              <w:bottom w:val="single" w:color="000000" w:sz="4" w:space="0"/>
              <w:right w:val="single" w:color="000000" w:sz="4" w:space="0"/>
            </w:tcBorders>
            <w:vAlign w:val="center"/>
          </w:tcPr>
          <w:p w14:paraId="788FC227">
            <w:pPr>
              <w:pStyle w:val="51"/>
              <w:bidi w:val="0"/>
              <w:rPr>
                <w:highlight w:val="none"/>
                <w:lang w:val="en-US" w:eastAsia="zh-CN"/>
              </w:rPr>
            </w:pPr>
            <w:r>
              <w:rPr>
                <w:rFonts w:hint="eastAsia"/>
                <w:highlight w:val="none"/>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1E742">
            <w:pPr>
              <w:pStyle w:val="51"/>
              <w:bidi w:val="0"/>
              <w:ind w:left="24" w:leftChars="10" w:right="24" w:rightChars="10" w:firstLine="0" w:firstLineChars="0"/>
              <w:rPr>
                <w:rFonts w:hint="default" w:ascii="Times New Roman" w:hAnsi="Times New Roman" w:eastAsia="宋体" w:cs="Times New Roman"/>
                <w:spacing w:val="-2"/>
                <w:kern w:val="2"/>
                <w:sz w:val="21"/>
                <w:szCs w:val="18"/>
                <w:highlight w:val="none"/>
                <w:lang w:val="en-US" w:eastAsia="zh-CN" w:bidi="ar-SA"/>
              </w:rPr>
            </w:pPr>
            <w:r>
              <w:rPr>
                <w:rFonts w:hint="eastAsia"/>
                <w:highlight w:val="none"/>
                <w:lang w:val="en-US" w:eastAsia="zh-CN"/>
              </w:rPr>
              <w:t>1.132</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28929BD3">
            <w:pPr>
              <w:pStyle w:val="51"/>
              <w:bidi w:val="0"/>
              <w:ind w:left="24" w:leftChars="10" w:right="24" w:rightChars="10" w:firstLine="0" w:firstLineChars="0"/>
              <w:rPr>
                <w:rFonts w:hint="default" w:ascii="Times New Roman" w:hAnsi="Times New Roman" w:eastAsia="宋体" w:cs="Times New Roman"/>
                <w:spacing w:val="-2"/>
                <w:kern w:val="2"/>
                <w:sz w:val="21"/>
                <w:szCs w:val="18"/>
                <w:highlight w:val="none"/>
                <w:lang w:val="en-US" w:eastAsia="zh-CN" w:bidi="ar-SA"/>
              </w:rPr>
            </w:pPr>
            <w:r>
              <w:rPr>
                <w:rFonts w:hint="eastAsia"/>
                <w:highlight w:val="none"/>
                <w:lang w:val="en-US" w:eastAsia="zh-CN"/>
              </w:rPr>
              <w:t>+1.132</w:t>
            </w:r>
          </w:p>
        </w:tc>
      </w:tr>
      <w:tr w14:paraId="1A759E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39" w:type="pct"/>
            <w:vMerge w:val="continue"/>
            <w:tcBorders>
              <w:left w:val="single" w:color="000000" w:sz="8" w:space="0"/>
              <w:right w:val="single" w:color="000000" w:sz="4" w:space="0"/>
            </w:tcBorders>
            <w:vAlign w:val="center"/>
          </w:tcPr>
          <w:p w14:paraId="4DB0D3D6">
            <w:pPr>
              <w:pStyle w:val="51"/>
              <w:bidi w:val="0"/>
              <w:rPr>
                <w:rFonts w:hint="eastAsia"/>
              </w:rPr>
            </w:pPr>
          </w:p>
        </w:tc>
        <w:tc>
          <w:tcPr>
            <w:tcW w:w="576" w:type="pct"/>
            <w:tcBorders>
              <w:top w:val="single" w:color="000000" w:sz="4" w:space="0"/>
              <w:left w:val="single" w:color="000000" w:sz="4" w:space="0"/>
              <w:bottom w:val="single" w:color="000000" w:sz="4" w:space="0"/>
              <w:right w:val="single" w:color="000000" w:sz="4" w:space="0"/>
            </w:tcBorders>
            <w:vAlign w:val="center"/>
          </w:tcPr>
          <w:p w14:paraId="0E2EC315">
            <w:pPr>
              <w:pStyle w:val="51"/>
              <w:bidi w:val="0"/>
              <w:ind w:left="24" w:leftChars="10" w:right="24" w:rightChars="10" w:firstLine="0" w:firstLineChars="0"/>
              <w:rPr>
                <w:rFonts w:hint="default"/>
                <w:lang w:val="en-US" w:eastAsia="zh-CN"/>
              </w:rPr>
            </w:pPr>
            <w:r>
              <w:rPr>
                <w:rFonts w:hint="eastAsia"/>
                <w:lang w:val="en-US" w:eastAsia="zh-CN"/>
              </w:rPr>
              <w:t>苯乙烯</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420B8">
            <w:pPr>
              <w:pStyle w:val="51"/>
              <w:bidi w:val="0"/>
              <w:ind w:left="24" w:leftChars="10" w:right="24" w:rightChars="10" w:firstLine="0" w:firstLineChars="0"/>
              <w:rPr>
                <w:rFonts w:hint="eastAsia" w:ascii="Times New Roman" w:hAnsi="Times New Roman" w:eastAsia="宋体" w:cs="Times New Roman"/>
                <w:spacing w:val="-2"/>
                <w:kern w:val="2"/>
                <w:sz w:val="21"/>
                <w:szCs w:val="18"/>
                <w:highlight w:val="none"/>
                <w:lang w:val="en-US" w:eastAsia="zh-CN" w:bidi="ar-SA"/>
              </w:rPr>
            </w:pPr>
          </w:p>
        </w:tc>
        <w:tc>
          <w:tcPr>
            <w:tcW w:w="453" w:type="pct"/>
            <w:tcBorders>
              <w:top w:val="single" w:color="000000" w:sz="4" w:space="0"/>
              <w:left w:val="single" w:color="000000" w:sz="4" w:space="0"/>
              <w:bottom w:val="single" w:color="000000" w:sz="4" w:space="0"/>
              <w:right w:val="single" w:color="000000" w:sz="4" w:space="0"/>
            </w:tcBorders>
            <w:vAlign w:val="center"/>
          </w:tcPr>
          <w:p w14:paraId="0B8F952F">
            <w:pPr>
              <w:pStyle w:val="51"/>
              <w:bidi w:val="0"/>
              <w:rPr>
                <w:rFonts w:hint="eastAsia"/>
                <w:highlight w:val="none"/>
                <w:lang w:val="en-US" w:eastAsia="zh-CN"/>
              </w:rPr>
            </w:pPr>
          </w:p>
        </w:tc>
        <w:tc>
          <w:tcPr>
            <w:tcW w:w="605" w:type="pct"/>
            <w:tcBorders>
              <w:top w:val="single" w:color="000000" w:sz="4" w:space="0"/>
              <w:left w:val="single" w:color="000000" w:sz="4" w:space="0"/>
              <w:bottom w:val="single" w:color="000000" w:sz="4" w:space="0"/>
              <w:right w:val="single" w:color="000000" w:sz="4" w:space="0"/>
            </w:tcBorders>
            <w:vAlign w:val="center"/>
          </w:tcPr>
          <w:p w14:paraId="3F5E3195">
            <w:pPr>
              <w:pStyle w:val="51"/>
              <w:bidi w:val="0"/>
              <w:rPr>
                <w:rFonts w:hint="eastAsia"/>
                <w:highlight w:val="none"/>
                <w:lang w:val="en-US" w:eastAsia="zh-CN"/>
              </w:rPr>
            </w:pPr>
          </w:p>
        </w:tc>
        <w:tc>
          <w:tcPr>
            <w:tcW w:w="554" w:type="pct"/>
            <w:tcBorders>
              <w:top w:val="single" w:color="000000" w:sz="4" w:space="0"/>
              <w:left w:val="single" w:color="000000" w:sz="4" w:space="0"/>
              <w:bottom w:val="single" w:color="000000" w:sz="4" w:space="0"/>
              <w:right w:val="single" w:color="000000" w:sz="4" w:space="0"/>
            </w:tcBorders>
            <w:vAlign w:val="center"/>
          </w:tcPr>
          <w:p w14:paraId="060C7A59">
            <w:pPr>
              <w:pStyle w:val="51"/>
              <w:bidi w:val="0"/>
              <w:rPr>
                <w:rFonts w:hint="default"/>
                <w:highlight w:val="none"/>
                <w:lang w:val="en-US" w:eastAsia="zh-CN"/>
              </w:rPr>
            </w:pPr>
            <w:r>
              <w:rPr>
                <w:rFonts w:hint="eastAsia"/>
                <w:highlight w:val="none"/>
                <w:lang w:val="en-US" w:eastAsia="zh-CN"/>
              </w:rPr>
              <w:t>0.0887</w:t>
            </w:r>
          </w:p>
        </w:tc>
        <w:tc>
          <w:tcPr>
            <w:tcW w:w="626" w:type="pct"/>
            <w:tcBorders>
              <w:top w:val="single" w:color="000000" w:sz="4" w:space="0"/>
              <w:left w:val="single" w:color="000000" w:sz="4" w:space="0"/>
              <w:bottom w:val="single" w:color="000000" w:sz="4" w:space="0"/>
              <w:right w:val="single" w:color="000000" w:sz="4" w:space="0"/>
            </w:tcBorders>
            <w:vAlign w:val="center"/>
          </w:tcPr>
          <w:p w14:paraId="51ADED51">
            <w:pPr>
              <w:pStyle w:val="51"/>
              <w:bidi w:val="0"/>
              <w:rPr>
                <w:rFonts w:hint="default"/>
                <w:highlight w:val="none"/>
                <w:lang w:val="en-US" w:eastAsia="zh-CN"/>
              </w:rPr>
            </w:pPr>
            <w:r>
              <w:rPr>
                <w:rFonts w:hint="eastAsia"/>
                <w:highlight w:val="none"/>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D4172">
            <w:pPr>
              <w:pStyle w:val="51"/>
              <w:bidi w:val="0"/>
              <w:ind w:left="24" w:leftChars="10" w:right="24" w:rightChars="10" w:firstLine="0" w:firstLineChars="0"/>
              <w:rPr>
                <w:rFonts w:hint="eastAsia" w:ascii="Times New Roman" w:hAnsi="Times New Roman" w:eastAsia="宋体" w:cs="Times New Roman"/>
                <w:spacing w:val="-2"/>
                <w:kern w:val="2"/>
                <w:sz w:val="21"/>
                <w:szCs w:val="18"/>
                <w:highlight w:val="none"/>
                <w:lang w:val="en-US" w:eastAsia="zh-CN" w:bidi="ar-SA"/>
              </w:rPr>
            </w:pPr>
            <w:r>
              <w:rPr>
                <w:rFonts w:hint="eastAsia"/>
                <w:highlight w:val="none"/>
                <w:lang w:val="en-US" w:eastAsia="zh-CN"/>
              </w:rPr>
              <w:t>0.0887</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7AAEF485">
            <w:pPr>
              <w:pStyle w:val="51"/>
              <w:bidi w:val="0"/>
              <w:ind w:left="24" w:leftChars="10" w:right="24" w:rightChars="10" w:firstLine="0" w:firstLineChars="0"/>
              <w:rPr>
                <w:rFonts w:hint="eastAsia" w:ascii="Times New Roman" w:hAnsi="Times New Roman" w:eastAsia="宋体" w:cs="Times New Roman"/>
                <w:spacing w:val="-2"/>
                <w:kern w:val="2"/>
                <w:sz w:val="21"/>
                <w:szCs w:val="18"/>
                <w:highlight w:val="none"/>
                <w:lang w:val="en-US" w:eastAsia="zh-CN" w:bidi="ar-SA"/>
              </w:rPr>
            </w:pPr>
            <w:r>
              <w:rPr>
                <w:rFonts w:hint="eastAsia"/>
                <w:highlight w:val="none"/>
                <w:lang w:val="en-US" w:eastAsia="zh-CN"/>
              </w:rPr>
              <w:t>+0.0887</w:t>
            </w:r>
          </w:p>
        </w:tc>
      </w:tr>
      <w:tr w14:paraId="7689C8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39" w:type="pct"/>
            <w:vMerge w:val="continue"/>
            <w:tcBorders>
              <w:left w:val="single" w:color="000000" w:sz="8" w:space="0"/>
              <w:right w:val="single" w:color="000000" w:sz="4" w:space="0"/>
            </w:tcBorders>
            <w:vAlign w:val="center"/>
          </w:tcPr>
          <w:p w14:paraId="4B9067B7">
            <w:pPr>
              <w:pStyle w:val="51"/>
              <w:bidi w:val="0"/>
              <w:rPr>
                <w:rFonts w:hint="eastAsia"/>
              </w:rPr>
            </w:pPr>
          </w:p>
        </w:tc>
        <w:tc>
          <w:tcPr>
            <w:tcW w:w="576" w:type="pct"/>
            <w:tcBorders>
              <w:top w:val="single" w:color="000000" w:sz="4" w:space="0"/>
              <w:left w:val="single" w:color="000000" w:sz="4" w:space="0"/>
              <w:bottom w:val="single" w:color="000000" w:sz="4" w:space="0"/>
              <w:right w:val="single" w:color="000000" w:sz="4" w:space="0"/>
            </w:tcBorders>
            <w:vAlign w:val="center"/>
          </w:tcPr>
          <w:p w14:paraId="1505A516">
            <w:pPr>
              <w:pStyle w:val="51"/>
              <w:bidi w:val="0"/>
              <w:rPr>
                <w:rFonts w:hint="default"/>
                <w:lang w:val="en-US" w:eastAsia="zh-CN"/>
              </w:rPr>
            </w:pPr>
            <w:r>
              <w:rPr>
                <w:rFonts w:hint="eastAsia"/>
                <w:lang w:val="en-US" w:eastAsia="zh-CN"/>
              </w:rPr>
              <w:t>臭气浓度</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B9613">
            <w:pPr>
              <w:pStyle w:val="51"/>
              <w:bidi w:val="0"/>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vAlign w:val="center"/>
          </w:tcPr>
          <w:p w14:paraId="05BFE866">
            <w:pPr>
              <w:pStyle w:val="51"/>
              <w:bidi w:val="0"/>
              <w:rPr>
                <w:rFonts w:hint="default"/>
                <w:lang w:val="en-US" w:eastAsia="zh-CN"/>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vAlign w:val="center"/>
          </w:tcPr>
          <w:p w14:paraId="12FCCCEF">
            <w:pPr>
              <w:pStyle w:val="51"/>
              <w:bidi w:val="0"/>
              <w:rPr>
                <w:rFonts w:hint="default"/>
                <w:lang w:val="en-US" w:eastAsia="zh-CN"/>
              </w:rPr>
            </w:pPr>
            <w:r>
              <w:rPr>
                <w:rFonts w:hint="eastAsia"/>
                <w:lang w:val="en-US" w:eastAsia="zh-CN"/>
              </w:rPr>
              <w:t>/</w:t>
            </w:r>
          </w:p>
        </w:tc>
        <w:tc>
          <w:tcPr>
            <w:tcW w:w="554" w:type="pct"/>
            <w:tcBorders>
              <w:top w:val="single" w:color="000000" w:sz="4" w:space="0"/>
              <w:left w:val="single" w:color="000000" w:sz="4" w:space="0"/>
              <w:bottom w:val="single" w:color="000000" w:sz="4" w:space="0"/>
              <w:right w:val="single" w:color="000000" w:sz="4" w:space="0"/>
            </w:tcBorders>
            <w:vAlign w:val="center"/>
          </w:tcPr>
          <w:p w14:paraId="099F026D">
            <w:pPr>
              <w:pStyle w:val="51"/>
              <w:bidi w:val="0"/>
              <w:rPr>
                <w:rFonts w:hint="default"/>
                <w:lang w:val="en-US" w:eastAsia="zh-CN"/>
              </w:rPr>
            </w:pPr>
            <w:r>
              <w:rPr>
                <w:rFonts w:hint="eastAsia"/>
                <w:lang w:val="en-US" w:eastAsia="zh-CN"/>
              </w:rPr>
              <w:t>少量</w:t>
            </w:r>
          </w:p>
        </w:tc>
        <w:tc>
          <w:tcPr>
            <w:tcW w:w="626" w:type="pct"/>
            <w:tcBorders>
              <w:top w:val="single" w:color="000000" w:sz="4" w:space="0"/>
              <w:left w:val="single" w:color="000000" w:sz="4" w:space="0"/>
              <w:bottom w:val="single" w:color="000000" w:sz="4" w:space="0"/>
              <w:right w:val="single" w:color="000000" w:sz="4" w:space="0"/>
            </w:tcBorders>
            <w:vAlign w:val="center"/>
          </w:tcPr>
          <w:p w14:paraId="70F5FD31">
            <w:pPr>
              <w:pStyle w:val="51"/>
              <w:bidi w:val="0"/>
              <w:rPr>
                <w:rFonts w:hint="default"/>
                <w:lang w:val="en-US" w:eastAsia="zh-CN"/>
              </w:rPr>
            </w:pPr>
            <w:r>
              <w:rPr>
                <w:rFonts w:hint="eastAsia"/>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E32CD">
            <w:pPr>
              <w:pStyle w:val="51"/>
              <w:bidi w:val="0"/>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lang w:val="en-US" w:eastAsia="zh-CN"/>
              </w:rPr>
              <w:t>少量</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2055A81A">
            <w:pPr>
              <w:pStyle w:val="51"/>
              <w:bidi w:val="0"/>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lang w:val="en-US" w:eastAsia="zh-CN"/>
              </w:rPr>
              <w:t>少量</w:t>
            </w:r>
          </w:p>
        </w:tc>
      </w:tr>
      <w:tr w14:paraId="3F0351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39" w:type="pct"/>
            <w:vMerge w:val="restart"/>
            <w:tcBorders>
              <w:top w:val="single" w:color="000000" w:sz="8" w:space="0"/>
              <w:left w:val="single" w:color="000000" w:sz="8" w:space="0"/>
              <w:right w:val="single" w:color="000000" w:sz="4" w:space="0"/>
            </w:tcBorders>
            <w:vAlign w:val="center"/>
          </w:tcPr>
          <w:p w14:paraId="07BD24EF">
            <w:pPr>
              <w:pStyle w:val="51"/>
              <w:bidi w:val="0"/>
            </w:pPr>
            <w:r>
              <w:rPr>
                <w:rFonts w:hint="eastAsia"/>
              </w:rPr>
              <w:t>废水</w:t>
            </w:r>
          </w:p>
        </w:tc>
        <w:tc>
          <w:tcPr>
            <w:tcW w:w="576" w:type="pct"/>
            <w:tcBorders>
              <w:top w:val="single" w:color="000000" w:sz="4" w:space="0"/>
              <w:left w:val="single" w:color="000000" w:sz="4" w:space="0"/>
              <w:bottom w:val="single" w:color="000000" w:sz="4" w:space="0"/>
              <w:right w:val="single" w:color="000000" w:sz="4" w:space="0"/>
            </w:tcBorders>
            <w:vAlign w:val="center"/>
          </w:tcPr>
          <w:p w14:paraId="434BF245">
            <w:pPr>
              <w:pStyle w:val="51"/>
              <w:bidi w:val="0"/>
              <w:rPr>
                <w:rFonts w:hint="default"/>
                <w:lang w:val="en-US" w:eastAsia="zh-CN"/>
              </w:rPr>
            </w:pPr>
            <w:r>
              <w:rPr>
                <w:rFonts w:hint="eastAsia"/>
                <w:lang w:val="en-US" w:eastAsia="zh-CN"/>
              </w:rPr>
              <w:t>水量</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D480F">
            <w:pPr>
              <w:pStyle w:val="51"/>
              <w:bidi w:val="0"/>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vAlign w:val="center"/>
          </w:tcPr>
          <w:p w14:paraId="73DADF75">
            <w:pPr>
              <w:pStyle w:val="51"/>
              <w:bidi w:val="0"/>
              <w:rPr>
                <w:lang w:val="en-US" w:eastAsia="zh-CN"/>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vAlign w:val="center"/>
          </w:tcPr>
          <w:p w14:paraId="44DCD3CC">
            <w:pPr>
              <w:pStyle w:val="51"/>
              <w:bidi w:val="0"/>
              <w:rPr>
                <w:lang w:val="en-US" w:eastAsia="zh-CN"/>
              </w:rPr>
            </w:pPr>
            <w:r>
              <w:rPr>
                <w:rFonts w:hint="eastAsia"/>
                <w:lang w:val="en-US" w:eastAsia="zh-CN"/>
              </w:rPr>
              <w:t>/</w:t>
            </w:r>
          </w:p>
        </w:tc>
        <w:tc>
          <w:tcPr>
            <w:tcW w:w="554" w:type="pct"/>
            <w:tcBorders>
              <w:top w:val="single" w:color="000000" w:sz="4" w:space="0"/>
              <w:left w:val="single" w:color="000000" w:sz="4" w:space="0"/>
              <w:bottom w:val="single" w:color="000000" w:sz="4" w:space="0"/>
              <w:right w:val="single" w:color="000000" w:sz="4" w:space="0"/>
            </w:tcBorders>
            <w:vAlign w:val="center"/>
          </w:tcPr>
          <w:p w14:paraId="14ACDD8B">
            <w:pPr>
              <w:pStyle w:val="51"/>
              <w:bidi w:val="0"/>
              <w:rPr>
                <w:rFonts w:hint="default"/>
                <w:lang w:val="en-US" w:eastAsia="zh-CN"/>
              </w:rPr>
            </w:pPr>
            <w:r>
              <w:rPr>
                <w:rFonts w:hint="eastAsia"/>
                <w:lang w:val="en-US" w:eastAsia="zh-CN"/>
              </w:rPr>
              <w:t>720</w:t>
            </w:r>
          </w:p>
        </w:tc>
        <w:tc>
          <w:tcPr>
            <w:tcW w:w="626" w:type="pct"/>
            <w:tcBorders>
              <w:top w:val="single" w:color="000000" w:sz="4" w:space="0"/>
              <w:left w:val="single" w:color="000000" w:sz="4" w:space="0"/>
              <w:bottom w:val="single" w:color="000000" w:sz="4" w:space="0"/>
              <w:right w:val="single" w:color="000000" w:sz="4" w:space="0"/>
            </w:tcBorders>
            <w:vAlign w:val="center"/>
          </w:tcPr>
          <w:p w14:paraId="642115A0">
            <w:pPr>
              <w:pStyle w:val="51"/>
              <w:bidi w:val="0"/>
              <w:rPr>
                <w:lang w:val="en-US" w:eastAsia="zh-CN"/>
              </w:rPr>
            </w:pPr>
            <w:r>
              <w:rPr>
                <w:rFonts w:hint="eastAsia"/>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5C5A9">
            <w:pPr>
              <w:pStyle w:val="51"/>
              <w:bidi w:val="0"/>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lang w:val="en-US" w:eastAsia="zh-CN"/>
              </w:rPr>
              <w:t>720</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700C1D0F">
            <w:pPr>
              <w:pStyle w:val="51"/>
              <w:bidi w:val="0"/>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lang w:val="en-US" w:eastAsia="zh-CN"/>
              </w:rPr>
              <w:t>+720</w:t>
            </w:r>
          </w:p>
        </w:tc>
      </w:tr>
      <w:tr w14:paraId="44AF03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39" w:type="pct"/>
            <w:vMerge w:val="continue"/>
            <w:tcBorders>
              <w:left w:val="single" w:color="000000" w:sz="8" w:space="0"/>
              <w:right w:val="single" w:color="000000" w:sz="4" w:space="0"/>
            </w:tcBorders>
            <w:vAlign w:val="center"/>
          </w:tcPr>
          <w:p w14:paraId="5B8EBB94">
            <w:pPr>
              <w:pStyle w:val="51"/>
              <w:bidi w:val="0"/>
            </w:pPr>
          </w:p>
        </w:tc>
        <w:tc>
          <w:tcPr>
            <w:tcW w:w="576" w:type="pct"/>
            <w:tcBorders>
              <w:top w:val="single" w:color="000000" w:sz="4" w:space="0"/>
              <w:left w:val="single" w:color="000000" w:sz="4" w:space="0"/>
              <w:bottom w:val="single" w:color="000000" w:sz="4" w:space="0"/>
              <w:right w:val="single" w:color="000000" w:sz="4" w:space="0"/>
            </w:tcBorders>
            <w:vAlign w:val="center"/>
          </w:tcPr>
          <w:p w14:paraId="78C0C63F">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rPr>
              <w:t>COD</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6A188">
            <w:pPr>
              <w:pStyle w:val="51"/>
              <w:bidi w:val="0"/>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vAlign w:val="center"/>
          </w:tcPr>
          <w:p w14:paraId="14EDBD50">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vAlign w:val="center"/>
          </w:tcPr>
          <w:p w14:paraId="1D6280E3">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554" w:type="pct"/>
            <w:tcBorders>
              <w:top w:val="single" w:color="000000" w:sz="4" w:space="0"/>
              <w:left w:val="single" w:color="000000" w:sz="4" w:space="0"/>
              <w:bottom w:val="single" w:color="000000" w:sz="4" w:space="0"/>
              <w:right w:val="single" w:color="000000" w:sz="4" w:space="0"/>
            </w:tcBorders>
            <w:vAlign w:val="center"/>
          </w:tcPr>
          <w:p w14:paraId="5331B7FC">
            <w:pPr>
              <w:pStyle w:val="51"/>
              <w:bidi w:val="0"/>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lang w:val="en-US" w:eastAsia="zh-CN"/>
              </w:rPr>
              <w:t>0.2448</w:t>
            </w:r>
          </w:p>
        </w:tc>
        <w:tc>
          <w:tcPr>
            <w:tcW w:w="626" w:type="pct"/>
            <w:tcBorders>
              <w:top w:val="single" w:color="000000" w:sz="4" w:space="0"/>
              <w:left w:val="single" w:color="000000" w:sz="4" w:space="0"/>
              <w:bottom w:val="single" w:color="000000" w:sz="4" w:space="0"/>
              <w:right w:val="single" w:color="000000" w:sz="4" w:space="0"/>
            </w:tcBorders>
            <w:vAlign w:val="center"/>
          </w:tcPr>
          <w:p w14:paraId="5D84E3CE">
            <w:pPr>
              <w:pStyle w:val="51"/>
              <w:bidi w:val="0"/>
              <w:rPr>
                <w:lang w:val="en-US" w:eastAsia="zh-CN"/>
              </w:rPr>
            </w:pPr>
            <w:r>
              <w:rPr>
                <w:rFonts w:hint="eastAsia"/>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4EA21">
            <w:pPr>
              <w:pStyle w:val="51"/>
              <w:bidi w:val="0"/>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lang w:val="en-US" w:eastAsia="zh-CN"/>
              </w:rPr>
              <w:t>0.2448</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3802F6AA">
            <w:pPr>
              <w:pStyle w:val="51"/>
              <w:bidi w:val="0"/>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eastAsia="宋体"/>
                <w:lang w:val="en-US" w:eastAsia="zh-CN"/>
              </w:rPr>
              <w:t>+</w:t>
            </w:r>
            <w:r>
              <w:rPr>
                <w:rFonts w:hint="eastAsia"/>
                <w:lang w:val="en-US" w:eastAsia="zh-CN"/>
              </w:rPr>
              <w:t>0.2448</w:t>
            </w:r>
          </w:p>
        </w:tc>
      </w:tr>
      <w:tr w14:paraId="3282AA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39" w:type="pct"/>
            <w:vMerge w:val="continue"/>
            <w:tcBorders>
              <w:left w:val="single" w:color="000000" w:sz="8" w:space="0"/>
              <w:right w:val="single" w:color="000000" w:sz="4" w:space="0"/>
            </w:tcBorders>
            <w:vAlign w:val="center"/>
          </w:tcPr>
          <w:p w14:paraId="5E63C7FF">
            <w:pPr>
              <w:pStyle w:val="51"/>
              <w:bidi w:val="0"/>
            </w:pPr>
          </w:p>
        </w:tc>
        <w:tc>
          <w:tcPr>
            <w:tcW w:w="576" w:type="pct"/>
            <w:tcBorders>
              <w:top w:val="single" w:color="000000" w:sz="4" w:space="0"/>
              <w:left w:val="single" w:color="000000" w:sz="4" w:space="0"/>
              <w:bottom w:val="single" w:color="000000" w:sz="4" w:space="0"/>
              <w:right w:val="single" w:color="000000" w:sz="4" w:space="0"/>
            </w:tcBorders>
            <w:vAlign w:val="center"/>
          </w:tcPr>
          <w:p w14:paraId="11F8E0ED">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rPr>
              <w:t>BOD</w:t>
            </w:r>
            <w:r>
              <w:rPr>
                <w:rFonts w:hint="eastAsia"/>
                <w:vertAlign w:val="subscript"/>
              </w:rPr>
              <w:t>5</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702B6">
            <w:pPr>
              <w:pStyle w:val="51"/>
              <w:bidi w:val="0"/>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vAlign w:val="center"/>
          </w:tcPr>
          <w:p w14:paraId="33BD2ABF">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vAlign w:val="center"/>
          </w:tcPr>
          <w:p w14:paraId="67D1B5F7">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554" w:type="pct"/>
            <w:tcBorders>
              <w:top w:val="single" w:color="000000" w:sz="4" w:space="0"/>
              <w:left w:val="single" w:color="000000" w:sz="4" w:space="0"/>
              <w:bottom w:val="single" w:color="000000" w:sz="4" w:space="0"/>
              <w:right w:val="single" w:color="000000" w:sz="4" w:space="0"/>
            </w:tcBorders>
            <w:vAlign w:val="center"/>
          </w:tcPr>
          <w:p w14:paraId="6E8808FF">
            <w:pPr>
              <w:pStyle w:val="51"/>
              <w:bidi w:val="0"/>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cs="Times New Roman"/>
                <w:spacing w:val="-2"/>
                <w:kern w:val="2"/>
                <w:sz w:val="21"/>
                <w:szCs w:val="18"/>
                <w:lang w:val="en-US" w:eastAsia="zh-CN" w:bidi="ar-SA"/>
              </w:rPr>
              <w:t>0.1152</w:t>
            </w:r>
          </w:p>
        </w:tc>
        <w:tc>
          <w:tcPr>
            <w:tcW w:w="626" w:type="pct"/>
            <w:tcBorders>
              <w:top w:val="single" w:color="000000" w:sz="4" w:space="0"/>
              <w:left w:val="single" w:color="000000" w:sz="4" w:space="0"/>
              <w:bottom w:val="single" w:color="000000" w:sz="4" w:space="0"/>
              <w:right w:val="single" w:color="000000" w:sz="4" w:space="0"/>
            </w:tcBorders>
            <w:vAlign w:val="center"/>
          </w:tcPr>
          <w:p w14:paraId="5AA1FB29">
            <w:pPr>
              <w:pStyle w:val="51"/>
              <w:bidi w:val="0"/>
              <w:rPr>
                <w:lang w:val="en-US" w:eastAsia="zh-CN"/>
              </w:rPr>
            </w:pPr>
            <w:r>
              <w:rPr>
                <w:rFonts w:hint="eastAsia"/>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E47AC">
            <w:pPr>
              <w:pStyle w:val="51"/>
              <w:bidi w:val="0"/>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cs="Times New Roman"/>
                <w:spacing w:val="-2"/>
                <w:kern w:val="2"/>
                <w:sz w:val="21"/>
                <w:szCs w:val="18"/>
                <w:lang w:val="en-US" w:eastAsia="zh-CN" w:bidi="ar-SA"/>
              </w:rPr>
              <w:t>0.1152</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5FEF0CB9">
            <w:pPr>
              <w:pStyle w:val="51"/>
              <w:bidi w:val="0"/>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ascii="Times New Roman" w:hAnsi="Times New Roman" w:eastAsia="宋体" w:cs="Times New Roman"/>
                <w:spacing w:val="-2"/>
                <w:kern w:val="2"/>
                <w:sz w:val="21"/>
                <w:szCs w:val="18"/>
                <w:lang w:val="en-US" w:eastAsia="zh-CN" w:bidi="ar-SA"/>
              </w:rPr>
              <w:t>+</w:t>
            </w:r>
            <w:r>
              <w:rPr>
                <w:rFonts w:hint="eastAsia" w:cs="Times New Roman"/>
                <w:spacing w:val="-2"/>
                <w:kern w:val="2"/>
                <w:sz w:val="21"/>
                <w:szCs w:val="18"/>
                <w:lang w:val="en-US" w:eastAsia="zh-CN" w:bidi="ar-SA"/>
              </w:rPr>
              <w:t>0.1152</w:t>
            </w:r>
          </w:p>
        </w:tc>
      </w:tr>
      <w:tr w14:paraId="75C000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39" w:type="pct"/>
            <w:vMerge w:val="continue"/>
            <w:tcBorders>
              <w:left w:val="single" w:color="000000" w:sz="8" w:space="0"/>
              <w:right w:val="single" w:color="000000" w:sz="4" w:space="0"/>
            </w:tcBorders>
            <w:vAlign w:val="center"/>
          </w:tcPr>
          <w:p w14:paraId="0F7F0B0F">
            <w:pPr>
              <w:pStyle w:val="51"/>
              <w:bidi w:val="0"/>
            </w:pPr>
          </w:p>
        </w:tc>
        <w:tc>
          <w:tcPr>
            <w:tcW w:w="576" w:type="pct"/>
            <w:tcBorders>
              <w:top w:val="single" w:color="000000" w:sz="4" w:space="0"/>
              <w:left w:val="single" w:color="000000" w:sz="4" w:space="0"/>
              <w:bottom w:val="single" w:color="000000" w:sz="4" w:space="0"/>
              <w:right w:val="single" w:color="000000" w:sz="4" w:space="0"/>
            </w:tcBorders>
            <w:vAlign w:val="center"/>
          </w:tcPr>
          <w:p w14:paraId="13FF4376">
            <w:pPr>
              <w:pStyle w:val="51"/>
              <w:bidi w:val="0"/>
              <w:ind w:left="24" w:leftChars="10" w:right="24" w:rightChars="10" w:firstLine="0" w:firstLineChars="0"/>
              <w:rPr>
                <w:rFonts w:hint="default" w:eastAsia="宋体"/>
                <w:lang w:val="en-US" w:eastAsia="zh-CN"/>
              </w:rPr>
            </w:pPr>
            <w:r>
              <w:rPr>
                <w:rFonts w:hint="eastAsia"/>
                <w:lang w:val="en-US" w:eastAsia="zh-CN"/>
              </w:rPr>
              <w:t>TP</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C118A">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A1F5C">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E0C75">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554" w:type="pct"/>
            <w:tcBorders>
              <w:top w:val="single" w:color="000000" w:sz="4" w:space="0"/>
              <w:left w:val="single" w:color="000000" w:sz="4" w:space="0"/>
              <w:bottom w:val="single" w:color="000000" w:sz="4" w:space="0"/>
              <w:right w:val="single" w:color="000000" w:sz="4" w:space="0"/>
            </w:tcBorders>
            <w:vAlign w:val="center"/>
          </w:tcPr>
          <w:p w14:paraId="0385F959">
            <w:pPr>
              <w:pStyle w:val="51"/>
              <w:bidi w:val="0"/>
              <w:ind w:left="24" w:leftChars="10" w:right="24" w:rightChars="10" w:firstLine="0" w:firstLineChars="0"/>
              <w:rPr>
                <w:rFonts w:hint="default" w:cs="Times New Roman"/>
                <w:spacing w:val="-2"/>
                <w:kern w:val="2"/>
                <w:sz w:val="21"/>
                <w:szCs w:val="18"/>
                <w:lang w:val="en-US" w:eastAsia="zh-CN" w:bidi="ar-SA"/>
              </w:rPr>
            </w:pPr>
            <w:r>
              <w:rPr>
                <w:rFonts w:hint="eastAsia" w:cs="Times New Roman"/>
                <w:spacing w:val="-2"/>
                <w:kern w:val="2"/>
                <w:sz w:val="21"/>
                <w:szCs w:val="18"/>
                <w:lang w:val="en-US" w:eastAsia="zh-CN" w:bidi="ar-SA"/>
              </w:rPr>
              <w:t>0.0031</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EDA30">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27802">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cs="Times New Roman"/>
                <w:spacing w:val="-2"/>
                <w:kern w:val="2"/>
                <w:sz w:val="21"/>
                <w:szCs w:val="18"/>
                <w:lang w:val="en-US" w:eastAsia="zh-CN" w:bidi="ar-SA"/>
              </w:rPr>
              <w:t>0.0031</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42D68661">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cs="Times New Roman"/>
                <w:spacing w:val="-2"/>
                <w:kern w:val="2"/>
                <w:sz w:val="21"/>
                <w:szCs w:val="18"/>
                <w:lang w:val="en-US" w:eastAsia="zh-CN" w:bidi="ar-SA"/>
              </w:rPr>
              <w:t>+0.0031</w:t>
            </w:r>
          </w:p>
        </w:tc>
      </w:tr>
      <w:tr w14:paraId="76ED9A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39" w:type="pct"/>
            <w:vMerge w:val="continue"/>
            <w:tcBorders>
              <w:left w:val="single" w:color="000000" w:sz="8" w:space="0"/>
              <w:right w:val="single" w:color="000000" w:sz="4" w:space="0"/>
            </w:tcBorders>
            <w:vAlign w:val="center"/>
          </w:tcPr>
          <w:p w14:paraId="562E5D24">
            <w:pPr>
              <w:pStyle w:val="51"/>
              <w:bidi w:val="0"/>
            </w:pPr>
          </w:p>
        </w:tc>
        <w:tc>
          <w:tcPr>
            <w:tcW w:w="576" w:type="pct"/>
            <w:tcBorders>
              <w:top w:val="single" w:color="000000" w:sz="4" w:space="0"/>
              <w:left w:val="single" w:color="000000" w:sz="4" w:space="0"/>
              <w:bottom w:val="single" w:color="000000" w:sz="4" w:space="0"/>
              <w:right w:val="single" w:color="000000" w:sz="4" w:space="0"/>
            </w:tcBorders>
            <w:vAlign w:val="center"/>
          </w:tcPr>
          <w:p w14:paraId="067F6567">
            <w:pPr>
              <w:pStyle w:val="51"/>
              <w:bidi w:val="0"/>
              <w:ind w:left="24" w:leftChars="10" w:right="24" w:rightChars="10" w:firstLine="0" w:firstLineChars="0"/>
              <w:rPr>
                <w:rFonts w:hint="default" w:eastAsia="宋体"/>
                <w:lang w:val="en-US" w:eastAsia="zh-CN"/>
              </w:rPr>
            </w:pPr>
            <w:r>
              <w:rPr>
                <w:rFonts w:hint="eastAsia"/>
                <w:lang w:val="en-US" w:eastAsia="zh-CN"/>
              </w:rPr>
              <w:t>TN</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4E319">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835A7">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0CF28">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554" w:type="pct"/>
            <w:tcBorders>
              <w:top w:val="single" w:color="000000" w:sz="4" w:space="0"/>
              <w:left w:val="single" w:color="000000" w:sz="4" w:space="0"/>
              <w:bottom w:val="single" w:color="000000" w:sz="4" w:space="0"/>
              <w:right w:val="single" w:color="000000" w:sz="4" w:space="0"/>
            </w:tcBorders>
            <w:vAlign w:val="center"/>
          </w:tcPr>
          <w:p w14:paraId="53817E0B">
            <w:pPr>
              <w:pStyle w:val="51"/>
              <w:bidi w:val="0"/>
              <w:ind w:left="24" w:leftChars="10" w:right="24" w:rightChars="10" w:firstLine="0" w:firstLineChars="0"/>
              <w:rPr>
                <w:rFonts w:hint="default" w:cs="Times New Roman"/>
                <w:spacing w:val="-2"/>
                <w:kern w:val="2"/>
                <w:sz w:val="21"/>
                <w:szCs w:val="18"/>
                <w:lang w:val="en-US" w:eastAsia="zh-CN" w:bidi="ar-SA"/>
              </w:rPr>
            </w:pPr>
            <w:r>
              <w:rPr>
                <w:rFonts w:hint="eastAsia" w:cs="Times New Roman"/>
                <w:spacing w:val="-2"/>
                <w:kern w:val="2"/>
                <w:sz w:val="21"/>
                <w:szCs w:val="18"/>
                <w:lang w:val="en-US" w:eastAsia="zh-CN" w:bidi="ar-SA"/>
              </w:rPr>
              <w:t>0.0323</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8E384">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B8CB8">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cs="Times New Roman"/>
                <w:spacing w:val="-2"/>
                <w:kern w:val="2"/>
                <w:sz w:val="21"/>
                <w:szCs w:val="18"/>
                <w:lang w:val="en-US" w:eastAsia="zh-CN" w:bidi="ar-SA"/>
              </w:rPr>
              <w:t>0.0323</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1A7CDC4C">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cs="Times New Roman"/>
                <w:spacing w:val="-2"/>
                <w:kern w:val="2"/>
                <w:sz w:val="21"/>
                <w:szCs w:val="18"/>
                <w:lang w:val="en-US" w:eastAsia="zh-CN" w:bidi="ar-SA"/>
              </w:rPr>
              <w:t>+0.0323</w:t>
            </w:r>
          </w:p>
        </w:tc>
      </w:tr>
      <w:tr w14:paraId="0C3487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39" w:type="pct"/>
            <w:vMerge w:val="continue"/>
            <w:tcBorders>
              <w:left w:val="single" w:color="000000" w:sz="8" w:space="0"/>
              <w:right w:val="single" w:color="000000" w:sz="4" w:space="0"/>
            </w:tcBorders>
            <w:vAlign w:val="center"/>
          </w:tcPr>
          <w:p w14:paraId="56AE9D32">
            <w:pPr>
              <w:pStyle w:val="51"/>
              <w:bidi w:val="0"/>
            </w:pPr>
          </w:p>
        </w:tc>
        <w:tc>
          <w:tcPr>
            <w:tcW w:w="576" w:type="pct"/>
            <w:tcBorders>
              <w:top w:val="single" w:color="000000" w:sz="4" w:space="0"/>
              <w:left w:val="single" w:color="000000" w:sz="4" w:space="0"/>
              <w:bottom w:val="single" w:color="000000" w:sz="4" w:space="0"/>
              <w:right w:val="single" w:color="000000" w:sz="4" w:space="0"/>
            </w:tcBorders>
            <w:vAlign w:val="center"/>
          </w:tcPr>
          <w:p w14:paraId="3D36CABC">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rPr>
              <w:t>氨氮</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A698A">
            <w:pPr>
              <w:pStyle w:val="51"/>
              <w:bidi w:val="0"/>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vAlign w:val="center"/>
          </w:tcPr>
          <w:p w14:paraId="17161764">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vAlign w:val="center"/>
          </w:tcPr>
          <w:p w14:paraId="2E0C6E93">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554" w:type="pct"/>
            <w:tcBorders>
              <w:top w:val="single" w:color="000000" w:sz="4" w:space="0"/>
              <w:left w:val="single" w:color="000000" w:sz="4" w:space="0"/>
              <w:bottom w:val="single" w:color="000000" w:sz="4" w:space="0"/>
              <w:right w:val="single" w:color="000000" w:sz="4" w:space="0"/>
            </w:tcBorders>
            <w:vAlign w:val="center"/>
          </w:tcPr>
          <w:p w14:paraId="587CEB03">
            <w:pPr>
              <w:pStyle w:val="51"/>
              <w:bidi w:val="0"/>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lang w:val="en-US" w:eastAsia="zh-CN"/>
              </w:rPr>
              <w:t>0.0235</w:t>
            </w:r>
          </w:p>
        </w:tc>
        <w:tc>
          <w:tcPr>
            <w:tcW w:w="626" w:type="pct"/>
            <w:tcBorders>
              <w:top w:val="single" w:color="000000" w:sz="4" w:space="0"/>
              <w:left w:val="single" w:color="000000" w:sz="4" w:space="0"/>
              <w:bottom w:val="single" w:color="000000" w:sz="4" w:space="0"/>
              <w:right w:val="single" w:color="000000" w:sz="4" w:space="0"/>
            </w:tcBorders>
            <w:vAlign w:val="center"/>
          </w:tcPr>
          <w:p w14:paraId="0E495513">
            <w:pPr>
              <w:pStyle w:val="51"/>
              <w:bidi w:val="0"/>
              <w:rPr>
                <w:lang w:val="en-US" w:eastAsia="zh-CN"/>
              </w:rPr>
            </w:pPr>
            <w:r>
              <w:rPr>
                <w:rFonts w:hint="eastAsia"/>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26EC0">
            <w:pPr>
              <w:pStyle w:val="51"/>
              <w:bidi w:val="0"/>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lang w:val="en-US" w:eastAsia="zh-CN"/>
              </w:rPr>
              <w:t>0.0235</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703CB45D">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+0.0235</w:t>
            </w:r>
          </w:p>
        </w:tc>
      </w:tr>
      <w:tr w14:paraId="2EACD6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39" w:type="pct"/>
            <w:vMerge w:val="continue"/>
            <w:tcBorders>
              <w:left w:val="single" w:color="000000" w:sz="8" w:space="0"/>
              <w:bottom w:val="single" w:color="000000" w:sz="8" w:space="0"/>
              <w:right w:val="single" w:color="000000" w:sz="4" w:space="0"/>
            </w:tcBorders>
            <w:vAlign w:val="center"/>
          </w:tcPr>
          <w:p w14:paraId="6F2F31E3">
            <w:pPr>
              <w:pStyle w:val="51"/>
              <w:bidi w:val="0"/>
            </w:pPr>
          </w:p>
        </w:tc>
        <w:tc>
          <w:tcPr>
            <w:tcW w:w="576" w:type="pct"/>
            <w:tcBorders>
              <w:top w:val="single" w:color="000000" w:sz="4" w:space="0"/>
              <w:left w:val="single" w:color="000000" w:sz="4" w:space="0"/>
              <w:bottom w:val="single" w:color="000000" w:sz="4" w:space="0"/>
              <w:right w:val="single" w:color="000000" w:sz="4" w:space="0"/>
            </w:tcBorders>
            <w:vAlign w:val="center"/>
          </w:tcPr>
          <w:p w14:paraId="1E074F06">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rPr>
              <w:t>SS</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CFED8">
            <w:pPr>
              <w:pStyle w:val="51"/>
              <w:bidi w:val="0"/>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vAlign w:val="center"/>
          </w:tcPr>
          <w:p w14:paraId="0CF8351F">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vAlign w:val="center"/>
          </w:tcPr>
          <w:p w14:paraId="3447C5C0">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554" w:type="pct"/>
            <w:tcBorders>
              <w:top w:val="single" w:color="000000" w:sz="4" w:space="0"/>
              <w:left w:val="single" w:color="000000" w:sz="4" w:space="0"/>
              <w:bottom w:val="single" w:color="000000" w:sz="4" w:space="0"/>
              <w:right w:val="single" w:color="000000" w:sz="4" w:space="0"/>
            </w:tcBorders>
            <w:vAlign w:val="center"/>
          </w:tcPr>
          <w:p w14:paraId="233A6E19">
            <w:pPr>
              <w:pStyle w:val="51"/>
              <w:bidi w:val="0"/>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lang w:val="en-US" w:eastAsia="zh-CN"/>
              </w:rPr>
              <w:t>0.144</w:t>
            </w:r>
          </w:p>
        </w:tc>
        <w:tc>
          <w:tcPr>
            <w:tcW w:w="626" w:type="pct"/>
            <w:tcBorders>
              <w:top w:val="single" w:color="000000" w:sz="4" w:space="0"/>
              <w:left w:val="single" w:color="000000" w:sz="4" w:space="0"/>
              <w:bottom w:val="single" w:color="000000" w:sz="4" w:space="0"/>
              <w:right w:val="single" w:color="000000" w:sz="4" w:space="0"/>
            </w:tcBorders>
            <w:vAlign w:val="center"/>
          </w:tcPr>
          <w:p w14:paraId="64108D07">
            <w:pPr>
              <w:pStyle w:val="51"/>
              <w:bidi w:val="0"/>
              <w:rPr>
                <w:lang w:val="en-US" w:eastAsia="zh-CN"/>
              </w:rPr>
            </w:pPr>
            <w:r>
              <w:rPr>
                <w:rFonts w:hint="eastAsia"/>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945EB">
            <w:pPr>
              <w:pStyle w:val="51"/>
              <w:bidi w:val="0"/>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lang w:val="en-US" w:eastAsia="zh-CN"/>
              </w:rPr>
              <w:t>0.144</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4AF7490F">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eastAsia="宋体"/>
                <w:lang w:val="en-US" w:eastAsia="zh-CN"/>
              </w:rPr>
              <w:t>+</w:t>
            </w:r>
            <w:r>
              <w:rPr>
                <w:rFonts w:hint="eastAsia"/>
                <w:lang w:val="en-US" w:eastAsia="zh-CN"/>
              </w:rPr>
              <w:t>0.144</w:t>
            </w:r>
          </w:p>
        </w:tc>
      </w:tr>
      <w:tr w14:paraId="641681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39" w:type="pct"/>
            <w:vMerge w:val="restart"/>
            <w:tcBorders>
              <w:top w:val="single" w:color="000000" w:sz="8" w:space="0"/>
              <w:left w:val="single" w:color="000000" w:sz="8" w:space="0"/>
              <w:right w:val="single" w:color="000000" w:sz="4" w:space="0"/>
            </w:tcBorders>
            <w:vAlign w:val="center"/>
          </w:tcPr>
          <w:p w14:paraId="42D90E54">
            <w:pPr>
              <w:pStyle w:val="51"/>
              <w:bidi w:val="0"/>
            </w:pPr>
            <w:r>
              <w:rPr>
                <w:rFonts w:hint="eastAsia"/>
              </w:rPr>
              <w:t>一般工业固体废物</w:t>
            </w:r>
          </w:p>
        </w:tc>
        <w:tc>
          <w:tcPr>
            <w:tcW w:w="576" w:type="pct"/>
            <w:tcBorders>
              <w:top w:val="single" w:color="000000" w:sz="4" w:space="0"/>
              <w:left w:val="single" w:color="000000" w:sz="4" w:space="0"/>
              <w:bottom w:val="single" w:color="000000" w:sz="4" w:space="0"/>
              <w:right w:val="single" w:color="000000" w:sz="4" w:space="0"/>
            </w:tcBorders>
            <w:vAlign w:val="center"/>
          </w:tcPr>
          <w:p w14:paraId="64876323">
            <w:pPr>
              <w:pStyle w:val="51"/>
              <w:bidi w:val="0"/>
              <w:ind w:left="24" w:leftChars="10" w:right="24" w:rightChars="10" w:firstLine="0" w:firstLineChars="0"/>
              <w:jc w:val="center"/>
              <w:rPr>
                <w:rFonts w:hint="eastAsia" w:ascii="Times New Roman" w:hAnsi="Times New Roman" w:eastAsia="宋体" w:cs="Times New Roman"/>
                <w:spacing w:val="-2"/>
                <w:kern w:val="2"/>
                <w:sz w:val="21"/>
                <w:szCs w:val="18"/>
                <w:highlight w:val="none"/>
                <w:lang w:val="en-US" w:eastAsia="zh-CN" w:bidi="ar-SA"/>
              </w:rPr>
            </w:pPr>
            <w:r>
              <w:rPr>
                <w:highlight w:val="none"/>
              </w:rPr>
              <w:t>生活垃圾</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8F67A">
            <w:pPr>
              <w:pStyle w:val="51"/>
              <w:bidi w:val="0"/>
              <w:ind w:left="24" w:leftChars="10" w:right="24" w:rightChars="10" w:firstLine="0" w:firstLineChars="0"/>
              <w:rPr>
                <w:rFonts w:hint="default" w:ascii="Times New Roman" w:hAnsi="Times New Roman" w:eastAsia="宋体" w:cs="Times New Roman"/>
                <w:spacing w:val="-2"/>
                <w:kern w:val="2"/>
                <w:sz w:val="21"/>
                <w:szCs w:val="18"/>
                <w:lang w:val="en-US" w:eastAsia="zh-CN" w:bidi="ar-SA"/>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vAlign w:val="center"/>
          </w:tcPr>
          <w:p w14:paraId="6F976026">
            <w:pPr>
              <w:pStyle w:val="51"/>
              <w:bidi w:val="0"/>
              <w:rPr>
                <w:rFonts w:hint="eastAsia"/>
                <w:lang w:val="en-US" w:eastAsia="zh-CN"/>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vAlign w:val="center"/>
          </w:tcPr>
          <w:p w14:paraId="5B433E9D">
            <w:pPr>
              <w:pStyle w:val="51"/>
              <w:bidi w:val="0"/>
              <w:rPr>
                <w:rFonts w:hint="eastAsia"/>
                <w:lang w:val="en-US" w:eastAsia="zh-CN"/>
              </w:rPr>
            </w:pPr>
            <w:r>
              <w:rPr>
                <w:rFonts w:hint="eastAsia"/>
                <w:lang w:val="en-US" w:eastAsia="zh-CN"/>
              </w:rPr>
              <w:t>/</w:t>
            </w:r>
          </w:p>
        </w:tc>
        <w:tc>
          <w:tcPr>
            <w:tcW w:w="554" w:type="pct"/>
            <w:tcBorders>
              <w:top w:val="single" w:color="000000" w:sz="4" w:space="0"/>
              <w:left w:val="single" w:color="000000" w:sz="4" w:space="0"/>
              <w:bottom w:val="single" w:color="000000" w:sz="4" w:space="0"/>
              <w:right w:val="single" w:color="000000" w:sz="4" w:space="0"/>
            </w:tcBorders>
            <w:vAlign w:val="center"/>
          </w:tcPr>
          <w:p w14:paraId="065F7521">
            <w:pPr>
              <w:pStyle w:val="51"/>
              <w:bidi w:val="0"/>
              <w:ind w:left="24" w:leftChars="10" w:right="24" w:rightChars="10" w:firstLine="0" w:firstLineChars="0"/>
              <w:jc w:val="center"/>
              <w:rPr>
                <w:rFonts w:hint="default" w:ascii="Times New Roman" w:hAnsi="Times New Roman" w:eastAsia="宋体" w:cs="Times New Roman"/>
                <w:spacing w:val="-2"/>
                <w:kern w:val="2"/>
                <w:sz w:val="21"/>
                <w:szCs w:val="18"/>
                <w:lang w:val="en-US" w:eastAsia="zh-CN" w:bidi="ar-SA"/>
              </w:rPr>
            </w:pPr>
            <w:r>
              <w:rPr>
                <w:rFonts w:hint="eastAsia"/>
                <w:lang w:val="en-US" w:eastAsia="zh-CN"/>
              </w:rPr>
              <w:t>7.5</w:t>
            </w:r>
          </w:p>
        </w:tc>
        <w:tc>
          <w:tcPr>
            <w:tcW w:w="626" w:type="pct"/>
            <w:tcBorders>
              <w:top w:val="single" w:color="000000" w:sz="4" w:space="0"/>
              <w:left w:val="single" w:color="000000" w:sz="4" w:space="0"/>
              <w:bottom w:val="single" w:color="000000" w:sz="4" w:space="0"/>
              <w:right w:val="single" w:color="000000" w:sz="4" w:space="0"/>
            </w:tcBorders>
            <w:vAlign w:val="center"/>
          </w:tcPr>
          <w:p w14:paraId="4A371AD2">
            <w:pPr>
              <w:pStyle w:val="51"/>
              <w:bidi w:val="0"/>
              <w:rPr>
                <w:rFonts w:hint="eastAsia"/>
                <w:lang w:val="en-US" w:eastAsia="zh-CN"/>
              </w:rPr>
            </w:pPr>
            <w:r>
              <w:rPr>
                <w:rFonts w:hint="eastAsia"/>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569CB">
            <w:pPr>
              <w:pStyle w:val="51"/>
              <w:bidi w:val="0"/>
              <w:ind w:left="24" w:leftChars="10" w:right="24" w:rightChars="10" w:firstLine="0" w:firstLineChars="0"/>
              <w:jc w:val="center"/>
              <w:rPr>
                <w:rFonts w:hint="default" w:ascii="Times New Roman" w:hAnsi="Times New Roman" w:eastAsia="宋体" w:cs="Times New Roman"/>
                <w:spacing w:val="-2"/>
                <w:kern w:val="2"/>
                <w:sz w:val="21"/>
                <w:szCs w:val="18"/>
                <w:lang w:val="en-US" w:eastAsia="zh-CN" w:bidi="ar-SA"/>
              </w:rPr>
            </w:pPr>
            <w:r>
              <w:rPr>
                <w:rFonts w:hint="eastAsia"/>
                <w:lang w:val="en-US" w:eastAsia="zh-CN"/>
              </w:rPr>
              <w:t>7.5</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6022C7AD">
            <w:pPr>
              <w:pStyle w:val="51"/>
              <w:bidi w:val="0"/>
              <w:ind w:left="24" w:leftChars="10" w:right="24" w:rightChars="10" w:firstLine="0" w:firstLineChars="0"/>
              <w:jc w:val="center"/>
              <w:rPr>
                <w:rFonts w:hint="eastAsia" w:ascii="Times New Roman" w:hAnsi="Times New Roman" w:eastAsia="宋体" w:cs="Times New Roman"/>
                <w:spacing w:val="-2"/>
                <w:kern w:val="2"/>
                <w:sz w:val="21"/>
                <w:szCs w:val="18"/>
                <w:lang w:val="en-US" w:eastAsia="zh-CN" w:bidi="ar-SA"/>
              </w:rPr>
            </w:pPr>
            <w:r>
              <w:rPr>
                <w:rFonts w:hint="eastAsia"/>
                <w:lang w:val="en-US" w:eastAsia="zh-CN"/>
              </w:rPr>
              <w:t>+7.5</w:t>
            </w:r>
          </w:p>
        </w:tc>
      </w:tr>
      <w:tr w14:paraId="6AC18B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39" w:type="pct"/>
            <w:vMerge w:val="continue"/>
            <w:tcBorders>
              <w:left w:val="single" w:color="000000" w:sz="8" w:space="0"/>
              <w:right w:val="single" w:color="000000" w:sz="4" w:space="0"/>
            </w:tcBorders>
            <w:vAlign w:val="center"/>
          </w:tcPr>
          <w:p w14:paraId="2D6CD709">
            <w:pPr>
              <w:pStyle w:val="51"/>
              <w:bidi w:val="0"/>
              <w:rPr>
                <w:rFonts w:hint="eastAsia"/>
              </w:rPr>
            </w:pPr>
          </w:p>
        </w:tc>
        <w:tc>
          <w:tcPr>
            <w:tcW w:w="576" w:type="pct"/>
            <w:tcBorders>
              <w:top w:val="single" w:color="000000" w:sz="4" w:space="0"/>
              <w:left w:val="single" w:color="000000" w:sz="4" w:space="0"/>
              <w:bottom w:val="single" w:color="000000" w:sz="4" w:space="0"/>
              <w:right w:val="single" w:color="000000" w:sz="4" w:space="0"/>
            </w:tcBorders>
            <w:vAlign w:val="center"/>
          </w:tcPr>
          <w:p w14:paraId="29CF400B">
            <w:pPr>
              <w:pStyle w:val="51"/>
              <w:bidi w:val="0"/>
              <w:ind w:left="24" w:leftChars="10" w:right="24" w:rightChars="10" w:firstLine="0" w:firstLineChars="0"/>
              <w:jc w:val="center"/>
              <w:rPr>
                <w:rFonts w:hint="eastAsia" w:ascii="Times New Roman" w:hAnsi="Times New Roman" w:eastAsia="宋体" w:cs="Times New Roman"/>
                <w:spacing w:val="-2"/>
                <w:kern w:val="2"/>
                <w:sz w:val="21"/>
                <w:szCs w:val="18"/>
                <w:lang w:val="en-US" w:eastAsia="zh-CN" w:bidi="ar-SA"/>
              </w:rPr>
            </w:pPr>
            <w:r>
              <w:rPr>
                <w:rFonts w:hint="eastAsia"/>
                <w:lang w:val="en-US" w:eastAsia="zh-CN"/>
              </w:rPr>
              <w:t>不合格品</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C9259">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vAlign w:val="center"/>
          </w:tcPr>
          <w:p w14:paraId="23249F37">
            <w:pPr>
              <w:pStyle w:val="51"/>
              <w:bidi w:val="0"/>
              <w:rPr>
                <w:rFonts w:hint="eastAsia"/>
                <w:lang w:val="en-US" w:eastAsia="zh-CN"/>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vAlign w:val="center"/>
          </w:tcPr>
          <w:p w14:paraId="2518E8E7">
            <w:pPr>
              <w:pStyle w:val="51"/>
              <w:bidi w:val="0"/>
              <w:rPr>
                <w:rFonts w:hint="eastAsia"/>
                <w:lang w:val="en-US" w:eastAsia="zh-CN"/>
              </w:rPr>
            </w:pPr>
            <w:r>
              <w:rPr>
                <w:rFonts w:hint="eastAsia"/>
                <w:lang w:val="en-US" w:eastAsia="zh-CN"/>
              </w:rPr>
              <w:t>/</w:t>
            </w:r>
          </w:p>
        </w:tc>
        <w:tc>
          <w:tcPr>
            <w:tcW w:w="554" w:type="pct"/>
            <w:tcBorders>
              <w:top w:val="single" w:color="000000" w:sz="4" w:space="0"/>
              <w:left w:val="single" w:color="000000" w:sz="4" w:space="0"/>
              <w:bottom w:val="single" w:color="000000" w:sz="4" w:space="0"/>
              <w:right w:val="single" w:color="000000" w:sz="4" w:space="0"/>
            </w:tcBorders>
            <w:vAlign w:val="center"/>
          </w:tcPr>
          <w:p w14:paraId="4F0886B3">
            <w:pPr>
              <w:pStyle w:val="51"/>
              <w:bidi w:val="0"/>
              <w:ind w:left="24" w:leftChars="10" w:right="24" w:rightChars="10" w:firstLine="0" w:firstLineChars="0"/>
              <w:jc w:val="center"/>
              <w:rPr>
                <w:rFonts w:hint="default" w:ascii="Times New Roman" w:hAnsi="Times New Roman" w:eastAsia="宋体" w:cs="Times New Roman"/>
                <w:spacing w:val="-2"/>
                <w:kern w:val="2"/>
                <w:sz w:val="21"/>
                <w:szCs w:val="18"/>
                <w:lang w:val="en-US" w:eastAsia="zh-CN" w:bidi="ar-SA"/>
              </w:rPr>
            </w:pPr>
            <w:r>
              <w:rPr>
                <w:rFonts w:hint="eastAsia"/>
                <w:lang w:val="en-US" w:eastAsia="zh-CN"/>
              </w:rPr>
              <w:t>70</w:t>
            </w:r>
          </w:p>
        </w:tc>
        <w:tc>
          <w:tcPr>
            <w:tcW w:w="626" w:type="pct"/>
            <w:tcBorders>
              <w:top w:val="single" w:color="000000" w:sz="4" w:space="0"/>
              <w:left w:val="single" w:color="000000" w:sz="4" w:space="0"/>
              <w:bottom w:val="single" w:color="000000" w:sz="4" w:space="0"/>
              <w:right w:val="single" w:color="000000" w:sz="4" w:space="0"/>
            </w:tcBorders>
            <w:vAlign w:val="center"/>
          </w:tcPr>
          <w:p w14:paraId="09B8A70B">
            <w:pPr>
              <w:pStyle w:val="51"/>
              <w:bidi w:val="0"/>
              <w:rPr>
                <w:rFonts w:hint="eastAsia"/>
                <w:lang w:val="en-US" w:eastAsia="zh-CN"/>
              </w:rPr>
            </w:pPr>
            <w:r>
              <w:rPr>
                <w:rFonts w:hint="eastAsia"/>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F7A95">
            <w:pPr>
              <w:pStyle w:val="51"/>
              <w:bidi w:val="0"/>
              <w:ind w:left="24" w:leftChars="10" w:right="24" w:rightChars="10" w:firstLine="0" w:firstLineChars="0"/>
              <w:jc w:val="center"/>
              <w:rPr>
                <w:rFonts w:hint="default" w:ascii="Times New Roman" w:hAnsi="Times New Roman" w:eastAsia="宋体" w:cs="Times New Roman"/>
                <w:spacing w:val="-2"/>
                <w:kern w:val="2"/>
                <w:sz w:val="21"/>
                <w:szCs w:val="18"/>
                <w:lang w:val="en-US" w:eastAsia="zh-CN" w:bidi="ar-SA"/>
              </w:rPr>
            </w:pPr>
            <w:r>
              <w:rPr>
                <w:rFonts w:hint="eastAsia"/>
                <w:lang w:val="en-US" w:eastAsia="zh-CN"/>
              </w:rPr>
              <w:t>70</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3613F3A5">
            <w:pPr>
              <w:pStyle w:val="51"/>
              <w:bidi w:val="0"/>
              <w:ind w:left="24" w:leftChars="10" w:right="24" w:rightChars="10" w:firstLine="0" w:firstLineChars="0"/>
              <w:jc w:val="center"/>
              <w:rPr>
                <w:rFonts w:hint="default" w:ascii="Times New Roman" w:hAnsi="Times New Roman" w:eastAsia="宋体" w:cs="Times New Roman"/>
                <w:spacing w:val="-2"/>
                <w:kern w:val="2"/>
                <w:sz w:val="21"/>
                <w:szCs w:val="18"/>
                <w:lang w:val="en-US" w:eastAsia="zh-CN" w:bidi="ar-SA"/>
              </w:rPr>
            </w:pPr>
            <w:r>
              <w:rPr>
                <w:rFonts w:hint="eastAsia"/>
                <w:lang w:val="en-US" w:eastAsia="zh-CN"/>
              </w:rPr>
              <w:t>+70</w:t>
            </w:r>
          </w:p>
        </w:tc>
      </w:tr>
      <w:tr w14:paraId="364BC2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39" w:type="pct"/>
            <w:vMerge w:val="continue"/>
            <w:tcBorders>
              <w:left w:val="single" w:color="000000" w:sz="8" w:space="0"/>
              <w:right w:val="single" w:color="000000" w:sz="4" w:space="0"/>
            </w:tcBorders>
            <w:vAlign w:val="center"/>
          </w:tcPr>
          <w:p w14:paraId="6F3566A6">
            <w:pPr>
              <w:pStyle w:val="51"/>
              <w:bidi w:val="0"/>
              <w:rPr>
                <w:rFonts w:hint="eastAsia"/>
              </w:rPr>
            </w:pPr>
          </w:p>
        </w:tc>
        <w:tc>
          <w:tcPr>
            <w:tcW w:w="576" w:type="pct"/>
            <w:tcBorders>
              <w:top w:val="single" w:color="000000" w:sz="4" w:space="0"/>
              <w:left w:val="single" w:color="000000" w:sz="4" w:space="0"/>
              <w:bottom w:val="single" w:color="000000" w:sz="4" w:space="0"/>
              <w:right w:val="single" w:color="000000" w:sz="4" w:space="0"/>
            </w:tcBorders>
            <w:vAlign w:val="center"/>
          </w:tcPr>
          <w:p w14:paraId="6F66E7A8">
            <w:pPr>
              <w:pStyle w:val="51"/>
              <w:bidi w:val="0"/>
              <w:ind w:left="24" w:leftChars="10" w:right="24" w:rightChars="10" w:firstLine="0" w:firstLineChars="0"/>
              <w:jc w:val="center"/>
              <w:rPr>
                <w:rFonts w:hint="eastAsia" w:ascii="Times New Roman" w:hAnsi="Times New Roman" w:eastAsia="宋体" w:cs="Times New Roman"/>
                <w:spacing w:val="-2"/>
                <w:kern w:val="2"/>
                <w:sz w:val="21"/>
                <w:szCs w:val="18"/>
                <w:lang w:val="en-US" w:eastAsia="zh-CN" w:bidi="ar-SA"/>
              </w:rPr>
            </w:pPr>
            <w:r>
              <w:rPr>
                <w:rFonts w:hint="eastAsia"/>
                <w:lang w:val="en-US" w:eastAsia="zh-CN"/>
              </w:rPr>
              <w:t>废包装物</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A0B40">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vAlign w:val="center"/>
          </w:tcPr>
          <w:p w14:paraId="184D3202">
            <w:pPr>
              <w:pStyle w:val="51"/>
              <w:bidi w:val="0"/>
              <w:rPr>
                <w:rFonts w:hint="eastAsia"/>
                <w:lang w:val="en-US" w:eastAsia="zh-CN"/>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vAlign w:val="center"/>
          </w:tcPr>
          <w:p w14:paraId="186B7123">
            <w:pPr>
              <w:pStyle w:val="51"/>
              <w:bidi w:val="0"/>
              <w:rPr>
                <w:rFonts w:hint="eastAsia"/>
                <w:lang w:val="en-US" w:eastAsia="zh-CN"/>
              </w:rPr>
            </w:pPr>
            <w:r>
              <w:rPr>
                <w:rFonts w:hint="eastAsia"/>
                <w:lang w:val="en-US" w:eastAsia="zh-CN"/>
              </w:rPr>
              <w:t>/</w:t>
            </w:r>
          </w:p>
        </w:tc>
        <w:tc>
          <w:tcPr>
            <w:tcW w:w="554" w:type="pct"/>
            <w:tcBorders>
              <w:top w:val="single" w:color="000000" w:sz="4" w:space="0"/>
              <w:left w:val="single" w:color="000000" w:sz="4" w:space="0"/>
              <w:bottom w:val="single" w:color="000000" w:sz="4" w:space="0"/>
              <w:right w:val="single" w:color="000000" w:sz="4" w:space="0"/>
            </w:tcBorders>
            <w:vAlign w:val="center"/>
          </w:tcPr>
          <w:p w14:paraId="6DCE7EB8">
            <w:pPr>
              <w:pStyle w:val="51"/>
              <w:bidi w:val="0"/>
              <w:ind w:left="24" w:leftChars="10" w:right="24" w:rightChars="10" w:firstLine="0" w:firstLineChars="0"/>
              <w:jc w:val="center"/>
              <w:rPr>
                <w:rFonts w:hint="default" w:ascii="Times New Roman" w:hAnsi="Times New Roman" w:eastAsia="宋体" w:cs="Times New Roman"/>
                <w:spacing w:val="-2"/>
                <w:kern w:val="2"/>
                <w:sz w:val="21"/>
                <w:szCs w:val="18"/>
                <w:lang w:val="en-US" w:eastAsia="zh-CN" w:bidi="ar-SA"/>
              </w:rPr>
            </w:pPr>
            <w:r>
              <w:rPr>
                <w:rFonts w:hint="eastAsia"/>
                <w:lang w:val="en-US" w:eastAsia="zh-CN"/>
              </w:rPr>
              <w:t>0.7</w:t>
            </w:r>
          </w:p>
        </w:tc>
        <w:tc>
          <w:tcPr>
            <w:tcW w:w="626" w:type="pct"/>
            <w:tcBorders>
              <w:top w:val="single" w:color="000000" w:sz="4" w:space="0"/>
              <w:left w:val="single" w:color="000000" w:sz="4" w:space="0"/>
              <w:bottom w:val="single" w:color="000000" w:sz="4" w:space="0"/>
              <w:right w:val="single" w:color="000000" w:sz="4" w:space="0"/>
            </w:tcBorders>
            <w:vAlign w:val="center"/>
          </w:tcPr>
          <w:p w14:paraId="6FB18861">
            <w:pPr>
              <w:pStyle w:val="51"/>
              <w:bidi w:val="0"/>
              <w:rPr>
                <w:rFonts w:hint="eastAsia"/>
                <w:lang w:val="en-US" w:eastAsia="zh-CN"/>
              </w:rPr>
            </w:pPr>
            <w:r>
              <w:rPr>
                <w:rFonts w:hint="eastAsia"/>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3917D">
            <w:pPr>
              <w:pStyle w:val="51"/>
              <w:bidi w:val="0"/>
              <w:ind w:left="24" w:leftChars="10" w:right="24" w:rightChars="10" w:firstLine="0" w:firstLineChars="0"/>
              <w:jc w:val="center"/>
              <w:rPr>
                <w:rFonts w:hint="default" w:ascii="Times New Roman" w:hAnsi="Times New Roman" w:eastAsia="宋体" w:cs="Times New Roman"/>
                <w:spacing w:val="-2"/>
                <w:kern w:val="2"/>
                <w:sz w:val="21"/>
                <w:szCs w:val="18"/>
                <w:lang w:val="en-US" w:eastAsia="zh-CN" w:bidi="ar-SA"/>
              </w:rPr>
            </w:pPr>
            <w:r>
              <w:rPr>
                <w:rFonts w:hint="eastAsia"/>
                <w:lang w:val="en-US" w:eastAsia="zh-CN"/>
              </w:rPr>
              <w:t>0.7</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6A2EA4BE">
            <w:pPr>
              <w:pStyle w:val="51"/>
              <w:bidi w:val="0"/>
              <w:ind w:left="24" w:leftChars="10" w:right="24" w:rightChars="10" w:firstLine="0" w:firstLineChars="0"/>
              <w:jc w:val="center"/>
              <w:rPr>
                <w:rFonts w:hint="eastAsia" w:ascii="Times New Roman" w:hAnsi="Times New Roman" w:eastAsia="宋体" w:cs="Times New Roman"/>
                <w:spacing w:val="-2"/>
                <w:kern w:val="2"/>
                <w:sz w:val="21"/>
                <w:szCs w:val="18"/>
                <w:lang w:val="en-US" w:eastAsia="zh-CN" w:bidi="ar-SA"/>
              </w:rPr>
            </w:pPr>
            <w:r>
              <w:rPr>
                <w:rFonts w:hint="eastAsia"/>
                <w:lang w:val="en-US" w:eastAsia="zh-CN"/>
              </w:rPr>
              <w:t>+0.7</w:t>
            </w:r>
          </w:p>
        </w:tc>
      </w:tr>
      <w:tr w14:paraId="3D03A6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39" w:type="pct"/>
            <w:vMerge w:val="restart"/>
            <w:tcBorders>
              <w:left w:val="single" w:color="000000" w:sz="8" w:space="0"/>
              <w:right w:val="single" w:color="000000" w:sz="4" w:space="0"/>
            </w:tcBorders>
            <w:vAlign w:val="center"/>
          </w:tcPr>
          <w:p w14:paraId="6851596F">
            <w:pPr>
              <w:pStyle w:val="51"/>
              <w:bidi w:val="0"/>
            </w:pPr>
            <w:r>
              <w:rPr>
                <w:rFonts w:hint="eastAsia"/>
              </w:rPr>
              <w:t>危险废物</w:t>
            </w:r>
          </w:p>
        </w:tc>
        <w:tc>
          <w:tcPr>
            <w:tcW w:w="576" w:type="pct"/>
            <w:tcBorders>
              <w:top w:val="single" w:color="000000" w:sz="4" w:space="0"/>
              <w:left w:val="single" w:color="000000" w:sz="4" w:space="0"/>
              <w:bottom w:val="single" w:color="000000" w:sz="4" w:space="0"/>
              <w:right w:val="single" w:color="000000" w:sz="4" w:space="0"/>
            </w:tcBorders>
            <w:vAlign w:val="center"/>
          </w:tcPr>
          <w:p w14:paraId="2CD76BDC">
            <w:pPr>
              <w:pStyle w:val="51"/>
              <w:bidi w:val="0"/>
              <w:ind w:left="24" w:leftChars="10" w:right="24" w:rightChars="10" w:firstLine="0" w:firstLineChars="0"/>
              <w:jc w:val="center"/>
              <w:rPr>
                <w:rFonts w:hint="eastAsia" w:ascii="Times New Roman" w:hAnsi="Times New Roman" w:eastAsia="宋体" w:cs="Times New Roman"/>
                <w:spacing w:val="-2"/>
                <w:kern w:val="2"/>
                <w:sz w:val="21"/>
                <w:szCs w:val="18"/>
                <w:lang w:val="en-US" w:eastAsia="zh-CN" w:bidi="ar-SA"/>
              </w:rPr>
            </w:pPr>
            <w:r>
              <w:rPr>
                <w:rFonts w:hint="eastAsia"/>
                <w:lang w:val="en-US" w:eastAsia="zh-CN"/>
              </w:rPr>
              <w:t>废活性炭</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AC3E8">
            <w:pPr>
              <w:pStyle w:val="51"/>
              <w:bidi w:val="0"/>
              <w:ind w:left="24" w:leftChars="10" w:right="24" w:rightChars="10" w:firstLine="0" w:firstLineChars="0"/>
              <w:rPr>
                <w:rFonts w:hint="default" w:ascii="Times New Roman" w:hAnsi="Times New Roman" w:eastAsia="宋体" w:cs="Times New Roman"/>
                <w:spacing w:val="-2"/>
                <w:kern w:val="2"/>
                <w:sz w:val="21"/>
                <w:szCs w:val="18"/>
                <w:highlight w:val="none"/>
                <w:lang w:val="en-US" w:eastAsia="zh-CN" w:bidi="ar-SA"/>
              </w:rPr>
            </w:pPr>
            <w:r>
              <w:rPr>
                <w:rFonts w:hint="eastAsia"/>
                <w:highlight w:val="none"/>
                <w:lang w:val="en-US" w:eastAsia="zh-CN"/>
              </w:rPr>
              <w:t>/</w:t>
            </w:r>
          </w:p>
        </w:tc>
        <w:tc>
          <w:tcPr>
            <w:tcW w:w="453" w:type="pct"/>
            <w:tcBorders>
              <w:top w:val="single" w:color="000000" w:sz="4" w:space="0"/>
              <w:left w:val="single" w:color="000000" w:sz="4" w:space="0"/>
              <w:bottom w:val="single" w:color="000000" w:sz="4" w:space="0"/>
              <w:right w:val="single" w:color="000000" w:sz="4" w:space="0"/>
            </w:tcBorders>
            <w:vAlign w:val="center"/>
          </w:tcPr>
          <w:p w14:paraId="04026151">
            <w:pPr>
              <w:pStyle w:val="51"/>
              <w:bidi w:val="0"/>
              <w:rPr>
                <w:rFonts w:hint="eastAsia"/>
                <w:highlight w:val="none"/>
                <w:lang w:val="en-US" w:eastAsia="zh-CN"/>
              </w:rPr>
            </w:pPr>
            <w:r>
              <w:rPr>
                <w:rFonts w:hint="eastAsia"/>
                <w:highlight w:val="none"/>
                <w:lang w:val="en-US" w:eastAsia="zh-CN"/>
              </w:rPr>
              <w:t>/</w:t>
            </w:r>
          </w:p>
        </w:tc>
        <w:tc>
          <w:tcPr>
            <w:tcW w:w="605" w:type="pct"/>
            <w:tcBorders>
              <w:top w:val="single" w:color="000000" w:sz="4" w:space="0"/>
              <w:left w:val="single" w:color="000000" w:sz="4" w:space="0"/>
              <w:bottom w:val="single" w:color="000000" w:sz="4" w:space="0"/>
              <w:right w:val="single" w:color="000000" w:sz="4" w:space="0"/>
            </w:tcBorders>
            <w:vAlign w:val="center"/>
          </w:tcPr>
          <w:p w14:paraId="50DA92D3">
            <w:pPr>
              <w:pStyle w:val="51"/>
              <w:bidi w:val="0"/>
              <w:rPr>
                <w:rFonts w:hint="eastAsia"/>
                <w:highlight w:val="none"/>
                <w:lang w:val="en-US" w:eastAsia="zh-CN"/>
              </w:rPr>
            </w:pPr>
            <w:r>
              <w:rPr>
                <w:rFonts w:hint="eastAsia"/>
                <w:highlight w:val="none"/>
                <w:lang w:val="en-US" w:eastAsia="zh-CN"/>
              </w:rPr>
              <w:t>/</w:t>
            </w:r>
          </w:p>
        </w:tc>
        <w:tc>
          <w:tcPr>
            <w:tcW w:w="554" w:type="pct"/>
            <w:tcBorders>
              <w:top w:val="single" w:color="000000" w:sz="4" w:space="0"/>
              <w:left w:val="single" w:color="000000" w:sz="4" w:space="0"/>
              <w:bottom w:val="single" w:color="000000" w:sz="4" w:space="0"/>
              <w:right w:val="single" w:color="000000" w:sz="4" w:space="0"/>
            </w:tcBorders>
            <w:vAlign w:val="center"/>
          </w:tcPr>
          <w:p w14:paraId="50E94730">
            <w:pPr>
              <w:pStyle w:val="51"/>
              <w:bidi w:val="0"/>
              <w:ind w:left="24" w:leftChars="10" w:right="24" w:rightChars="10" w:firstLine="0" w:firstLineChars="0"/>
              <w:jc w:val="center"/>
              <w:rPr>
                <w:rFonts w:hint="default" w:ascii="Times New Roman" w:hAnsi="Times New Roman" w:eastAsia="宋体" w:cs="Times New Roman"/>
                <w:spacing w:val="-2"/>
                <w:kern w:val="2"/>
                <w:sz w:val="21"/>
                <w:szCs w:val="18"/>
                <w:highlight w:val="none"/>
                <w:lang w:val="en-US" w:eastAsia="zh-CN" w:bidi="ar-SA"/>
              </w:rPr>
            </w:pPr>
            <w:r>
              <w:rPr>
                <w:rFonts w:hint="eastAsia"/>
                <w:highlight w:val="none"/>
                <w:lang w:val="en-US" w:eastAsia="zh-CN"/>
              </w:rPr>
              <w:t>6.1487</w:t>
            </w:r>
          </w:p>
        </w:tc>
        <w:tc>
          <w:tcPr>
            <w:tcW w:w="626" w:type="pct"/>
            <w:tcBorders>
              <w:top w:val="single" w:color="000000" w:sz="4" w:space="0"/>
              <w:left w:val="single" w:color="000000" w:sz="4" w:space="0"/>
              <w:bottom w:val="single" w:color="000000" w:sz="4" w:space="0"/>
              <w:right w:val="single" w:color="000000" w:sz="4" w:space="0"/>
            </w:tcBorders>
            <w:vAlign w:val="center"/>
          </w:tcPr>
          <w:p w14:paraId="7AFB17E4">
            <w:pPr>
              <w:pStyle w:val="51"/>
              <w:bidi w:val="0"/>
              <w:rPr>
                <w:rFonts w:hint="eastAsia"/>
                <w:highlight w:val="none"/>
                <w:lang w:val="en-US" w:eastAsia="zh-CN"/>
              </w:rPr>
            </w:pPr>
            <w:r>
              <w:rPr>
                <w:rFonts w:hint="eastAsia"/>
                <w:highlight w:val="none"/>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B27D7">
            <w:pPr>
              <w:pStyle w:val="51"/>
              <w:bidi w:val="0"/>
              <w:ind w:left="24" w:leftChars="10" w:right="24" w:rightChars="10" w:firstLine="0" w:firstLineChars="0"/>
              <w:jc w:val="center"/>
              <w:rPr>
                <w:rFonts w:hint="default" w:ascii="Times New Roman" w:hAnsi="Times New Roman" w:eastAsia="宋体" w:cs="Times New Roman"/>
                <w:spacing w:val="-2"/>
                <w:kern w:val="2"/>
                <w:sz w:val="21"/>
                <w:szCs w:val="18"/>
                <w:highlight w:val="none"/>
                <w:lang w:val="en-US" w:eastAsia="zh-CN" w:bidi="ar-SA"/>
              </w:rPr>
            </w:pPr>
            <w:r>
              <w:rPr>
                <w:rFonts w:hint="eastAsia"/>
                <w:highlight w:val="none"/>
                <w:lang w:val="en-US" w:eastAsia="zh-CN"/>
              </w:rPr>
              <w:t>6.1487</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72D39898">
            <w:pPr>
              <w:pStyle w:val="51"/>
              <w:bidi w:val="0"/>
              <w:ind w:left="24" w:leftChars="10" w:right="24" w:rightChars="10" w:firstLine="0" w:firstLineChars="0"/>
              <w:jc w:val="center"/>
              <w:rPr>
                <w:rFonts w:hint="eastAsia" w:ascii="Times New Roman" w:hAnsi="Times New Roman" w:eastAsia="宋体" w:cs="Times New Roman"/>
                <w:spacing w:val="-2"/>
                <w:kern w:val="2"/>
                <w:sz w:val="21"/>
                <w:szCs w:val="18"/>
                <w:highlight w:val="none"/>
                <w:lang w:val="en-US" w:eastAsia="zh-CN" w:bidi="ar-SA"/>
              </w:rPr>
            </w:pPr>
            <w:r>
              <w:rPr>
                <w:rFonts w:hint="eastAsia"/>
                <w:highlight w:val="none"/>
                <w:lang w:val="en-US" w:eastAsia="zh-CN"/>
              </w:rPr>
              <w:t>+6.1487</w:t>
            </w:r>
          </w:p>
        </w:tc>
      </w:tr>
      <w:tr w14:paraId="5E8F75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39" w:type="pct"/>
            <w:vMerge w:val="continue"/>
            <w:tcBorders>
              <w:left w:val="single" w:color="000000" w:sz="8" w:space="0"/>
              <w:right w:val="single" w:color="000000" w:sz="4" w:space="0"/>
            </w:tcBorders>
            <w:vAlign w:val="center"/>
          </w:tcPr>
          <w:p w14:paraId="534C07AA">
            <w:pPr>
              <w:pStyle w:val="51"/>
              <w:bidi w:val="0"/>
              <w:rPr>
                <w:rFonts w:hint="eastAsia"/>
              </w:rPr>
            </w:pPr>
          </w:p>
        </w:tc>
        <w:tc>
          <w:tcPr>
            <w:tcW w:w="576" w:type="pct"/>
            <w:tcBorders>
              <w:top w:val="single" w:color="000000" w:sz="4" w:space="0"/>
              <w:left w:val="single" w:color="000000" w:sz="4" w:space="0"/>
              <w:bottom w:val="single" w:color="000000" w:sz="4" w:space="0"/>
              <w:right w:val="single" w:color="000000" w:sz="4" w:space="0"/>
            </w:tcBorders>
            <w:vAlign w:val="center"/>
          </w:tcPr>
          <w:p w14:paraId="7C644622">
            <w:pPr>
              <w:pStyle w:val="51"/>
              <w:bidi w:val="0"/>
              <w:ind w:left="24" w:leftChars="10" w:right="24" w:rightChars="10" w:firstLine="0" w:firstLineChars="0"/>
              <w:jc w:val="center"/>
              <w:rPr>
                <w:rFonts w:hint="eastAsia"/>
                <w:lang w:val="en-US" w:eastAsia="zh-CN"/>
              </w:rPr>
            </w:pPr>
            <w:r>
              <w:rPr>
                <w:rFonts w:hint="eastAsia"/>
                <w:color w:val="auto"/>
                <w:lang w:val="en-US" w:eastAsia="zh-CN"/>
              </w:rPr>
              <w:t>含油抹布、手套</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5ED15">
            <w:pPr>
              <w:pStyle w:val="51"/>
              <w:bidi w:val="0"/>
              <w:ind w:left="24" w:leftChars="10" w:right="24" w:rightChars="10" w:firstLine="0" w:firstLineChars="0"/>
              <w:rPr>
                <w:rFonts w:hint="default"/>
                <w:highlight w:val="none"/>
                <w:lang w:val="en-US" w:eastAsia="zh-CN"/>
              </w:rPr>
            </w:pPr>
            <w:r>
              <w:rPr>
                <w:rFonts w:hint="eastAsia"/>
                <w:highlight w:val="none"/>
                <w:lang w:val="en-US" w:eastAsia="zh-CN"/>
              </w:rPr>
              <w:t>/</w:t>
            </w:r>
          </w:p>
        </w:tc>
        <w:tc>
          <w:tcPr>
            <w:tcW w:w="453" w:type="pct"/>
            <w:tcBorders>
              <w:top w:val="single" w:color="000000" w:sz="4" w:space="0"/>
              <w:left w:val="single" w:color="000000" w:sz="4" w:space="0"/>
              <w:bottom w:val="single" w:color="000000" w:sz="4" w:space="0"/>
              <w:right w:val="single" w:color="000000" w:sz="4" w:space="0"/>
            </w:tcBorders>
            <w:vAlign w:val="center"/>
          </w:tcPr>
          <w:p w14:paraId="15A943CB">
            <w:pPr>
              <w:pStyle w:val="51"/>
              <w:bidi w:val="0"/>
              <w:rPr>
                <w:rFonts w:hint="default"/>
                <w:highlight w:val="none"/>
                <w:lang w:val="en-US" w:eastAsia="zh-CN"/>
              </w:rPr>
            </w:pPr>
            <w:r>
              <w:rPr>
                <w:rFonts w:hint="eastAsia"/>
                <w:highlight w:val="none"/>
                <w:lang w:val="en-US" w:eastAsia="zh-CN"/>
              </w:rPr>
              <w:t>/</w:t>
            </w:r>
          </w:p>
        </w:tc>
        <w:tc>
          <w:tcPr>
            <w:tcW w:w="605" w:type="pct"/>
            <w:tcBorders>
              <w:top w:val="single" w:color="000000" w:sz="4" w:space="0"/>
              <w:left w:val="single" w:color="000000" w:sz="4" w:space="0"/>
              <w:bottom w:val="single" w:color="000000" w:sz="4" w:space="0"/>
              <w:right w:val="single" w:color="000000" w:sz="4" w:space="0"/>
            </w:tcBorders>
            <w:vAlign w:val="center"/>
          </w:tcPr>
          <w:p w14:paraId="452F0113">
            <w:pPr>
              <w:pStyle w:val="51"/>
              <w:bidi w:val="0"/>
              <w:rPr>
                <w:rFonts w:hint="default"/>
                <w:highlight w:val="none"/>
                <w:lang w:val="en-US" w:eastAsia="zh-CN"/>
              </w:rPr>
            </w:pPr>
            <w:r>
              <w:rPr>
                <w:rFonts w:hint="eastAsia"/>
                <w:highlight w:val="none"/>
                <w:lang w:val="en-US" w:eastAsia="zh-CN"/>
              </w:rPr>
              <w:t>/</w:t>
            </w:r>
          </w:p>
        </w:tc>
        <w:tc>
          <w:tcPr>
            <w:tcW w:w="554" w:type="pct"/>
            <w:tcBorders>
              <w:top w:val="single" w:color="000000" w:sz="4" w:space="0"/>
              <w:left w:val="single" w:color="000000" w:sz="4" w:space="0"/>
              <w:bottom w:val="single" w:color="000000" w:sz="4" w:space="0"/>
              <w:right w:val="single" w:color="000000" w:sz="4" w:space="0"/>
            </w:tcBorders>
            <w:vAlign w:val="center"/>
          </w:tcPr>
          <w:p w14:paraId="7A7D30B2">
            <w:pPr>
              <w:pStyle w:val="51"/>
              <w:bidi w:val="0"/>
              <w:ind w:left="24" w:leftChars="10" w:right="24" w:rightChars="10" w:firstLine="0" w:firstLineChars="0"/>
              <w:jc w:val="center"/>
              <w:rPr>
                <w:rFonts w:hint="default"/>
                <w:highlight w:val="none"/>
                <w:lang w:val="en-US" w:eastAsia="zh-CN"/>
              </w:rPr>
            </w:pPr>
            <w:r>
              <w:rPr>
                <w:rFonts w:hint="eastAsia"/>
                <w:highlight w:val="none"/>
                <w:lang w:val="en-US" w:eastAsia="zh-CN"/>
              </w:rPr>
              <w:t>0.01</w:t>
            </w:r>
          </w:p>
        </w:tc>
        <w:tc>
          <w:tcPr>
            <w:tcW w:w="626" w:type="pct"/>
            <w:tcBorders>
              <w:top w:val="single" w:color="000000" w:sz="4" w:space="0"/>
              <w:left w:val="single" w:color="000000" w:sz="4" w:space="0"/>
              <w:bottom w:val="single" w:color="000000" w:sz="4" w:space="0"/>
              <w:right w:val="single" w:color="000000" w:sz="4" w:space="0"/>
            </w:tcBorders>
            <w:vAlign w:val="center"/>
          </w:tcPr>
          <w:p w14:paraId="68F8B125">
            <w:pPr>
              <w:pStyle w:val="51"/>
              <w:bidi w:val="0"/>
              <w:rPr>
                <w:rFonts w:hint="eastAsia"/>
                <w:highlight w:val="none"/>
                <w:lang w:val="en-US" w:eastAsia="zh-CN"/>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5B60B">
            <w:pPr>
              <w:pStyle w:val="51"/>
              <w:bidi w:val="0"/>
              <w:ind w:left="24" w:leftChars="10" w:right="24" w:rightChars="10" w:firstLine="0" w:firstLineChars="0"/>
              <w:jc w:val="center"/>
              <w:rPr>
                <w:rFonts w:hint="eastAsia" w:ascii="Times New Roman" w:hAnsi="Times New Roman" w:eastAsia="宋体" w:cs="Times New Roman"/>
                <w:spacing w:val="-2"/>
                <w:kern w:val="2"/>
                <w:sz w:val="21"/>
                <w:szCs w:val="18"/>
                <w:highlight w:val="none"/>
                <w:lang w:val="en-US" w:eastAsia="zh-CN" w:bidi="ar-SA"/>
              </w:rPr>
            </w:pPr>
            <w:r>
              <w:rPr>
                <w:rFonts w:hint="eastAsia"/>
                <w:highlight w:val="none"/>
                <w:lang w:val="en-US" w:eastAsia="zh-CN"/>
              </w:rPr>
              <w:t>0.01</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79E9A7AA">
            <w:pPr>
              <w:pStyle w:val="51"/>
              <w:bidi w:val="0"/>
              <w:ind w:left="24" w:leftChars="10" w:right="24" w:rightChars="10" w:firstLine="0" w:firstLineChars="0"/>
              <w:jc w:val="center"/>
              <w:rPr>
                <w:rFonts w:hint="eastAsia" w:ascii="Times New Roman" w:hAnsi="Times New Roman" w:eastAsia="宋体" w:cs="Times New Roman"/>
                <w:spacing w:val="-2"/>
                <w:kern w:val="2"/>
                <w:sz w:val="21"/>
                <w:szCs w:val="18"/>
                <w:highlight w:val="none"/>
                <w:lang w:val="en-US" w:eastAsia="zh-CN" w:bidi="ar-SA"/>
              </w:rPr>
            </w:pPr>
            <w:r>
              <w:rPr>
                <w:rFonts w:hint="eastAsia"/>
                <w:highlight w:val="none"/>
                <w:lang w:val="en-US" w:eastAsia="zh-CN"/>
              </w:rPr>
              <w:t>+0.01</w:t>
            </w:r>
          </w:p>
        </w:tc>
      </w:tr>
      <w:tr w14:paraId="0D38DF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39" w:type="pct"/>
            <w:vMerge w:val="continue"/>
            <w:tcBorders>
              <w:left w:val="single" w:color="000000" w:sz="8" w:space="0"/>
              <w:right w:val="single" w:color="000000" w:sz="4" w:space="0"/>
            </w:tcBorders>
            <w:vAlign w:val="center"/>
          </w:tcPr>
          <w:p w14:paraId="4365C171">
            <w:pPr>
              <w:pStyle w:val="51"/>
              <w:bidi w:val="0"/>
            </w:pPr>
          </w:p>
        </w:tc>
        <w:tc>
          <w:tcPr>
            <w:tcW w:w="576" w:type="pct"/>
            <w:tcBorders>
              <w:top w:val="single" w:color="000000" w:sz="4" w:space="0"/>
              <w:left w:val="single" w:color="000000" w:sz="4" w:space="0"/>
              <w:bottom w:val="single" w:color="000000" w:sz="4" w:space="0"/>
              <w:right w:val="single" w:color="000000" w:sz="4" w:space="0"/>
            </w:tcBorders>
            <w:vAlign w:val="center"/>
          </w:tcPr>
          <w:p w14:paraId="55305C92">
            <w:pPr>
              <w:pStyle w:val="51"/>
              <w:bidi w:val="0"/>
              <w:ind w:left="24" w:leftChars="10" w:right="24" w:rightChars="10" w:firstLine="0" w:firstLineChars="0"/>
              <w:jc w:val="center"/>
              <w:rPr>
                <w:rFonts w:hint="eastAsia" w:ascii="Times New Roman" w:hAnsi="Times New Roman" w:eastAsia="宋体" w:cs="Times New Roman"/>
                <w:spacing w:val="-2"/>
                <w:kern w:val="2"/>
                <w:sz w:val="21"/>
                <w:szCs w:val="18"/>
                <w:lang w:val="en-US" w:eastAsia="zh-CN" w:bidi="ar-SA"/>
              </w:rPr>
            </w:pPr>
            <w:r>
              <w:rPr>
                <w:rFonts w:hint="eastAsia"/>
                <w:lang w:val="en-US" w:eastAsia="zh-CN"/>
              </w:rPr>
              <w:t>废机油</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1EAFA">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vAlign w:val="center"/>
          </w:tcPr>
          <w:p w14:paraId="34520390">
            <w:pPr>
              <w:pStyle w:val="51"/>
              <w:bidi w:val="0"/>
              <w:rPr>
                <w:rFonts w:hint="eastAsia"/>
                <w:lang w:val="en-US" w:eastAsia="zh-CN"/>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vAlign w:val="center"/>
          </w:tcPr>
          <w:p w14:paraId="3FD28E4C">
            <w:pPr>
              <w:pStyle w:val="51"/>
              <w:bidi w:val="0"/>
              <w:rPr>
                <w:rFonts w:hint="eastAsia"/>
                <w:lang w:val="en-US" w:eastAsia="zh-CN"/>
              </w:rPr>
            </w:pPr>
            <w:r>
              <w:rPr>
                <w:rFonts w:hint="eastAsia"/>
                <w:lang w:val="en-US" w:eastAsia="zh-CN"/>
              </w:rPr>
              <w:t>/</w:t>
            </w:r>
          </w:p>
        </w:tc>
        <w:tc>
          <w:tcPr>
            <w:tcW w:w="554" w:type="pct"/>
            <w:tcBorders>
              <w:top w:val="single" w:color="000000" w:sz="4" w:space="0"/>
              <w:left w:val="single" w:color="000000" w:sz="4" w:space="0"/>
              <w:bottom w:val="single" w:color="000000" w:sz="4" w:space="0"/>
              <w:right w:val="single" w:color="000000" w:sz="4" w:space="0"/>
            </w:tcBorders>
            <w:vAlign w:val="center"/>
          </w:tcPr>
          <w:p w14:paraId="111B5877">
            <w:pPr>
              <w:pStyle w:val="51"/>
              <w:bidi w:val="0"/>
              <w:ind w:left="24" w:leftChars="10" w:right="24" w:rightChars="10" w:firstLine="0" w:firstLineChars="0"/>
              <w:jc w:val="center"/>
              <w:rPr>
                <w:rFonts w:hint="default" w:ascii="Times New Roman" w:hAnsi="Times New Roman" w:eastAsia="宋体" w:cs="Times New Roman"/>
                <w:spacing w:val="-2"/>
                <w:kern w:val="2"/>
                <w:sz w:val="21"/>
                <w:szCs w:val="18"/>
                <w:lang w:val="en-US" w:eastAsia="zh-CN" w:bidi="ar-SA"/>
              </w:rPr>
            </w:pPr>
            <w:r>
              <w:rPr>
                <w:rFonts w:hint="eastAsia"/>
                <w:lang w:val="en-US" w:eastAsia="zh-CN"/>
              </w:rPr>
              <w:t>0.04</w:t>
            </w:r>
          </w:p>
        </w:tc>
        <w:tc>
          <w:tcPr>
            <w:tcW w:w="626" w:type="pct"/>
            <w:tcBorders>
              <w:top w:val="single" w:color="000000" w:sz="4" w:space="0"/>
              <w:left w:val="single" w:color="000000" w:sz="4" w:space="0"/>
              <w:bottom w:val="single" w:color="000000" w:sz="4" w:space="0"/>
              <w:right w:val="single" w:color="000000" w:sz="4" w:space="0"/>
            </w:tcBorders>
            <w:vAlign w:val="center"/>
          </w:tcPr>
          <w:p w14:paraId="1AD4951C">
            <w:pPr>
              <w:pStyle w:val="51"/>
              <w:bidi w:val="0"/>
              <w:rPr>
                <w:rFonts w:hint="eastAsia"/>
                <w:lang w:val="en-US" w:eastAsia="zh-CN"/>
              </w:rPr>
            </w:pPr>
            <w:r>
              <w:rPr>
                <w:rFonts w:hint="eastAsia"/>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83421">
            <w:pPr>
              <w:pStyle w:val="51"/>
              <w:bidi w:val="0"/>
              <w:ind w:left="24" w:leftChars="10" w:right="24" w:rightChars="10" w:firstLine="0" w:firstLineChars="0"/>
              <w:jc w:val="center"/>
              <w:rPr>
                <w:rFonts w:hint="eastAsia" w:ascii="Times New Roman" w:hAnsi="Times New Roman" w:eastAsia="宋体" w:cs="Times New Roman"/>
                <w:spacing w:val="-2"/>
                <w:kern w:val="2"/>
                <w:sz w:val="21"/>
                <w:szCs w:val="18"/>
                <w:lang w:val="en-US" w:eastAsia="zh-CN" w:bidi="ar-SA"/>
              </w:rPr>
            </w:pPr>
            <w:r>
              <w:rPr>
                <w:rFonts w:hint="eastAsia"/>
                <w:lang w:val="en-US" w:eastAsia="zh-CN"/>
              </w:rPr>
              <w:t>0.04</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2297FB27">
            <w:pPr>
              <w:pStyle w:val="51"/>
              <w:bidi w:val="0"/>
              <w:ind w:left="24" w:leftChars="10" w:right="24" w:rightChars="10" w:firstLine="0" w:firstLineChars="0"/>
              <w:jc w:val="center"/>
              <w:rPr>
                <w:rFonts w:hint="eastAsia" w:ascii="Times New Roman" w:hAnsi="Times New Roman" w:eastAsia="宋体" w:cs="Times New Roman"/>
                <w:spacing w:val="-2"/>
                <w:kern w:val="2"/>
                <w:sz w:val="21"/>
                <w:szCs w:val="18"/>
                <w:lang w:val="en-US" w:eastAsia="zh-CN" w:bidi="ar-SA"/>
              </w:rPr>
            </w:pPr>
            <w:r>
              <w:rPr>
                <w:rFonts w:hint="eastAsia"/>
                <w:lang w:val="en-US" w:eastAsia="zh-CN"/>
              </w:rPr>
              <w:t>+0.04</w:t>
            </w:r>
          </w:p>
        </w:tc>
      </w:tr>
      <w:tr w14:paraId="713BF9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39" w:type="pct"/>
            <w:vMerge w:val="continue"/>
            <w:tcBorders>
              <w:left w:val="single" w:color="000000" w:sz="8" w:space="0"/>
              <w:right w:val="single" w:color="000000" w:sz="4" w:space="0"/>
            </w:tcBorders>
            <w:vAlign w:val="center"/>
          </w:tcPr>
          <w:p w14:paraId="1ABE34F0">
            <w:pPr>
              <w:pStyle w:val="51"/>
              <w:bidi w:val="0"/>
            </w:pPr>
          </w:p>
        </w:tc>
        <w:tc>
          <w:tcPr>
            <w:tcW w:w="576" w:type="pct"/>
            <w:tcBorders>
              <w:top w:val="single" w:color="000000" w:sz="4" w:space="0"/>
              <w:left w:val="single" w:color="000000" w:sz="4" w:space="0"/>
              <w:bottom w:val="single" w:color="000000" w:sz="4" w:space="0"/>
              <w:right w:val="single" w:color="000000" w:sz="4" w:space="0"/>
            </w:tcBorders>
            <w:vAlign w:val="center"/>
          </w:tcPr>
          <w:p w14:paraId="25F0859A">
            <w:pPr>
              <w:pStyle w:val="51"/>
              <w:bidi w:val="0"/>
              <w:ind w:left="24" w:leftChars="10" w:right="24" w:rightChars="10" w:firstLine="0" w:firstLineChars="0"/>
              <w:jc w:val="center"/>
              <w:rPr>
                <w:rFonts w:hint="eastAsia" w:ascii="Times New Roman" w:hAnsi="Times New Roman" w:eastAsia="宋体" w:cs="Times New Roman"/>
                <w:spacing w:val="-2"/>
                <w:kern w:val="2"/>
                <w:sz w:val="21"/>
                <w:szCs w:val="18"/>
                <w:lang w:val="en-US" w:eastAsia="zh-CN" w:bidi="ar-SA"/>
              </w:rPr>
            </w:pPr>
            <w:r>
              <w:rPr>
                <w:rFonts w:hint="eastAsia"/>
                <w:lang w:val="en-US" w:eastAsia="zh-CN"/>
              </w:rPr>
              <w:t>废机油桶</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AC179">
            <w:pPr>
              <w:pStyle w:val="51"/>
              <w:bidi w:val="0"/>
              <w:ind w:left="24" w:leftChars="10" w:right="24" w:rightChars="1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vAlign w:val="center"/>
          </w:tcPr>
          <w:p w14:paraId="4E79E081">
            <w:pPr>
              <w:pStyle w:val="51"/>
              <w:bidi w:val="0"/>
              <w:rPr>
                <w:rFonts w:hint="eastAsia"/>
                <w:lang w:val="en-US" w:eastAsia="zh-CN"/>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vAlign w:val="center"/>
          </w:tcPr>
          <w:p w14:paraId="1CB76CED">
            <w:pPr>
              <w:pStyle w:val="51"/>
              <w:bidi w:val="0"/>
              <w:rPr>
                <w:rFonts w:hint="eastAsia"/>
                <w:lang w:val="en-US" w:eastAsia="zh-CN"/>
              </w:rPr>
            </w:pPr>
            <w:r>
              <w:rPr>
                <w:rFonts w:hint="eastAsia"/>
                <w:lang w:val="en-US" w:eastAsia="zh-CN"/>
              </w:rPr>
              <w:t>/</w:t>
            </w:r>
          </w:p>
        </w:tc>
        <w:tc>
          <w:tcPr>
            <w:tcW w:w="554" w:type="pct"/>
            <w:tcBorders>
              <w:top w:val="single" w:color="000000" w:sz="4" w:space="0"/>
              <w:left w:val="single" w:color="000000" w:sz="4" w:space="0"/>
              <w:bottom w:val="single" w:color="000000" w:sz="4" w:space="0"/>
              <w:right w:val="single" w:color="000000" w:sz="4" w:space="0"/>
            </w:tcBorders>
            <w:vAlign w:val="center"/>
          </w:tcPr>
          <w:p w14:paraId="12BB786E">
            <w:pPr>
              <w:pStyle w:val="51"/>
              <w:bidi w:val="0"/>
              <w:ind w:left="24" w:leftChars="10" w:right="24" w:rightChars="10" w:firstLine="0" w:firstLineChars="0"/>
              <w:jc w:val="center"/>
              <w:rPr>
                <w:rFonts w:hint="default" w:ascii="Times New Roman" w:hAnsi="Times New Roman" w:eastAsia="宋体" w:cs="Times New Roman"/>
                <w:spacing w:val="-2"/>
                <w:kern w:val="2"/>
                <w:sz w:val="21"/>
                <w:szCs w:val="18"/>
                <w:lang w:val="en-US" w:eastAsia="zh-CN" w:bidi="ar-SA"/>
              </w:rPr>
            </w:pPr>
            <w:r>
              <w:rPr>
                <w:rFonts w:hint="eastAsia"/>
                <w:lang w:val="en-US" w:eastAsia="zh-CN"/>
              </w:rPr>
              <w:t>0.05</w:t>
            </w:r>
          </w:p>
        </w:tc>
        <w:tc>
          <w:tcPr>
            <w:tcW w:w="626" w:type="pct"/>
            <w:tcBorders>
              <w:top w:val="single" w:color="000000" w:sz="4" w:space="0"/>
              <w:left w:val="single" w:color="000000" w:sz="4" w:space="0"/>
              <w:bottom w:val="single" w:color="000000" w:sz="4" w:space="0"/>
              <w:right w:val="single" w:color="000000" w:sz="4" w:space="0"/>
            </w:tcBorders>
            <w:vAlign w:val="center"/>
          </w:tcPr>
          <w:p w14:paraId="691A04D9">
            <w:pPr>
              <w:pStyle w:val="51"/>
              <w:bidi w:val="0"/>
              <w:rPr>
                <w:rFonts w:hint="eastAsia"/>
                <w:lang w:val="en-US" w:eastAsia="zh-CN"/>
              </w:rPr>
            </w:pPr>
            <w:r>
              <w:rPr>
                <w:rFonts w:hint="eastAsia"/>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C0BE0">
            <w:pPr>
              <w:pStyle w:val="51"/>
              <w:bidi w:val="0"/>
              <w:ind w:left="24" w:leftChars="10" w:right="24" w:rightChars="10" w:firstLine="0" w:firstLineChars="0"/>
              <w:jc w:val="center"/>
              <w:rPr>
                <w:rFonts w:hint="eastAsia" w:ascii="Times New Roman" w:hAnsi="Times New Roman" w:eastAsia="宋体" w:cs="Times New Roman"/>
                <w:spacing w:val="-2"/>
                <w:kern w:val="2"/>
                <w:sz w:val="21"/>
                <w:szCs w:val="18"/>
                <w:lang w:val="en-US" w:eastAsia="zh-CN" w:bidi="ar-SA"/>
              </w:rPr>
            </w:pPr>
            <w:r>
              <w:rPr>
                <w:rFonts w:hint="eastAsia"/>
                <w:lang w:val="en-US" w:eastAsia="zh-CN"/>
              </w:rPr>
              <w:t>0.05</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6716A16E">
            <w:pPr>
              <w:pStyle w:val="51"/>
              <w:bidi w:val="0"/>
              <w:ind w:left="24" w:leftChars="10" w:right="24" w:rightChars="10" w:firstLine="0" w:firstLineChars="0"/>
              <w:jc w:val="center"/>
              <w:rPr>
                <w:rFonts w:hint="eastAsia" w:ascii="Times New Roman" w:hAnsi="Times New Roman" w:eastAsia="宋体" w:cs="Times New Roman"/>
                <w:spacing w:val="-2"/>
                <w:kern w:val="2"/>
                <w:sz w:val="21"/>
                <w:szCs w:val="18"/>
                <w:lang w:val="en-US" w:eastAsia="zh-CN" w:bidi="ar-SA"/>
              </w:rPr>
            </w:pPr>
            <w:r>
              <w:rPr>
                <w:rFonts w:hint="eastAsia"/>
                <w:lang w:val="en-US" w:eastAsia="zh-CN"/>
              </w:rPr>
              <w:t>+0.05</w:t>
            </w:r>
          </w:p>
        </w:tc>
      </w:tr>
    </w:tbl>
    <w:p w14:paraId="6C0E090D">
      <w:pPr>
        <w:spacing w:before="70"/>
        <w:ind w:firstLine="420"/>
        <w:rPr>
          <w:color w:val="auto"/>
          <w:sz w:val="21"/>
          <w:szCs w:val="22"/>
          <w:highlight w:val="none"/>
        </w:rPr>
      </w:pPr>
      <w:r>
        <w:rPr>
          <w:rFonts w:hint="eastAsia"/>
          <w:color w:val="auto"/>
          <w:sz w:val="21"/>
          <w:szCs w:val="22"/>
          <w:highlight w:val="none"/>
        </w:rPr>
        <w:t>注：⑥=①+③+④-⑤；⑦=⑥-①</w:t>
      </w:r>
    </w:p>
    <w:p w14:paraId="2EDE3046">
      <w:pPr>
        <w:rPr>
          <w:b/>
          <w:bCs/>
          <w:color w:val="auto"/>
          <w:sz w:val="10"/>
          <w:szCs w:val="10"/>
          <w:highlight w:val="none"/>
        </w:rPr>
      </w:pPr>
    </w:p>
    <w:sectPr>
      <w:pgSz w:w="16838" w:h="11906" w:orient="landscape"/>
      <w:pgMar w:top="1417" w:right="1417" w:bottom="1417" w:left="1417" w:header="737" w:footer="850" w:gutter="0"/>
      <w:pgBorders>
        <w:top w:val="none" w:sz="0" w:space="0"/>
        <w:left w:val="none" w:sz="0" w:space="0"/>
        <w:bottom w:val="none" w:sz="0" w:space="0"/>
        <w:right w:val="none" w:sz="0" w:space="0"/>
      </w:pgBorders>
      <w:cols w:space="0" w:num="1"/>
      <w:rtlGutter w:val="0"/>
      <w:docGrid w:type="lines" w:linePitch="33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B5040">
    <w:pPr>
      <w:pStyle w:val="19"/>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C93F9AF">
                          <w:pPr>
                            <w:pStyle w:val="19"/>
                            <w:ind w:firstLine="360"/>
                            <w:jc w:val="center"/>
                          </w:pPr>
                          <w:r>
                            <w:fldChar w:fldCharType="begin"/>
                          </w:r>
                          <w:r>
                            <w:instrText xml:space="preserve">PAGE   \* MERGEFORMAT</w:instrText>
                          </w:r>
                          <w:r>
                            <w:fldChar w:fldCharType="separate"/>
                          </w:r>
                          <w:r>
                            <w:rPr>
                              <w:lang w:val="zh-CN"/>
                            </w:rPr>
                            <w:t>46</w:t>
                          </w:r>
                          <w:r>
                            <w:rPr>
                              <w:lang w:val="zh-CN"/>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P9eVcTOAQAAqQMAAA4AAAAAAAAAAQAgAAAAHgEAAGRycy9l&#10;Mm9Eb2MueG1sUEsFBgAAAAAGAAYAWQEAAF4FAAAAAA==&#10;">
              <v:fill on="f" focussize="0,0"/>
              <v:stroke on="f"/>
              <v:imagedata o:title=""/>
              <o:lock v:ext="edit" aspectratio="f"/>
              <v:textbox inset="0mm,0mm,0mm,0mm" style="mso-fit-shape-to-text:t;">
                <w:txbxContent>
                  <w:p w14:paraId="6C93F9AF">
                    <w:pPr>
                      <w:pStyle w:val="19"/>
                      <w:ind w:firstLine="360"/>
                      <w:jc w:val="center"/>
                    </w:pPr>
                    <w:r>
                      <w:fldChar w:fldCharType="begin"/>
                    </w:r>
                    <w:r>
                      <w:instrText xml:space="preserve">PAGE   \* MERGEFORMAT</w:instrText>
                    </w:r>
                    <w:r>
                      <w:fldChar w:fldCharType="separate"/>
                    </w:r>
                    <w:r>
                      <w:rPr>
                        <w:lang w:val="zh-CN"/>
                      </w:rPr>
                      <w:t>46</w:t>
                    </w:r>
                    <w:r>
                      <w:rPr>
                        <w:lang w:val="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E8F9E">
    <w:pPr>
      <w:pStyle w:val="1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82177">
    <w:pPr>
      <w:pStyle w:val="1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78B63">
    <w:pPr>
      <w:pBdr>
        <w:bottom w:val="none" w:color="auto" w:sz="0" w:space="1"/>
      </w:pBdr>
      <w:tabs>
        <w:tab w:val="center" w:pos="4213"/>
      </w:tabs>
      <w:ind w:firstLine="400"/>
      <w:jc w:val="center"/>
      <w:rPr>
        <w:sz w:val="20"/>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CC888">
    <w:pPr>
      <w:pStyle w:val="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99A88">
    <w:pPr>
      <w:pStyle w:val="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1AEEEC"/>
    <w:multiLevelType w:val="singleLevel"/>
    <w:tmpl w:val="911AEEEC"/>
    <w:lvl w:ilvl="0" w:tentative="0">
      <w:start w:val="2"/>
      <w:numFmt w:val="decimal"/>
      <w:suff w:val="nothing"/>
      <w:lvlText w:val="%1）"/>
      <w:lvlJc w:val="left"/>
    </w:lvl>
  </w:abstractNum>
  <w:abstractNum w:abstractNumId="1">
    <w:nsid w:val="9220DAF6"/>
    <w:multiLevelType w:val="singleLevel"/>
    <w:tmpl w:val="9220DAF6"/>
    <w:lvl w:ilvl="0" w:tentative="0">
      <w:start w:val="2"/>
      <w:numFmt w:val="decimal"/>
      <w:suff w:val="nothing"/>
      <w:lvlText w:val="（%1）"/>
      <w:lvlJc w:val="left"/>
      <w:rPr>
        <w:rFonts w:hint="default"/>
        <w:b/>
        <w:bCs/>
      </w:rPr>
    </w:lvl>
  </w:abstractNum>
  <w:abstractNum w:abstractNumId="2">
    <w:nsid w:val="927A8684"/>
    <w:multiLevelType w:val="singleLevel"/>
    <w:tmpl w:val="927A8684"/>
    <w:lvl w:ilvl="0" w:tentative="0">
      <w:start w:val="3"/>
      <w:numFmt w:val="decimal"/>
      <w:suff w:val="nothing"/>
      <w:lvlText w:val="（%1）"/>
      <w:lvlJc w:val="left"/>
    </w:lvl>
  </w:abstractNum>
  <w:abstractNum w:abstractNumId="3">
    <w:nsid w:val="A447FC6F"/>
    <w:multiLevelType w:val="singleLevel"/>
    <w:tmpl w:val="A447FC6F"/>
    <w:lvl w:ilvl="0" w:tentative="0">
      <w:start w:val="3"/>
      <w:numFmt w:val="decimal"/>
      <w:suff w:val="nothing"/>
      <w:lvlText w:val="%1、"/>
      <w:lvlJc w:val="left"/>
    </w:lvl>
  </w:abstractNum>
  <w:abstractNum w:abstractNumId="4">
    <w:nsid w:val="BA7B9C83"/>
    <w:multiLevelType w:val="singleLevel"/>
    <w:tmpl w:val="BA7B9C83"/>
    <w:lvl w:ilvl="0" w:tentative="0">
      <w:start w:val="1"/>
      <w:numFmt w:val="decimal"/>
      <w:suff w:val="nothing"/>
      <w:lvlText w:val="（%1）"/>
      <w:lvlJc w:val="left"/>
    </w:lvl>
  </w:abstractNum>
  <w:abstractNum w:abstractNumId="5">
    <w:nsid w:val="FE276F2A"/>
    <w:multiLevelType w:val="singleLevel"/>
    <w:tmpl w:val="FE276F2A"/>
    <w:lvl w:ilvl="0" w:tentative="0">
      <w:start w:val="1"/>
      <w:numFmt w:val="decimal"/>
      <w:suff w:val="nothing"/>
      <w:lvlText w:val="%1、"/>
      <w:lvlJc w:val="left"/>
    </w:lvl>
  </w:abstractNum>
  <w:abstractNum w:abstractNumId="6">
    <w:nsid w:val="0A8387CB"/>
    <w:multiLevelType w:val="singleLevel"/>
    <w:tmpl w:val="0A8387CB"/>
    <w:lvl w:ilvl="0" w:tentative="0">
      <w:start w:val="6"/>
      <w:numFmt w:val="chineseCounting"/>
      <w:suff w:val="nothing"/>
      <w:lvlText w:val="%1、"/>
      <w:lvlJc w:val="left"/>
      <w:rPr>
        <w:rFonts w:hint="eastAsia"/>
      </w:rPr>
    </w:lvl>
  </w:abstractNum>
  <w:abstractNum w:abstractNumId="7">
    <w:nsid w:val="21D80E84"/>
    <w:multiLevelType w:val="singleLevel"/>
    <w:tmpl w:val="21D80E84"/>
    <w:lvl w:ilvl="0" w:tentative="0">
      <w:start w:val="2"/>
      <w:numFmt w:val="decimal"/>
      <w:suff w:val="nothing"/>
      <w:lvlText w:val="%1）"/>
      <w:lvlJc w:val="left"/>
    </w:lvl>
  </w:abstractNum>
  <w:abstractNum w:abstractNumId="8">
    <w:nsid w:val="26068E2F"/>
    <w:multiLevelType w:val="singleLevel"/>
    <w:tmpl w:val="26068E2F"/>
    <w:lvl w:ilvl="0" w:tentative="0">
      <w:start w:val="2"/>
      <w:numFmt w:val="decimal"/>
      <w:suff w:val="nothing"/>
      <w:lvlText w:val="（%1）"/>
      <w:lvlJc w:val="left"/>
      <w:rPr>
        <w:rFonts w:hint="default"/>
        <w:b/>
        <w:bCs/>
      </w:rPr>
    </w:lvl>
  </w:abstractNum>
  <w:abstractNum w:abstractNumId="9">
    <w:nsid w:val="3392ADA8"/>
    <w:multiLevelType w:val="singleLevel"/>
    <w:tmpl w:val="3392ADA8"/>
    <w:lvl w:ilvl="0" w:tentative="0">
      <w:start w:val="2"/>
      <w:numFmt w:val="decimal"/>
      <w:suff w:val="nothing"/>
      <w:lvlText w:val="%1）"/>
      <w:lvlJc w:val="left"/>
    </w:lvl>
  </w:abstractNum>
  <w:abstractNum w:abstractNumId="10">
    <w:nsid w:val="3C39B5C8"/>
    <w:multiLevelType w:val="singleLevel"/>
    <w:tmpl w:val="3C39B5C8"/>
    <w:lvl w:ilvl="0" w:tentative="0">
      <w:start w:val="1"/>
      <w:numFmt w:val="decimal"/>
      <w:suff w:val="nothing"/>
      <w:lvlText w:val="%1、"/>
      <w:lvlJc w:val="left"/>
    </w:lvl>
  </w:abstractNum>
  <w:abstractNum w:abstractNumId="11">
    <w:nsid w:val="498F36F5"/>
    <w:multiLevelType w:val="singleLevel"/>
    <w:tmpl w:val="498F36F5"/>
    <w:lvl w:ilvl="0" w:tentative="0">
      <w:start w:val="1"/>
      <w:numFmt w:val="decimal"/>
      <w:suff w:val="nothing"/>
      <w:lvlText w:val="%1、"/>
      <w:lvlJc w:val="left"/>
      <w:pPr>
        <w:ind w:left="-2"/>
      </w:pPr>
    </w:lvl>
  </w:abstractNum>
  <w:abstractNum w:abstractNumId="12">
    <w:nsid w:val="7C5123C2"/>
    <w:multiLevelType w:val="singleLevel"/>
    <w:tmpl w:val="7C5123C2"/>
    <w:lvl w:ilvl="0" w:tentative="0">
      <w:start w:val="1"/>
      <w:numFmt w:val="chineseCounting"/>
      <w:suff w:val="nothing"/>
      <w:lvlText w:val="%1、"/>
      <w:lvlJc w:val="left"/>
      <w:rPr>
        <w:rFonts w:hint="eastAsia"/>
      </w:rPr>
    </w:lvl>
  </w:abstractNum>
  <w:num w:numId="1">
    <w:abstractNumId w:val="2"/>
  </w:num>
  <w:num w:numId="2">
    <w:abstractNumId w:val="3"/>
  </w:num>
  <w:num w:numId="3">
    <w:abstractNumId w:val="0"/>
  </w:num>
  <w:num w:numId="4">
    <w:abstractNumId w:val="11"/>
  </w:num>
  <w:num w:numId="5">
    <w:abstractNumId w:val="1"/>
  </w:num>
  <w:num w:numId="6">
    <w:abstractNumId w:val="12"/>
  </w:num>
  <w:num w:numId="7">
    <w:abstractNumId w:val="10"/>
  </w:num>
  <w:num w:numId="8">
    <w:abstractNumId w:val="9"/>
  </w:num>
  <w:num w:numId="9">
    <w:abstractNumId w:val="7"/>
  </w:num>
  <w:num w:numId="10">
    <w:abstractNumId w:val="5"/>
  </w:num>
  <w:num w:numId="11">
    <w:abstractNumId w:val="8"/>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68"/>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s>
  <w:rsids>
    <w:rsidRoot w:val="00172A27"/>
    <w:rsid w:val="000023D7"/>
    <w:rsid w:val="000025FE"/>
    <w:rsid w:val="0000264C"/>
    <w:rsid w:val="0000797B"/>
    <w:rsid w:val="00010072"/>
    <w:rsid w:val="00011738"/>
    <w:rsid w:val="00012F18"/>
    <w:rsid w:val="000139C5"/>
    <w:rsid w:val="0001402D"/>
    <w:rsid w:val="00020650"/>
    <w:rsid w:val="000214C2"/>
    <w:rsid w:val="000216A7"/>
    <w:rsid w:val="00022E63"/>
    <w:rsid w:val="00023CF2"/>
    <w:rsid w:val="00023E8B"/>
    <w:rsid w:val="00025721"/>
    <w:rsid w:val="00026992"/>
    <w:rsid w:val="00032C77"/>
    <w:rsid w:val="000340A4"/>
    <w:rsid w:val="00037C26"/>
    <w:rsid w:val="00041DCB"/>
    <w:rsid w:val="000425C9"/>
    <w:rsid w:val="00043370"/>
    <w:rsid w:val="000438EC"/>
    <w:rsid w:val="00050AF9"/>
    <w:rsid w:val="0005319B"/>
    <w:rsid w:val="000534DD"/>
    <w:rsid w:val="000544C1"/>
    <w:rsid w:val="00055887"/>
    <w:rsid w:val="0006187A"/>
    <w:rsid w:val="00062F7F"/>
    <w:rsid w:val="00070306"/>
    <w:rsid w:val="00082030"/>
    <w:rsid w:val="00090E0C"/>
    <w:rsid w:val="00091E91"/>
    <w:rsid w:val="00094F14"/>
    <w:rsid w:val="00095282"/>
    <w:rsid w:val="00095C48"/>
    <w:rsid w:val="000A1366"/>
    <w:rsid w:val="000A1FFB"/>
    <w:rsid w:val="000A46C1"/>
    <w:rsid w:val="000A4E0D"/>
    <w:rsid w:val="000A5489"/>
    <w:rsid w:val="000A5AAD"/>
    <w:rsid w:val="000A6266"/>
    <w:rsid w:val="000A786F"/>
    <w:rsid w:val="000B1292"/>
    <w:rsid w:val="000B38AA"/>
    <w:rsid w:val="000B4220"/>
    <w:rsid w:val="000B4FE7"/>
    <w:rsid w:val="000B6A74"/>
    <w:rsid w:val="000B6DC1"/>
    <w:rsid w:val="000C38F2"/>
    <w:rsid w:val="000C6D0B"/>
    <w:rsid w:val="000C7570"/>
    <w:rsid w:val="000D15B2"/>
    <w:rsid w:val="000D1716"/>
    <w:rsid w:val="000D17C3"/>
    <w:rsid w:val="000D2332"/>
    <w:rsid w:val="000D3343"/>
    <w:rsid w:val="000D3AED"/>
    <w:rsid w:val="000D4B06"/>
    <w:rsid w:val="000D56C8"/>
    <w:rsid w:val="000E0184"/>
    <w:rsid w:val="000E138F"/>
    <w:rsid w:val="000E4086"/>
    <w:rsid w:val="000E5D15"/>
    <w:rsid w:val="000E744A"/>
    <w:rsid w:val="000E7FEE"/>
    <w:rsid w:val="000F0856"/>
    <w:rsid w:val="000F0F71"/>
    <w:rsid w:val="000F203B"/>
    <w:rsid w:val="000F2900"/>
    <w:rsid w:val="000F34B3"/>
    <w:rsid w:val="000F37B5"/>
    <w:rsid w:val="000F4B11"/>
    <w:rsid w:val="000F6637"/>
    <w:rsid w:val="00102739"/>
    <w:rsid w:val="00102773"/>
    <w:rsid w:val="0010367E"/>
    <w:rsid w:val="001101C8"/>
    <w:rsid w:val="0011200C"/>
    <w:rsid w:val="001147ED"/>
    <w:rsid w:val="00114D05"/>
    <w:rsid w:val="00121E10"/>
    <w:rsid w:val="00122690"/>
    <w:rsid w:val="001240A1"/>
    <w:rsid w:val="001243BA"/>
    <w:rsid w:val="00125E27"/>
    <w:rsid w:val="00126D8D"/>
    <w:rsid w:val="001306B7"/>
    <w:rsid w:val="00136318"/>
    <w:rsid w:val="001373CC"/>
    <w:rsid w:val="001373D6"/>
    <w:rsid w:val="00140092"/>
    <w:rsid w:val="001400C4"/>
    <w:rsid w:val="00140A1E"/>
    <w:rsid w:val="00142DC8"/>
    <w:rsid w:val="00143579"/>
    <w:rsid w:val="00145F1B"/>
    <w:rsid w:val="0014686D"/>
    <w:rsid w:val="00146BB3"/>
    <w:rsid w:val="0014787A"/>
    <w:rsid w:val="00150987"/>
    <w:rsid w:val="001509A1"/>
    <w:rsid w:val="00153107"/>
    <w:rsid w:val="00153961"/>
    <w:rsid w:val="001566EB"/>
    <w:rsid w:val="001578FD"/>
    <w:rsid w:val="001615A4"/>
    <w:rsid w:val="00161AB3"/>
    <w:rsid w:val="0016604E"/>
    <w:rsid w:val="001677A2"/>
    <w:rsid w:val="00167D0F"/>
    <w:rsid w:val="00172A27"/>
    <w:rsid w:val="001731BE"/>
    <w:rsid w:val="001734B5"/>
    <w:rsid w:val="00175708"/>
    <w:rsid w:val="00176DAC"/>
    <w:rsid w:val="00177352"/>
    <w:rsid w:val="001805AA"/>
    <w:rsid w:val="0018216B"/>
    <w:rsid w:val="00184E06"/>
    <w:rsid w:val="0018604C"/>
    <w:rsid w:val="001867E9"/>
    <w:rsid w:val="001870EE"/>
    <w:rsid w:val="0018734A"/>
    <w:rsid w:val="001956DC"/>
    <w:rsid w:val="00195D7F"/>
    <w:rsid w:val="001970D8"/>
    <w:rsid w:val="00197335"/>
    <w:rsid w:val="001A009E"/>
    <w:rsid w:val="001A147B"/>
    <w:rsid w:val="001A1C49"/>
    <w:rsid w:val="001A2583"/>
    <w:rsid w:val="001A29B3"/>
    <w:rsid w:val="001A3A75"/>
    <w:rsid w:val="001A60B6"/>
    <w:rsid w:val="001B429D"/>
    <w:rsid w:val="001B637B"/>
    <w:rsid w:val="001C08DC"/>
    <w:rsid w:val="001C2418"/>
    <w:rsid w:val="001C2B96"/>
    <w:rsid w:val="001D0547"/>
    <w:rsid w:val="001D1917"/>
    <w:rsid w:val="001D2A81"/>
    <w:rsid w:val="001D2EA1"/>
    <w:rsid w:val="001D35B6"/>
    <w:rsid w:val="001D5B68"/>
    <w:rsid w:val="001D632F"/>
    <w:rsid w:val="001E0602"/>
    <w:rsid w:val="001E32DD"/>
    <w:rsid w:val="001E785F"/>
    <w:rsid w:val="001F24A8"/>
    <w:rsid w:val="001F30AD"/>
    <w:rsid w:val="001F419F"/>
    <w:rsid w:val="00200269"/>
    <w:rsid w:val="002037AF"/>
    <w:rsid w:val="0020389A"/>
    <w:rsid w:val="00204EBE"/>
    <w:rsid w:val="002053FD"/>
    <w:rsid w:val="00212F5B"/>
    <w:rsid w:val="00213065"/>
    <w:rsid w:val="00214571"/>
    <w:rsid w:val="00214971"/>
    <w:rsid w:val="0021582A"/>
    <w:rsid w:val="00216DB3"/>
    <w:rsid w:val="00222094"/>
    <w:rsid w:val="00222481"/>
    <w:rsid w:val="0022706F"/>
    <w:rsid w:val="00232CF6"/>
    <w:rsid w:val="00235973"/>
    <w:rsid w:val="00240D71"/>
    <w:rsid w:val="0024282B"/>
    <w:rsid w:val="002459D0"/>
    <w:rsid w:val="00246A81"/>
    <w:rsid w:val="0025132D"/>
    <w:rsid w:val="0025369B"/>
    <w:rsid w:val="00255866"/>
    <w:rsid w:val="00255BA9"/>
    <w:rsid w:val="00256FD8"/>
    <w:rsid w:val="00261269"/>
    <w:rsid w:val="00261A45"/>
    <w:rsid w:val="00262D7E"/>
    <w:rsid w:val="00262E33"/>
    <w:rsid w:val="00263974"/>
    <w:rsid w:val="00266D74"/>
    <w:rsid w:val="00271C1A"/>
    <w:rsid w:val="00274D79"/>
    <w:rsid w:val="00276BB1"/>
    <w:rsid w:val="0027701D"/>
    <w:rsid w:val="0027746B"/>
    <w:rsid w:val="002802A6"/>
    <w:rsid w:val="002857F1"/>
    <w:rsid w:val="0028666E"/>
    <w:rsid w:val="00290335"/>
    <w:rsid w:val="00290B8B"/>
    <w:rsid w:val="0029598B"/>
    <w:rsid w:val="00297AE4"/>
    <w:rsid w:val="002A0E29"/>
    <w:rsid w:val="002A0E4E"/>
    <w:rsid w:val="002A4294"/>
    <w:rsid w:val="002B2BBF"/>
    <w:rsid w:val="002B2DA3"/>
    <w:rsid w:val="002C06FC"/>
    <w:rsid w:val="002C1C21"/>
    <w:rsid w:val="002C2056"/>
    <w:rsid w:val="002C253E"/>
    <w:rsid w:val="002C394B"/>
    <w:rsid w:val="002C5C89"/>
    <w:rsid w:val="002C63C7"/>
    <w:rsid w:val="002D3C92"/>
    <w:rsid w:val="002E1988"/>
    <w:rsid w:val="002E30FB"/>
    <w:rsid w:val="002E382B"/>
    <w:rsid w:val="002E4C6C"/>
    <w:rsid w:val="002E5718"/>
    <w:rsid w:val="002E612F"/>
    <w:rsid w:val="002E6546"/>
    <w:rsid w:val="002F35BC"/>
    <w:rsid w:val="002F5D70"/>
    <w:rsid w:val="00300026"/>
    <w:rsid w:val="0030215C"/>
    <w:rsid w:val="003024E5"/>
    <w:rsid w:val="00304166"/>
    <w:rsid w:val="00305A91"/>
    <w:rsid w:val="003103C5"/>
    <w:rsid w:val="00312C12"/>
    <w:rsid w:val="00316B6D"/>
    <w:rsid w:val="00317314"/>
    <w:rsid w:val="003230A3"/>
    <w:rsid w:val="0032577A"/>
    <w:rsid w:val="0032624B"/>
    <w:rsid w:val="0033052F"/>
    <w:rsid w:val="00332D6B"/>
    <w:rsid w:val="00333A65"/>
    <w:rsid w:val="00336D9F"/>
    <w:rsid w:val="003379CF"/>
    <w:rsid w:val="00337C89"/>
    <w:rsid w:val="003524A5"/>
    <w:rsid w:val="00352745"/>
    <w:rsid w:val="0035303D"/>
    <w:rsid w:val="00354BF0"/>
    <w:rsid w:val="003551AC"/>
    <w:rsid w:val="00356AB9"/>
    <w:rsid w:val="003614FA"/>
    <w:rsid w:val="00365648"/>
    <w:rsid w:val="0037285A"/>
    <w:rsid w:val="00374021"/>
    <w:rsid w:val="00374378"/>
    <w:rsid w:val="00376074"/>
    <w:rsid w:val="00376DCC"/>
    <w:rsid w:val="003823F1"/>
    <w:rsid w:val="00382B2B"/>
    <w:rsid w:val="00383857"/>
    <w:rsid w:val="00385AA1"/>
    <w:rsid w:val="00387252"/>
    <w:rsid w:val="0039092C"/>
    <w:rsid w:val="003915F8"/>
    <w:rsid w:val="003915FA"/>
    <w:rsid w:val="003A24E7"/>
    <w:rsid w:val="003A2A1F"/>
    <w:rsid w:val="003A449D"/>
    <w:rsid w:val="003A5A97"/>
    <w:rsid w:val="003A5F5B"/>
    <w:rsid w:val="003A76CB"/>
    <w:rsid w:val="003B611B"/>
    <w:rsid w:val="003B7C0B"/>
    <w:rsid w:val="003C2FAD"/>
    <w:rsid w:val="003C3CA7"/>
    <w:rsid w:val="003C6144"/>
    <w:rsid w:val="003C78B1"/>
    <w:rsid w:val="003D0D57"/>
    <w:rsid w:val="003D17E2"/>
    <w:rsid w:val="003D1DA7"/>
    <w:rsid w:val="003D2601"/>
    <w:rsid w:val="003D2E93"/>
    <w:rsid w:val="003D46BF"/>
    <w:rsid w:val="003D59D1"/>
    <w:rsid w:val="003D5B1E"/>
    <w:rsid w:val="003D5DAC"/>
    <w:rsid w:val="003D63DD"/>
    <w:rsid w:val="003D6E87"/>
    <w:rsid w:val="003E03F9"/>
    <w:rsid w:val="003E0C48"/>
    <w:rsid w:val="003E2C4D"/>
    <w:rsid w:val="003E62B0"/>
    <w:rsid w:val="003E6E62"/>
    <w:rsid w:val="003F0F59"/>
    <w:rsid w:val="003F2B97"/>
    <w:rsid w:val="003F509B"/>
    <w:rsid w:val="003F61CE"/>
    <w:rsid w:val="00403469"/>
    <w:rsid w:val="00403795"/>
    <w:rsid w:val="0040676C"/>
    <w:rsid w:val="00411B80"/>
    <w:rsid w:val="00416668"/>
    <w:rsid w:val="004179C6"/>
    <w:rsid w:val="004225D5"/>
    <w:rsid w:val="00422F87"/>
    <w:rsid w:val="00425229"/>
    <w:rsid w:val="004263BC"/>
    <w:rsid w:val="00430F9C"/>
    <w:rsid w:val="0043106A"/>
    <w:rsid w:val="00431E13"/>
    <w:rsid w:val="004329D2"/>
    <w:rsid w:val="0043751F"/>
    <w:rsid w:val="00440FF9"/>
    <w:rsid w:val="0044192E"/>
    <w:rsid w:val="00441A0E"/>
    <w:rsid w:val="004457EF"/>
    <w:rsid w:val="004478FD"/>
    <w:rsid w:val="004514DA"/>
    <w:rsid w:val="004514E2"/>
    <w:rsid w:val="00453E71"/>
    <w:rsid w:val="00454EB5"/>
    <w:rsid w:val="00455C2B"/>
    <w:rsid w:val="004565A5"/>
    <w:rsid w:val="00456973"/>
    <w:rsid w:val="00461F46"/>
    <w:rsid w:val="00462B45"/>
    <w:rsid w:val="00464AC0"/>
    <w:rsid w:val="00464B6D"/>
    <w:rsid w:val="00465118"/>
    <w:rsid w:val="00465D0C"/>
    <w:rsid w:val="00466666"/>
    <w:rsid w:val="00471C9A"/>
    <w:rsid w:val="00472F8C"/>
    <w:rsid w:val="0047327C"/>
    <w:rsid w:val="004762FB"/>
    <w:rsid w:val="0047724D"/>
    <w:rsid w:val="0048371C"/>
    <w:rsid w:val="00483ECB"/>
    <w:rsid w:val="00485A00"/>
    <w:rsid w:val="0048768E"/>
    <w:rsid w:val="00487F62"/>
    <w:rsid w:val="00491F6A"/>
    <w:rsid w:val="00492A0F"/>
    <w:rsid w:val="004948F5"/>
    <w:rsid w:val="0049654F"/>
    <w:rsid w:val="004968C4"/>
    <w:rsid w:val="004A0C59"/>
    <w:rsid w:val="004A335C"/>
    <w:rsid w:val="004A33ED"/>
    <w:rsid w:val="004A3AD5"/>
    <w:rsid w:val="004A6C72"/>
    <w:rsid w:val="004A7340"/>
    <w:rsid w:val="004B180E"/>
    <w:rsid w:val="004B72CD"/>
    <w:rsid w:val="004B7BA2"/>
    <w:rsid w:val="004C01F8"/>
    <w:rsid w:val="004C0D84"/>
    <w:rsid w:val="004C0FBA"/>
    <w:rsid w:val="004C2693"/>
    <w:rsid w:val="004C26E3"/>
    <w:rsid w:val="004C27B5"/>
    <w:rsid w:val="004C2BA0"/>
    <w:rsid w:val="004C3928"/>
    <w:rsid w:val="004C467D"/>
    <w:rsid w:val="004C48B1"/>
    <w:rsid w:val="004C546B"/>
    <w:rsid w:val="004C6CCD"/>
    <w:rsid w:val="004D032B"/>
    <w:rsid w:val="004D04BE"/>
    <w:rsid w:val="004D1FCB"/>
    <w:rsid w:val="004D48AA"/>
    <w:rsid w:val="004D54CC"/>
    <w:rsid w:val="004D6C7B"/>
    <w:rsid w:val="004D73FB"/>
    <w:rsid w:val="004D75FB"/>
    <w:rsid w:val="004D7E40"/>
    <w:rsid w:val="004E4193"/>
    <w:rsid w:val="004E4C31"/>
    <w:rsid w:val="004E4CBD"/>
    <w:rsid w:val="004E56BA"/>
    <w:rsid w:val="004E7A46"/>
    <w:rsid w:val="004F2E3D"/>
    <w:rsid w:val="004F4C97"/>
    <w:rsid w:val="004F74E1"/>
    <w:rsid w:val="004F7775"/>
    <w:rsid w:val="005010E0"/>
    <w:rsid w:val="00502724"/>
    <w:rsid w:val="00502852"/>
    <w:rsid w:val="0050311D"/>
    <w:rsid w:val="005062A9"/>
    <w:rsid w:val="00507001"/>
    <w:rsid w:val="005106AE"/>
    <w:rsid w:val="0051088B"/>
    <w:rsid w:val="005112C4"/>
    <w:rsid w:val="005142D5"/>
    <w:rsid w:val="00516185"/>
    <w:rsid w:val="005177AA"/>
    <w:rsid w:val="005204FC"/>
    <w:rsid w:val="00521718"/>
    <w:rsid w:val="005270D6"/>
    <w:rsid w:val="0053045F"/>
    <w:rsid w:val="00531A98"/>
    <w:rsid w:val="00536D4A"/>
    <w:rsid w:val="00537182"/>
    <w:rsid w:val="0053721A"/>
    <w:rsid w:val="00537C29"/>
    <w:rsid w:val="00540D93"/>
    <w:rsid w:val="00543A9D"/>
    <w:rsid w:val="00545C91"/>
    <w:rsid w:val="00551A93"/>
    <w:rsid w:val="00553BC0"/>
    <w:rsid w:val="00554CC4"/>
    <w:rsid w:val="00555254"/>
    <w:rsid w:val="0055574E"/>
    <w:rsid w:val="0055588A"/>
    <w:rsid w:val="00556127"/>
    <w:rsid w:val="00556450"/>
    <w:rsid w:val="00557A40"/>
    <w:rsid w:val="00560449"/>
    <w:rsid w:val="00561C95"/>
    <w:rsid w:val="00561F91"/>
    <w:rsid w:val="0056240B"/>
    <w:rsid w:val="0056342D"/>
    <w:rsid w:val="00564F88"/>
    <w:rsid w:val="00565E70"/>
    <w:rsid w:val="005716DC"/>
    <w:rsid w:val="00571C95"/>
    <w:rsid w:val="00572587"/>
    <w:rsid w:val="00581E0E"/>
    <w:rsid w:val="0058754B"/>
    <w:rsid w:val="005920F3"/>
    <w:rsid w:val="005922A6"/>
    <w:rsid w:val="005925A9"/>
    <w:rsid w:val="00593662"/>
    <w:rsid w:val="00594381"/>
    <w:rsid w:val="00596CDF"/>
    <w:rsid w:val="00597F2B"/>
    <w:rsid w:val="005A0E68"/>
    <w:rsid w:val="005A6A57"/>
    <w:rsid w:val="005A7016"/>
    <w:rsid w:val="005B01B3"/>
    <w:rsid w:val="005B1778"/>
    <w:rsid w:val="005B257E"/>
    <w:rsid w:val="005B2D3A"/>
    <w:rsid w:val="005B3634"/>
    <w:rsid w:val="005B43FB"/>
    <w:rsid w:val="005B65CC"/>
    <w:rsid w:val="005B66F2"/>
    <w:rsid w:val="005C053F"/>
    <w:rsid w:val="005C16EC"/>
    <w:rsid w:val="005C22FB"/>
    <w:rsid w:val="005C2FE2"/>
    <w:rsid w:val="005C3515"/>
    <w:rsid w:val="005C6289"/>
    <w:rsid w:val="005C77F4"/>
    <w:rsid w:val="005D061B"/>
    <w:rsid w:val="005D3736"/>
    <w:rsid w:val="005D46F2"/>
    <w:rsid w:val="005D6579"/>
    <w:rsid w:val="005D6F43"/>
    <w:rsid w:val="005E1D61"/>
    <w:rsid w:val="005E217C"/>
    <w:rsid w:val="005E43D1"/>
    <w:rsid w:val="005E49B2"/>
    <w:rsid w:val="005E4B49"/>
    <w:rsid w:val="005E515C"/>
    <w:rsid w:val="005F0300"/>
    <w:rsid w:val="005F3DA9"/>
    <w:rsid w:val="005F4B29"/>
    <w:rsid w:val="00600739"/>
    <w:rsid w:val="00601B83"/>
    <w:rsid w:val="006027D7"/>
    <w:rsid w:val="00603C3B"/>
    <w:rsid w:val="00610DBC"/>
    <w:rsid w:val="00611C49"/>
    <w:rsid w:val="00611F2C"/>
    <w:rsid w:val="00614B27"/>
    <w:rsid w:val="00615B02"/>
    <w:rsid w:val="00617915"/>
    <w:rsid w:val="00620290"/>
    <w:rsid w:val="0062139F"/>
    <w:rsid w:val="00623513"/>
    <w:rsid w:val="00623ECD"/>
    <w:rsid w:val="006327A9"/>
    <w:rsid w:val="006335E2"/>
    <w:rsid w:val="006369E2"/>
    <w:rsid w:val="00636A79"/>
    <w:rsid w:val="0063762D"/>
    <w:rsid w:val="00640471"/>
    <w:rsid w:val="006422AB"/>
    <w:rsid w:val="006442C5"/>
    <w:rsid w:val="006500CF"/>
    <w:rsid w:val="006525D9"/>
    <w:rsid w:val="006529E8"/>
    <w:rsid w:val="00653FD7"/>
    <w:rsid w:val="00654B6C"/>
    <w:rsid w:val="00654D0D"/>
    <w:rsid w:val="006559F0"/>
    <w:rsid w:val="006569ED"/>
    <w:rsid w:val="006571C4"/>
    <w:rsid w:val="00657760"/>
    <w:rsid w:val="0066018B"/>
    <w:rsid w:val="006610D1"/>
    <w:rsid w:val="00670254"/>
    <w:rsid w:val="0067203F"/>
    <w:rsid w:val="0067307D"/>
    <w:rsid w:val="00673167"/>
    <w:rsid w:val="00674F9D"/>
    <w:rsid w:val="006757B2"/>
    <w:rsid w:val="006766EE"/>
    <w:rsid w:val="00676E10"/>
    <w:rsid w:val="0067780B"/>
    <w:rsid w:val="00677CE3"/>
    <w:rsid w:val="00681255"/>
    <w:rsid w:val="006817DA"/>
    <w:rsid w:val="0068345D"/>
    <w:rsid w:val="00683B53"/>
    <w:rsid w:val="006850C8"/>
    <w:rsid w:val="0068568A"/>
    <w:rsid w:val="0068651F"/>
    <w:rsid w:val="00686F9B"/>
    <w:rsid w:val="00687C19"/>
    <w:rsid w:val="00690A9C"/>
    <w:rsid w:val="00690D07"/>
    <w:rsid w:val="006948F6"/>
    <w:rsid w:val="006A0319"/>
    <w:rsid w:val="006A0417"/>
    <w:rsid w:val="006A3043"/>
    <w:rsid w:val="006A3868"/>
    <w:rsid w:val="006A40E0"/>
    <w:rsid w:val="006A65F9"/>
    <w:rsid w:val="006A6822"/>
    <w:rsid w:val="006A7F56"/>
    <w:rsid w:val="006B35F7"/>
    <w:rsid w:val="006B3EA1"/>
    <w:rsid w:val="006B6A25"/>
    <w:rsid w:val="006C05B5"/>
    <w:rsid w:val="006C292B"/>
    <w:rsid w:val="006C32A6"/>
    <w:rsid w:val="006C71BA"/>
    <w:rsid w:val="006D033B"/>
    <w:rsid w:val="006D044A"/>
    <w:rsid w:val="006D0694"/>
    <w:rsid w:val="006D55DA"/>
    <w:rsid w:val="006D6510"/>
    <w:rsid w:val="006E1181"/>
    <w:rsid w:val="006E13EC"/>
    <w:rsid w:val="006E1F2D"/>
    <w:rsid w:val="006E2B40"/>
    <w:rsid w:val="006E36CE"/>
    <w:rsid w:val="006E469D"/>
    <w:rsid w:val="006E5E3C"/>
    <w:rsid w:val="006E790E"/>
    <w:rsid w:val="006F18D5"/>
    <w:rsid w:val="006F2BBB"/>
    <w:rsid w:val="006F471C"/>
    <w:rsid w:val="006F47F8"/>
    <w:rsid w:val="006F610A"/>
    <w:rsid w:val="006F7B0E"/>
    <w:rsid w:val="00701E21"/>
    <w:rsid w:val="0070201A"/>
    <w:rsid w:val="00702CA3"/>
    <w:rsid w:val="00702FB3"/>
    <w:rsid w:val="00704655"/>
    <w:rsid w:val="00710C93"/>
    <w:rsid w:val="007123A9"/>
    <w:rsid w:val="00714DBF"/>
    <w:rsid w:val="0071543F"/>
    <w:rsid w:val="0072508C"/>
    <w:rsid w:val="007264A4"/>
    <w:rsid w:val="00726FCE"/>
    <w:rsid w:val="007275F4"/>
    <w:rsid w:val="00731224"/>
    <w:rsid w:val="0073329D"/>
    <w:rsid w:val="007346D3"/>
    <w:rsid w:val="007356CB"/>
    <w:rsid w:val="0073652A"/>
    <w:rsid w:val="007368AB"/>
    <w:rsid w:val="00737D46"/>
    <w:rsid w:val="00742B20"/>
    <w:rsid w:val="00743A36"/>
    <w:rsid w:val="00743C95"/>
    <w:rsid w:val="00744EA2"/>
    <w:rsid w:val="007460E0"/>
    <w:rsid w:val="007576B4"/>
    <w:rsid w:val="007577F1"/>
    <w:rsid w:val="0076414A"/>
    <w:rsid w:val="007645C5"/>
    <w:rsid w:val="0076653D"/>
    <w:rsid w:val="007707BB"/>
    <w:rsid w:val="00772050"/>
    <w:rsid w:val="007720AF"/>
    <w:rsid w:val="00775955"/>
    <w:rsid w:val="00776EDE"/>
    <w:rsid w:val="007807AB"/>
    <w:rsid w:val="007813C5"/>
    <w:rsid w:val="00785015"/>
    <w:rsid w:val="007870F7"/>
    <w:rsid w:val="007875C7"/>
    <w:rsid w:val="00787A00"/>
    <w:rsid w:val="00790251"/>
    <w:rsid w:val="007924A1"/>
    <w:rsid w:val="007933D8"/>
    <w:rsid w:val="007949F6"/>
    <w:rsid w:val="007979FD"/>
    <w:rsid w:val="007A12B6"/>
    <w:rsid w:val="007A1732"/>
    <w:rsid w:val="007A3FAC"/>
    <w:rsid w:val="007A3FE9"/>
    <w:rsid w:val="007A77E2"/>
    <w:rsid w:val="007B1FC4"/>
    <w:rsid w:val="007B2766"/>
    <w:rsid w:val="007B5927"/>
    <w:rsid w:val="007B703E"/>
    <w:rsid w:val="007B78B7"/>
    <w:rsid w:val="007B7F6E"/>
    <w:rsid w:val="007C6E46"/>
    <w:rsid w:val="007C7F7D"/>
    <w:rsid w:val="007D10E9"/>
    <w:rsid w:val="007D2F61"/>
    <w:rsid w:val="007D3620"/>
    <w:rsid w:val="007E121F"/>
    <w:rsid w:val="007E5F36"/>
    <w:rsid w:val="007E7ABF"/>
    <w:rsid w:val="007F0605"/>
    <w:rsid w:val="007F0A1D"/>
    <w:rsid w:val="007F35C5"/>
    <w:rsid w:val="007F48ED"/>
    <w:rsid w:val="007F49DE"/>
    <w:rsid w:val="007F5850"/>
    <w:rsid w:val="007F6A70"/>
    <w:rsid w:val="007F7596"/>
    <w:rsid w:val="007F769D"/>
    <w:rsid w:val="007F7993"/>
    <w:rsid w:val="007F7BD9"/>
    <w:rsid w:val="00800106"/>
    <w:rsid w:val="00800B34"/>
    <w:rsid w:val="008015BC"/>
    <w:rsid w:val="008020C1"/>
    <w:rsid w:val="0080667C"/>
    <w:rsid w:val="0081017A"/>
    <w:rsid w:val="00813F43"/>
    <w:rsid w:val="008157DB"/>
    <w:rsid w:val="008210BC"/>
    <w:rsid w:val="0082197B"/>
    <w:rsid w:val="008231F1"/>
    <w:rsid w:val="008233AB"/>
    <w:rsid w:val="00825DA2"/>
    <w:rsid w:val="00827080"/>
    <w:rsid w:val="0082737A"/>
    <w:rsid w:val="00827A8B"/>
    <w:rsid w:val="008316B5"/>
    <w:rsid w:val="008344EC"/>
    <w:rsid w:val="008349D2"/>
    <w:rsid w:val="008368BA"/>
    <w:rsid w:val="00836A73"/>
    <w:rsid w:val="0084023D"/>
    <w:rsid w:val="0084222F"/>
    <w:rsid w:val="00843002"/>
    <w:rsid w:val="00845C6A"/>
    <w:rsid w:val="0085063B"/>
    <w:rsid w:val="00853CF5"/>
    <w:rsid w:val="00853EBB"/>
    <w:rsid w:val="008542A8"/>
    <w:rsid w:val="00854CC4"/>
    <w:rsid w:val="008574C0"/>
    <w:rsid w:val="00860011"/>
    <w:rsid w:val="00861F55"/>
    <w:rsid w:val="0086267A"/>
    <w:rsid w:val="008650FE"/>
    <w:rsid w:val="008660DC"/>
    <w:rsid w:val="0086748B"/>
    <w:rsid w:val="00870827"/>
    <w:rsid w:val="00871D11"/>
    <w:rsid w:val="00872CE7"/>
    <w:rsid w:val="00873561"/>
    <w:rsid w:val="00873FD7"/>
    <w:rsid w:val="00874337"/>
    <w:rsid w:val="00874E1B"/>
    <w:rsid w:val="00874F16"/>
    <w:rsid w:val="00874F52"/>
    <w:rsid w:val="008752C9"/>
    <w:rsid w:val="0087631B"/>
    <w:rsid w:val="0087633C"/>
    <w:rsid w:val="0088007B"/>
    <w:rsid w:val="00880792"/>
    <w:rsid w:val="00880C81"/>
    <w:rsid w:val="00884229"/>
    <w:rsid w:val="00884C41"/>
    <w:rsid w:val="00893677"/>
    <w:rsid w:val="00893D23"/>
    <w:rsid w:val="00893D86"/>
    <w:rsid w:val="00894D29"/>
    <w:rsid w:val="00897A12"/>
    <w:rsid w:val="008A0428"/>
    <w:rsid w:val="008A2039"/>
    <w:rsid w:val="008A3D44"/>
    <w:rsid w:val="008A4B53"/>
    <w:rsid w:val="008A4E96"/>
    <w:rsid w:val="008A6DB2"/>
    <w:rsid w:val="008A7EA1"/>
    <w:rsid w:val="008B336B"/>
    <w:rsid w:val="008B3A76"/>
    <w:rsid w:val="008B4C5A"/>
    <w:rsid w:val="008B536A"/>
    <w:rsid w:val="008D203B"/>
    <w:rsid w:val="008D2895"/>
    <w:rsid w:val="008D5B83"/>
    <w:rsid w:val="008D7068"/>
    <w:rsid w:val="008D712E"/>
    <w:rsid w:val="008D7F90"/>
    <w:rsid w:val="008E21A7"/>
    <w:rsid w:val="008F66E4"/>
    <w:rsid w:val="008F7590"/>
    <w:rsid w:val="0090046A"/>
    <w:rsid w:val="00901248"/>
    <w:rsid w:val="00902201"/>
    <w:rsid w:val="00902C8F"/>
    <w:rsid w:val="009048DE"/>
    <w:rsid w:val="00905152"/>
    <w:rsid w:val="00905E6A"/>
    <w:rsid w:val="00910C9B"/>
    <w:rsid w:val="00911DC2"/>
    <w:rsid w:val="00912794"/>
    <w:rsid w:val="009127A4"/>
    <w:rsid w:val="0091723F"/>
    <w:rsid w:val="009174D5"/>
    <w:rsid w:val="009208A1"/>
    <w:rsid w:val="00922814"/>
    <w:rsid w:val="00925111"/>
    <w:rsid w:val="009274EC"/>
    <w:rsid w:val="00932CC7"/>
    <w:rsid w:val="009358E6"/>
    <w:rsid w:val="009359CC"/>
    <w:rsid w:val="009366F2"/>
    <w:rsid w:val="00941558"/>
    <w:rsid w:val="00946E72"/>
    <w:rsid w:val="00947B36"/>
    <w:rsid w:val="00950D24"/>
    <w:rsid w:val="00953F73"/>
    <w:rsid w:val="00955E50"/>
    <w:rsid w:val="00956665"/>
    <w:rsid w:val="0096185C"/>
    <w:rsid w:val="009623A9"/>
    <w:rsid w:val="00963C3D"/>
    <w:rsid w:val="009663EB"/>
    <w:rsid w:val="00966AE1"/>
    <w:rsid w:val="00967234"/>
    <w:rsid w:val="00967A1D"/>
    <w:rsid w:val="009701FE"/>
    <w:rsid w:val="00970756"/>
    <w:rsid w:val="0097089E"/>
    <w:rsid w:val="00970D3E"/>
    <w:rsid w:val="00971A45"/>
    <w:rsid w:val="00972E41"/>
    <w:rsid w:val="009732E8"/>
    <w:rsid w:val="00976B2C"/>
    <w:rsid w:val="00980C1F"/>
    <w:rsid w:val="00981488"/>
    <w:rsid w:val="009826B0"/>
    <w:rsid w:val="00983799"/>
    <w:rsid w:val="009848B7"/>
    <w:rsid w:val="00985D92"/>
    <w:rsid w:val="00986877"/>
    <w:rsid w:val="00987010"/>
    <w:rsid w:val="00990879"/>
    <w:rsid w:val="009909C2"/>
    <w:rsid w:val="00990F6B"/>
    <w:rsid w:val="00991249"/>
    <w:rsid w:val="00991A95"/>
    <w:rsid w:val="00994B63"/>
    <w:rsid w:val="00995CFE"/>
    <w:rsid w:val="009B26AA"/>
    <w:rsid w:val="009B57E8"/>
    <w:rsid w:val="009B5A66"/>
    <w:rsid w:val="009C2EFC"/>
    <w:rsid w:val="009C3658"/>
    <w:rsid w:val="009C5D8D"/>
    <w:rsid w:val="009D1135"/>
    <w:rsid w:val="009D146F"/>
    <w:rsid w:val="009D4835"/>
    <w:rsid w:val="009D4BE5"/>
    <w:rsid w:val="009D5154"/>
    <w:rsid w:val="009D7B8D"/>
    <w:rsid w:val="009E0CBA"/>
    <w:rsid w:val="009E1556"/>
    <w:rsid w:val="009E2F82"/>
    <w:rsid w:val="009E4486"/>
    <w:rsid w:val="009E4793"/>
    <w:rsid w:val="009E5673"/>
    <w:rsid w:val="009E63D2"/>
    <w:rsid w:val="009E7D05"/>
    <w:rsid w:val="009F0189"/>
    <w:rsid w:val="009F7053"/>
    <w:rsid w:val="00A006BD"/>
    <w:rsid w:val="00A009E4"/>
    <w:rsid w:val="00A05548"/>
    <w:rsid w:val="00A05AAB"/>
    <w:rsid w:val="00A07CAD"/>
    <w:rsid w:val="00A1184F"/>
    <w:rsid w:val="00A1399D"/>
    <w:rsid w:val="00A14247"/>
    <w:rsid w:val="00A148FE"/>
    <w:rsid w:val="00A15A6F"/>
    <w:rsid w:val="00A161C2"/>
    <w:rsid w:val="00A16EC3"/>
    <w:rsid w:val="00A17CD3"/>
    <w:rsid w:val="00A207D5"/>
    <w:rsid w:val="00A228BA"/>
    <w:rsid w:val="00A23130"/>
    <w:rsid w:val="00A2317D"/>
    <w:rsid w:val="00A24BE5"/>
    <w:rsid w:val="00A250EB"/>
    <w:rsid w:val="00A25505"/>
    <w:rsid w:val="00A25679"/>
    <w:rsid w:val="00A263C8"/>
    <w:rsid w:val="00A30423"/>
    <w:rsid w:val="00A32567"/>
    <w:rsid w:val="00A32F2F"/>
    <w:rsid w:val="00A3555A"/>
    <w:rsid w:val="00A358E6"/>
    <w:rsid w:val="00A35EF8"/>
    <w:rsid w:val="00A37A53"/>
    <w:rsid w:val="00A463A4"/>
    <w:rsid w:val="00A46C5C"/>
    <w:rsid w:val="00A476CE"/>
    <w:rsid w:val="00A51352"/>
    <w:rsid w:val="00A53CC8"/>
    <w:rsid w:val="00A56C54"/>
    <w:rsid w:val="00A608A6"/>
    <w:rsid w:val="00A620F9"/>
    <w:rsid w:val="00A6564E"/>
    <w:rsid w:val="00A67AEC"/>
    <w:rsid w:val="00A81810"/>
    <w:rsid w:val="00A84ED4"/>
    <w:rsid w:val="00A87B5E"/>
    <w:rsid w:val="00A934C6"/>
    <w:rsid w:val="00A937AF"/>
    <w:rsid w:val="00A96874"/>
    <w:rsid w:val="00AA45CC"/>
    <w:rsid w:val="00AA52EE"/>
    <w:rsid w:val="00AA53DA"/>
    <w:rsid w:val="00AA58B4"/>
    <w:rsid w:val="00AA6070"/>
    <w:rsid w:val="00AA6B32"/>
    <w:rsid w:val="00AA7BFE"/>
    <w:rsid w:val="00AB2B37"/>
    <w:rsid w:val="00AB3970"/>
    <w:rsid w:val="00AB529A"/>
    <w:rsid w:val="00AB6BE8"/>
    <w:rsid w:val="00AC0783"/>
    <w:rsid w:val="00AC2F28"/>
    <w:rsid w:val="00AC54C5"/>
    <w:rsid w:val="00AC5F16"/>
    <w:rsid w:val="00AC5FFE"/>
    <w:rsid w:val="00AD0FF2"/>
    <w:rsid w:val="00AD325D"/>
    <w:rsid w:val="00AD4198"/>
    <w:rsid w:val="00AD4579"/>
    <w:rsid w:val="00AE0357"/>
    <w:rsid w:val="00AE0B6A"/>
    <w:rsid w:val="00AE69C6"/>
    <w:rsid w:val="00AF3C94"/>
    <w:rsid w:val="00AF4341"/>
    <w:rsid w:val="00AF4E7A"/>
    <w:rsid w:val="00AF5CE5"/>
    <w:rsid w:val="00AF7E67"/>
    <w:rsid w:val="00B02380"/>
    <w:rsid w:val="00B03C42"/>
    <w:rsid w:val="00B0502A"/>
    <w:rsid w:val="00B057F5"/>
    <w:rsid w:val="00B06547"/>
    <w:rsid w:val="00B07399"/>
    <w:rsid w:val="00B07743"/>
    <w:rsid w:val="00B07B63"/>
    <w:rsid w:val="00B103F7"/>
    <w:rsid w:val="00B10DE1"/>
    <w:rsid w:val="00B12681"/>
    <w:rsid w:val="00B126E7"/>
    <w:rsid w:val="00B12F5E"/>
    <w:rsid w:val="00B133A2"/>
    <w:rsid w:val="00B21073"/>
    <w:rsid w:val="00B21B28"/>
    <w:rsid w:val="00B21B8A"/>
    <w:rsid w:val="00B21C08"/>
    <w:rsid w:val="00B22244"/>
    <w:rsid w:val="00B24B65"/>
    <w:rsid w:val="00B25094"/>
    <w:rsid w:val="00B254C0"/>
    <w:rsid w:val="00B30CE4"/>
    <w:rsid w:val="00B3278C"/>
    <w:rsid w:val="00B346E0"/>
    <w:rsid w:val="00B351F6"/>
    <w:rsid w:val="00B41681"/>
    <w:rsid w:val="00B41C2F"/>
    <w:rsid w:val="00B47575"/>
    <w:rsid w:val="00B475CB"/>
    <w:rsid w:val="00B50A98"/>
    <w:rsid w:val="00B513DA"/>
    <w:rsid w:val="00B5476A"/>
    <w:rsid w:val="00B548AC"/>
    <w:rsid w:val="00B54F82"/>
    <w:rsid w:val="00B6046E"/>
    <w:rsid w:val="00B61CE5"/>
    <w:rsid w:val="00B61EDF"/>
    <w:rsid w:val="00B6364D"/>
    <w:rsid w:val="00B66487"/>
    <w:rsid w:val="00B66820"/>
    <w:rsid w:val="00B6790A"/>
    <w:rsid w:val="00B7183D"/>
    <w:rsid w:val="00B73C49"/>
    <w:rsid w:val="00B73DE0"/>
    <w:rsid w:val="00B74704"/>
    <w:rsid w:val="00B74CBE"/>
    <w:rsid w:val="00B76A7C"/>
    <w:rsid w:val="00B805D0"/>
    <w:rsid w:val="00B813CA"/>
    <w:rsid w:val="00B82890"/>
    <w:rsid w:val="00B8583E"/>
    <w:rsid w:val="00B900BE"/>
    <w:rsid w:val="00B92263"/>
    <w:rsid w:val="00B92EBF"/>
    <w:rsid w:val="00B94814"/>
    <w:rsid w:val="00B948D5"/>
    <w:rsid w:val="00B96440"/>
    <w:rsid w:val="00B964B0"/>
    <w:rsid w:val="00B97FE3"/>
    <w:rsid w:val="00BA1E8C"/>
    <w:rsid w:val="00BA26C3"/>
    <w:rsid w:val="00BA2B19"/>
    <w:rsid w:val="00BA3A77"/>
    <w:rsid w:val="00BA5118"/>
    <w:rsid w:val="00BA5BB0"/>
    <w:rsid w:val="00BA7C75"/>
    <w:rsid w:val="00BB0352"/>
    <w:rsid w:val="00BB10BA"/>
    <w:rsid w:val="00BB46DA"/>
    <w:rsid w:val="00BB4960"/>
    <w:rsid w:val="00BB5A0E"/>
    <w:rsid w:val="00BB62E4"/>
    <w:rsid w:val="00BB6E8C"/>
    <w:rsid w:val="00BC14DC"/>
    <w:rsid w:val="00BC7630"/>
    <w:rsid w:val="00BD1A30"/>
    <w:rsid w:val="00BD2189"/>
    <w:rsid w:val="00BD3376"/>
    <w:rsid w:val="00BD7859"/>
    <w:rsid w:val="00BE030D"/>
    <w:rsid w:val="00BE11B3"/>
    <w:rsid w:val="00BE221B"/>
    <w:rsid w:val="00BE3C2D"/>
    <w:rsid w:val="00BE50A9"/>
    <w:rsid w:val="00BE58E8"/>
    <w:rsid w:val="00BE63F3"/>
    <w:rsid w:val="00BF008F"/>
    <w:rsid w:val="00BF0D77"/>
    <w:rsid w:val="00BF26C8"/>
    <w:rsid w:val="00BF2D1B"/>
    <w:rsid w:val="00BF401D"/>
    <w:rsid w:val="00BF460E"/>
    <w:rsid w:val="00BF6B35"/>
    <w:rsid w:val="00C0061D"/>
    <w:rsid w:val="00C01B1B"/>
    <w:rsid w:val="00C02BE5"/>
    <w:rsid w:val="00C0444C"/>
    <w:rsid w:val="00C1148A"/>
    <w:rsid w:val="00C11DA5"/>
    <w:rsid w:val="00C127F5"/>
    <w:rsid w:val="00C12F98"/>
    <w:rsid w:val="00C16768"/>
    <w:rsid w:val="00C25EE2"/>
    <w:rsid w:val="00C27940"/>
    <w:rsid w:val="00C36441"/>
    <w:rsid w:val="00C37DC7"/>
    <w:rsid w:val="00C41AC3"/>
    <w:rsid w:val="00C434A3"/>
    <w:rsid w:val="00C4525E"/>
    <w:rsid w:val="00C50150"/>
    <w:rsid w:val="00C515A7"/>
    <w:rsid w:val="00C53B4D"/>
    <w:rsid w:val="00C57CB7"/>
    <w:rsid w:val="00C57D6F"/>
    <w:rsid w:val="00C60130"/>
    <w:rsid w:val="00C62E46"/>
    <w:rsid w:val="00C6402E"/>
    <w:rsid w:val="00C64552"/>
    <w:rsid w:val="00C6513D"/>
    <w:rsid w:val="00C653D0"/>
    <w:rsid w:val="00C65AA2"/>
    <w:rsid w:val="00C74FC1"/>
    <w:rsid w:val="00C76B6C"/>
    <w:rsid w:val="00C77132"/>
    <w:rsid w:val="00C83C2E"/>
    <w:rsid w:val="00C84114"/>
    <w:rsid w:val="00C8785B"/>
    <w:rsid w:val="00C904E3"/>
    <w:rsid w:val="00C926CA"/>
    <w:rsid w:val="00C95B10"/>
    <w:rsid w:val="00CA0150"/>
    <w:rsid w:val="00CA14C2"/>
    <w:rsid w:val="00CA2FEA"/>
    <w:rsid w:val="00CA4967"/>
    <w:rsid w:val="00CA6556"/>
    <w:rsid w:val="00CB1B0D"/>
    <w:rsid w:val="00CB2464"/>
    <w:rsid w:val="00CB2829"/>
    <w:rsid w:val="00CB332E"/>
    <w:rsid w:val="00CB38AD"/>
    <w:rsid w:val="00CB3D1A"/>
    <w:rsid w:val="00CB6F33"/>
    <w:rsid w:val="00CC0520"/>
    <w:rsid w:val="00CC1180"/>
    <w:rsid w:val="00CC31B6"/>
    <w:rsid w:val="00CC3F5A"/>
    <w:rsid w:val="00CC5EB4"/>
    <w:rsid w:val="00CD0FDC"/>
    <w:rsid w:val="00CD2412"/>
    <w:rsid w:val="00CD2430"/>
    <w:rsid w:val="00CD25AE"/>
    <w:rsid w:val="00CD2956"/>
    <w:rsid w:val="00CD2959"/>
    <w:rsid w:val="00CD4DDA"/>
    <w:rsid w:val="00CD4EA5"/>
    <w:rsid w:val="00CD6EBA"/>
    <w:rsid w:val="00CD713F"/>
    <w:rsid w:val="00CD71FA"/>
    <w:rsid w:val="00CD7A99"/>
    <w:rsid w:val="00CE106B"/>
    <w:rsid w:val="00CE7F4F"/>
    <w:rsid w:val="00CF0DEC"/>
    <w:rsid w:val="00CF2BBE"/>
    <w:rsid w:val="00CF52A8"/>
    <w:rsid w:val="00CF7FBC"/>
    <w:rsid w:val="00D00987"/>
    <w:rsid w:val="00D009FC"/>
    <w:rsid w:val="00D0139F"/>
    <w:rsid w:val="00D02328"/>
    <w:rsid w:val="00D037D3"/>
    <w:rsid w:val="00D11039"/>
    <w:rsid w:val="00D12FAD"/>
    <w:rsid w:val="00D1707D"/>
    <w:rsid w:val="00D22153"/>
    <w:rsid w:val="00D222D9"/>
    <w:rsid w:val="00D24100"/>
    <w:rsid w:val="00D25D9F"/>
    <w:rsid w:val="00D27409"/>
    <w:rsid w:val="00D27B42"/>
    <w:rsid w:val="00D27C91"/>
    <w:rsid w:val="00D324B7"/>
    <w:rsid w:val="00D337C7"/>
    <w:rsid w:val="00D34E32"/>
    <w:rsid w:val="00D37F89"/>
    <w:rsid w:val="00D443A0"/>
    <w:rsid w:val="00D44C5A"/>
    <w:rsid w:val="00D46CE0"/>
    <w:rsid w:val="00D51C67"/>
    <w:rsid w:val="00D51FB0"/>
    <w:rsid w:val="00D520F9"/>
    <w:rsid w:val="00D542AB"/>
    <w:rsid w:val="00D546E5"/>
    <w:rsid w:val="00D566F6"/>
    <w:rsid w:val="00D5677D"/>
    <w:rsid w:val="00D60047"/>
    <w:rsid w:val="00D62EFC"/>
    <w:rsid w:val="00D634A1"/>
    <w:rsid w:val="00D63736"/>
    <w:rsid w:val="00D64520"/>
    <w:rsid w:val="00D646F4"/>
    <w:rsid w:val="00D70756"/>
    <w:rsid w:val="00D71782"/>
    <w:rsid w:val="00D71F1C"/>
    <w:rsid w:val="00D71FC5"/>
    <w:rsid w:val="00D7267F"/>
    <w:rsid w:val="00D72B51"/>
    <w:rsid w:val="00D7423A"/>
    <w:rsid w:val="00D767E4"/>
    <w:rsid w:val="00D77C5C"/>
    <w:rsid w:val="00D83688"/>
    <w:rsid w:val="00D83B77"/>
    <w:rsid w:val="00D8523D"/>
    <w:rsid w:val="00D85698"/>
    <w:rsid w:val="00D86909"/>
    <w:rsid w:val="00D92CB4"/>
    <w:rsid w:val="00D92DDA"/>
    <w:rsid w:val="00D9382D"/>
    <w:rsid w:val="00D93EBC"/>
    <w:rsid w:val="00D94161"/>
    <w:rsid w:val="00D94314"/>
    <w:rsid w:val="00D955E1"/>
    <w:rsid w:val="00D962D5"/>
    <w:rsid w:val="00DA49C2"/>
    <w:rsid w:val="00DA4BC7"/>
    <w:rsid w:val="00DA588C"/>
    <w:rsid w:val="00DB135F"/>
    <w:rsid w:val="00DB32F8"/>
    <w:rsid w:val="00DB4C2B"/>
    <w:rsid w:val="00DB58E4"/>
    <w:rsid w:val="00DB5EE1"/>
    <w:rsid w:val="00DC378A"/>
    <w:rsid w:val="00DD0EE8"/>
    <w:rsid w:val="00DD0F4C"/>
    <w:rsid w:val="00DD1521"/>
    <w:rsid w:val="00DD3317"/>
    <w:rsid w:val="00DD5935"/>
    <w:rsid w:val="00DD5BE6"/>
    <w:rsid w:val="00DD6113"/>
    <w:rsid w:val="00DD7393"/>
    <w:rsid w:val="00DE0FF4"/>
    <w:rsid w:val="00DE3BA7"/>
    <w:rsid w:val="00DF2BE3"/>
    <w:rsid w:val="00DF43B6"/>
    <w:rsid w:val="00DF4EEC"/>
    <w:rsid w:val="00DF55E5"/>
    <w:rsid w:val="00DF566B"/>
    <w:rsid w:val="00DF63EE"/>
    <w:rsid w:val="00DF68DC"/>
    <w:rsid w:val="00E02118"/>
    <w:rsid w:val="00E02B46"/>
    <w:rsid w:val="00E0342F"/>
    <w:rsid w:val="00E05583"/>
    <w:rsid w:val="00E06417"/>
    <w:rsid w:val="00E07372"/>
    <w:rsid w:val="00E07EEE"/>
    <w:rsid w:val="00E1080D"/>
    <w:rsid w:val="00E12FB3"/>
    <w:rsid w:val="00E2239B"/>
    <w:rsid w:val="00E23EAD"/>
    <w:rsid w:val="00E27F03"/>
    <w:rsid w:val="00E31FD8"/>
    <w:rsid w:val="00E33F8E"/>
    <w:rsid w:val="00E3464A"/>
    <w:rsid w:val="00E355E6"/>
    <w:rsid w:val="00E415F4"/>
    <w:rsid w:val="00E4206C"/>
    <w:rsid w:val="00E421EA"/>
    <w:rsid w:val="00E432C3"/>
    <w:rsid w:val="00E50807"/>
    <w:rsid w:val="00E508B4"/>
    <w:rsid w:val="00E54D88"/>
    <w:rsid w:val="00E55A55"/>
    <w:rsid w:val="00E55D00"/>
    <w:rsid w:val="00E5767D"/>
    <w:rsid w:val="00E60A46"/>
    <w:rsid w:val="00E6192D"/>
    <w:rsid w:val="00E61FCA"/>
    <w:rsid w:val="00E62A90"/>
    <w:rsid w:val="00E65B31"/>
    <w:rsid w:val="00E666D5"/>
    <w:rsid w:val="00E66F0A"/>
    <w:rsid w:val="00E67856"/>
    <w:rsid w:val="00E70BEA"/>
    <w:rsid w:val="00E731A4"/>
    <w:rsid w:val="00E74B2E"/>
    <w:rsid w:val="00E76EB9"/>
    <w:rsid w:val="00E771D3"/>
    <w:rsid w:val="00E77E94"/>
    <w:rsid w:val="00E803E8"/>
    <w:rsid w:val="00E80E96"/>
    <w:rsid w:val="00E8703A"/>
    <w:rsid w:val="00E931B7"/>
    <w:rsid w:val="00E95C04"/>
    <w:rsid w:val="00E9663D"/>
    <w:rsid w:val="00E96A5C"/>
    <w:rsid w:val="00E973E7"/>
    <w:rsid w:val="00E97F44"/>
    <w:rsid w:val="00EA101B"/>
    <w:rsid w:val="00EA28E4"/>
    <w:rsid w:val="00EA2C4E"/>
    <w:rsid w:val="00EA6AB4"/>
    <w:rsid w:val="00EA736A"/>
    <w:rsid w:val="00EB15C3"/>
    <w:rsid w:val="00EB2C11"/>
    <w:rsid w:val="00EB443A"/>
    <w:rsid w:val="00EB4F9D"/>
    <w:rsid w:val="00EB5FDF"/>
    <w:rsid w:val="00EB6307"/>
    <w:rsid w:val="00EB6D47"/>
    <w:rsid w:val="00EB7486"/>
    <w:rsid w:val="00EC5E7E"/>
    <w:rsid w:val="00EC76BD"/>
    <w:rsid w:val="00ED0610"/>
    <w:rsid w:val="00ED289F"/>
    <w:rsid w:val="00ED2AD0"/>
    <w:rsid w:val="00ED4B22"/>
    <w:rsid w:val="00ED62B5"/>
    <w:rsid w:val="00EE6363"/>
    <w:rsid w:val="00EE65F6"/>
    <w:rsid w:val="00EE7CB8"/>
    <w:rsid w:val="00EF0EDB"/>
    <w:rsid w:val="00EF1D6B"/>
    <w:rsid w:val="00EF445F"/>
    <w:rsid w:val="00EF4942"/>
    <w:rsid w:val="00EF5710"/>
    <w:rsid w:val="00EF7E3D"/>
    <w:rsid w:val="00F00697"/>
    <w:rsid w:val="00F027AA"/>
    <w:rsid w:val="00F1191B"/>
    <w:rsid w:val="00F12888"/>
    <w:rsid w:val="00F144F1"/>
    <w:rsid w:val="00F146DE"/>
    <w:rsid w:val="00F15C10"/>
    <w:rsid w:val="00F16FA1"/>
    <w:rsid w:val="00F17B9C"/>
    <w:rsid w:val="00F2078E"/>
    <w:rsid w:val="00F23199"/>
    <w:rsid w:val="00F24984"/>
    <w:rsid w:val="00F258B5"/>
    <w:rsid w:val="00F26C2F"/>
    <w:rsid w:val="00F26FA7"/>
    <w:rsid w:val="00F27F05"/>
    <w:rsid w:val="00F30C19"/>
    <w:rsid w:val="00F31587"/>
    <w:rsid w:val="00F33040"/>
    <w:rsid w:val="00F33911"/>
    <w:rsid w:val="00F34F94"/>
    <w:rsid w:val="00F35904"/>
    <w:rsid w:val="00F35EE1"/>
    <w:rsid w:val="00F428F2"/>
    <w:rsid w:val="00F465A8"/>
    <w:rsid w:val="00F47A5D"/>
    <w:rsid w:val="00F47ED7"/>
    <w:rsid w:val="00F5087D"/>
    <w:rsid w:val="00F52252"/>
    <w:rsid w:val="00F53C6E"/>
    <w:rsid w:val="00F55B76"/>
    <w:rsid w:val="00F56D28"/>
    <w:rsid w:val="00F60213"/>
    <w:rsid w:val="00F60CAB"/>
    <w:rsid w:val="00F62479"/>
    <w:rsid w:val="00F62E45"/>
    <w:rsid w:val="00F65958"/>
    <w:rsid w:val="00F70F39"/>
    <w:rsid w:val="00F715D4"/>
    <w:rsid w:val="00F72654"/>
    <w:rsid w:val="00F74E6F"/>
    <w:rsid w:val="00F75731"/>
    <w:rsid w:val="00F776EA"/>
    <w:rsid w:val="00F8024E"/>
    <w:rsid w:val="00F809F4"/>
    <w:rsid w:val="00F820F9"/>
    <w:rsid w:val="00F84FFC"/>
    <w:rsid w:val="00F86CB3"/>
    <w:rsid w:val="00F93D85"/>
    <w:rsid w:val="00F9466B"/>
    <w:rsid w:val="00F9691F"/>
    <w:rsid w:val="00F975A1"/>
    <w:rsid w:val="00FA0E1A"/>
    <w:rsid w:val="00FA2D75"/>
    <w:rsid w:val="00FA4B20"/>
    <w:rsid w:val="00FA4C20"/>
    <w:rsid w:val="00FA53B0"/>
    <w:rsid w:val="00FA5869"/>
    <w:rsid w:val="00FA615F"/>
    <w:rsid w:val="00FA6AEA"/>
    <w:rsid w:val="00FA7017"/>
    <w:rsid w:val="00FB2E58"/>
    <w:rsid w:val="00FB379E"/>
    <w:rsid w:val="00FB49E0"/>
    <w:rsid w:val="00FB52F9"/>
    <w:rsid w:val="00FB5624"/>
    <w:rsid w:val="00FB76C5"/>
    <w:rsid w:val="00FC0D94"/>
    <w:rsid w:val="00FC19AD"/>
    <w:rsid w:val="00FC4313"/>
    <w:rsid w:val="00FC6B33"/>
    <w:rsid w:val="00FD0B59"/>
    <w:rsid w:val="00FD24BF"/>
    <w:rsid w:val="00FD3C04"/>
    <w:rsid w:val="00FD4D9A"/>
    <w:rsid w:val="00FD502C"/>
    <w:rsid w:val="00FD54E6"/>
    <w:rsid w:val="00FD5794"/>
    <w:rsid w:val="00FD6665"/>
    <w:rsid w:val="00FE01B4"/>
    <w:rsid w:val="00FE2E0B"/>
    <w:rsid w:val="00FE358E"/>
    <w:rsid w:val="00FE5708"/>
    <w:rsid w:val="00FE6020"/>
    <w:rsid w:val="00FE6EDD"/>
    <w:rsid w:val="00FF04DB"/>
    <w:rsid w:val="00FF06AD"/>
    <w:rsid w:val="00FF2ADF"/>
    <w:rsid w:val="00FF38D0"/>
    <w:rsid w:val="00FF7D9E"/>
    <w:rsid w:val="011C78EE"/>
    <w:rsid w:val="0152795B"/>
    <w:rsid w:val="01706D33"/>
    <w:rsid w:val="0174627D"/>
    <w:rsid w:val="017F17BC"/>
    <w:rsid w:val="018548D9"/>
    <w:rsid w:val="01AE0820"/>
    <w:rsid w:val="01D32315"/>
    <w:rsid w:val="01DF4C4F"/>
    <w:rsid w:val="02144A36"/>
    <w:rsid w:val="022A1418"/>
    <w:rsid w:val="02564D4B"/>
    <w:rsid w:val="02805E0F"/>
    <w:rsid w:val="02865FF3"/>
    <w:rsid w:val="02947F8A"/>
    <w:rsid w:val="02993ED9"/>
    <w:rsid w:val="029E0E03"/>
    <w:rsid w:val="02A209F3"/>
    <w:rsid w:val="02B53517"/>
    <w:rsid w:val="02C053B4"/>
    <w:rsid w:val="02D70B03"/>
    <w:rsid w:val="02E030AC"/>
    <w:rsid w:val="02EB05EB"/>
    <w:rsid w:val="031C0786"/>
    <w:rsid w:val="0322005C"/>
    <w:rsid w:val="03571279"/>
    <w:rsid w:val="037133B1"/>
    <w:rsid w:val="037B7025"/>
    <w:rsid w:val="037D2DE7"/>
    <w:rsid w:val="03822F19"/>
    <w:rsid w:val="038A76A9"/>
    <w:rsid w:val="039D105F"/>
    <w:rsid w:val="03B57291"/>
    <w:rsid w:val="03B70B59"/>
    <w:rsid w:val="03BB4AE0"/>
    <w:rsid w:val="03C527A5"/>
    <w:rsid w:val="03CC47F7"/>
    <w:rsid w:val="03DB41BC"/>
    <w:rsid w:val="03DF3D4F"/>
    <w:rsid w:val="03EC0BD7"/>
    <w:rsid w:val="03ED4D31"/>
    <w:rsid w:val="03F84C0A"/>
    <w:rsid w:val="04006CC5"/>
    <w:rsid w:val="040E0AC7"/>
    <w:rsid w:val="041E64A4"/>
    <w:rsid w:val="041F406C"/>
    <w:rsid w:val="0429749E"/>
    <w:rsid w:val="043B6EEC"/>
    <w:rsid w:val="044A592F"/>
    <w:rsid w:val="045D7210"/>
    <w:rsid w:val="046214A9"/>
    <w:rsid w:val="04632495"/>
    <w:rsid w:val="0494241D"/>
    <w:rsid w:val="04990099"/>
    <w:rsid w:val="04B46BCC"/>
    <w:rsid w:val="04C3508B"/>
    <w:rsid w:val="04C40A71"/>
    <w:rsid w:val="04CE19EB"/>
    <w:rsid w:val="05025778"/>
    <w:rsid w:val="052C08B8"/>
    <w:rsid w:val="053132BC"/>
    <w:rsid w:val="05454082"/>
    <w:rsid w:val="05515CD0"/>
    <w:rsid w:val="055344A1"/>
    <w:rsid w:val="05696C71"/>
    <w:rsid w:val="056F0CC3"/>
    <w:rsid w:val="057345F3"/>
    <w:rsid w:val="05762577"/>
    <w:rsid w:val="05914C57"/>
    <w:rsid w:val="05960570"/>
    <w:rsid w:val="05A252B3"/>
    <w:rsid w:val="05AE125D"/>
    <w:rsid w:val="05AF7640"/>
    <w:rsid w:val="05BB0C97"/>
    <w:rsid w:val="05C700F0"/>
    <w:rsid w:val="05D6473D"/>
    <w:rsid w:val="05E8544C"/>
    <w:rsid w:val="05ED3DE4"/>
    <w:rsid w:val="05FA5679"/>
    <w:rsid w:val="060860A9"/>
    <w:rsid w:val="060D21D6"/>
    <w:rsid w:val="06100956"/>
    <w:rsid w:val="06264BF3"/>
    <w:rsid w:val="062C0CFF"/>
    <w:rsid w:val="06717718"/>
    <w:rsid w:val="068A4D9E"/>
    <w:rsid w:val="06A310F5"/>
    <w:rsid w:val="06E00214"/>
    <w:rsid w:val="06F5751E"/>
    <w:rsid w:val="06FD56F4"/>
    <w:rsid w:val="07211778"/>
    <w:rsid w:val="07341522"/>
    <w:rsid w:val="07445FF1"/>
    <w:rsid w:val="075F6A24"/>
    <w:rsid w:val="076517D2"/>
    <w:rsid w:val="077D6974"/>
    <w:rsid w:val="079721C9"/>
    <w:rsid w:val="079E04BF"/>
    <w:rsid w:val="07B52037"/>
    <w:rsid w:val="07B766D9"/>
    <w:rsid w:val="07CA04E2"/>
    <w:rsid w:val="07DC6AE9"/>
    <w:rsid w:val="07EE7372"/>
    <w:rsid w:val="07F91A49"/>
    <w:rsid w:val="08245307"/>
    <w:rsid w:val="08296D91"/>
    <w:rsid w:val="083828E1"/>
    <w:rsid w:val="0841271D"/>
    <w:rsid w:val="084A3FA9"/>
    <w:rsid w:val="085C4828"/>
    <w:rsid w:val="086D6FA5"/>
    <w:rsid w:val="087C1DD9"/>
    <w:rsid w:val="089B4DB3"/>
    <w:rsid w:val="08DB7D76"/>
    <w:rsid w:val="08E26D52"/>
    <w:rsid w:val="08E6788B"/>
    <w:rsid w:val="09117D6B"/>
    <w:rsid w:val="09153569"/>
    <w:rsid w:val="092D3A71"/>
    <w:rsid w:val="09302997"/>
    <w:rsid w:val="0941475A"/>
    <w:rsid w:val="095C0E69"/>
    <w:rsid w:val="095E547B"/>
    <w:rsid w:val="097A4477"/>
    <w:rsid w:val="097D2444"/>
    <w:rsid w:val="098100CF"/>
    <w:rsid w:val="09861AA3"/>
    <w:rsid w:val="098E4E37"/>
    <w:rsid w:val="09944284"/>
    <w:rsid w:val="099C01A2"/>
    <w:rsid w:val="099C5571"/>
    <w:rsid w:val="09A37D75"/>
    <w:rsid w:val="09A478E5"/>
    <w:rsid w:val="09B12013"/>
    <w:rsid w:val="09B1293D"/>
    <w:rsid w:val="09B80ABE"/>
    <w:rsid w:val="09BE0A74"/>
    <w:rsid w:val="09CD13A0"/>
    <w:rsid w:val="09D62E70"/>
    <w:rsid w:val="09D81779"/>
    <w:rsid w:val="09DC2D55"/>
    <w:rsid w:val="09E36400"/>
    <w:rsid w:val="09EC53E1"/>
    <w:rsid w:val="0A047628"/>
    <w:rsid w:val="0A6E1750"/>
    <w:rsid w:val="0A783EF2"/>
    <w:rsid w:val="0A790B64"/>
    <w:rsid w:val="0AA969FB"/>
    <w:rsid w:val="0ABB7441"/>
    <w:rsid w:val="0AC440F5"/>
    <w:rsid w:val="0AC73F32"/>
    <w:rsid w:val="0B0F66BA"/>
    <w:rsid w:val="0B506641"/>
    <w:rsid w:val="0B5E3D9D"/>
    <w:rsid w:val="0B627207"/>
    <w:rsid w:val="0B6B1E13"/>
    <w:rsid w:val="0B7117AF"/>
    <w:rsid w:val="0BB352F2"/>
    <w:rsid w:val="0BBD3768"/>
    <w:rsid w:val="0BC66E3F"/>
    <w:rsid w:val="0BCB4FC7"/>
    <w:rsid w:val="0BCF2D76"/>
    <w:rsid w:val="0BD0037E"/>
    <w:rsid w:val="0BD01C54"/>
    <w:rsid w:val="0BE2094D"/>
    <w:rsid w:val="0BF73505"/>
    <w:rsid w:val="0BFA30BA"/>
    <w:rsid w:val="0BFF2C6A"/>
    <w:rsid w:val="0C094AC2"/>
    <w:rsid w:val="0C1C1BCD"/>
    <w:rsid w:val="0C3C6598"/>
    <w:rsid w:val="0C3E7C58"/>
    <w:rsid w:val="0C5E5EFE"/>
    <w:rsid w:val="0C973219"/>
    <w:rsid w:val="0CB6128E"/>
    <w:rsid w:val="0CC20318"/>
    <w:rsid w:val="0CC56FFE"/>
    <w:rsid w:val="0CCE5649"/>
    <w:rsid w:val="0CE54F43"/>
    <w:rsid w:val="0D0107E5"/>
    <w:rsid w:val="0D044CFC"/>
    <w:rsid w:val="0D0F214F"/>
    <w:rsid w:val="0D2A599A"/>
    <w:rsid w:val="0D452FCB"/>
    <w:rsid w:val="0D5A4FA0"/>
    <w:rsid w:val="0D645222"/>
    <w:rsid w:val="0D7C3072"/>
    <w:rsid w:val="0D7C5772"/>
    <w:rsid w:val="0D960150"/>
    <w:rsid w:val="0DA22BDD"/>
    <w:rsid w:val="0DA95031"/>
    <w:rsid w:val="0DB21B1E"/>
    <w:rsid w:val="0DCB34F3"/>
    <w:rsid w:val="0DD1622F"/>
    <w:rsid w:val="0DFD1CF0"/>
    <w:rsid w:val="0E04395B"/>
    <w:rsid w:val="0E046FF3"/>
    <w:rsid w:val="0E11587D"/>
    <w:rsid w:val="0E1162F7"/>
    <w:rsid w:val="0E16399B"/>
    <w:rsid w:val="0E21777C"/>
    <w:rsid w:val="0E3F5B47"/>
    <w:rsid w:val="0E403D64"/>
    <w:rsid w:val="0E5400C6"/>
    <w:rsid w:val="0E5A2C8B"/>
    <w:rsid w:val="0E5C2D96"/>
    <w:rsid w:val="0E7771D7"/>
    <w:rsid w:val="0E8B3647"/>
    <w:rsid w:val="0E8C6339"/>
    <w:rsid w:val="0E990B9C"/>
    <w:rsid w:val="0EAF3FFE"/>
    <w:rsid w:val="0EC46112"/>
    <w:rsid w:val="0ECD225B"/>
    <w:rsid w:val="0F1E2D93"/>
    <w:rsid w:val="0F2E6C95"/>
    <w:rsid w:val="0F2F62C8"/>
    <w:rsid w:val="0F48778A"/>
    <w:rsid w:val="0F54159D"/>
    <w:rsid w:val="0F602FE5"/>
    <w:rsid w:val="0F7207D6"/>
    <w:rsid w:val="0F735793"/>
    <w:rsid w:val="0F77362A"/>
    <w:rsid w:val="0F865924"/>
    <w:rsid w:val="0F8E53AD"/>
    <w:rsid w:val="0F9146CA"/>
    <w:rsid w:val="0FA96AF5"/>
    <w:rsid w:val="0FBF094B"/>
    <w:rsid w:val="0FC2610C"/>
    <w:rsid w:val="0FD205BC"/>
    <w:rsid w:val="0FD3668F"/>
    <w:rsid w:val="0FE67215"/>
    <w:rsid w:val="0FED59A3"/>
    <w:rsid w:val="103C57E5"/>
    <w:rsid w:val="1048677F"/>
    <w:rsid w:val="10602553"/>
    <w:rsid w:val="106130F4"/>
    <w:rsid w:val="10842F50"/>
    <w:rsid w:val="10A5627E"/>
    <w:rsid w:val="10B21D88"/>
    <w:rsid w:val="10B847C8"/>
    <w:rsid w:val="10BC7D53"/>
    <w:rsid w:val="10CA54BC"/>
    <w:rsid w:val="10F70427"/>
    <w:rsid w:val="10FF6E3B"/>
    <w:rsid w:val="1102722C"/>
    <w:rsid w:val="11071147"/>
    <w:rsid w:val="113160C2"/>
    <w:rsid w:val="113B385E"/>
    <w:rsid w:val="11553041"/>
    <w:rsid w:val="116578E9"/>
    <w:rsid w:val="118A4ED4"/>
    <w:rsid w:val="1194228D"/>
    <w:rsid w:val="11A8245D"/>
    <w:rsid w:val="11BA2451"/>
    <w:rsid w:val="11C272DB"/>
    <w:rsid w:val="11C9066B"/>
    <w:rsid w:val="11CA2FAB"/>
    <w:rsid w:val="11D549C7"/>
    <w:rsid w:val="11D74027"/>
    <w:rsid w:val="11E05DF5"/>
    <w:rsid w:val="11F03528"/>
    <w:rsid w:val="11F16015"/>
    <w:rsid w:val="11FA084B"/>
    <w:rsid w:val="11FB2676"/>
    <w:rsid w:val="120738D3"/>
    <w:rsid w:val="12541A92"/>
    <w:rsid w:val="126F51ED"/>
    <w:rsid w:val="127A52D3"/>
    <w:rsid w:val="12865C3B"/>
    <w:rsid w:val="12891705"/>
    <w:rsid w:val="12B80E4F"/>
    <w:rsid w:val="12B84CC9"/>
    <w:rsid w:val="12BC2C23"/>
    <w:rsid w:val="12D87AD6"/>
    <w:rsid w:val="12DC5E42"/>
    <w:rsid w:val="12E31358"/>
    <w:rsid w:val="12E4429F"/>
    <w:rsid w:val="13145BB4"/>
    <w:rsid w:val="132A6D46"/>
    <w:rsid w:val="132E5726"/>
    <w:rsid w:val="13433175"/>
    <w:rsid w:val="13434055"/>
    <w:rsid w:val="134C6789"/>
    <w:rsid w:val="13642DB7"/>
    <w:rsid w:val="136D4A03"/>
    <w:rsid w:val="137428A2"/>
    <w:rsid w:val="13816E0B"/>
    <w:rsid w:val="13B17CB5"/>
    <w:rsid w:val="13B21A28"/>
    <w:rsid w:val="13C34C6E"/>
    <w:rsid w:val="13C5443B"/>
    <w:rsid w:val="13DD036A"/>
    <w:rsid w:val="13DF35E1"/>
    <w:rsid w:val="13E250F3"/>
    <w:rsid w:val="13E550BF"/>
    <w:rsid w:val="14001BA0"/>
    <w:rsid w:val="14010977"/>
    <w:rsid w:val="14124799"/>
    <w:rsid w:val="1414208E"/>
    <w:rsid w:val="14214BC4"/>
    <w:rsid w:val="143657FD"/>
    <w:rsid w:val="14440B5D"/>
    <w:rsid w:val="146F1977"/>
    <w:rsid w:val="149630E7"/>
    <w:rsid w:val="14A46B6C"/>
    <w:rsid w:val="14BE5A27"/>
    <w:rsid w:val="14C265BD"/>
    <w:rsid w:val="14CE2B22"/>
    <w:rsid w:val="14ED4C5F"/>
    <w:rsid w:val="14ED611E"/>
    <w:rsid w:val="14EF3B56"/>
    <w:rsid w:val="14F82489"/>
    <w:rsid w:val="150966B8"/>
    <w:rsid w:val="151B37BD"/>
    <w:rsid w:val="152A66D8"/>
    <w:rsid w:val="154871D8"/>
    <w:rsid w:val="1549245E"/>
    <w:rsid w:val="15544611"/>
    <w:rsid w:val="15707690"/>
    <w:rsid w:val="157E7004"/>
    <w:rsid w:val="15960586"/>
    <w:rsid w:val="1598015F"/>
    <w:rsid w:val="15992403"/>
    <w:rsid w:val="15B722F4"/>
    <w:rsid w:val="15C46DDF"/>
    <w:rsid w:val="15C94A4C"/>
    <w:rsid w:val="15D16764"/>
    <w:rsid w:val="15E01C8A"/>
    <w:rsid w:val="15E251FA"/>
    <w:rsid w:val="15E6711C"/>
    <w:rsid w:val="15FF4C81"/>
    <w:rsid w:val="163B7E01"/>
    <w:rsid w:val="16486A9F"/>
    <w:rsid w:val="16585740"/>
    <w:rsid w:val="165E4793"/>
    <w:rsid w:val="165F550C"/>
    <w:rsid w:val="16773476"/>
    <w:rsid w:val="16AF602D"/>
    <w:rsid w:val="16B1216D"/>
    <w:rsid w:val="16DD4926"/>
    <w:rsid w:val="16DD53E9"/>
    <w:rsid w:val="16E1745F"/>
    <w:rsid w:val="16FA264A"/>
    <w:rsid w:val="16FA6E08"/>
    <w:rsid w:val="16FC0D14"/>
    <w:rsid w:val="170D650C"/>
    <w:rsid w:val="17161DF5"/>
    <w:rsid w:val="17274ADE"/>
    <w:rsid w:val="173139EB"/>
    <w:rsid w:val="173B5417"/>
    <w:rsid w:val="1755671C"/>
    <w:rsid w:val="17562080"/>
    <w:rsid w:val="176B279A"/>
    <w:rsid w:val="177A3FD2"/>
    <w:rsid w:val="178164BF"/>
    <w:rsid w:val="178A7F7B"/>
    <w:rsid w:val="179901BE"/>
    <w:rsid w:val="17B2302E"/>
    <w:rsid w:val="17BE567C"/>
    <w:rsid w:val="17D34D22"/>
    <w:rsid w:val="17D5430D"/>
    <w:rsid w:val="17D70704"/>
    <w:rsid w:val="17D854EF"/>
    <w:rsid w:val="17F34993"/>
    <w:rsid w:val="18007595"/>
    <w:rsid w:val="18210C48"/>
    <w:rsid w:val="182F2E07"/>
    <w:rsid w:val="1845325B"/>
    <w:rsid w:val="184B2801"/>
    <w:rsid w:val="1859622A"/>
    <w:rsid w:val="1861529E"/>
    <w:rsid w:val="18657F8E"/>
    <w:rsid w:val="1881523D"/>
    <w:rsid w:val="18846B5B"/>
    <w:rsid w:val="188E7E3B"/>
    <w:rsid w:val="18A312F5"/>
    <w:rsid w:val="18B31CA6"/>
    <w:rsid w:val="18C60F2C"/>
    <w:rsid w:val="18DF2FDC"/>
    <w:rsid w:val="18E00A97"/>
    <w:rsid w:val="18F0215F"/>
    <w:rsid w:val="18FD0F5E"/>
    <w:rsid w:val="190478B9"/>
    <w:rsid w:val="190E30DC"/>
    <w:rsid w:val="191170F8"/>
    <w:rsid w:val="19371A3D"/>
    <w:rsid w:val="193F2818"/>
    <w:rsid w:val="194208F8"/>
    <w:rsid w:val="196859D6"/>
    <w:rsid w:val="19AA2EDE"/>
    <w:rsid w:val="19C37471"/>
    <w:rsid w:val="19C6317C"/>
    <w:rsid w:val="19EC2DE4"/>
    <w:rsid w:val="19FD0833"/>
    <w:rsid w:val="1A103102"/>
    <w:rsid w:val="1A124A35"/>
    <w:rsid w:val="1A327B19"/>
    <w:rsid w:val="1A35775C"/>
    <w:rsid w:val="1A3638F7"/>
    <w:rsid w:val="1A4568C5"/>
    <w:rsid w:val="1A4A01AA"/>
    <w:rsid w:val="1A4F368E"/>
    <w:rsid w:val="1A5B770A"/>
    <w:rsid w:val="1A646862"/>
    <w:rsid w:val="1A721674"/>
    <w:rsid w:val="1A767F13"/>
    <w:rsid w:val="1A824C13"/>
    <w:rsid w:val="1A8813A6"/>
    <w:rsid w:val="1A9750D6"/>
    <w:rsid w:val="1AAD7532"/>
    <w:rsid w:val="1ABE43B0"/>
    <w:rsid w:val="1AE56FCE"/>
    <w:rsid w:val="1B0925F9"/>
    <w:rsid w:val="1B186B30"/>
    <w:rsid w:val="1B4443DF"/>
    <w:rsid w:val="1B4E71B1"/>
    <w:rsid w:val="1B5A7814"/>
    <w:rsid w:val="1B723FC0"/>
    <w:rsid w:val="1B7824BF"/>
    <w:rsid w:val="1BC30EF7"/>
    <w:rsid w:val="1BDB0D27"/>
    <w:rsid w:val="1BE014B5"/>
    <w:rsid w:val="1BE45790"/>
    <w:rsid w:val="1BEF1BA3"/>
    <w:rsid w:val="1BF34341"/>
    <w:rsid w:val="1BFA4700"/>
    <w:rsid w:val="1BFE36F6"/>
    <w:rsid w:val="1C02029E"/>
    <w:rsid w:val="1C1147C7"/>
    <w:rsid w:val="1C1B4171"/>
    <w:rsid w:val="1C300788"/>
    <w:rsid w:val="1C3152F3"/>
    <w:rsid w:val="1C426530"/>
    <w:rsid w:val="1C493F58"/>
    <w:rsid w:val="1C5842CF"/>
    <w:rsid w:val="1C70580E"/>
    <w:rsid w:val="1CA43C14"/>
    <w:rsid w:val="1CAE6A25"/>
    <w:rsid w:val="1CB667CD"/>
    <w:rsid w:val="1CBD5700"/>
    <w:rsid w:val="1CE15466"/>
    <w:rsid w:val="1CEB2CDB"/>
    <w:rsid w:val="1D18097C"/>
    <w:rsid w:val="1D310127"/>
    <w:rsid w:val="1D425791"/>
    <w:rsid w:val="1D5303E2"/>
    <w:rsid w:val="1D534259"/>
    <w:rsid w:val="1D5533C8"/>
    <w:rsid w:val="1D5E3274"/>
    <w:rsid w:val="1D682B0D"/>
    <w:rsid w:val="1D6E4754"/>
    <w:rsid w:val="1D6F23FA"/>
    <w:rsid w:val="1D7E40DE"/>
    <w:rsid w:val="1D952460"/>
    <w:rsid w:val="1DAF48B9"/>
    <w:rsid w:val="1DAF6046"/>
    <w:rsid w:val="1DD6791B"/>
    <w:rsid w:val="1DDC2F8F"/>
    <w:rsid w:val="1DE20194"/>
    <w:rsid w:val="1DE47CF6"/>
    <w:rsid w:val="1DE55F0B"/>
    <w:rsid w:val="1DED6DC2"/>
    <w:rsid w:val="1DF073E9"/>
    <w:rsid w:val="1DF67D15"/>
    <w:rsid w:val="1DF925E5"/>
    <w:rsid w:val="1E08655F"/>
    <w:rsid w:val="1E1265D5"/>
    <w:rsid w:val="1E3F205F"/>
    <w:rsid w:val="1E4F1290"/>
    <w:rsid w:val="1E5F09FB"/>
    <w:rsid w:val="1E715387"/>
    <w:rsid w:val="1E7C381A"/>
    <w:rsid w:val="1EBF49AE"/>
    <w:rsid w:val="1EDA13C4"/>
    <w:rsid w:val="1EF86233"/>
    <w:rsid w:val="1F257A1B"/>
    <w:rsid w:val="1F2760B0"/>
    <w:rsid w:val="1F290237"/>
    <w:rsid w:val="1F2F195A"/>
    <w:rsid w:val="1F354FA2"/>
    <w:rsid w:val="1F370E49"/>
    <w:rsid w:val="1F4055CA"/>
    <w:rsid w:val="1F4D1DCD"/>
    <w:rsid w:val="1F604BCF"/>
    <w:rsid w:val="1F646A84"/>
    <w:rsid w:val="1F676791"/>
    <w:rsid w:val="1F691DF6"/>
    <w:rsid w:val="1F6A4DB7"/>
    <w:rsid w:val="1F8C510D"/>
    <w:rsid w:val="1F991F8C"/>
    <w:rsid w:val="1F9F65F5"/>
    <w:rsid w:val="1FA37E2C"/>
    <w:rsid w:val="1FA841A4"/>
    <w:rsid w:val="1FB35696"/>
    <w:rsid w:val="1FCE77AB"/>
    <w:rsid w:val="1FD42E55"/>
    <w:rsid w:val="1FE76EFC"/>
    <w:rsid w:val="1FEF0EDA"/>
    <w:rsid w:val="1FFE3B9C"/>
    <w:rsid w:val="200C7065"/>
    <w:rsid w:val="200F1E1E"/>
    <w:rsid w:val="200F2993"/>
    <w:rsid w:val="2045418D"/>
    <w:rsid w:val="20770BA3"/>
    <w:rsid w:val="208F2A6F"/>
    <w:rsid w:val="20A5376B"/>
    <w:rsid w:val="20BE3156"/>
    <w:rsid w:val="20C70EEA"/>
    <w:rsid w:val="20CB5488"/>
    <w:rsid w:val="20F86F95"/>
    <w:rsid w:val="20FE4ABC"/>
    <w:rsid w:val="210D06D3"/>
    <w:rsid w:val="210D1C9B"/>
    <w:rsid w:val="210F2913"/>
    <w:rsid w:val="21172EFC"/>
    <w:rsid w:val="213F7180"/>
    <w:rsid w:val="2166015E"/>
    <w:rsid w:val="217A2867"/>
    <w:rsid w:val="218D4F77"/>
    <w:rsid w:val="218F2025"/>
    <w:rsid w:val="21A1076C"/>
    <w:rsid w:val="21A36E27"/>
    <w:rsid w:val="21BF5813"/>
    <w:rsid w:val="21ED69A0"/>
    <w:rsid w:val="21F51E69"/>
    <w:rsid w:val="220A23E4"/>
    <w:rsid w:val="221F360A"/>
    <w:rsid w:val="22217FC1"/>
    <w:rsid w:val="224F3811"/>
    <w:rsid w:val="22634F7C"/>
    <w:rsid w:val="226A32AB"/>
    <w:rsid w:val="226E0301"/>
    <w:rsid w:val="227A52ED"/>
    <w:rsid w:val="227B289F"/>
    <w:rsid w:val="22876177"/>
    <w:rsid w:val="22B4774D"/>
    <w:rsid w:val="22BA6479"/>
    <w:rsid w:val="22CA1812"/>
    <w:rsid w:val="22DA198E"/>
    <w:rsid w:val="22EC7D10"/>
    <w:rsid w:val="2300090E"/>
    <w:rsid w:val="230629BD"/>
    <w:rsid w:val="231D1CA3"/>
    <w:rsid w:val="235F7448"/>
    <w:rsid w:val="2380540E"/>
    <w:rsid w:val="2382090B"/>
    <w:rsid w:val="2396629F"/>
    <w:rsid w:val="23B27443"/>
    <w:rsid w:val="23E21159"/>
    <w:rsid w:val="23F33EC4"/>
    <w:rsid w:val="242A0048"/>
    <w:rsid w:val="24705AFA"/>
    <w:rsid w:val="248C14C8"/>
    <w:rsid w:val="24902194"/>
    <w:rsid w:val="24A002DA"/>
    <w:rsid w:val="24A0559A"/>
    <w:rsid w:val="24C22B61"/>
    <w:rsid w:val="24C92827"/>
    <w:rsid w:val="24DA2A2F"/>
    <w:rsid w:val="24EF3982"/>
    <w:rsid w:val="251121E8"/>
    <w:rsid w:val="25206C17"/>
    <w:rsid w:val="25245513"/>
    <w:rsid w:val="25752792"/>
    <w:rsid w:val="25A00874"/>
    <w:rsid w:val="25A75A24"/>
    <w:rsid w:val="25C87603"/>
    <w:rsid w:val="25E25630"/>
    <w:rsid w:val="25F9756D"/>
    <w:rsid w:val="261C0A28"/>
    <w:rsid w:val="261F3F61"/>
    <w:rsid w:val="26240575"/>
    <w:rsid w:val="262D302F"/>
    <w:rsid w:val="26482ABB"/>
    <w:rsid w:val="26514614"/>
    <w:rsid w:val="26593185"/>
    <w:rsid w:val="265B33F5"/>
    <w:rsid w:val="265D7B9B"/>
    <w:rsid w:val="266A2317"/>
    <w:rsid w:val="26932FAA"/>
    <w:rsid w:val="269629FC"/>
    <w:rsid w:val="269E3CB4"/>
    <w:rsid w:val="26AA7949"/>
    <w:rsid w:val="26AE400E"/>
    <w:rsid w:val="26AF39A3"/>
    <w:rsid w:val="26BA2460"/>
    <w:rsid w:val="26D009DD"/>
    <w:rsid w:val="26D123B0"/>
    <w:rsid w:val="26D64E3E"/>
    <w:rsid w:val="26DD439A"/>
    <w:rsid w:val="26DE1058"/>
    <w:rsid w:val="26F16B26"/>
    <w:rsid w:val="27370DC1"/>
    <w:rsid w:val="273C6389"/>
    <w:rsid w:val="27406184"/>
    <w:rsid w:val="274827B0"/>
    <w:rsid w:val="274D361D"/>
    <w:rsid w:val="27650E21"/>
    <w:rsid w:val="27651E6B"/>
    <w:rsid w:val="276A0C65"/>
    <w:rsid w:val="27816AA7"/>
    <w:rsid w:val="278472C5"/>
    <w:rsid w:val="278F205C"/>
    <w:rsid w:val="279D33B3"/>
    <w:rsid w:val="279D798D"/>
    <w:rsid w:val="279F221C"/>
    <w:rsid w:val="27AA093B"/>
    <w:rsid w:val="27D33E28"/>
    <w:rsid w:val="27D94C2E"/>
    <w:rsid w:val="27F96A93"/>
    <w:rsid w:val="280E68A2"/>
    <w:rsid w:val="280F6260"/>
    <w:rsid w:val="285F11AE"/>
    <w:rsid w:val="28683E5A"/>
    <w:rsid w:val="28763547"/>
    <w:rsid w:val="28835305"/>
    <w:rsid w:val="28911C53"/>
    <w:rsid w:val="28934F77"/>
    <w:rsid w:val="28B63B69"/>
    <w:rsid w:val="28BD660B"/>
    <w:rsid w:val="28C40CD5"/>
    <w:rsid w:val="28C609F3"/>
    <w:rsid w:val="28E11E50"/>
    <w:rsid w:val="28E66662"/>
    <w:rsid w:val="28FA7B73"/>
    <w:rsid w:val="29077345"/>
    <w:rsid w:val="290F2E57"/>
    <w:rsid w:val="29100F77"/>
    <w:rsid w:val="29283F36"/>
    <w:rsid w:val="29303E0D"/>
    <w:rsid w:val="293B0AE8"/>
    <w:rsid w:val="293D20CE"/>
    <w:rsid w:val="2950027A"/>
    <w:rsid w:val="296E7969"/>
    <w:rsid w:val="29755BAF"/>
    <w:rsid w:val="297C2ABA"/>
    <w:rsid w:val="29842D64"/>
    <w:rsid w:val="29842F3B"/>
    <w:rsid w:val="29A0219D"/>
    <w:rsid w:val="29C446FC"/>
    <w:rsid w:val="29C600B4"/>
    <w:rsid w:val="29EE439A"/>
    <w:rsid w:val="29EF6205"/>
    <w:rsid w:val="29F03D76"/>
    <w:rsid w:val="2A175DB4"/>
    <w:rsid w:val="2A185BC9"/>
    <w:rsid w:val="2A406EB1"/>
    <w:rsid w:val="2A462142"/>
    <w:rsid w:val="2A5272F0"/>
    <w:rsid w:val="2A6274A0"/>
    <w:rsid w:val="2A6F4B3A"/>
    <w:rsid w:val="2A7346A6"/>
    <w:rsid w:val="2A8B5695"/>
    <w:rsid w:val="2A98051B"/>
    <w:rsid w:val="2AA80AEB"/>
    <w:rsid w:val="2AA911A0"/>
    <w:rsid w:val="2AC23741"/>
    <w:rsid w:val="2AE42D9C"/>
    <w:rsid w:val="2AEC3B7E"/>
    <w:rsid w:val="2AFF0F82"/>
    <w:rsid w:val="2B0C36C7"/>
    <w:rsid w:val="2B247743"/>
    <w:rsid w:val="2B3B3EAD"/>
    <w:rsid w:val="2B3D5F21"/>
    <w:rsid w:val="2B4E367E"/>
    <w:rsid w:val="2B5A2AA4"/>
    <w:rsid w:val="2B5F3E2A"/>
    <w:rsid w:val="2B6F150A"/>
    <w:rsid w:val="2B8625E2"/>
    <w:rsid w:val="2B891120"/>
    <w:rsid w:val="2B976350"/>
    <w:rsid w:val="2BA76B57"/>
    <w:rsid w:val="2BB906C2"/>
    <w:rsid w:val="2BC27713"/>
    <w:rsid w:val="2BDA5630"/>
    <w:rsid w:val="2BE84BD3"/>
    <w:rsid w:val="2BE97DC4"/>
    <w:rsid w:val="2C161D57"/>
    <w:rsid w:val="2C4A78FB"/>
    <w:rsid w:val="2C536736"/>
    <w:rsid w:val="2C5D501D"/>
    <w:rsid w:val="2C696CD4"/>
    <w:rsid w:val="2C7219A3"/>
    <w:rsid w:val="2C7E5322"/>
    <w:rsid w:val="2C8B2D16"/>
    <w:rsid w:val="2C8C31F1"/>
    <w:rsid w:val="2C915A50"/>
    <w:rsid w:val="2CD50B9E"/>
    <w:rsid w:val="2CE7730B"/>
    <w:rsid w:val="2CE958D1"/>
    <w:rsid w:val="2CF00ABF"/>
    <w:rsid w:val="2D0078E7"/>
    <w:rsid w:val="2D0C74D7"/>
    <w:rsid w:val="2D0D4B1A"/>
    <w:rsid w:val="2D1157F0"/>
    <w:rsid w:val="2D1337CC"/>
    <w:rsid w:val="2D1A53D5"/>
    <w:rsid w:val="2D225886"/>
    <w:rsid w:val="2D2642C6"/>
    <w:rsid w:val="2D2B7A46"/>
    <w:rsid w:val="2D300B27"/>
    <w:rsid w:val="2D773C64"/>
    <w:rsid w:val="2D8079FF"/>
    <w:rsid w:val="2D896090"/>
    <w:rsid w:val="2D955F5A"/>
    <w:rsid w:val="2D9E60D7"/>
    <w:rsid w:val="2DA41976"/>
    <w:rsid w:val="2DAA24F8"/>
    <w:rsid w:val="2DAD3C69"/>
    <w:rsid w:val="2DBB7BF7"/>
    <w:rsid w:val="2E2505CE"/>
    <w:rsid w:val="2E2C471E"/>
    <w:rsid w:val="2E2F3C86"/>
    <w:rsid w:val="2E305D21"/>
    <w:rsid w:val="2E434F7B"/>
    <w:rsid w:val="2EB313DC"/>
    <w:rsid w:val="2EC33D02"/>
    <w:rsid w:val="2ED76385"/>
    <w:rsid w:val="2EDA0FDF"/>
    <w:rsid w:val="2EE96B90"/>
    <w:rsid w:val="2EF923FB"/>
    <w:rsid w:val="2EFA183A"/>
    <w:rsid w:val="2F0106CB"/>
    <w:rsid w:val="2F045536"/>
    <w:rsid w:val="2F177EEF"/>
    <w:rsid w:val="2F1E48F7"/>
    <w:rsid w:val="2F2C0A2A"/>
    <w:rsid w:val="2F3743FD"/>
    <w:rsid w:val="2F3D1686"/>
    <w:rsid w:val="2F3D6CE5"/>
    <w:rsid w:val="2F563788"/>
    <w:rsid w:val="2F61791B"/>
    <w:rsid w:val="2F7B2DC7"/>
    <w:rsid w:val="2F801FDE"/>
    <w:rsid w:val="2F8C0144"/>
    <w:rsid w:val="2F953641"/>
    <w:rsid w:val="2FAD5759"/>
    <w:rsid w:val="2FB64DF5"/>
    <w:rsid w:val="2FC754AC"/>
    <w:rsid w:val="2FC81E3A"/>
    <w:rsid w:val="2FE50D63"/>
    <w:rsid w:val="30112313"/>
    <w:rsid w:val="30223275"/>
    <w:rsid w:val="30346C0D"/>
    <w:rsid w:val="305C7C74"/>
    <w:rsid w:val="305E3711"/>
    <w:rsid w:val="306C4038"/>
    <w:rsid w:val="30886823"/>
    <w:rsid w:val="308C2216"/>
    <w:rsid w:val="30912155"/>
    <w:rsid w:val="30C9397C"/>
    <w:rsid w:val="30F55184"/>
    <w:rsid w:val="30F570DB"/>
    <w:rsid w:val="30FD5BE3"/>
    <w:rsid w:val="31083080"/>
    <w:rsid w:val="312D7914"/>
    <w:rsid w:val="31343EAB"/>
    <w:rsid w:val="31407D7E"/>
    <w:rsid w:val="31434DF4"/>
    <w:rsid w:val="3148541E"/>
    <w:rsid w:val="314E5D98"/>
    <w:rsid w:val="31526621"/>
    <w:rsid w:val="315849EA"/>
    <w:rsid w:val="316160D5"/>
    <w:rsid w:val="31734A85"/>
    <w:rsid w:val="319B7CAE"/>
    <w:rsid w:val="31B12668"/>
    <w:rsid w:val="31BC3137"/>
    <w:rsid w:val="31C87F99"/>
    <w:rsid w:val="31D53AC0"/>
    <w:rsid w:val="31D628F1"/>
    <w:rsid w:val="31E97E95"/>
    <w:rsid w:val="31EA2E85"/>
    <w:rsid w:val="31F2523F"/>
    <w:rsid w:val="31F64A5E"/>
    <w:rsid w:val="32033783"/>
    <w:rsid w:val="321649DA"/>
    <w:rsid w:val="32211950"/>
    <w:rsid w:val="32263E09"/>
    <w:rsid w:val="32427BE9"/>
    <w:rsid w:val="3254240E"/>
    <w:rsid w:val="325B6344"/>
    <w:rsid w:val="325D1D98"/>
    <w:rsid w:val="326370DC"/>
    <w:rsid w:val="32771087"/>
    <w:rsid w:val="3287161C"/>
    <w:rsid w:val="329B2BE5"/>
    <w:rsid w:val="329E58E4"/>
    <w:rsid w:val="32BB6CD3"/>
    <w:rsid w:val="32C24615"/>
    <w:rsid w:val="32C347C1"/>
    <w:rsid w:val="32C53027"/>
    <w:rsid w:val="32C954C5"/>
    <w:rsid w:val="32CF1EF5"/>
    <w:rsid w:val="32F4416D"/>
    <w:rsid w:val="32F56B52"/>
    <w:rsid w:val="330E3B5A"/>
    <w:rsid w:val="332860A9"/>
    <w:rsid w:val="332E303F"/>
    <w:rsid w:val="333F3B79"/>
    <w:rsid w:val="33555E52"/>
    <w:rsid w:val="33563E8D"/>
    <w:rsid w:val="3356616B"/>
    <w:rsid w:val="336C7E62"/>
    <w:rsid w:val="336F4AD2"/>
    <w:rsid w:val="338E1E5A"/>
    <w:rsid w:val="33A04957"/>
    <w:rsid w:val="33A8380B"/>
    <w:rsid w:val="33AD7074"/>
    <w:rsid w:val="33B51311"/>
    <w:rsid w:val="33DB3E27"/>
    <w:rsid w:val="33E87093"/>
    <w:rsid w:val="33F64577"/>
    <w:rsid w:val="34176F13"/>
    <w:rsid w:val="341F6035"/>
    <w:rsid w:val="34264DCD"/>
    <w:rsid w:val="342A4E34"/>
    <w:rsid w:val="342E1DBA"/>
    <w:rsid w:val="34327804"/>
    <w:rsid w:val="34392FD6"/>
    <w:rsid w:val="343E33DE"/>
    <w:rsid w:val="3444758A"/>
    <w:rsid w:val="344D51E1"/>
    <w:rsid w:val="344F5C34"/>
    <w:rsid w:val="34500526"/>
    <w:rsid w:val="345B7145"/>
    <w:rsid w:val="346C10AA"/>
    <w:rsid w:val="34793107"/>
    <w:rsid w:val="3498562E"/>
    <w:rsid w:val="34A266FD"/>
    <w:rsid w:val="34B017CE"/>
    <w:rsid w:val="34B306BA"/>
    <w:rsid w:val="34B97AB4"/>
    <w:rsid w:val="34E51A7A"/>
    <w:rsid w:val="34E63F10"/>
    <w:rsid w:val="34E72C04"/>
    <w:rsid w:val="350379BB"/>
    <w:rsid w:val="350543A1"/>
    <w:rsid w:val="35140D39"/>
    <w:rsid w:val="3515534B"/>
    <w:rsid w:val="351909B2"/>
    <w:rsid w:val="355028B3"/>
    <w:rsid w:val="35613423"/>
    <w:rsid w:val="356F206C"/>
    <w:rsid w:val="357441ED"/>
    <w:rsid w:val="3575596F"/>
    <w:rsid w:val="3596528E"/>
    <w:rsid w:val="359E5A30"/>
    <w:rsid w:val="35A326F5"/>
    <w:rsid w:val="35A44128"/>
    <w:rsid w:val="35A537F8"/>
    <w:rsid w:val="35AF1D24"/>
    <w:rsid w:val="35C176FF"/>
    <w:rsid w:val="35C37B02"/>
    <w:rsid w:val="35C45C26"/>
    <w:rsid w:val="35EA7502"/>
    <w:rsid w:val="35F56117"/>
    <w:rsid w:val="35F87209"/>
    <w:rsid w:val="36026709"/>
    <w:rsid w:val="362A1DEA"/>
    <w:rsid w:val="363A4CF0"/>
    <w:rsid w:val="364B60F7"/>
    <w:rsid w:val="364F4554"/>
    <w:rsid w:val="36590595"/>
    <w:rsid w:val="365C07CB"/>
    <w:rsid w:val="366828B4"/>
    <w:rsid w:val="366E6E5A"/>
    <w:rsid w:val="369251AD"/>
    <w:rsid w:val="36B1492B"/>
    <w:rsid w:val="36C868E3"/>
    <w:rsid w:val="36D24CCF"/>
    <w:rsid w:val="36D81E3A"/>
    <w:rsid w:val="36F17626"/>
    <w:rsid w:val="370549FF"/>
    <w:rsid w:val="371419A7"/>
    <w:rsid w:val="37251C5E"/>
    <w:rsid w:val="374F7378"/>
    <w:rsid w:val="37697A46"/>
    <w:rsid w:val="376E6DE3"/>
    <w:rsid w:val="378B57C3"/>
    <w:rsid w:val="37900301"/>
    <w:rsid w:val="3799716F"/>
    <w:rsid w:val="37A578F5"/>
    <w:rsid w:val="37AC1880"/>
    <w:rsid w:val="37C87FD8"/>
    <w:rsid w:val="37CB065C"/>
    <w:rsid w:val="37D818FA"/>
    <w:rsid w:val="37E71B51"/>
    <w:rsid w:val="37EF4222"/>
    <w:rsid w:val="37F836B6"/>
    <w:rsid w:val="380354B4"/>
    <w:rsid w:val="381C75E9"/>
    <w:rsid w:val="381D40B8"/>
    <w:rsid w:val="382237A0"/>
    <w:rsid w:val="38245332"/>
    <w:rsid w:val="38286350"/>
    <w:rsid w:val="384211B4"/>
    <w:rsid w:val="384979E4"/>
    <w:rsid w:val="384A47D7"/>
    <w:rsid w:val="385F21E8"/>
    <w:rsid w:val="386234DB"/>
    <w:rsid w:val="386817BB"/>
    <w:rsid w:val="38725C05"/>
    <w:rsid w:val="388D6E02"/>
    <w:rsid w:val="38A427BC"/>
    <w:rsid w:val="38A806DB"/>
    <w:rsid w:val="38C23C1E"/>
    <w:rsid w:val="38CC077C"/>
    <w:rsid w:val="38D90B27"/>
    <w:rsid w:val="38DB7E12"/>
    <w:rsid w:val="38FE1452"/>
    <w:rsid w:val="39100010"/>
    <w:rsid w:val="39202096"/>
    <w:rsid w:val="39227F3B"/>
    <w:rsid w:val="395B4DB3"/>
    <w:rsid w:val="395E5835"/>
    <w:rsid w:val="395F0B2F"/>
    <w:rsid w:val="39685218"/>
    <w:rsid w:val="396D7831"/>
    <w:rsid w:val="39BB07BB"/>
    <w:rsid w:val="39BF12B2"/>
    <w:rsid w:val="39C918F8"/>
    <w:rsid w:val="39D947FF"/>
    <w:rsid w:val="39E430C3"/>
    <w:rsid w:val="39E60BE9"/>
    <w:rsid w:val="39EA4361"/>
    <w:rsid w:val="3A113D0B"/>
    <w:rsid w:val="3A1A4AEF"/>
    <w:rsid w:val="3A1A6B1A"/>
    <w:rsid w:val="3A1D33BF"/>
    <w:rsid w:val="3A2A0F0D"/>
    <w:rsid w:val="3A2F6D0C"/>
    <w:rsid w:val="3A330F2B"/>
    <w:rsid w:val="3A380837"/>
    <w:rsid w:val="3A3C3479"/>
    <w:rsid w:val="3A4D59E7"/>
    <w:rsid w:val="3A6431DA"/>
    <w:rsid w:val="3A6902C4"/>
    <w:rsid w:val="3A7A7E6A"/>
    <w:rsid w:val="3A8F121C"/>
    <w:rsid w:val="3AA14E8E"/>
    <w:rsid w:val="3AA70700"/>
    <w:rsid w:val="3AAC3BE1"/>
    <w:rsid w:val="3AB11255"/>
    <w:rsid w:val="3AC852AA"/>
    <w:rsid w:val="3AD22FFE"/>
    <w:rsid w:val="3AD307DC"/>
    <w:rsid w:val="3AE1626B"/>
    <w:rsid w:val="3AF0658B"/>
    <w:rsid w:val="3B0A4EFB"/>
    <w:rsid w:val="3B2528C1"/>
    <w:rsid w:val="3B3E459F"/>
    <w:rsid w:val="3B600888"/>
    <w:rsid w:val="3B6A6633"/>
    <w:rsid w:val="3B6B6910"/>
    <w:rsid w:val="3B7423B1"/>
    <w:rsid w:val="3B9E5E01"/>
    <w:rsid w:val="3BB172AE"/>
    <w:rsid w:val="3BC76D38"/>
    <w:rsid w:val="3BE91094"/>
    <w:rsid w:val="3C094AEA"/>
    <w:rsid w:val="3C1C1288"/>
    <w:rsid w:val="3C240558"/>
    <w:rsid w:val="3C343115"/>
    <w:rsid w:val="3C3F0879"/>
    <w:rsid w:val="3C455F09"/>
    <w:rsid w:val="3C5E59FD"/>
    <w:rsid w:val="3C6D62D2"/>
    <w:rsid w:val="3C6F3140"/>
    <w:rsid w:val="3C730422"/>
    <w:rsid w:val="3C7941BA"/>
    <w:rsid w:val="3CA13DC9"/>
    <w:rsid w:val="3CAD59BB"/>
    <w:rsid w:val="3CB47DBE"/>
    <w:rsid w:val="3CE417AA"/>
    <w:rsid w:val="3CF06C5C"/>
    <w:rsid w:val="3CFD3902"/>
    <w:rsid w:val="3CFE624A"/>
    <w:rsid w:val="3CFF6110"/>
    <w:rsid w:val="3D075A6C"/>
    <w:rsid w:val="3D1009CA"/>
    <w:rsid w:val="3D1E37D7"/>
    <w:rsid w:val="3D1F7B9E"/>
    <w:rsid w:val="3D305428"/>
    <w:rsid w:val="3D417084"/>
    <w:rsid w:val="3D4C55EE"/>
    <w:rsid w:val="3D572850"/>
    <w:rsid w:val="3D637134"/>
    <w:rsid w:val="3D6561C5"/>
    <w:rsid w:val="3D710777"/>
    <w:rsid w:val="3D7217E3"/>
    <w:rsid w:val="3D7D6B54"/>
    <w:rsid w:val="3D834E1E"/>
    <w:rsid w:val="3D877FA8"/>
    <w:rsid w:val="3D9D310F"/>
    <w:rsid w:val="3DC445BB"/>
    <w:rsid w:val="3DC5258D"/>
    <w:rsid w:val="3DD11BB1"/>
    <w:rsid w:val="3DDE64ED"/>
    <w:rsid w:val="3DE620B5"/>
    <w:rsid w:val="3E363A8E"/>
    <w:rsid w:val="3E534942"/>
    <w:rsid w:val="3E605247"/>
    <w:rsid w:val="3E611A22"/>
    <w:rsid w:val="3E8077EE"/>
    <w:rsid w:val="3EA634E5"/>
    <w:rsid w:val="3EC4716B"/>
    <w:rsid w:val="3ED80902"/>
    <w:rsid w:val="3EE213E0"/>
    <w:rsid w:val="3EE510E1"/>
    <w:rsid w:val="3F175065"/>
    <w:rsid w:val="3F184D00"/>
    <w:rsid w:val="3F1C705B"/>
    <w:rsid w:val="3F212655"/>
    <w:rsid w:val="3F4D0A0B"/>
    <w:rsid w:val="3F4F5483"/>
    <w:rsid w:val="3F5429E9"/>
    <w:rsid w:val="3F73673D"/>
    <w:rsid w:val="3F776D74"/>
    <w:rsid w:val="3F852C53"/>
    <w:rsid w:val="3FA42367"/>
    <w:rsid w:val="3FAA2DDB"/>
    <w:rsid w:val="3FE33516"/>
    <w:rsid w:val="3FED6BE4"/>
    <w:rsid w:val="40254798"/>
    <w:rsid w:val="40475775"/>
    <w:rsid w:val="40563809"/>
    <w:rsid w:val="405D5566"/>
    <w:rsid w:val="40754497"/>
    <w:rsid w:val="40A1586A"/>
    <w:rsid w:val="40C31B90"/>
    <w:rsid w:val="40CC6475"/>
    <w:rsid w:val="40E87C4F"/>
    <w:rsid w:val="40ED6C75"/>
    <w:rsid w:val="40FB141E"/>
    <w:rsid w:val="40FF54C5"/>
    <w:rsid w:val="41013060"/>
    <w:rsid w:val="41074B5C"/>
    <w:rsid w:val="41232004"/>
    <w:rsid w:val="4127112B"/>
    <w:rsid w:val="412D419C"/>
    <w:rsid w:val="413A56B2"/>
    <w:rsid w:val="413E5639"/>
    <w:rsid w:val="41452699"/>
    <w:rsid w:val="41477046"/>
    <w:rsid w:val="415970CD"/>
    <w:rsid w:val="415D066B"/>
    <w:rsid w:val="41751A4F"/>
    <w:rsid w:val="41774AE7"/>
    <w:rsid w:val="41886D2A"/>
    <w:rsid w:val="41942219"/>
    <w:rsid w:val="41B77B66"/>
    <w:rsid w:val="41BD6997"/>
    <w:rsid w:val="41C90A89"/>
    <w:rsid w:val="41F63DFB"/>
    <w:rsid w:val="420632D4"/>
    <w:rsid w:val="421508D0"/>
    <w:rsid w:val="421E4AB1"/>
    <w:rsid w:val="42764AD5"/>
    <w:rsid w:val="428A3FA2"/>
    <w:rsid w:val="42916BF3"/>
    <w:rsid w:val="42974DC2"/>
    <w:rsid w:val="429E42BF"/>
    <w:rsid w:val="42C26320"/>
    <w:rsid w:val="42DD1304"/>
    <w:rsid w:val="42E828C1"/>
    <w:rsid w:val="43270040"/>
    <w:rsid w:val="43287AB1"/>
    <w:rsid w:val="43695D63"/>
    <w:rsid w:val="436C59CE"/>
    <w:rsid w:val="43826E8B"/>
    <w:rsid w:val="438C57AF"/>
    <w:rsid w:val="438E4CDA"/>
    <w:rsid w:val="43972BEC"/>
    <w:rsid w:val="439D2374"/>
    <w:rsid w:val="43A029E9"/>
    <w:rsid w:val="43AE4782"/>
    <w:rsid w:val="43B835F7"/>
    <w:rsid w:val="43BC33D7"/>
    <w:rsid w:val="43CF031A"/>
    <w:rsid w:val="43D046D7"/>
    <w:rsid w:val="43D14DB4"/>
    <w:rsid w:val="43F05BE1"/>
    <w:rsid w:val="440B6784"/>
    <w:rsid w:val="440E22D5"/>
    <w:rsid w:val="4421154F"/>
    <w:rsid w:val="442A1C45"/>
    <w:rsid w:val="44656DAC"/>
    <w:rsid w:val="44734681"/>
    <w:rsid w:val="448B65B7"/>
    <w:rsid w:val="4499585A"/>
    <w:rsid w:val="44B333AF"/>
    <w:rsid w:val="44B9743F"/>
    <w:rsid w:val="44BA5D97"/>
    <w:rsid w:val="44D711CC"/>
    <w:rsid w:val="44D77AAC"/>
    <w:rsid w:val="44DB0888"/>
    <w:rsid w:val="44E1074E"/>
    <w:rsid w:val="44E54FB4"/>
    <w:rsid w:val="44E5523A"/>
    <w:rsid w:val="44F26424"/>
    <w:rsid w:val="44F80C4D"/>
    <w:rsid w:val="44FB33D8"/>
    <w:rsid w:val="45116CEE"/>
    <w:rsid w:val="45170BC6"/>
    <w:rsid w:val="45223732"/>
    <w:rsid w:val="45270DF0"/>
    <w:rsid w:val="4530648A"/>
    <w:rsid w:val="45321187"/>
    <w:rsid w:val="454C73B7"/>
    <w:rsid w:val="454E18F2"/>
    <w:rsid w:val="455166AF"/>
    <w:rsid w:val="45607936"/>
    <w:rsid w:val="45765BB9"/>
    <w:rsid w:val="4582073C"/>
    <w:rsid w:val="458C5EA1"/>
    <w:rsid w:val="45984308"/>
    <w:rsid w:val="45B47174"/>
    <w:rsid w:val="45B941B6"/>
    <w:rsid w:val="45BE7A00"/>
    <w:rsid w:val="45CD0EAF"/>
    <w:rsid w:val="46017B4D"/>
    <w:rsid w:val="46297270"/>
    <w:rsid w:val="46393128"/>
    <w:rsid w:val="464901D4"/>
    <w:rsid w:val="464F4530"/>
    <w:rsid w:val="466F480B"/>
    <w:rsid w:val="46853DCD"/>
    <w:rsid w:val="46BD1FDC"/>
    <w:rsid w:val="46F852EE"/>
    <w:rsid w:val="47035BB7"/>
    <w:rsid w:val="4705333F"/>
    <w:rsid w:val="47467CBD"/>
    <w:rsid w:val="475A2F74"/>
    <w:rsid w:val="47647A31"/>
    <w:rsid w:val="47B7109E"/>
    <w:rsid w:val="47CA0995"/>
    <w:rsid w:val="48092175"/>
    <w:rsid w:val="481A3686"/>
    <w:rsid w:val="48211124"/>
    <w:rsid w:val="48240FD5"/>
    <w:rsid w:val="48265844"/>
    <w:rsid w:val="4839100D"/>
    <w:rsid w:val="484F5187"/>
    <w:rsid w:val="48575A87"/>
    <w:rsid w:val="4866635F"/>
    <w:rsid w:val="4898759C"/>
    <w:rsid w:val="48995E1E"/>
    <w:rsid w:val="489A6EBF"/>
    <w:rsid w:val="48C254F2"/>
    <w:rsid w:val="48C51B6D"/>
    <w:rsid w:val="48C73330"/>
    <w:rsid w:val="48CC13D9"/>
    <w:rsid w:val="48D87035"/>
    <w:rsid w:val="48DC7902"/>
    <w:rsid w:val="48E9309C"/>
    <w:rsid w:val="4905074B"/>
    <w:rsid w:val="49347B19"/>
    <w:rsid w:val="49417E5B"/>
    <w:rsid w:val="49515815"/>
    <w:rsid w:val="496455BE"/>
    <w:rsid w:val="496A2C24"/>
    <w:rsid w:val="49736A89"/>
    <w:rsid w:val="497D5DCF"/>
    <w:rsid w:val="49866003"/>
    <w:rsid w:val="498965E3"/>
    <w:rsid w:val="498A31C5"/>
    <w:rsid w:val="498B34EF"/>
    <w:rsid w:val="49AA1C33"/>
    <w:rsid w:val="49BB06A9"/>
    <w:rsid w:val="49BE75A5"/>
    <w:rsid w:val="49EE718A"/>
    <w:rsid w:val="4A0505A0"/>
    <w:rsid w:val="4A0C644A"/>
    <w:rsid w:val="4A253459"/>
    <w:rsid w:val="4A2A68D0"/>
    <w:rsid w:val="4A2E33F5"/>
    <w:rsid w:val="4A5B6F3E"/>
    <w:rsid w:val="4A5E695D"/>
    <w:rsid w:val="4A693ACE"/>
    <w:rsid w:val="4A9C78CD"/>
    <w:rsid w:val="4AA523FB"/>
    <w:rsid w:val="4AB93EC2"/>
    <w:rsid w:val="4AD541FC"/>
    <w:rsid w:val="4AD71C80"/>
    <w:rsid w:val="4AE5363A"/>
    <w:rsid w:val="4AEE405B"/>
    <w:rsid w:val="4B17728F"/>
    <w:rsid w:val="4B1B758A"/>
    <w:rsid w:val="4B233A8B"/>
    <w:rsid w:val="4B277428"/>
    <w:rsid w:val="4B2C48CA"/>
    <w:rsid w:val="4B3A08A7"/>
    <w:rsid w:val="4B537B61"/>
    <w:rsid w:val="4B867BA6"/>
    <w:rsid w:val="4B8753D4"/>
    <w:rsid w:val="4BA13A7E"/>
    <w:rsid w:val="4BA80446"/>
    <w:rsid w:val="4BAB31A7"/>
    <w:rsid w:val="4BB70BD9"/>
    <w:rsid w:val="4BCC630E"/>
    <w:rsid w:val="4BD016F9"/>
    <w:rsid w:val="4BD953B6"/>
    <w:rsid w:val="4C0F26B6"/>
    <w:rsid w:val="4C1B36B4"/>
    <w:rsid w:val="4C2946A1"/>
    <w:rsid w:val="4C4847C5"/>
    <w:rsid w:val="4C51468E"/>
    <w:rsid w:val="4C555797"/>
    <w:rsid w:val="4C7F2D8A"/>
    <w:rsid w:val="4C886A02"/>
    <w:rsid w:val="4C8A18A8"/>
    <w:rsid w:val="4CB30DFF"/>
    <w:rsid w:val="4CB41C4D"/>
    <w:rsid w:val="4CC6281F"/>
    <w:rsid w:val="4CE400FF"/>
    <w:rsid w:val="4CEA7CD1"/>
    <w:rsid w:val="4CEC7CAE"/>
    <w:rsid w:val="4CF02219"/>
    <w:rsid w:val="4CFC5846"/>
    <w:rsid w:val="4D004865"/>
    <w:rsid w:val="4D043194"/>
    <w:rsid w:val="4D0C09C3"/>
    <w:rsid w:val="4D25439B"/>
    <w:rsid w:val="4D3A4381"/>
    <w:rsid w:val="4D3B0E0D"/>
    <w:rsid w:val="4D3F0D67"/>
    <w:rsid w:val="4D503BA9"/>
    <w:rsid w:val="4D6A4869"/>
    <w:rsid w:val="4D764C90"/>
    <w:rsid w:val="4D7721C7"/>
    <w:rsid w:val="4D7777D7"/>
    <w:rsid w:val="4D777CDB"/>
    <w:rsid w:val="4D7C3EBC"/>
    <w:rsid w:val="4D8D1290"/>
    <w:rsid w:val="4DB04425"/>
    <w:rsid w:val="4DBD6C8B"/>
    <w:rsid w:val="4DBF13EE"/>
    <w:rsid w:val="4DC32521"/>
    <w:rsid w:val="4DC633D3"/>
    <w:rsid w:val="4DCB78B1"/>
    <w:rsid w:val="4DD06B6E"/>
    <w:rsid w:val="4DD9233D"/>
    <w:rsid w:val="4DF07E31"/>
    <w:rsid w:val="4E036F35"/>
    <w:rsid w:val="4E0A4886"/>
    <w:rsid w:val="4E162149"/>
    <w:rsid w:val="4E3211A4"/>
    <w:rsid w:val="4E336DF3"/>
    <w:rsid w:val="4E3C5401"/>
    <w:rsid w:val="4E3E23AE"/>
    <w:rsid w:val="4E446C76"/>
    <w:rsid w:val="4E454324"/>
    <w:rsid w:val="4E633F69"/>
    <w:rsid w:val="4E6C5DF8"/>
    <w:rsid w:val="4E8F219F"/>
    <w:rsid w:val="4EB1660F"/>
    <w:rsid w:val="4EC32F6B"/>
    <w:rsid w:val="4EC66207"/>
    <w:rsid w:val="4EDB63EB"/>
    <w:rsid w:val="4EE1206C"/>
    <w:rsid w:val="4EEA1801"/>
    <w:rsid w:val="4F0463AC"/>
    <w:rsid w:val="4F076A42"/>
    <w:rsid w:val="4F154684"/>
    <w:rsid w:val="4F1547C1"/>
    <w:rsid w:val="4F1D05CA"/>
    <w:rsid w:val="4F3275AB"/>
    <w:rsid w:val="4F412350"/>
    <w:rsid w:val="4F5D2DBF"/>
    <w:rsid w:val="4F6169E5"/>
    <w:rsid w:val="4F76378B"/>
    <w:rsid w:val="4F8477C6"/>
    <w:rsid w:val="4FCE53C8"/>
    <w:rsid w:val="4FF4200C"/>
    <w:rsid w:val="50137E07"/>
    <w:rsid w:val="501A364E"/>
    <w:rsid w:val="502209C3"/>
    <w:rsid w:val="502F5120"/>
    <w:rsid w:val="50427508"/>
    <w:rsid w:val="5059366A"/>
    <w:rsid w:val="50632AED"/>
    <w:rsid w:val="509030F6"/>
    <w:rsid w:val="50AE6C31"/>
    <w:rsid w:val="50BE2397"/>
    <w:rsid w:val="50C77070"/>
    <w:rsid w:val="50D32E16"/>
    <w:rsid w:val="50E21CB3"/>
    <w:rsid w:val="50FE4613"/>
    <w:rsid w:val="512F20E2"/>
    <w:rsid w:val="513B1B67"/>
    <w:rsid w:val="513E3DF4"/>
    <w:rsid w:val="514025FD"/>
    <w:rsid w:val="51527ECA"/>
    <w:rsid w:val="51925B78"/>
    <w:rsid w:val="51957B94"/>
    <w:rsid w:val="51986815"/>
    <w:rsid w:val="51A341C8"/>
    <w:rsid w:val="51A53DDD"/>
    <w:rsid w:val="51CD3A48"/>
    <w:rsid w:val="51D20AC5"/>
    <w:rsid w:val="51D51B03"/>
    <w:rsid w:val="51E37297"/>
    <w:rsid w:val="51F25565"/>
    <w:rsid w:val="521C3CED"/>
    <w:rsid w:val="522B476C"/>
    <w:rsid w:val="5231278F"/>
    <w:rsid w:val="52395E13"/>
    <w:rsid w:val="52397839"/>
    <w:rsid w:val="524949CC"/>
    <w:rsid w:val="524B7D2C"/>
    <w:rsid w:val="52626701"/>
    <w:rsid w:val="526D5721"/>
    <w:rsid w:val="526E59C6"/>
    <w:rsid w:val="526F46DA"/>
    <w:rsid w:val="529142AE"/>
    <w:rsid w:val="52A573B4"/>
    <w:rsid w:val="52BC3E92"/>
    <w:rsid w:val="52CB69EC"/>
    <w:rsid w:val="52E22A90"/>
    <w:rsid w:val="52F46520"/>
    <w:rsid w:val="52F95197"/>
    <w:rsid w:val="52FE3136"/>
    <w:rsid w:val="53041A0A"/>
    <w:rsid w:val="531232EF"/>
    <w:rsid w:val="53401A24"/>
    <w:rsid w:val="53414D4D"/>
    <w:rsid w:val="536A1739"/>
    <w:rsid w:val="537E72C6"/>
    <w:rsid w:val="53BD2C29"/>
    <w:rsid w:val="53CB6833"/>
    <w:rsid w:val="53EE3156"/>
    <w:rsid w:val="542B1BC3"/>
    <w:rsid w:val="542F4FD6"/>
    <w:rsid w:val="54317A6A"/>
    <w:rsid w:val="543A3835"/>
    <w:rsid w:val="544220DE"/>
    <w:rsid w:val="54AC5569"/>
    <w:rsid w:val="54B25D84"/>
    <w:rsid w:val="54B27586"/>
    <w:rsid w:val="54B84C9C"/>
    <w:rsid w:val="54C26BA5"/>
    <w:rsid w:val="54CB1DBF"/>
    <w:rsid w:val="55030F3F"/>
    <w:rsid w:val="551A3F2A"/>
    <w:rsid w:val="55286153"/>
    <w:rsid w:val="55425416"/>
    <w:rsid w:val="554442FC"/>
    <w:rsid w:val="55480EA4"/>
    <w:rsid w:val="555D6730"/>
    <w:rsid w:val="55704920"/>
    <w:rsid w:val="55725A24"/>
    <w:rsid w:val="558925B6"/>
    <w:rsid w:val="558F6181"/>
    <w:rsid w:val="55947114"/>
    <w:rsid w:val="559847D6"/>
    <w:rsid w:val="559C7A4C"/>
    <w:rsid w:val="55B00902"/>
    <w:rsid w:val="55F11948"/>
    <w:rsid w:val="55F217BD"/>
    <w:rsid w:val="55F87DBF"/>
    <w:rsid w:val="5621040F"/>
    <w:rsid w:val="56237F23"/>
    <w:rsid w:val="56250762"/>
    <w:rsid w:val="56360D49"/>
    <w:rsid w:val="5641025E"/>
    <w:rsid w:val="5658757B"/>
    <w:rsid w:val="565D3224"/>
    <w:rsid w:val="566170C5"/>
    <w:rsid w:val="56847368"/>
    <w:rsid w:val="56895AFF"/>
    <w:rsid w:val="56A053C6"/>
    <w:rsid w:val="56A22608"/>
    <w:rsid w:val="56AA06E0"/>
    <w:rsid w:val="56AD2D63"/>
    <w:rsid w:val="56C22731"/>
    <w:rsid w:val="56C92C02"/>
    <w:rsid w:val="56CC591C"/>
    <w:rsid w:val="56D95549"/>
    <w:rsid w:val="56DE2193"/>
    <w:rsid w:val="56E027AA"/>
    <w:rsid w:val="56E95CFA"/>
    <w:rsid w:val="56F62932"/>
    <w:rsid w:val="5708765E"/>
    <w:rsid w:val="570D7CCC"/>
    <w:rsid w:val="570F3B27"/>
    <w:rsid w:val="57303644"/>
    <w:rsid w:val="574A61B4"/>
    <w:rsid w:val="57581CA0"/>
    <w:rsid w:val="576109F9"/>
    <w:rsid w:val="576724ED"/>
    <w:rsid w:val="57710542"/>
    <w:rsid w:val="5775152A"/>
    <w:rsid w:val="579369C0"/>
    <w:rsid w:val="579C537C"/>
    <w:rsid w:val="579F5B8B"/>
    <w:rsid w:val="57A33FD3"/>
    <w:rsid w:val="57B245FD"/>
    <w:rsid w:val="57B343A9"/>
    <w:rsid w:val="57CF1977"/>
    <w:rsid w:val="57E564C3"/>
    <w:rsid w:val="57EE7CDA"/>
    <w:rsid w:val="581954C0"/>
    <w:rsid w:val="581C79D1"/>
    <w:rsid w:val="582462B7"/>
    <w:rsid w:val="58253B75"/>
    <w:rsid w:val="582A4AE8"/>
    <w:rsid w:val="583A48D1"/>
    <w:rsid w:val="583E2A89"/>
    <w:rsid w:val="584F6EBA"/>
    <w:rsid w:val="585714B0"/>
    <w:rsid w:val="585E1E3A"/>
    <w:rsid w:val="58661D5C"/>
    <w:rsid w:val="5873372D"/>
    <w:rsid w:val="587476E8"/>
    <w:rsid w:val="587F332E"/>
    <w:rsid w:val="588220F7"/>
    <w:rsid w:val="588875E4"/>
    <w:rsid w:val="588F14F9"/>
    <w:rsid w:val="58AC033A"/>
    <w:rsid w:val="58BB38B5"/>
    <w:rsid w:val="58BC1F7D"/>
    <w:rsid w:val="58E278EC"/>
    <w:rsid w:val="58E51626"/>
    <w:rsid w:val="58E63A9D"/>
    <w:rsid w:val="58E8627F"/>
    <w:rsid w:val="59075A00"/>
    <w:rsid w:val="594A3AB5"/>
    <w:rsid w:val="595A5A52"/>
    <w:rsid w:val="595B5EA3"/>
    <w:rsid w:val="596F224E"/>
    <w:rsid w:val="5972339E"/>
    <w:rsid w:val="59787954"/>
    <w:rsid w:val="599A4FB2"/>
    <w:rsid w:val="59A45DD5"/>
    <w:rsid w:val="59DC19FF"/>
    <w:rsid w:val="59E10F92"/>
    <w:rsid w:val="59EC4BEF"/>
    <w:rsid w:val="59EC6A0E"/>
    <w:rsid w:val="59F829AE"/>
    <w:rsid w:val="5A012704"/>
    <w:rsid w:val="5A197637"/>
    <w:rsid w:val="5A1E5E37"/>
    <w:rsid w:val="5A28216A"/>
    <w:rsid w:val="5A285EA9"/>
    <w:rsid w:val="5A297943"/>
    <w:rsid w:val="5A2F094B"/>
    <w:rsid w:val="5A30556B"/>
    <w:rsid w:val="5A3851CB"/>
    <w:rsid w:val="5A3B11C6"/>
    <w:rsid w:val="5A477651"/>
    <w:rsid w:val="5A4E62A8"/>
    <w:rsid w:val="5A4F0880"/>
    <w:rsid w:val="5A57200A"/>
    <w:rsid w:val="5A5B6081"/>
    <w:rsid w:val="5A5F60F6"/>
    <w:rsid w:val="5A633736"/>
    <w:rsid w:val="5A6C4A3F"/>
    <w:rsid w:val="5A7E2762"/>
    <w:rsid w:val="5A93191B"/>
    <w:rsid w:val="5A9B3B23"/>
    <w:rsid w:val="5AA20EDA"/>
    <w:rsid w:val="5AA94EB0"/>
    <w:rsid w:val="5AB85979"/>
    <w:rsid w:val="5AD07704"/>
    <w:rsid w:val="5AE33D2A"/>
    <w:rsid w:val="5AEF164B"/>
    <w:rsid w:val="5B0A0488"/>
    <w:rsid w:val="5B0B56F2"/>
    <w:rsid w:val="5B302F1D"/>
    <w:rsid w:val="5B4517BC"/>
    <w:rsid w:val="5B45649D"/>
    <w:rsid w:val="5B7867FE"/>
    <w:rsid w:val="5B93596F"/>
    <w:rsid w:val="5B962018"/>
    <w:rsid w:val="5B9B5BB1"/>
    <w:rsid w:val="5BA6426A"/>
    <w:rsid w:val="5BC00CCD"/>
    <w:rsid w:val="5BC05AB7"/>
    <w:rsid w:val="5BC77B22"/>
    <w:rsid w:val="5BCF67C8"/>
    <w:rsid w:val="5BD24C93"/>
    <w:rsid w:val="5BD300B0"/>
    <w:rsid w:val="5BDF6A17"/>
    <w:rsid w:val="5BE4591E"/>
    <w:rsid w:val="5BFD2B37"/>
    <w:rsid w:val="5BFF111E"/>
    <w:rsid w:val="5C0F1378"/>
    <w:rsid w:val="5C2D0220"/>
    <w:rsid w:val="5C3C2208"/>
    <w:rsid w:val="5C613397"/>
    <w:rsid w:val="5C6A3A54"/>
    <w:rsid w:val="5C870D55"/>
    <w:rsid w:val="5C89544A"/>
    <w:rsid w:val="5C9343CF"/>
    <w:rsid w:val="5C9C6018"/>
    <w:rsid w:val="5CB56906"/>
    <w:rsid w:val="5CCC5E30"/>
    <w:rsid w:val="5CFB2C3A"/>
    <w:rsid w:val="5D041EC1"/>
    <w:rsid w:val="5D0E60C6"/>
    <w:rsid w:val="5D177948"/>
    <w:rsid w:val="5D3B0458"/>
    <w:rsid w:val="5D3F0ADC"/>
    <w:rsid w:val="5D4905C6"/>
    <w:rsid w:val="5D543C23"/>
    <w:rsid w:val="5D553453"/>
    <w:rsid w:val="5D7742B2"/>
    <w:rsid w:val="5D8A3936"/>
    <w:rsid w:val="5D9016EB"/>
    <w:rsid w:val="5D9D209E"/>
    <w:rsid w:val="5DAC3F6C"/>
    <w:rsid w:val="5DAF18EF"/>
    <w:rsid w:val="5DB5497B"/>
    <w:rsid w:val="5DCF5945"/>
    <w:rsid w:val="5DEC6C9A"/>
    <w:rsid w:val="5DEF7DFE"/>
    <w:rsid w:val="5DFE2652"/>
    <w:rsid w:val="5E2B68AE"/>
    <w:rsid w:val="5E4734BD"/>
    <w:rsid w:val="5E4B6A5E"/>
    <w:rsid w:val="5E4E6E51"/>
    <w:rsid w:val="5E55524A"/>
    <w:rsid w:val="5E591B01"/>
    <w:rsid w:val="5E5B35DF"/>
    <w:rsid w:val="5E6710C0"/>
    <w:rsid w:val="5EAE36A7"/>
    <w:rsid w:val="5EC103BA"/>
    <w:rsid w:val="5EC42A58"/>
    <w:rsid w:val="5EC9618C"/>
    <w:rsid w:val="5ECC17B8"/>
    <w:rsid w:val="5ECC48FE"/>
    <w:rsid w:val="5EE27322"/>
    <w:rsid w:val="5EE754CD"/>
    <w:rsid w:val="5EF90F38"/>
    <w:rsid w:val="5EFC3DF3"/>
    <w:rsid w:val="5EFE7729"/>
    <w:rsid w:val="5F1A7C45"/>
    <w:rsid w:val="5F1B1311"/>
    <w:rsid w:val="5F271781"/>
    <w:rsid w:val="5F2C7703"/>
    <w:rsid w:val="5F2D3BA7"/>
    <w:rsid w:val="5F2D41DB"/>
    <w:rsid w:val="5F2E2567"/>
    <w:rsid w:val="5F351466"/>
    <w:rsid w:val="5F3B7088"/>
    <w:rsid w:val="5F3F7F9F"/>
    <w:rsid w:val="5F491204"/>
    <w:rsid w:val="5F4A2300"/>
    <w:rsid w:val="5F4C7B97"/>
    <w:rsid w:val="5F5B2D8E"/>
    <w:rsid w:val="5F5D7871"/>
    <w:rsid w:val="5F6D308F"/>
    <w:rsid w:val="5F85579E"/>
    <w:rsid w:val="5F9C378D"/>
    <w:rsid w:val="5FAE34C2"/>
    <w:rsid w:val="5FD40276"/>
    <w:rsid w:val="60175CD6"/>
    <w:rsid w:val="60176AA2"/>
    <w:rsid w:val="601B28E3"/>
    <w:rsid w:val="602F7308"/>
    <w:rsid w:val="60363E97"/>
    <w:rsid w:val="60390891"/>
    <w:rsid w:val="603B57E2"/>
    <w:rsid w:val="60491387"/>
    <w:rsid w:val="605F45E6"/>
    <w:rsid w:val="60622D18"/>
    <w:rsid w:val="608150AB"/>
    <w:rsid w:val="608B2B9F"/>
    <w:rsid w:val="60A56859"/>
    <w:rsid w:val="60C12F3B"/>
    <w:rsid w:val="60C446F4"/>
    <w:rsid w:val="60EF4639"/>
    <w:rsid w:val="60FB1462"/>
    <w:rsid w:val="6103342C"/>
    <w:rsid w:val="61091F0D"/>
    <w:rsid w:val="610F55B4"/>
    <w:rsid w:val="61133CE2"/>
    <w:rsid w:val="611B0D02"/>
    <w:rsid w:val="61412EF8"/>
    <w:rsid w:val="614A3941"/>
    <w:rsid w:val="6153051A"/>
    <w:rsid w:val="6171354E"/>
    <w:rsid w:val="617D5CB0"/>
    <w:rsid w:val="6181266C"/>
    <w:rsid w:val="619D5852"/>
    <w:rsid w:val="61BD0587"/>
    <w:rsid w:val="61E118C0"/>
    <w:rsid w:val="61E138C1"/>
    <w:rsid w:val="61E84C4F"/>
    <w:rsid w:val="61F5523D"/>
    <w:rsid w:val="61FD7A76"/>
    <w:rsid w:val="6205712F"/>
    <w:rsid w:val="62211BE9"/>
    <w:rsid w:val="622A170C"/>
    <w:rsid w:val="623B6AF5"/>
    <w:rsid w:val="624E6C49"/>
    <w:rsid w:val="625E4148"/>
    <w:rsid w:val="626B73B4"/>
    <w:rsid w:val="628C1DFF"/>
    <w:rsid w:val="62B01EDB"/>
    <w:rsid w:val="62C63218"/>
    <w:rsid w:val="62CC03C7"/>
    <w:rsid w:val="62CE4523"/>
    <w:rsid w:val="62D42335"/>
    <w:rsid w:val="62D90A3C"/>
    <w:rsid w:val="630519E9"/>
    <w:rsid w:val="630E2DDB"/>
    <w:rsid w:val="631B4BDA"/>
    <w:rsid w:val="633F7843"/>
    <w:rsid w:val="635762C5"/>
    <w:rsid w:val="636A6E94"/>
    <w:rsid w:val="636E2B43"/>
    <w:rsid w:val="637800E7"/>
    <w:rsid w:val="63881923"/>
    <w:rsid w:val="638C6885"/>
    <w:rsid w:val="638E1B1D"/>
    <w:rsid w:val="63955C1C"/>
    <w:rsid w:val="63A54F9A"/>
    <w:rsid w:val="63A73745"/>
    <w:rsid w:val="63AB6485"/>
    <w:rsid w:val="63B11F64"/>
    <w:rsid w:val="63B96F1D"/>
    <w:rsid w:val="63C86ED4"/>
    <w:rsid w:val="63D97AF2"/>
    <w:rsid w:val="63E42C7A"/>
    <w:rsid w:val="640A46DE"/>
    <w:rsid w:val="64497757"/>
    <w:rsid w:val="644F5438"/>
    <w:rsid w:val="646123A7"/>
    <w:rsid w:val="646131EC"/>
    <w:rsid w:val="64632645"/>
    <w:rsid w:val="647457D7"/>
    <w:rsid w:val="64750192"/>
    <w:rsid w:val="647629E6"/>
    <w:rsid w:val="647E6AED"/>
    <w:rsid w:val="64920E2E"/>
    <w:rsid w:val="64D2459F"/>
    <w:rsid w:val="64FE57AC"/>
    <w:rsid w:val="650F05CF"/>
    <w:rsid w:val="652D5DD2"/>
    <w:rsid w:val="65443130"/>
    <w:rsid w:val="655C0A23"/>
    <w:rsid w:val="657440BC"/>
    <w:rsid w:val="6578399B"/>
    <w:rsid w:val="65805B12"/>
    <w:rsid w:val="65A60BFC"/>
    <w:rsid w:val="65AA65AA"/>
    <w:rsid w:val="65B102F2"/>
    <w:rsid w:val="65B306B7"/>
    <w:rsid w:val="65E85644"/>
    <w:rsid w:val="65EC24A8"/>
    <w:rsid w:val="66031BF7"/>
    <w:rsid w:val="660D3C59"/>
    <w:rsid w:val="660E5149"/>
    <w:rsid w:val="661805B7"/>
    <w:rsid w:val="66596772"/>
    <w:rsid w:val="665F456B"/>
    <w:rsid w:val="665F7066"/>
    <w:rsid w:val="667C27A2"/>
    <w:rsid w:val="66977FB4"/>
    <w:rsid w:val="669C2227"/>
    <w:rsid w:val="66B22778"/>
    <w:rsid w:val="66C14E4C"/>
    <w:rsid w:val="66C919D8"/>
    <w:rsid w:val="66DE67BA"/>
    <w:rsid w:val="66EC4ECA"/>
    <w:rsid w:val="66FC0C0B"/>
    <w:rsid w:val="67155475"/>
    <w:rsid w:val="671E08B8"/>
    <w:rsid w:val="67331989"/>
    <w:rsid w:val="673D6C9C"/>
    <w:rsid w:val="673E3563"/>
    <w:rsid w:val="674F332C"/>
    <w:rsid w:val="67513297"/>
    <w:rsid w:val="675576FD"/>
    <w:rsid w:val="675E4FFF"/>
    <w:rsid w:val="6767437B"/>
    <w:rsid w:val="677D41BB"/>
    <w:rsid w:val="678361F0"/>
    <w:rsid w:val="678C27B2"/>
    <w:rsid w:val="67A65467"/>
    <w:rsid w:val="67AE678D"/>
    <w:rsid w:val="67C2064C"/>
    <w:rsid w:val="67C43F9F"/>
    <w:rsid w:val="67CB129B"/>
    <w:rsid w:val="67D86D04"/>
    <w:rsid w:val="67D93C36"/>
    <w:rsid w:val="67E529B9"/>
    <w:rsid w:val="67F642A8"/>
    <w:rsid w:val="67FC31EB"/>
    <w:rsid w:val="681B5058"/>
    <w:rsid w:val="6837285A"/>
    <w:rsid w:val="6837462A"/>
    <w:rsid w:val="6845676F"/>
    <w:rsid w:val="684E42D6"/>
    <w:rsid w:val="6850348E"/>
    <w:rsid w:val="685D03B3"/>
    <w:rsid w:val="68735C46"/>
    <w:rsid w:val="689B36B4"/>
    <w:rsid w:val="68B70904"/>
    <w:rsid w:val="68B82399"/>
    <w:rsid w:val="68DD095F"/>
    <w:rsid w:val="68E34CC9"/>
    <w:rsid w:val="68E915CB"/>
    <w:rsid w:val="68EB37DA"/>
    <w:rsid w:val="68FE2E31"/>
    <w:rsid w:val="6907144C"/>
    <w:rsid w:val="69093839"/>
    <w:rsid w:val="691B0299"/>
    <w:rsid w:val="692A1212"/>
    <w:rsid w:val="69635503"/>
    <w:rsid w:val="698B44E9"/>
    <w:rsid w:val="698F00A6"/>
    <w:rsid w:val="699B2EA1"/>
    <w:rsid w:val="69AD2EE5"/>
    <w:rsid w:val="69BE295F"/>
    <w:rsid w:val="69BF676C"/>
    <w:rsid w:val="69D41C43"/>
    <w:rsid w:val="69E470BB"/>
    <w:rsid w:val="6A0741F9"/>
    <w:rsid w:val="6A1367AA"/>
    <w:rsid w:val="6A24568A"/>
    <w:rsid w:val="6A3B1469"/>
    <w:rsid w:val="6A436FC0"/>
    <w:rsid w:val="6A437819"/>
    <w:rsid w:val="6A542BBC"/>
    <w:rsid w:val="6A582B8E"/>
    <w:rsid w:val="6A5E03C4"/>
    <w:rsid w:val="6A6418AC"/>
    <w:rsid w:val="6A900319"/>
    <w:rsid w:val="6A990553"/>
    <w:rsid w:val="6A9E7E16"/>
    <w:rsid w:val="6AA51CD7"/>
    <w:rsid w:val="6ABB2A86"/>
    <w:rsid w:val="6ABD24E1"/>
    <w:rsid w:val="6AD86CBB"/>
    <w:rsid w:val="6AE27F15"/>
    <w:rsid w:val="6AF76F45"/>
    <w:rsid w:val="6B017035"/>
    <w:rsid w:val="6B0B11CE"/>
    <w:rsid w:val="6B272C8C"/>
    <w:rsid w:val="6B276EC5"/>
    <w:rsid w:val="6B3A49F9"/>
    <w:rsid w:val="6B3C298D"/>
    <w:rsid w:val="6B483769"/>
    <w:rsid w:val="6B5477F9"/>
    <w:rsid w:val="6B6709FE"/>
    <w:rsid w:val="6B761DFE"/>
    <w:rsid w:val="6B7D3275"/>
    <w:rsid w:val="6B7F6055"/>
    <w:rsid w:val="6B9609AA"/>
    <w:rsid w:val="6B9C0A17"/>
    <w:rsid w:val="6BB04AC5"/>
    <w:rsid w:val="6BB30B00"/>
    <w:rsid w:val="6BB668A2"/>
    <w:rsid w:val="6BE61148"/>
    <w:rsid w:val="6BE770D4"/>
    <w:rsid w:val="6BE92621"/>
    <w:rsid w:val="6BF66243"/>
    <w:rsid w:val="6C031CBB"/>
    <w:rsid w:val="6C1702B5"/>
    <w:rsid w:val="6C1D2B12"/>
    <w:rsid w:val="6C5C0714"/>
    <w:rsid w:val="6C6A77E5"/>
    <w:rsid w:val="6C763430"/>
    <w:rsid w:val="6C940AC5"/>
    <w:rsid w:val="6C970312"/>
    <w:rsid w:val="6CB02608"/>
    <w:rsid w:val="6CBB577E"/>
    <w:rsid w:val="6CC83FFB"/>
    <w:rsid w:val="6CD72490"/>
    <w:rsid w:val="6CE12B30"/>
    <w:rsid w:val="6CFE17CB"/>
    <w:rsid w:val="6D035FE0"/>
    <w:rsid w:val="6D0674E7"/>
    <w:rsid w:val="6D322BEA"/>
    <w:rsid w:val="6D380E8D"/>
    <w:rsid w:val="6D3A4E80"/>
    <w:rsid w:val="6D425D67"/>
    <w:rsid w:val="6D5E2EF3"/>
    <w:rsid w:val="6D5F0757"/>
    <w:rsid w:val="6D6B7309"/>
    <w:rsid w:val="6D701218"/>
    <w:rsid w:val="6D8B1F81"/>
    <w:rsid w:val="6DB33A0F"/>
    <w:rsid w:val="6DB64F2C"/>
    <w:rsid w:val="6DBB6589"/>
    <w:rsid w:val="6DBE6F7F"/>
    <w:rsid w:val="6E0E5C0E"/>
    <w:rsid w:val="6E127679"/>
    <w:rsid w:val="6E142EBC"/>
    <w:rsid w:val="6E241705"/>
    <w:rsid w:val="6E450706"/>
    <w:rsid w:val="6E5531BA"/>
    <w:rsid w:val="6E5747E6"/>
    <w:rsid w:val="6E744C81"/>
    <w:rsid w:val="6E807EB5"/>
    <w:rsid w:val="6E852F1E"/>
    <w:rsid w:val="6E8F2E2C"/>
    <w:rsid w:val="6E97067C"/>
    <w:rsid w:val="6EC358D5"/>
    <w:rsid w:val="6EDC6BD5"/>
    <w:rsid w:val="6EEF7DCD"/>
    <w:rsid w:val="6EF00A50"/>
    <w:rsid w:val="6EF7570C"/>
    <w:rsid w:val="6F03131A"/>
    <w:rsid w:val="6F046B44"/>
    <w:rsid w:val="6F1827F6"/>
    <w:rsid w:val="6F2302FC"/>
    <w:rsid w:val="6F38057D"/>
    <w:rsid w:val="6F457B85"/>
    <w:rsid w:val="6F5A590F"/>
    <w:rsid w:val="6F8D0341"/>
    <w:rsid w:val="6FA5324C"/>
    <w:rsid w:val="6FB57B39"/>
    <w:rsid w:val="6FC94DB9"/>
    <w:rsid w:val="6FE4739E"/>
    <w:rsid w:val="6FF53AEB"/>
    <w:rsid w:val="7010062E"/>
    <w:rsid w:val="70136605"/>
    <w:rsid w:val="70227EC6"/>
    <w:rsid w:val="7025072D"/>
    <w:rsid w:val="70343755"/>
    <w:rsid w:val="70440B5E"/>
    <w:rsid w:val="70616401"/>
    <w:rsid w:val="70691FFA"/>
    <w:rsid w:val="7093092F"/>
    <w:rsid w:val="70B140BC"/>
    <w:rsid w:val="70BF0E52"/>
    <w:rsid w:val="70C1692E"/>
    <w:rsid w:val="70D965B6"/>
    <w:rsid w:val="70DB4644"/>
    <w:rsid w:val="70F03F2C"/>
    <w:rsid w:val="70F70DA5"/>
    <w:rsid w:val="70F80823"/>
    <w:rsid w:val="70FB0062"/>
    <w:rsid w:val="71135193"/>
    <w:rsid w:val="713E301F"/>
    <w:rsid w:val="714B51FB"/>
    <w:rsid w:val="715478BD"/>
    <w:rsid w:val="715A3430"/>
    <w:rsid w:val="71620FC4"/>
    <w:rsid w:val="71693B7D"/>
    <w:rsid w:val="716A5473"/>
    <w:rsid w:val="717209D9"/>
    <w:rsid w:val="719F47DB"/>
    <w:rsid w:val="71B237A2"/>
    <w:rsid w:val="71D5081C"/>
    <w:rsid w:val="71DF7FAB"/>
    <w:rsid w:val="71E3683B"/>
    <w:rsid w:val="71EC03A8"/>
    <w:rsid w:val="71ED1E0E"/>
    <w:rsid w:val="71FB6DD9"/>
    <w:rsid w:val="722117A8"/>
    <w:rsid w:val="723C3F2A"/>
    <w:rsid w:val="723D1D16"/>
    <w:rsid w:val="72423204"/>
    <w:rsid w:val="72483C67"/>
    <w:rsid w:val="72561EC2"/>
    <w:rsid w:val="7264196C"/>
    <w:rsid w:val="7276200C"/>
    <w:rsid w:val="72A113A0"/>
    <w:rsid w:val="72A22524"/>
    <w:rsid w:val="72B110AA"/>
    <w:rsid w:val="72C614C6"/>
    <w:rsid w:val="72D16AD6"/>
    <w:rsid w:val="72EC0BBC"/>
    <w:rsid w:val="72F04E51"/>
    <w:rsid w:val="72F47418"/>
    <w:rsid w:val="72FC2F08"/>
    <w:rsid w:val="72FD2C27"/>
    <w:rsid w:val="730337E7"/>
    <w:rsid w:val="73083368"/>
    <w:rsid w:val="730F7414"/>
    <w:rsid w:val="73255192"/>
    <w:rsid w:val="7334590B"/>
    <w:rsid w:val="734E649F"/>
    <w:rsid w:val="73506D73"/>
    <w:rsid w:val="73647ED3"/>
    <w:rsid w:val="736E0477"/>
    <w:rsid w:val="73700F48"/>
    <w:rsid w:val="7370509D"/>
    <w:rsid w:val="737138B7"/>
    <w:rsid w:val="737C5B3F"/>
    <w:rsid w:val="73872549"/>
    <w:rsid w:val="739B65CC"/>
    <w:rsid w:val="739C0639"/>
    <w:rsid w:val="739E2B0F"/>
    <w:rsid w:val="73A10DE4"/>
    <w:rsid w:val="73AD10F7"/>
    <w:rsid w:val="73AF381F"/>
    <w:rsid w:val="73B13622"/>
    <w:rsid w:val="73D15EDF"/>
    <w:rsid w:val="73EC112F"/>
    <w:rsid w:val="73EF53F8"/>
    <w:rsid w:val="73F146FB"/>
    <w:rsid w:val="73F51C2A"/>
    <w:rsid w:val="74075128"/>
    <w:rsid w:val="741C52DC"/>
    <w:rsid w:val="7431692A"/>
    <w:rsid w:val="743367DA"/>
    <w:rsid w:val="74394EF6"/>
    <w:rsid w:val="74615DFE"/>
    <w:rsid w:val="746E65E8"/>
    <w:rsid w:val="74785E72"/>
    <w:rsid w:val="74A806A4"/>
    <w:rsid w:val="74A97FED"/>
    <w:rsid w:val="74C30C7A"/>
    <w:rsid w:val="74D01DEA"/>
    <w:rsid w:val="74D34EE4"/>
    <w:rsid w:val="74FE7100"/>
    <w:rsid w:val="750529EE"/>
    <w:rsid w:val="75060784"/>
    <w:rsid w:val="750C3A82"/>
    <w:rsid w:val="753D4E5A"/>
    <w:rsid w:val="754353CB"/>
    <w:rsid w:val="754C59EE"/>
    <w:rsid w:val="75614DF1"/>
    <w:rsid w:val="75641978"/>
    <w:rsid w:val="75680100"/>
    <w:rsid w:val="759251A6"/>
    <w:rsid w:val="759A0D5D"/>
    <w:rsid w:val="75A55F2F"/>
    <w:rsid w:val="75AC68CF"/>
    <w:rsid w:val="75B25B4E"/>
    <w:rsid w:val="75B37527"/>
    <w:rsid w:val="75C556E6"/>
    <w:rsid w:val="75C8075C"/>
    <w:rsid w:val="75D32F77"/>
    <w:rsid w:val="75D65F1F"/>
    <w:rsid w:val="75D971F0"/>
    <w:rsid w:val="75F15B98"/>
    <w:rsid w:val="760747EF"/>
    <w:rsid w:val="7625601A"/>
    <w:rsid w:val="762B3034"/>
    <w:rsid w:val="7633645C"/>
    <w:rsid w:val="764F12E9"/>
    <w:rsid w:val="76566613"/>
    <w:rsid w:val="76586F31"/>
    <w:rsid w:val="765A2A81"/>
    <w:rsid w:val="767D4440"/>
    <w:rsid w:val="7685534A"/>
    <w:rsid w:val="76C26C95"/>
    <w:rsid w:val="76CD6368"/>
    <w:rsid w:val="76E81F3B"/>
    <w:rsid w:val="76EB23BB"/>
    <w:rsid w:val="76EC2BE5"/>
    <w:rsid w:val="77001118"/>
    <w:rsid w:val="770245AD"/>
    <w:rsid w:val="771F1C49"/>
    <w:rsid w:val="77371ED5"/>
    <w:rsid w:val="77506DA4"/>
    <w:rsid w:val="7752444E"/>
    <w:rsid w:val="776173AA"/>
    <w:rsid w:val="77707E71"/>
    <w:rsid w:val="7773561C"/>
    <w:rsid w:val="777C610E"/>
    <w:rsid w:val="77980C5E"/>
    <w:rsid w:val="77A00FC9"/>
    <w:rsid w:val="77A17922"/>
    <w:rsid w:val="77A878D8"/>
    <w:rsid w:val="77A95D9E"/>
    <w:rsid w:val="77AF4DEB"/>
    <w:rsid w:val="77B10EBC"/>
    <w:rsid w:val="77C65209"/>
    <w:rsid w:val="77DA5287"/>
    <w:rsid w:val="77DB40E7"/>
    <w:rsid w:val="77E97FEE"/>
    <w:rsid w:val="780B1F1C"/>
    <w:rsid w:val="78260158"/>
    <w:rsid w:val="782868C6"/>
    <w:rsid w:val="782D7C8B"/>
    <w:rsid w:val="783D4453"/>
    <w:rsid w:val="78523340"/>
    <w:rsid w:val="785463C9"/>
    <w:rsid w:val="78563F05"/>
    <w:rsid w:val="78677429"/>
    <w:rsid w:val="786F7741"/>
    <w:rsid w:val="7874477B"/>
    <w:rsid w:val="787B63C5"/>
    <w:rsid w:val="78811F56"/>
    <w:rsid w:val="78834F0C"/>
    <w:rsid w:val="789A2C7F"/>
    <w:rsid w:val="78F733EA"/>
    <w:rsid w:val="790D56E5"/>
    <w:rsid w:val="79100524"/>
    <w:rsid w:val="7914093E"/>
    <w:rsid w:val="79222CE5"/>
    <w:rsid w:val="79256331"/>
    <w:rsid w:val="792D293F"/>
    <w:rsid w:val="792D7B17"/>
    <w:rsid w:val="7940600F"/>
    <w:rsid w:val="794A6ED9"/>
    <w:rsid w:val="794E1506"/>
    <w:rsid w:val="794F75FA"/>
    <w:rsid w:val="79597D43"/>
    <w:rsid w:val="795E62D7"/>
    <w:rsid w:val="795F1479"/>
    <w:rsid w:val="796030E3"/>
    <w:rsid w:val="796C44C2"/>
    <w:rsid w:val="797850DB"/>
    <w:rsid w:val="797A05F9"/>
    <w:rsid w:val="797D28D3"/>
    <w:rsid w:val="79871991"/>
    <w:rsid w:val="798A66C9"/>
    <w:rsid w:val="79933DC1"/>
    <w:rsid w:val="799930AF"/>
    <w:rsid w:val="79A61611"/>
    <w:rsid w:val="79AE792D"/>
    <w:rsid w:val="79AF65AB"/>
    <w:rsid w:val="79B30025"/>
    <w:rsid w:val="79C3243C"/>
    <w:rsid w:val="79C923B8"/>
    <w:rsid w:val="79C93160"/>
    <w:rsid w:val="79ED26D6"/>
    <w:rsid w:val="79F338BE"/>
    <w:rsid w:val="79F41B44"/>
    <w:rsid w:val="7A004DE7"/>
    <w:rsid w:val="7A0763B9"/>
    <w:rsid w:val="7A3339A4"/>
    <w:rsid w:val="7A474C6A"/>
    <w:rsid w:val="7A4961C9"/>
    <w:rsid w:val="7A6A3213"/>
    <w:rsid w:val="7A70733F"/>
    <w:rsid w:val="7A7A4749"/>
    <w:rsid w:val="7AB57062"/>
    <w:rsid w:val="7AD938F0"/>
    <w:rsid w:val="7AEE6C00"/>
    <w:rsid w:val="7B280207"/>
    <w:rsid w:val="7B2C2CB2"/>
    <w:rsid w:val="7B3F0A1A"/>
    <w:rsid w:val="7B512E8E"/>
    <w:rsid w:val="7B675A8C"/>
    <w:rsid w:val="7B6C6ABF"/>
    <w:rsid w:val="7B786BEC"/>
    <w:rsid w:val="7BC27391"/>
    <w:rsid w:val="7BD87353"/>
    <w:rsid w:val="7BFB3162"/>
    <w:rsid w:val="7C004F21"/>
    <w:rsid w:val="7C1310B0"/>
    <w:rsid w:val="7C1831D3"/>
    <w:rsid w:val="7C4860C0"/>
    <w:rsid w:val="7C522078"/>
    <w:rsid w:val="7C7C1DFD"/>
    <w:rsid w:val="7C8B12AC"/>
    <w:rsid w:val="7C8D592C"/>
    <w:rsid w:val="7C9B0A23"/>
    <w:rsid w:val="7CD63AD8"/>
    <w:rsid w:val="7CE907EF"/>
    <w:rsid w:val="7CF45FD7"/>
    <w:rsid w:val="7D0C3904"/>
    <w:rsid w:val="7D1C455C"/>
    <w:rsid w:val="7D3A314A"/>
    <w:rsid w:val="7D441D37"/>
    <w:rsid w:val="7D45505E"/>
    <w:rsid w:val="7D6D57D7"/>
    <w:rsid w:val="7D7D2BE0"/>
    <w:rsid w:val="7D864059"/>
    <w:rsid w:val="7D8B4115"/>
    <w:rsid w:val="7D8D7EE2"/>
    <w:rsid w:val="7D9B13EB"/>
    <w:rsid w:val="7D9C2102"/>
    <w:rsid w:val="7DB95C4B"/>
    <w:rsid w:val="7DCB3532"/>
    <w:rsid w:val="7DD85570"/>
    <w:rsid w:val="7DE844FD"/>
    <w:rsid w:val="7DE86126"/>
    <w:rsid w:val="7DF31C30"/>
    <w:rsid w:val="7E03516E"/>
    <w:rsid w:val="7E13767C"/>
    <w:rsid w:val="7E1E0BC2"/>
    <w:rsid w:val="7E2B06DF"/>
    <w:rsid w:val="7E35421C"/>
    <w:rsid w:val="7E5474D7"/>
    <w:rsid w:val="7E5E6533"/>
    <w:rsid w:val="7E68747F"/>
    <w:rsid w:val="7E884C43"/>
    <w:rsid w:val="7E9C60C5"/>
    <w:rsid w:val="7EA63B2E"/>
    <w:rsid w:val="7EB1265D"/>
    <w:rsid w:val="7ECA2953"/>
    <w:rsid w:val="7F0035BE"/>
    <w:rsid w:val="7F032C71"/>
    <w:rsid w:val="7F0541BD"/>
    <w:rsid w:val="7F130A77"/>
    <w:rsid w:val="7F15199F"/>
    <w:rsid w:val="7F175454"/>
    <w:rsid w:val="7F1D2427"/>
    <w:rsid w:val="7F2B605D"/>
    <w:rsid w:val="7F3065FB"/>
    <w:rsid w:val="7F4D1D3C"/>
    <w:rsid w:val="7F6B26B8"/>
    <w:rsid w:val="7F7A51D0"/>
    <w:rsid w:val="7F967119"/>
    <w:rsid w:val="7FBB2356"/>
    <w:rsid w:val="7FE75998"/>
    <w:rsid w:val="7FF31F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qFormat="1"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iPriority="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iPriority="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iPriority="0" w:name="E-mail Signature"/>
    <w:lsdException w:qFormat="1" w:unhideWhenUsed="0" w:uiPriority="0" w:semiHidden="0" w:name="Normal (Web)"/>
    <w:lsdException w:unhideWhenUsed="0" w:uiPriority="0" w:semiHidden="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wordWrap w:val="0"/>
      <w:spacing w:line="360" w:lineRule="auto"/>
      <w:ind w:firstLine="1044" w:firstLineChars="200"/>
    </w:pPr>
    <w:rPr>
      <w:rFonts w:ascii="Times New Roman" w:hAnsi="Times New Roman" w:eastAsia="宋体" w:cs="Times New Roman"/>
      <w:kern w:val="2"/>
      <w:sz w:val="24"/>
      <w:szCs w:val="24"/>
      <w:lang w:val="en-US" w:eastAsia="zh-CN" w:bidi="ar-SA"/>
    </w:rPr>
  </w:style>
  <w:style w:type="paragraph" w:styleId="3">
    <w:name w:val="heading 1"/>
    <w:basedOn w:val="1"/>
    <w:next w:val="1"/>
    <w:link w:val="54"/>
    <w:qFormat/>
    <w:uiPriority w:val="0"/>
    <w:pPr>
      <w:spacing w:line="240" w:lineRule="auto"/>
      <w:jc w:val="center"/>
      <w:outlineLvl w:val="0"/>
    </w:pPr>
    <w:rPr>
      <w:b/>
      <w:bCs/>
      <w:sz w:val="32"/>
      <w:szCs w:val="32"/>
    </w:rPr>
  </w:style>
  <w:style w:type="paragraph" w:styleId="4">
    <w:name w:val="heading 2"/>
    <w:basedOn w:val="1"/>
    <w:next w:val="1"/>
    <w:link w:val="55"/>
    <w:unhideWhenUsed/>
    <w:qFormat/>
    <w:uiPriority w:val="0"/>
    <w:pPr>
      <w:spacing w:line="480" w:lineRule="exact"/>
      <w:outlineLvl w:val="1"/>
    </w:pPr>
    <w:rPr>
      <w:b/>
      <w:sz w:val="28"/>
      <w:szCs w:val="28"/>
    </w:rPr>
  </w:style>
  <w:style w:type="paragraph" w:styleId="5">
    <w:name w:val="heading 3"/>
    <w:basedOn w:val="1"/>
    <w:next w:val="1"/>
    <w:link w:val="53"/>
    <w:unhideWhenUsed/>
    <w:qFormat/>
    <w:uiPriority w:val="0"/>
    <w:pPr>
      <w:keepNext/>
      <w:keepLines/>
      <w:spacing w:before="260" w:after="260" w:line="416" w:lineRule="auto"/>
      <w:outlineLvl w:val="2"/>
    </w:pPr>
    <w:rPr>
      <w:b/>
      <w:bCs/>
      <w:sz w:val="32"/>
      <w:szCs w:val="32"/>
    </w:rPr>
  </w:style>
  <w:style w:type="paragraph" w:styleId="2">
    <w:name w:val="heading 4"/>
    <w:basedOn w:val="1"/>
    <w:next w:val="1"/>
    <w:qFormat/>
    <w:uiPriority w:val="9"/>
    <w:pPr>
      <w:keepNext/>
      <w:keepLines/>
      <w:spacing w:line="376" w:lineRule="auto"/>
      <w:outlineLvl w:val="3"/>
    </w:pPr>
    <w:rPr>
      <w:rFonts w:ascii="Cambria" w:hAnsi="Cambria"/>
      <w:b/>
      <w:bCs/>
      <w:sz w:val="28"/>
      <w:szCs w:val="28"/>
    </w:rPr>
  </w:style>
  <w:style w:type="character" w:default="1" w:styleId="29">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2"/>
    <w:qFormat/>
    <w:uiPriority w:val="0"/>
    <w:pPr>
      <w:ind w:firstLine="200"/>
    </w:pPr>
    <w:rPr>
      <w:sz w:val="28"/>
    </w:rPr>
  </w:style>
  <w:style w:type="paragraph" w:styleId="7">
    <w:name w:val="annotation text"/>
    <w:basedOn w:val="1"/>
    <w:link w:val="76"/>
    <w:qFormat/>
    <w:uiPriority w:val="0"/>
    <w:rPr>
      <w:kern w:val="0"/>
      <w:szCs w:val="20"/>
    </w:rPr>
  </w:style>
  <w:style w:type="paragraph" w:styleId="8">
    <w:name w:val="Salutation"/>
    <w:basedOn w:val="1"/>
    <w:next w:val="1"/>
    <w:qFormat/>
    <w:uiPriority w:val="0"/>
  </w:style>
  <w:style w:type="paragraph" w:styleId="9">
    <w:name w:val="Body Text"/>
    <w:basedOn w:val="1"/>
    <w:next w:val="10"/>
    <w:link w:val="56"/>
    <w:qFormat/>
    <w:uiPriority w:val="0"/>
    <w:pPr>
      <w:widowControl/>
      <w:snapToGrid w:val="0"/>
      <w:spacing w:before="60" w:after="160" w:line="259" w:lineRule="auto"/>
      <w:ind w:right="113"/>
    </w:pPr>
    <w:rPr>
      <w:kern w:val="0"/>
      <w:sz w:val="18"/>
      <w:szCs w:val="20"/>
    </w:rPr>
  </w:style>
  <w:style w:type="paragraph" w:customStyle="1" w:styleId="10">
    <w:name w:val="xl27"/>
    <w:basedOn w:val="1"/>
    <w:next w:val="11"/>
    <w:qFormat/>
    <w:uiPriority w:val="0"/>
    <w:pPr>
      <w:widowControl/>
      <w:pBdr>
        <w:bottom w:val="single" w:color="auto" w:sz="4" w:space="0"/>
        <w:right w:val="single" w:color="auto" w:sz="4" w:space="0"/>
      </w:pBdr>
      <w:spacing w:before="100" w:beforeAutospacing="1" w:after="100" w:afterAutospacing="1"/>
      <w:jc w:val="center"/>
    </w:pPr>
    <w:rPr>
      <w:rFonts w:hint="eastAsia" w:ascii="仿宋_GB2312" w:hAnsi="Arial Unicode MS" w:eastAsia="宋体" w:cs="Times New Roman"/>
      <w:kern w:val="0"/>
      <w:szCs w:val="21"/>
    </w:rPr>
  </w:style>
  <w:style w:type="paragraph" w:customStyle="1" w:styleId="11">
    <w:name w:val="A正文"/>
    <w:basedOn w:val="12"/>
    <w:next w:val="9"/>
    <w:qFormat/>
    <w:uiPriority w:val="0"/>
    <w:pPr>
      <w:widowControl/>
      <w:overflowPunct w:val="0"/>
      <w:autoSpaceDE w:val="0"/>
      <w:autoSpaceDN w:val="0"/>
      <w:jc w:val="left"/>
      <w:textAlignment w:val="baseline"/>
    </w:pPr>
  </w:style>
  <w:style w:type="paragraph" w:customStyle="1" w:styleId="12">
    <w:name w:val="正文格式"/>
    <w:basedOn w:val="1"/>
    <w:next w:val="13"/>
    <w:qFormat/>
    <w:uiPriority w:val="0"/>
    <w:pPr>
      <w:widowControl/>
      <w:ind w:firstLine="482"/>
      <w:jc w:val="left"/>
    </w:pPr>
    <w:rPr>
      <w:rFonts w:ascii="宋体" w:hAnsi="Calibri" w:cs="Times New Roman"/>
    </w:rPr>
  </w:style>
  <w:style w:type="paragraph" w:styleId="13">
    <w:name w:val="List Paragraph"/>
    <w:basedOn w:val="1"/>
    <w:qFormat/>
    <w:uiPriority w:val="1"/>
    <w:pPr>
      <w:spacing w:before="161"/>
      <w:ind w:left="1299" w:hanging="602"/>
    </w:pPr>
    <w:rPr>
      <w:rFonts w:ascii="宋体" w:hAnsi="宋体" w:cs="宋体"/>
      <w:lang w:val="zh-CN" w:bidi="zh-CN"/>
    </w:rPr>
  </w:style>
  <w:style w:type="paragraph" w:styleId="14">
    <w:name w:val="Body Text Indent"/>
    <w:basedOn w:val="1"/>
    <w:next w:val="9"/>
    <w:unhideWhenUsed/>
    <w:qFormat/>
    <w:uiPriority w:val="0"/>
    <w:pPr>
      <w:ind w:left="420" w:leftChars="200"/>
    </w:pPr>
    <w:rPr>
      <w:kern w:val="0"/>
    </w:rPr>
  </w:style>
  <w:style w:type="paragraph" w:styleId="15">
    <w:name w:val="Plain Text"/>
    <w:basedOn w:val="1"/>
    <w:unhideWhenUsed/>
    <w:qFormat/>
    <w:uiPriority w:val="0"/>
    <w:rPr>
      <w:rFonts w:hint="eastAsia" w:ascii="宋体" w:hAnsi="Courier New"/>
    </w:rPr>
  </w:style>
  <w:style w:type="paragraph" w:styleId="16">
    <w:name w:val="Body Text Indent 2"/>
    <w:basedOn w:val="1"/>
    <w:next w:val="17"/>
    <w:qFormat/>
    <w:uiPriority w:val="0"/>
    <w:pPr>
      <w:spacing w:before="120"/>
      <w:ind w:firstLine="527"/>
    </w:pPr>
    <w:rPr>
      <w:szCs w:val="20"/>
    </w:rPr>
  </w:style>
  <w:style w:type="paragraph" w:styleId="17">
    <w:name w:val="Body Text First Indent 2"/>
    <w:basedOn w:val="1"/>
    <w:next w:val="1"/>
    <w:unhideWhenUsed/>
    <w:qFormat/>
    <w:uiPriority w:val="0"/>
    <w:pPr>
      <w:widowControl/>
      <w:ind w:left="0" w:leftChars="0"/>
    </w:pPr>
    <w:rPr>
      <w:rFonts w:ascii="Arial" w:hAnsi="Arial"/>
      <w:sz w:val="20"/>
    </w:rPr>
  </w:style>
  <w:style w:type="paragraph" w:styleId="18">
    <w:name w:val="Balloon Text"/>
    <w:basedOn w:val="1"/>
    <w:link w:val="75"/>
    <w:qFormat/>
    <w:uiPriority w:val="0"/>
    <w:pPr>
      <w:spacing w:line="240" w:lineRule="auto"/>
    </w:pPr>
    <w:rPr>
      <w:sz w:val="18"/>
      <w:szCs w:val="18"/>
    </w:rPr>
  </w:style>
  <w:style w:type="paragraph" w:styleId="19">
    <w:name w:val="footer"/>
    <w:basedOn w:val="1"/>
    <w:link w:val="57"/>
    <w:qFormat/>
    <w:uiPriority w:val="99"/>
    <w:pPr>
      <w:tabs>
        <w:tab w:val="center" w:pos="4153"/>
        <w:tab w:val="right" w:pos="8306"/>
      </w:tabs>
      <w:snapToGrid w:val="0"/>
    </w:pPr>
    <w:rPr>
      <w:sz w:val="18"/>
      <w:szCs w:val="18"/>
    </w:rPr>
  </w:style>
  <w:style w:type="paragraph" w:styleId="20">
    <w:name w:val="header"/>
    <w:basedOn w:val="1"/>
    <w:next w:val="1"/>
    <w:link w:val="58"/>
    <w:qFormat/>
    <w:uiPriority w:val="0"/>
    <w:pPr>
      <w:pBdr>
        <w:bottom w:val="single" w:color="auto" w:sz="6" w:space="1"/>
      </w:pBdr>
      <w:tabs>
        <w:tab w:val="center" w:pos="4153"/>
        <w:tab w:val="right" w:pos="8306"/>
      </w:tabs>
      <w:snapToGrid w:val="0"/>
      <w:jc w:val="center"/>
    </w:pPr>
    <w:rPr>
      <w:sz w:val="18"/>
      <w:szCs w:val="18"/>
    </w:rPr>
  </w:style>
  <w:style w:type="paragraph" w:styleId="21">
    <w:name w:val="Subtitle"/>
    <w:basedOn w:val="1"/>
    <w:next w:val="1"/>
    <w:link w:val="59"/>
    <w:qFormat/>
    <w:uiPriority w:val="0"/>
    <w:pPr>
      <w:keepNext/>
      <w:keepLines/>
      <w:snapToGrid w:val="0"/>
      <w:spacing w:line="480" w:lineRule="exact"/>
      <w:ind w:firstLine="482"/>
    </w:pPr>
    <w:rPr>
      <w:b/>
    </w:rPr>
  </w:style>
  <w:style w:type="paragraph" w:styleId="22">
    <w:name w:val="toc 9"/>
    <w:next w:val="1"/>
    <w:unhideWhenUsed/>
    <w:qFormat/>
    <w:uiPriority w:val="0"/>
    <w:pPr>
      <w:wordWrap w:val="0"/>
      <w:ind w:left="2975"/>
      <w:jc w:val="both"/>
    </w:pPr>
    <w:rPr>
      <w:rFonts w:hint="eastAsia" w:ascii="Calibri" w:hAnsi="Calibri" w:eastAsia="Times New Roman" w:cs="Times New Roman"/>
      <w:snapToGrid w:val="0"/>
      <w:kern w:val="2"/>
      <w:sz w:val="21"/>
      <w:szCs w:val="24"/>
      <w:lang w:val="en-US" w:eastAsia="zh-CN" w:bidi="ar-SA"/>
    </w:rPr>
  </w:style>
  <w:style w:type="paragraph" w:styleId="23">
    <w:name w:val="Body Text 2"/>
    <w:basedOn w:val="1"/>
    <w:next w:val="1"/>
    <w:qFormat/>
    <w:uiPriority w:val="0"/>
    <w:pPr>
      <w:spacing w:beforeLines="50"/>
    </w:pPr>
    <w:rPr>
      <w:sz w:val="36"/>
    </w:rPr>
  </w:style>
  <w:style w:type="paragraph" w:styleId="24">
    <w:name w:val="Normal (Web)"/>
    <w:basedOn w:val="1"/>
    <w:qFormat/>
    <w:uiPriority w:val="0"/>
    <w:pPr>
      <w:widowControl/>
      <w:spacing w:before="100" w:beforeAutospacing="1" w:after="100" w:afterAutospacing="1"/>
    </w:pPr>
    <w:rPr>
      <w:rFonts w:ascii="宋体" w:hAnsi="宋体" w:cs="宋体"/>
      <w:kern w:val="0"/>
    </w:rPr>
  </w:style>
  <w:style w:type="paragraph" w:styleId="25">
    <w:name w:val="annotation subject"/>
    <w:basedOn w:val="7"/>
    <w:next w:val="7"/>
    <w:link w:val="77"/>
    <w:qFormat/>
    <w:uiPriority w:val="0"/>
    <w:rPr>
      <w:b/>
      <w:bCs/>
      <w:kern w:val="2"/>
      <w:szCs w:val="24"/>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8">
    <w:name w:val="Table Theme"/>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b/>
    </w:rPr>
  </w:style>
  <w:style w:type="character" w:styleId="31">
    <w:name w:val="page number"/>
    <w:unhideWhenUsed/>
    <w:qFormat/>
    <w:uiPriority w:val="0"/>
    <w:rPr>
      <w:rFonts w:hint="default"/>
      <w:sz w:val="24"/>
      <w:szCs w:val="24"/>
    </w:rPr>
  </w:style>
  <w:style w:type="character" w:styleId="32">
    <w:name w:val="Emphasis"/>
    <w:basedOn w:val="29"/>
    <w:qFormat/>
    <w:uiPriority w:val="0"/>
    <w:rPr>
      <w:i/>
    </w:rPr>
  </w:style>
  <w:style w:type="character" w:styleId="33">
    <w:name w:val="Hyperlink"/>
    <w:basedOn w:val="29"/>
    <w:qFormat/>
    <w:uiPriority w:val="0"/>
    <w:rPr>
      <w:color w:val="0000FF"/>
      <w:u w:val="single"/>
    </w:rPr>
  </w:style>
  <w:style w:type="character" w:styleId="34">
    <w:name w:val="annotation reference"/>
    <w:basedOn w:val="29"/>
    <w:semiHidden/>
    <w:qFormat/>
    <w:uiPriority w:val="0"/>
    <w:rPr>
      <w:sz w:val="21"/>
    </w:rPr>
  </w:style>
  <w:style w:type="paragraph" w:customStyle="1" w:styleId="35">
    <w:name w:val="Default1"/>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6">
    <w:name w:val="Default"/>
    <w:basedOn w:val="37"/>
    <w:next w:val="1"/>
    <w:qFormat/>
    <w:uiPriority w:val="0"/>
    <w:pPr>
      <w:autoSpaceDE w:val="0"/>
      <w:autoSpaceDN w:val="0"/>
      <w:adjustRightInd w:val="0"/>
    </w:pPr>
    <w:rPr>
      <w:rFonts w:ascii="宋体" w:cs="宋体"/>
      <w:sz w:val="24"/>
    </w:rPr>
  </w:style>
  <w:style w:type="paragraph" w:customStyle="1" w:styleId="37">
    <w:name w:val="纯文本1"/>
    <w:basedOn w:val="1"/>
    <w:next w:val="1"/>
    <w:qFormat/>
    <w:uiPriority w:val="0"/>
    <w:pPr>
      <w:adjustRightInd w:val="0"/>
    </w:pPr>
    <w:rPr>
      <w:rFonts w:ascii="宋体" w:hAnsi="Courier New"/>
      <w:szCs w:val="20"/>
    </w:rPr>
  </w:style>
  <w:style w:type="paragraph" w:customStyle="1" w:styleId="38">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39">
    <w:name w:val="标题2"/>
    <w:qFormat/>
    <w:uiPriority w:val="2"/>
    <w:pPr>
      <w:outlineLvl w:val="2"/>
    </w:pPr>
    <w:rPr>
      <w:rFonts w:ascii="Calibri" w:hAnsi="Calibri" w:eastAsia="宋体" w:cs="Times New Roman"/>
      <w:kern w:val="2"/>
      <w:sz w:val="21"/>
      <w:szCs w:val="22"/>
      <w:lang w:val="en-US" w:eastAsia="zh-CN" w:bidi="ar-SA"/>
    </w:rPr>
  </w:style>
  <w:style w:type="paragraph" w:customStyle="1" w:styleId="40">
    <w:name w:val="1正文段落"/>
    <w:basedOn w:val="1"/>
    <w:qFormat/>
    <w:uiPriority w:val="99"/>
    <w:pPr>
      <w:ind w:firstLine="480"/>
    </w:pPr>
    <w:rPr>
      <w:snapToGrid w:val="0"/>
      <w:kern w:val="0"/>
    </w:rPr>
  </w:style>
  <w:style w:type="paragraph" w:customStyle="1" w:styleId="41">
    <w:name w:val="表格一级"/>
    <w:basedOn w:val="1"/>
    <w:qFormat/>
    <w:uiPriority w:val="0"/>
    <w:pPr>
      <w:wordWrap w:val="0"/>
      <w:adjustRightInd w:val="0"/>
      <w:snapToGrid w:val="0"/>
      <w:ind w:firstLine="200"/>
      <w:textAlignment w:val="baseline"/>
    </w:pPr>
    <w:rPr>
      <w:rFonts w:hint="eastAsia"/>
      <w:szCs w:val="20"/>
    </w:rPr>
  </w:style>
  <w:style w:type="paragraph" w:customStyle="1" w:styleId="42">
    <w:name w:val="正文最终"/>
    <w:qFormat/>
    <w:uiPriority w:val="0"/>
    <w:pPr>
      <w:widowControl w:val="0"/>
      <w:snapToGrid w:val="0"/>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43">
    <w:name w:val="表格内容"/>
    <w:basedOn w:val="44"/>
    <w:next w:val="1"/>
    <w:qFormat/>
    <w:uiPriority w:val="0"/>
    <w:pPr>
      <w:ind w:left="120" w:leftChars="50" w:right="120" w:rightChars="50"/>
    </w:pPr>
    <w:rPr>
      <w:spacing w:val="-2"/>
      <w:sz w:val="21"/>
      <w:szCs w:val="18"/>
    </w:rPr>
  </w:style>
  <w:style w:type="paragraph" w:customStyle="1" w:styleId="44">
    <w:name w:val="表格标题"/>
    <w:basedOn w:val="15"/>
    <w:next w:val="43"/>
    <w:link w:val="85"/>
    <w:qFormat/>
    <w:uiPriority w:val="0"/>
    <w:pPr>
      <w:spacing w:line="240" w:lineRule="auto"/>
      <w:ind w:firstLine="0" w:firstLineChars="0"/>
      <w:jc w:val="center"/>
    </w:pPr>
    <w:rPr>
      <w:rFonts w:ascii="Times New Roman" w:hAnsi="Times New Roman"/>
      <w:b/>
    </w:rPr>
  </w:style>
  <w:style w:type="paragraph" w:customStyle="1" w:styleId="45">
    <w:name w:val="居中小四宋体"/>
    <w:basedOn w:val="15"/>
    <w:next w:val="1"/>
    <w:qFormat/>
    <w:uiPriority w:val="0"/>
    <w:pPr>
      <w:wordWrap w:val="0"/>
      <w:topLinePunct/>
      <w:adjustRightInd w:val="0"/>
      <w:snapToGrid w:val="0"/>
      <w:spacing w:beforeLines="10" w:afterLines="10" w:line="240" w:lineRule="auto"/>
      <w:ind w:firstLine="0" w:firstLineChars="0"/>
      <w:jc w:val="center"/>
    </w:pPr>
    <w:rPr>
      <w:rFonts w:ascii="Times New Roman" w:hAnsi="Times New Roman"/>
      <w:kern w:val="0"/>
      <w:szCs w:val="20"/>
    </w:rPr>
  </w:style>
  <w:style w:type="paragraph" w:customStyle="1" w:styleId="46">
    <w:name w:val="小四正文"/>
    <w:basedOn w:val="1"/>
    <w:link w:val="48"/>
    <w:unhideWhenUsed/>
    <w:qFormat/>
    <w:uiPriority w:val="0"/>
    <w:pPr>
      <w:wordWrap w:val="0"/>
      <w:ind w:firstLine="480"/>
      <w:textAlignment w:val="bottom"/>
    </w:pPr>
    <w:rPr>
      <w:rFonts w:cs="宋体"/>
    </w:rPr>
  </w:style>
  <w:style w:type="paragraph" w:customStyle="1" w:styleId="47">
    <w:name w:val="五号居中一倍行距"/>
    <w:basedOn w:val="44"/>
    <w:next w:val="1"/>
    <w:link w:val="103"/>
    <w:unhideWhenUsed/>
    <w:qFormat/>
    <w:uiPriority w:val="0"/>
    <w:pPr>
      <w:wordWrap w:val="0"/>
      <w:snapToGrid w:val="0"/>
      <w:ind w:left="24" w:leftChars="10" w:right="24" w:rightChars="10"/>
    </w:pPr>
    <w:rPr>
      <w:b w:val="0"/>
      <w:sz w:val="21"/>
      <w:szCs w:val="21"/>
    </w:rPr>
  </w:style>
  <w:style w:type="character" w:customStyle="1" w:styleId="48">
    <w:name w:val="小四正文 Char"/>
    <w:link w:val="46"/>
    <w:qFormat/>
    <w:uiPriority w:val="0"/>
    <w:rPr>
      <w:rFonts w:ascii="Times New Roman" w:hAnsi="Times New Roman" w:eastAsia="宋体" w:cs="宋体"/>
    </w:rPr>
  </w:style>
  <w:style w:type="paragraph" w:customStyle="1" w:styleId="49">
    <w:name w:val="表头"/>
    <w:basedOn w:val="1"/>
    <w:next w:val="1"/>
    <w:unhideWhenUsed/>
    <w:qFormat/>
    <w:uiPriority w:val="0"/>
    <w:pPr>
      <w:spacing w:line="240" w:lineRule="auto"/>
      <w:ind w:firstLine="0" w:firstLineChars="0"/>
      <w:jc w:val="center"/>
    </w:pPr>
    <w:rPr>
      <w:b/>
      <w:kern w:val="0"/>
      <w:szCs w:val="21"/>
    </w:rPr>
  </w:style>
  <w:style w:type="character" w:customStyle="1" w:styleId="50">
    <w:name w:val="表格内容 Char"/>
    <w:link w:val="51"/>
    <w:qFormat/>
    <w:uiPriority w:val="0"/>
    <w:rPr>
      <w:rFonts w:ascii="Times New Roman" w:hAnsi="Times New Roman" w:eastAsia="宋体" w:cs="Times New Roman"/>
      <w:spacing w:val="-2"/>
      <w:sz w:val="21"/>
      <w:szCs w:val="18"/>
    </w:rPr>
  </w:style>
  <w:style w:type="paragraph" w:customStyle="1" w:styleId="51">
    <w:name w:val="五号居中"/>
    <w:basedOn w:val="1"/>
    <w:next w:val="1"/>
    <w:link w:val="50"/>
    <w:qFormat/>
    <w:uiPriority w:val="0"/>
    <w:pPr>
      <w:snapToGrid w:val="0"/>
      <w:spacing w:beforeLines="10" w:afterLines="10" w:line="240" w:lineRule="auto"/>
      <w:ind w:left="24" w:leftChars="10" w:right="24" w:rightChars="10" w:firstLine="0" w:firstLineChars="0"/>
      <w:jc w:val="center"/>
      <w:textAlignment w:val="bottom"/>
    </w:pPr>
    <w:rPr>
      <w:spacing w:val="-2"/>
      <w:sz w:val="21"/>
      <w:szCs w:val="18"/>
    </w:rPr>
  </w:style>
  <w:style w:type="paragraph" w:customStyle="1" w:styleId="52">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character" w:customStyle="1" w:styleId="53">
    <w:name w:val="标题 3 字符"/>
    <w:link w:val="5"/>
    <w:qFormat/>
    <w:uiPriority w:val="0"/>
    <w:rPr>
      <w:rFonts w:ascii="Calibri" w:hAnsi="Calibri" w:eastAsia="宋体" w:cs="Times New Roman"/>
      <w:b/>
      <w:bCs/>
      <w:kern w:val="2"/>
      <w:sz w:val="32"/>
      <w:szCs w:val="32"/>
    </w:rPr>
  </w:style>
  <w:style w:type="character" w:customStyle="1" w:styleId="54">
    <w:name w:val="标题 1 字符"/>
    <w:link w:val="3"/>
    <w:qFormat/>
    <w:uiPriority w:val="0"/>
    <w:rPr>
      <w:rFonts w:ascii="Times New Roman" w:hAnsi="Times New Roman" w:eastAsia="宋体"/>
      <w:b/>
      <w:bCs/>
      <w:kern w:val="2"/>
      <w:sz w:val="32"/>
      <w:szCs w:val="32"/>
    </w:rPr>
  </w:style>
  <w:style w:type="character" w:customStyle="1" w:styleId="55">
    <w:name w:val="标题 2 字符"/>
    <w:link w:val="4"/>
    <w:qFormat/>
    <w:uiPriority w:val="0"/>
    <w:rPr>
      <w:rFonts w:eastAsia="宋体"/>
      <w:b/>
      <w:kern w:val="2"/>
      <w:sz w:val="28"/>
      <w:szCs w:val="28"/>
    </w:rPr>
  </w:style>
  <w:style w:type="character" w:customStyle="1" w:styleId="56">
    <w:name w:val="正文文本 字符"/>
    <w:link w:val="9"/>
    <w:qFormat/>
    <w:uiPriority w:val="0"/>
    <w:rPr>
      <w:kern w:val="0"/>
      <w:sz w:val="18"/>
      <w:szCs w:val="20"/>
    </w:rPr>
  </w:style>
  <w:style w:type="character" w:customStyle="1" w:styleId="57">
    <w:name w:val="页脚 字符"/>
    <w:link w:val="19"/>
    <w:qFormat/>
    <w:uiPriority w:val="99"/>
    <w:rPr>
      <w:rFonts w:ascii="Calibri" w:hAnsi="Calibri" w:eastAsia="宋体" w:cs="Times New Roman"/>
      <w:kern w:val="2"/>
      <w:sz w:val="18"/>
      <w:szCs w:val="18"/>
    </w:rPr>
  </w:style>
  <w:style w:type="character" w:customStyle="1" w:styleId="58">
    <w:name w:val="页眉 字符"/>
    <w:link w:val="20"/>
    <w:qFormat/>
    <w:uiPriority w:val="0"/>
    <w:rPr>
      <w:rFonts w:ascii="Calibri" w:hAnsi="Calibri" w:eastAsia="宋体" w:cs="Times New Roman"/>
      <w:kern w:val="2"/>
      <w:sz w:val="18"/>
      <w:szCs w:val="18"/>
    </w:rPr>
  </w:style>
  <w:style w:type="character" w:customStyle="1" w:styleId="59">
    <w:name w:val="副标题 字符"/>
    <w:link w:val="21"/>
    <w:qFormat/>
    <w:uiPriority w:val="0"/>
    <w:rPr>
      <w:rFonts w:eastAsia="宋体"/>
      <w:b/>
      <w:kern w:val="2"/>
      <w:sz w:val="24"/>
      <w:szCs w:val="24"/>
    </w:rPr>
  </w:style>
  <w:style w:type="table" w:customStyle="1" w:styleId="60">
    <w:name w:val="Table Normal"/>
    <w:unhideWhenUsed/>
    <w:qFormat/>
    <w:uiPriority w:val="0"/>
    <w:tblPr>
      <w:tblCellMar>
        <w:top w:w="0" w:type="dxa"/>
        <w:left w:w="0" w:type="dxa"/>
        <w:bottom w:w="0" w:type="dxa"/>
        <w:right w:w="0" w:type="dxa"/>
      </w:tblCellMar>
    </w:tblPr>
  </w:style>
  <w:style w:type="paragraph" w:customStyle="1" w:styleId="61">
    <w:name w:val="表格正文"/>
    <w:basedOn w:val="1"/>
    <w:qFormat/>
    <w:uiPriority w:val="0"/>
    <w:pPr>
      <w:widowControl/>
      <w:adjustRightInd w:val="0"/>
      <w:snapToGrid w:val="0"/>
      <w:jc w:val="center"/>
    </w:pPr>
    <w:rPr>
      <w:kern w:val="0"/>
      <w:sz w:val="20"/>
      <w:szCs w:val="20"/>
    </w:rPr>
  </w:style>
  <w:style w:type="paragraph" w:customStyle="1" w:styleId="62">
    <w:name w:val="4表头、图头格式"/>
    <w:basedOn w:val="63"/>
    <w:qFormat/>
    <w:uiPriority w:val="0"/>
    <w:rPr>
      <w:b/>
    </w:rPr>
  </w:style>
  <w:style w:type="paragraph" w:customStyle="1" w:styleId="63">
    <w:name w:val="4表格内正文"/>
    <w:basedOn w:val="64"/>
    <w:qFormat/>
    <w:uiPriority w:val="0"/>
    <w:pPr>
      <w:spacing w:line="240" w:lineRule="auto"/>
      <w:ind w:firstLine="0" w:firstLineChars="0"/>
      <w:jc w:val="center"/>
    </w:pPr>
    <w:rPr>
      <w:sz w:val="21"/>
    </w:rPr>
  </w:style>
  <w:style w:type="paragraph" w:customStyle="1" w:styleId="64">
    <w:name w:val="4正文格式"/>
    <w:basedOn w:val="1"/>
    <w:qFormat/>
    <w:uiPriority w:val="0"/>
    <w:rPr>
      <w:szCs w:val="21"/>
    </w:rPr>
  </w:style>
  <w:style w:type="paragraph" w:customStyle="1" w:styleId="65">
    <w:name w:val="表内文字"/>
    <w:basedOn w:val="66"/>
    <w:link w:val="88"/>
    <w:qFormat/>
    <w:uiPriority w:val="0"/>
    <w:pPr>
      <w:spacing w:line="600" w:lineRule="exact"/>
      <w:jc w:val="center"/>
    </w:pPr>
    <w:rPr>
      <w:szCs w:val="20"/>
    </w:rPr>
  </w:style>
  <w:style w:type="paragraph" w:customStyle="1" w:styleId="66">
    <w:name w:val="正文内容"/>
    <w:qFormat/>
    <w:uiPriority w:val="0"/>
    <w:pPr>
      <w:widowControl w:val="0"/>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7">
    <w:name w:val="报告表正文"/>
    <w:basedOn w:val="1"/>
    <w:qFormat/>
    <w:uiPriority w:val="0"/>
    <w:pPr>
      <w:adjustRightInd w:val="0"/>
      <w:ind w:firstLine="200"/>
      <w:textAlignment w:val="baseline"/>
    </w:pPr>
    <w:rPr>
      <w:kern w:val="0"/>
      <w:szCs w:val="20"/>
    </w:rPr>
  </w:style>
  <w:style w:type="paragraph" w:customStyle="1" w:styleId="68">
    <w:name w:val="表格"/>
    <w:basedOn w:val="15"/>
    <w:next w:val="1"/>
    <w:qFormat/>
    <w:uiPriority w:val="0"/>
    <w:pPr>
      <w:suppressAutoHyphens/>
      <w:wordWrap w:val="0"/>
      <w:spacing w:line="240" w:lineRule="auto"/>
      <w:ind w:firstLine="0" w:firstLineChars="0"/>
      <w:jc w:val="center"/>
    </w:pPr>
    <w:rPr>
      <w:rFonts w:ascii="Times New Roman" w:hAnsi="Times New Roman"/>
      <w:sz w:val="21"/>
      <w:szCs w:val="20"/>
    </w:rPr>
  </w:style>
  <w:style w:type="paragraph" w:customStyle="1" w:styleId="69">
    <w:name w:val="表格标题、图标最终版"/>
    <w:basedOn w:val="1"/>
    <w:next w:val="1"/>
    <w:unhideWhenUsed/>
    <w:qFormat/>
    <w:uiPriority w:val="0"/>
    <w:pPr>
      <w:spacing w:line="240" w:lineRule="auto"/>
      <w:ind w:firstLine="0" w:firstLineChars="0"/>
      <w:jc w:val="center"/>
    </w:pPr>
    <w:rPr>
      <w:b/>
      <w:kern w:val="0"/>
      <w:szCs w:val="21"/>
    </w:rPr>
  </w:style>
  <w:style w:type="character" w:customStyle="1" w:styleId="70">
    <w:name w:val="font21"/>
    <w:basedOn w:val="29"/>
    <w:qFormat/>
    <w:uiPriority w:val="0"/>
    <w:rPr>
      <w:rFonts w:hint="default" w:ascii="Times New Roman" w:hAnsi="Times New Roman" w:cs="Times New Roman"/>
      <w:color w:val="0000FF"/>
      <w:sz w:val="21"/>
      <w:szCs w:val="21"/>
      <w:u w:val="none"/>
    </w:rPr>
  </w:style>
  <w:style w:type="paragraph" w:customStyle="1" w:styleId="71">
    <w:name w:val="表样式1"/>
    <w:basedOn w:val="1"/>
    <w:qFormat/>
    <w:uiPriority w:val="0"/>
    <w:pPr>
      <w:snapToGrid w:val="0"/>
      <w:jc w:val="center"/>
    </w:pPr>
    <w:rPr>
      <w:color w:val="000000"/>
      <w:szCs w:val="21"/>
    </w:rPr>
  </w:style>
  <w:style w:type="paragraph" w:customStyle="1" w:styleId="72">
    <w:name w:val="Table Paragraph"/>
    <w:basedOn w:val="1"/>
    <w:qFormat/>
    <w:uiPriority w:val="0"/>
    <w:pPr>
      <w:jc w:val="center"/>
    </w:pPr>
    <w:rPr>
      <w:rFonts w:ascii="宋体" w:hAnsi="宋体" w:cs="宋体"/>
      <w:sz w:val="21"/>
    </w:rPr>
  </w:style>
  <w:style w:type="paragraph" w:customStyle="1" w:styleId="73">
    <w:name w:val="表内正文"/>
    <w:basedOn w:val="1"/>
    <w:link w:val="84"/>
    <w:qFormat/>
    <w:uiPriority w:val="0"/>
    <w:pPr>
      <w:wordWrap w:val="0"/>
      <w:ind w:firstLine="0" w:firstLineChars="0"/>
    </w:pPr>
    <w:rPr>
      <w:rFonts w:hint="eastAsia"/>
    </w:rPr>
  </w:style>
  <w:style w:type="paragraph" w:customStyle="1" w:styleId="74">
    <w:name w:val="图标 表标"/>
    <w:basedOn w:val="1"/>
    <w:link w:val="98"/>
    <w:qFormat/>
    <w:uiPriority w:val="0"/>
    <w:pPr>
      <w:autoSpaceDE w:val="0"/>
      <w:autoSpaceDN w:val="0"/>
      <w:adjustRightInd w:val="0"/>
      <w:ind w:firstLine="0" w:firstLineChars="0"/>
      <w:jc w:val="center"/>
    </w:pPr>
    <w:rPr>
      <w:b/>
      <w:bCs/>
      <w:kern w:val="21"/>
    </w:rPr>
  </w:style>
  <w:style w:type="character" w:customStyle="1" w:styleId="75">
    <w:name w:val="批注框文本 字符"/>
    <w:basedOn w:val="29"/>
    <w:link w:val="18"/>
    <w:qFormat/>
    <w:uiPriority w:val="0"/>
    <w:rPr>
      <w:kern w:val="2"/>
      <w:sz w:val="18"/>
      <w:szCs w:val="18"/>
    </w:rPr>
  </w:style>
  <w:style w:type="character" w:customStyle="1" w:styleId="76">
    <w:name w:val="批注文字 字符"/>
    <w:basedOn w:val="29"/>
    <w:link w:val="7"/>
    <w:qFormat/>
    <w:uiPriority w:val="0"/>
    <w:rPr>
      <w:sz w:val="24"/>
    </w:rPr>
  </w:style>
  <w:style w:type="character" w:customStyle="1" w:styleId="77">
    <w:name w:val="批注主题 字符"/>
    <w:basedOn w:val="76"/>
    <w:link w:val="25"/>
    <w:qFormat/>
    <w:uiPriority w:val="0"/>
    <w:rPr>
      <w:sz w:val="24"/>
    </w:rPr>
  </w:style>
  <w:style w:type="paragraph" w:customStyle="1" w:styleId="78">
    <w:name w:val="表内最终版"/>
    <w:basedOn w:val="42"/>
    <w:unhideWhenUsed/>
    <w:qFormat/>
    <w:uiPriority w:val="0"/>
    <w:pPr>
      <w:adjustRightInd w:val="0"/>
      <w:spacing w:line="240" w:lineRule="auto"/>
      <w:ind w:firstLine="0" w:firstLineChars="0"/>
      <w:jc w:val="center"/>
      <w:textAlignment w:val="baseline"/>
    </w:pPr>
    <w:rPr>
      <w:sz w:val="21"/>
    </w:rPr>
  </w:style>
  <w:style w:type="character" w:customStyle="1" w:styleId="79">
    <w:name w:val="font11"/>
    <w:basedOn w:val="29"/>
    <w:qFormat/>
    <w:uiPriority w:val="0"/>
    <w:rPr>
      <w:rFonts w:hint="default" w:ascii="Times New Roman" w:hAnsi="Times New Roman" w:cs="Times New Roman"/>
      <w:color w:val="000000"/>
      <w:sz w:val="21"/>
      <w:szCs w:val="21"/>
      <w:u w:val="none"/>
    </w:rPr>
  </w:style>
  <w:style w:type="character" w:customStyle="1" w:styleId="80">
    <w:name w:val="font31"/>
    <w:basedOn w:val="29"/>
    <w:qFormat/>
    <w:uiPriority w:val="0"/>
    <w:rPr>
      <w:rFonts w:hint="eastAsia" w:ascii="宋体" w:hAnsi="宋体" w:eastAsia="宋体" w:cs="宋体"/>
      <w:color w:val="0000FF"/>
      <w:sz w:val="21"/>
      <w:szCs w:val="21"/>
      <w:u w:val="none"/>
    </w:rPr>
  </w:style>
  <w:style w:type="character" w:customStyle="1" w:styleId="81">
    <w:name w:val="font51"/>
    <w:basedOn w:val="29"/>
    <w:qFormat/>
    <w:uiPriority w:val="0"/>
    <w:rPr>
      <w:rFonts w:hint="default" w:ascii="Times New Roman" w:hAnsi="Times New Roman" w:cs="Times New Roman"/>
      <w:color w:val="0000FF"/>
      <w:sz w:val="21"/>
      <w:szCs w:val="21"/>
      <w:u w:val="none"/>
    </w:rPr>
  </w:style>
  <w:style w:type="character" w:customStyle="1" w:styleId="82">
    <w:name w:val="font01"/>
    <w:basedOn w:val="29"/>
    <w:qFormat/>
    <w:uiPriority w:val="0"/>
    <w:rPr>
      <w:rFonts w:hint="default" w:ascii="Times New Roman" w:hAnsi="Times New Roman" w:cs="Times New Roman"/>
      <w:color w:val="0000FF"/>
      <w:sz w:val="21"/>
      <w:szCs w:val="21"/>
      <w:u w:val="none"/>
    </w:rPr>
  </w:style>
  <w:style w:type="paragraph" w:customStyle="1" w:styleId="83">
    <w:name w:val="正文最终版"/>
    <w:qFormat/>
    <w:uiPriority w:val="0"/>
    <w:pPr>
      <w:wordWrap w:val="0"/>
      <w:spacing w:line="360" w:lineRule="auto"/>
      <w:ind w:firstLine="480" w:firstLineChars="200"/>
      <w:jc w:val="left"/>
    </w:pPr>
    <w:rPr>
      <w:rFonts w:ascii="Times New Roman" w:hAnsi="Times New Roman" w:eastAsia="宋体" w:cs="Times New Roman"/>
      <w:bCs/>
      <w:snapToGrid w:val="0"/>
      <w:sz w:val="24"/>
      <w:szCs w:val="24"/>
      <w:lang w:val="en-US" w:eastAsia="zh-CN" w:bidi="ar-SA"/>
    </w:rPr>
  </w:style>
  <w:style w:type="character" w:customStyle="1" w:styleId="84">
    <w:name w:val="表内正文 Char"/>
    <w:link w:val="73"/>
    <w:qFormat/>
    <w:uiPriority w:val="0"/>
    <w:rPr>
      <w:rFonts w:hint="eastAsia"/>
    </w:rPr>
  </w:style>
  <w:style w:type="character" w:customStyle="1" w:styleId="85">
    <w:name w:val="表格标题 Char"/>
    <w:link w:val="44"/>
    <w:qFormat/>
    <w:uiPriority w:val="0"/>
    <w:rPr>
      <w:rFonts w:ascii="Times New Roman" w:hAnsi="Times New Roman"/>
      <w:b/>
    </w:rPr>
  </w:style>
  <w:style w:type="paragraph" w:customStyle="1" w:styleId="86">
    <w:name w:val="图表标题"/>
    <w:basedOn w:val="1"/>
    <w:next w:val="1"/>
    <w:qFormat/>
    <w:uiPriority w:val="0"/>
    <w:pPr>
      <w:autoSpaceDE w:val="0"/>
      <w:autoSpaceDN w:val="0"/>
      <w:adjustRightInd w:val="0"/>
      <w:snapToGrid w:val="0"/>
      <w:spacing w:line="240" w:lineRule="auto"/>
      <w:ind w:firstLine="0" w:firstLineChars="0"/>
      <w:jc w:val="center"/>
    </w:pPr>
    <w:rPr>
      <w:b/>
      <w:kern w:val="0"/>
      <w:sz w:val="21"/>
    </w:rPr>
  </w:style>
  <w:style w:type="paragraph" w:customStyle="1" w:styleId="87">
    <w:name w:val="图表标"/>
    <w:basedOn w:val="1"/>
    <w:qFormat/>
    <w:uiPriority w:val="0"/>
    <w:pPr>
      <w:keepNext w:val="0"/>
      <w:keepLines w:val="0"/>
      <w:widowControl/>
      <w:suppressLineNumbers w:val="0"/>
      <w:wordWrap w:val="0"/>
      <w:snapToGrid w:val="0"/>
      <w:spacing w:beforeLines="0" w:beforeAutospacing="0" w:line="360" w:lineRule="auto"/>
      <w:jc w:val="center"/>
    </w:pPr>
    <w:rPr>
      <w:rFonts w:hint="eastAsia" w:cs="宋体"/>
      <w:b/>
      <w:bCs/>
      <w:kern w:val="0"/>
      <w:lang w:bidi="ar"/>
    </w:rPr>
  </w:style>
  <w:style w:type="character" w:customStyle="1" w:styleId="88">
    <w:name w:val="表内文字 Char"/>
    <w:link w:val="65"/>
    <w:qFormat/>
    <w:uiPriority w:val="0"/>
    <w:rPr>
      <w:szCs w:val="20"/>
    </w:rPr>
  </w:style>
  <w:style w:type="paragraph" w:customStyle="1" w:styleId="89">
    <w:name w:val="!正文"/>
    <w:basedOn w:val="1"/>
    <w:qFormat/>
    <w:uiPriority w:val="0"/>
    <w:pPr>
      <w:adjustRightInd w:val="0"/>
      <w:snapToGrid w:val="0"/>
      <w:spacing w:line="360" w:lineRule="auto"/>
      <w:ind w:firstLine="200" w:firstLineChars="200"/>
    </w:pPr>
    <w:rPr>
      <w:rFonts w:ascii="Times New Roman" w:hAnsi="Times New Roman" w:eastAsia="宋体" w:cs="Times New Roman"/>
      <w:sz w:val="24"/>
      <w:szCs w:val="20"/>
    </w:rPr>
  </w:style>
  <w:style w:type="paragraph" w:customStyle="1" w:styleId="90">
    <w:name w:val="(a表格标题"/>
    <w:basedOn w:val="1"/>
    <w:qFormat/>
    <w:uiPriority w:val="0"/>
    <w:pPr>
      <w:spacing w:line="400" w:lineRule="exact"/>
      <w:jc w:val="center"/>
    </w:pPr>
    <w:rPr>
      <w:rFonts w:ascii="Times New Roman" w:hAnsi="Times New Roman" w:eastAsia="黑体" w:cs="Times New Roman"/>
      <w:sz w:val="24"/>
      <w:szCs w:val="24"/>
    </w:rPr>
  </w:style>
  <w:style w:type="paragraph" w:customStyle="1" w:styleId="91">
    <w:name w:val="【表头】"/>
    <w:basedOn w:val="1"/>
    <w:next w:val="1"/>
    <w:unhideWhenUsed/>
    <w:qFormat/>
    <w:uiPriority w:val="0"/>
    <w:pPr>
      <w:spacing w:line="240" w:lineRule="auto"/>
      <w:ind w:firstLine="0" w:firstLineChars="0"/>
      <w:jc w:val="center"/>
    </w:pPr>
    <w:rPr>
      <w:b/>
      <w:kern w:val="0"/>
      <w:sz w:val="21"/>
      <w:szCs w:val="21"/>
    </w:rPr>
  </w:style>
  <w:style w:type="paragraph" w:customStyle="1" w:styleId="92">
    <w:name w:val="表格CAT"/>
    <w:basedOn w:val="93"/>
    <w:qFormat/>
    <w:uiPriority w:val="99"/>
    <w:pPr>
      <w:widowControl/>
      <w:tabs>
        <w:tab w:val="left" w:pos="560"/>
      </w:tabs>
      <w:spacing w:line="240" w:lineRule="auto"/>
      <w:ind w:firstLine="0" w:firstLineChars="0"/>
      <w:jc w:val="center"/>
    </w:pPr>
  </w:style>
  <w:style w:type="paragraph" w:customStyle="1" w:styleId="93">
    <w:name w:val="表格文字-表外"/>
    <w:basedOn w:val="1"/>
    <w:unhideWhenUsed/>
    <w:qFormat/>
    <w:uiPriority w:val="0"/>
    <w:pPr>
      <w:snapToGrid w:val="0"/>
      <w:spacing w:beforeLines="0" w:afterLines="0"/>
      <w:jc w:val="center"/>
    </w:pPr>
    <w:rPr>
      <w:rFonts w:hint="default" w:ascii="Times New Roman" w:hAnsi="Times New Roman" w:eastAsia="Times New Roman"/>
    </w:rPr>
  </w:style>
  <w:style w:type="paragraph" w:customStyle="1" w:styleId="94">
    <w:name w:val="表标题"/>
    <w:basedOn w:val="1"/>
    <w:qFormat/>
    <w:uiPriority w:val="0"/>
    <w:pPr>
      <w:spacing w:line="360" w:lineRule="auto"/>
      <w:ind w:firstLine="0" w:firstLineChars="0"/>
      <w:jc w:val="center"/>
    </w:pPr>
    <w:rPr>
      <w:b/>
      <w:bCs/>
      <w:sz w:val="21"/>
      <w:szCs w:val="22"/>
    </w:rPr>
  </w:style>
  <w:style w:type="paragraph" w:customStyle="1" w:styleId="95">
    <w:name w:val="Table Text"/>
    <w:basedOn w:val="1"/>
    <w:semiHidden/>
    <w:qFormat/>
    <w:uiPriority w:val="0"/>
    <w:rPr>
      <w:rFonts w:ascii="宋体" w:hAnsi="宋体" w:eastAsia="宋体" w:cs="宋体"/>
      <w:sz w:val="24"/>
      <w:szCs w:val="24"/>
      <w:lang w:val="en-US" w:eastAsia="en-US" w:bidi="ar-SA"/>
    </w:rPr>
  </w:style>
  <w:style w:type="paragraph" w:customStyle="1" w:styleId="96">
    <w:name w:val="X-0"/>
    <w:basedOn w:val="97"/>
    <w:qFormat/>
    <w:uiPriority w:val="0"/>
    <w:rPr>
      <w:sz w:val="24"/>
    </w:rPr>
  </w:style>
  <w:style w:type="paragraph" w:customStyle="1" w:styleId="97">
    <w:name w:val="0-1正文"/>
    <w:basedOn w:val="1"/>
    <w:qFormat/>
    <w:uiPriority w:val="0"/>
    <w:pPr>
      <w:autoSpaceDE w:val="0"/>
      <w:autoSpaceDN w:val="0"/>
      <w:adjustRightInd w:val="0"/>
      <w:snapToGrid w:val="0"/>
      <w:spacing w:line="360" w:lineRule="auto"/>
      <w:ind w:firstLine="200" w:firstLineChars="200"/>
    </w:pPr>
    <w:rPr>
      <w:rFonts w:cs="宋体"/>
      <w:kern w:val="0"/>
      <w:szCs w:val="21"/>
    </w:rPr>
  </w:style>
  <w:style w:type="character" w:customStyle="1" w:styleId="98">
    <w:name w:val="图标 表标 Char"/>
    <w:link w:val="74"/>
    <w:qFormat/>
    <w:uiPriority w:val="0"/>
    <w:rPr>
      <w:b/>
      <w:bCs/>
      <w:kern w:val="21"/>
    </w:rPr>
  </w:style>
  <w:style w:type="paragraph" w:customStyle="1" w:styleId="99">
    <w:name w:val="表头22"/>
    <w:basedOn w:val="1"/>
    <w:qFormat/>
    <w:uiPriority w:val="0"/>
    <w:pPr>
      <w:widowControl/>
      <w:jc w:val="center"/>
    </w:pPr>
    <w:rPr>
      <w:rFonts w:ascii="Times New Roman" w:hAnsi="Times New Roman" w:eastAsia="宋体" w:cs="Times New Roman"/>
      <w:b/>
      <w:kern w:val="0"/>
      <w:sz w:val="24"/>
      <w:szCs w:val="24"/>
    </w:rPr>
  </w:style>
  <w:style w:type="paragraph" w:customStyle="1" w:styleId="100">
    <w:name w:val="0报告正文格式1"/>
    <w:basedOn w:val="1"/>
    <w:qFormat/>
    <w:uiPriority w:val="0"/>
    <w:pPr>
      <w:widowControl/>
      <w:spacing w:line="360" w:lineRule="auto"/>
      <w:ind w:firstLine="200" w:firstLineChars="200"/>
    </w:pPr>
    <w:rPr>
      <w:kern w:val="0"/>
      <w:sz w:val="24"/>
      <w:lang w:bidi="en-US"/>
    </w:rPr>
  </w:style>
  <w:style w:type="paragraph" w:customStyle="1" w:styleId="101">
    <w:name w:val="二级表格"/>
    <w:basedOn w:val="1"/>
    <w:autoRedefine/>
    <w:qFormat/>
    <w:uiPriority w:val="0"/>
    <w:pPr>
      <w:tabs>
        <w:tab w:val="center" w:pos="0"/>
      </w:tabs>
      <w:wordWrap w:val="0"/>
      <w:spacing w:line="240" w:lineRule="auto"/>
      <w:ind w:firstLine="0" w:firstLineChars="0"/>
      <w:jc w:val="center"/>
    </w:pPr>
    <w:rPr>
      <w:rFonts w:ascii="Times New Roman" w:hAnsi="Times New Roman" w:eastAsiaTheme="minorEastAsia"/>
      <w:sz w:val="21"/>
      <w:szCs w:val="21"/>
    </w:rPr>
  </w:style>
  <w:style w:type="table" w:customStyle="1" w:styleId="102">
    <w:name w:val="外粗内细"/>
    <w:basedOn w:val="26"/>
    <w:qFormat/>
    <w:uiPriority w:val="99"/>
    <w:pPr>
      <w:jc w:val="center"/>
    </w:pPr>
    <w:tblP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
    <w:tcPr>
      <w:vAlign w:val="center"/>
    </w:tcPr>
  </w:style>
  <w:style w:type="character" w:customStyle="1" w:styleId="103">
    <w:name w:val="五号居中一倍行距 Char"/>
    <w:link w:val="47"/>
    <w:qFormat/>
    <w:uiPriority w:val="0"/>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C18079-C12B-43FC-8E63-80560095779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90</Pages>
  <Words>55703</Words>
  <Characters>63203</Characters>
  <Lines>449</Lines>
  <Paragraphs>126</Paragraphs>
  <TotalTime>22</TotalTime>
  <ScaleCrop>false</ScaleCrop>
  <LinksUpToDate>false</LinksUpToDate>
  <CharactersWithSpaces>63604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2023-05-19T02:07:00Z</dcterms:created>
  <dc:creator>Administrator</dc:creator>
  <cp:lastModifiedBy>陈苗</cp:lastModifiedBy>
  <cp:lastPrinted>2022-11-22T02:35:00Z</cp:lastPrinted>
  <dcterms:modified xsi:type="dcterms:W3CDTF">2024-10-14T02:05:41Z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865601B314DD4F5EABBC13359E2A750B_13</vt:lpwstr>
  </property>
  <property fmtid="{D5CDD505-2E9C-101B-9397-08002B2CF9AE}" pid="4" name="commondata">
    <vt:lpwstr>eyJoZGlkIjoiZjdiYjk5N2E5MWFiMzQ4ZTE5OTRkMzkxZjdmN2FkMGMifQ==</vt:lpwstr>
  </property>
</Properties>
</file>