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rPr>
          <w:rFonts w:ascii="Times New Roman" w:hAnsi="Times New Roman" w:eastAsia="仿宋"/>
          <w:szCs w:val="32"/>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rPr>
          <w:rFonts w:ascii="Times New Roman" w:hAnsi="Times New Roman" w:cs="Times New Roman"/>
          <w:sz w:val="32"/>
          <w:szCs w:val="32"/>
        </w:rPr>
      </w:pPr>
      <w:r>
        <w:rPr>
          <w:rFonts w:ascii="Times New Roman" w:hAnsi="Times New Roman" w:cs="Times New Roman"/>
          <w:sz w:val="32"/>
          <w:szCs w:val="32"/>
        </w:rPr>
        <w:t>附件1：</w:t>
      </w:r>
    </w:p>
    <w:tbl>
      <w:tblPr>
        <w:tblStyle w:val="9"/>
        <w:tblW w:w="48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2006"/>
        <w:gridCol w:w="4036"/>
        <w:gridCol w:w="4245"/>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5000" w:type="pct"/>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ind w:firstLine="560"/>
              <w:jc w:val="center"/>
              <w:textAlignment w:val="center"/>
              <w:rPr>
                <w:rFonts w:ascii="Times New Roman" w:hAnsi="Times New Roman" w:eastAsia="宋体" w:cs="Times New Roman"/>
                <w:kern w:val="0"/>
                <w:sz w:val="20"/>
                <w:szCs w:val="20"/>
              </w:rPr>
            </w:pPr>
            <w:r>
              <w:rPr>
                <w:rFonts w:ascii="Times New Roman" w:hAnsi="Times New Roman" w:eastAsia="宋体" w:cs="Times New Roman"/>
                <w:sz w:val="20"/>
                <w:szCs w:val="20"/>
              </w:rPr>
              <w:t>淮南中建材腾锋环保科技有限公司挂牌督办问题</w:t>
            </w:r>
            <w:r>
              <w:rPr>
                <w:rFonts w:hint="eastAsia" w:ascii="Times New Roman" w:eastAsia="宋体" w:cs="Times New Roman"/>
                <w:sz w:val="20"/>
                <w:szCs w:val="20"/>
                <w:lang w:val="en-US" w:eastAsia="zh-CN"/>
              </w:rPr>
              <w:t>10</w:t>
            </w:r>
            <w:r>
              <w:rPr>
                <w:rFonts w:ascii="Times New Roman" w:hAnsi="Times New Roman" w:eastAsia="宋体" w:cs="Times New Roman"/>
                <w:sz w:val="20"/>
                <w:szCs w:val="20"/>
              </w:rPr>
              <w:t>月份整改进度明细表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289" w:type="pct"/>
            <w:tcBorders>
              <w:top w:val="single" w:color="auto" w:sz="4" w:space="0"/>
              <w:tl2br w:val="nil"/>
              <w:tr2bl w:val="nil"/>
            </w:tcBorders>
            <w:vAlign w:val="center"/>
          </w:tcPr>
          <w:p>
            <w:pPr>
              <w:widowControl/>
              <w:adjustRightInd w:val="0"/>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序号</w:t>
            </w:r>
          </w:p>
        </w:tc>
        <w:tc>
          <w:tcPr>
            <w:tcW w:w="729"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问题清单内容</w:t>
            </w:r>
          </w:p>
        </w:tc>
        <w:tc>
          <w:tcPr>
            <w:tcW w:w="1467"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问题表述</w:t>
            </w:r>
          </w:p>
        </w:tc>
        <w:tc>
          <w:tcPr>
            <w:tcW w:w="1543"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整改措施</w:t>
            </w:r>
          </w:p>
        </w:tc>
        <w:tc>
          <w:tcPr>
            <w:tcW w:w="970" w:type="pct"/>
            <w:tcBorders>
              <w:top w:val="single" w:color="auto" w:sz="4" w:space="0"/>
              <w:tl2br w:val="nil"/>
              <w:tr2bl w:val="nil"/>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1</w:t>
            </w:r>
          </w:p>
        </w:tc>
        <w:tc>
          <w:tcPr>
            <w:tcW w:w="729" w:type="pct"/>
            <w:vMerge w:val="restart"/>
            <w:tcBorders>
              <w:tl2br w:val="nil"/>
              <w:tr2bl w:val="nil"/>
            </w:tcBorders>
            <w:shd w:val="clear" w:color="auto" w:fill="auto"/>
            <w:noWrap/>
            <w:vAlign w:val="center"/>
          </w:tcPr>
          <w:p>
            <w:pPr>
              <w:widowControl/>
              <w:adjustRightInd w:val="0"/>
              <w:snapToGrid w:val="0"/>
              <w:ind w:firstLine="36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共性问题</w:t>
            </w:r>
          </w:p>
        </w:tc>
        <w:tc>
          <w:tcPr>
            <w:tcW w:w="1467" w:type="pct"/>
            <w:vMerge w:val="restar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此次挂牌督办的问题：未按照许可证规定从事处置危险废物经营活动、未执行危险废物转移联单制度、在接受监督检查时弄虚作假、未按照国家环境保护标准处置危险废物、废气污染防治设施不正常运行、自动监测设施不正常运行六项问题。</w:t>
            </w:r>
          </w:p>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公司内部从总体上进行了深入剖析、研究，深挖问题产生的根本原因，对问题产生的共性方面原因进行了梳理，找准切入点，对症下药，确保问题能够从本质上得到解决。</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公司自行停产整顿，暂时停止生产经营活动，全力以赴对问题进行彻底整改。</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公司管理层要进行深刻反思，对此次挂牌问题产生的根本原因进行分析，认真深入学习习近平生态文明思想，牢固树立绿水青山就是金山银山的环保理念，建立环保管理红线意识、底线意识。</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对公司管理层组织开展《中华人民共和国环境保护法》《中华人民共和国固体废物污染环境防治法》《危险废物转移管理办法》等法律法规、技术规范的专项学习，提高管理层人员环保法律意识。</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noWrap/>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重新对公司环保管理体系重新梳理，制定公司年度环境管理目标、方针政策，形成有效文件发布实施，对现有环保管理制度按照最新法律法规、技术规范要求重新进行修订，完善对环保违规行为有效的惩处措施，确保制度符合公司实际需要，能够有效执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2</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未按照许可证规定从事处置危险废物经营活动</w:t>
            </w:r>
          </w:p>
        </w:tc>
        <w:tc>
          <w:tcPr>
            <w:tcW w:w="1467" w:type="pct"/>
            <w:vMerge w:val="restar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该企业危险废物经营许可证载明的经营范围是收集、贮存和利用。2023年11月，该企业未执行危险废物转移联单制度，擅自从安徽沛成医药科技有限公司转移含甲醇和三羟甲基氨基甲烷的危险废物(HW02医药废物)32.97吨，并违法进行焚烧处置。</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r>
              <w:rPr>
                <w:rFonts w:ascii="Times New Roman" w:hAnsi="Times New Roman" w:eastAsia="宋体" w:cs="Times New Roman"/>
                <w:kern w:val="0"/>
                <w:sz w:val="20"/>
                <w:szCs w:val="20"/>
              </w:rPr>
              <w:br w:type="textWrapping"/>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开展内部自查，对签订的合同重新进行合规性评估，对不符合环评要求的品种物料由安环部门进行确认禁止入厂，严格按照规定开展生产经营活动。</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焚烧车间建立相关物料接收审批制度，由生产车间发起，经焚烧车间、生产保障部、分管领导审批后，方可接收物料进行焚烧处置，否则不予处置，避免类似事件再次发生。</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3</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未执行危险废物转移联单制度</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经查，2023年8月，该企业未执行危险废物转移联单制度,擅自从淮北龙溪生物科技有限公司转移含甲基叔丁基醚危险废物(HWO6废有机溶剂与含有机溶剂废物)79.35吨。</w:t>
            </w:r>
          </w:p>
          <w:p>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noWrap/>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4</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在接受监督检查时弄虚作假</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为掩盖违法转移处置危险废物等环境违法行为，将实际的物料名称及数量台账，伪造成其他原料名称、数量入库并记录台账。如，将实际入库的DMF、DMAC等溶剂记录为丙三醇、乙二醇等物质，涉嫌伪造篡改台账。</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严把物料入厂关，严格按照环评批复要求、范围合法经营，从源头杜绝超范围物料入厂。</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根据公司各部门工作职责范围，严格、仔细认真编制物料出入厂各环节台账，按照职责分工重新建立《物料入厂管理制度》，认真、落实执行，杜绝再次出现伪造、篡改台账等行为。</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定期由公司安环部组织开展物料入厂全流程台账专项检查，对物料入厂名称、数量、去向等仔细核对，形成检查记录，发现问题及时纠正、整改。</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5</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未按照国家环境保护标准处置危险废物</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调阅该企业焚烧炉生产运行的记录台账，发现2022年1至10月焚烧炉二燃室(高温段)温度低于1000摄氏度。2024年1月3日，执法人员现场检查发现炉膛内正常燃烧时的二燃室(高温段)测点温度为1040摄氏度，焚烧炉工况不符合《危险废物焚烧污染控制标准》(GB18484-2020)规定的焚烧炉高温段温度≥1100摄氏度的要求</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对整个焚烧系统进行自查摸排，对查出的问题分析原因，按照相关国家标准进行整改，后续定期开展危险废物焚烧专项检查，排查焚烧车间可能存在的问题，及时消除解决。</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定期对焚烧系统各测温设备进行检查、校正或按照不低于一年一次的频率更换一燃室、二燃室测温设备，保证温度测量准确性</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加强对焚烧车间管理，强化业务知识培训，对焚烧车间全员开展危险废物焚烧专业知识培训，确保岗位员工具备相应的能力，从而保障整个危废焚烧过程符合《危险废物焚烧污染控制标准》（GB18484-2020）相关要求</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设备高温段提标管理，在《危险废物焚烧污染控制标准》（GB18484-2020）高温度段基础上将最低温度提高50摄氏度，即控制温度大于1150摄氏度，避免热电偶出现测量漂移或测温失真带来测量误差，导致实际温度低于1100摄氏度。</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6</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废气污染防治设施不正常运行</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经查，该企业脱硝设施长期不运行，未建立脱硝设施运行管理制度，无专用管理台账，涉嫌不正常运行废气污染防治设施</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对整个脱硝系统进行彻底检查及维护保养，采购补充尿素等脱硝剂，对系统进行试运转调试，保障脱硝系统能够正常运行。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建立健全脱硝设施管理制度，经公司内部审核批准后发布实施，安环部定期检查督促落实执行情况。</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建立脱硝设施运行管理台账，督促焚烧车间员工认真规范、填写，记录定期归档存储。</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对焚烧车间岗位员工开展脱硝设施运行专业知识培训，加强对环保设施运行的监督管理，定期巡查设施的运行情况，确保环保设施的正常运行。</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289" w:type="pct"/>
            <w:vMerge w:val="restart"/>
            <w:tcBorders>
              <w:tl2br w:val="nil"/>
              <w:tr2bl w:val="nil"/>
            </w:tcBorders>
            <w:vAlign w:val="center"/>
          </w:tcPr>
          <w:p>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7</w:t>
            </w:r>
          </w:p>
        </w:tc>
        <w:tc>
          <w:tcPr>
            <w:tcW w:w="729"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自动监测设施不正常运行</w:t>
            </w:r>
          </w:p>
        </w:tc>
        <w:tc>
          <w:tcPr>
            <w:tcW w:w="1467" w:type="pct"/>
            <w:vMerge w:val="restar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焚烧炉配套的烟气自动监测设备采样管长期堵塞,2022年1月26日至2024年1月3日检查时，氮氧化物实测浓度维持在10mg/m³左右。执法人员会同设备厂家技术人员现场对自动监测设备的采样管进行疏通，结果显示氮氧化物排放浓度最高达到150mg/m³，涉嫌自动监测设施不正常运行</w:t>
            </w: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邀请设备厂家和运维单位技术人员到厂对自动监测设备进行全面、细致排查，对于损坏的设备及时进行采购、更换。</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加强在线监测设备管理，建立《污染源在线监测设备管理制度》，严格执行落实。</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对于烟气监测设备易损、易堵件建立备件库及台账，保障再次出现问题，能够及时进行更换，确保系统正常稳定运行。</w:t>
            </w:r>
          </w:p>
        </w:tc>
        <w:tc>
          <w:tcPr>
            <w:tcW w:w="970" w:type="pct"/>
            <w:tcBorders>
              <w:tl2br w:val="nil"/>
              <w:tr2bl w:val="nil"/>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加强业务能力培训，对烟气在线监测设备管理人员开展专项培训，提升在线设备管理水平。</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289" w:type="pct"/>
            <w:vMerge w:val="continue"/>
            <w:tcBorders>
              <w:tl2br w:val="nil"/>
              <w:tr2bl w:val="nil"/>
            </w:tcBorders>
            <w:vAlign w:val="center"/>
          </w:tcPr>
          <w:p/>
        </w:tc>
        <w:tc>
          <w:tcPr>
            <w:tcW w:w="729" w:type="pct"/>
            <w:vMerge w:val="continue"/>
            <w:tcBorders>
              <w:tl2br w:val="nil"/>
              <w:tr2bl w:val="nil"/>
            </w:tcBorders>
            <w:shd w:val="clear" w:color="auto" w:fill="auto"/>
            <w:vAlign w:val="center"/>
          </w:tcPr>
          <w:p/>
        </w:tc>
        <w:tc>
          <w:tcPr>
            <w:tcW w:w="1467" w:type="pct"/>
            <w:vMerge w:val="continue"/>
            <w:tcBorders>
              <w:tl2br w:val="nil"/>
              <w:tr2bl w:val="nil"/>
            </w:tcBorders>
            <w:shd w:val="clear" w:color="auto" w:fill="auto"/>
            <w:vAlign w:val="center"/>
          </w:tcPr>
          <w:p/>
        </w:tc>
        <w:tc>
          <w:tcPr>
            <w:tcW w:w="1543"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bl>
    <w:tbl>
      <w:tblPr>
        <w:tblStyle w:val="9"/>
        <w:tblpPr w:leftFromText="180" w:rightFromText="180" w:vertAnchor="text" w:horzAnchor="page" w:tblpX="1641" w:tblpY="86"/>
        <w:tblOverlap w:val="never"/>
        <w:tblW w:w="13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10"/>
        <w:gridCol w:w="4035"/>
        <w:gridCol w:w="4186"/>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13780" w:type="dxa"/>
            <w:gridSpan w:val="5"/>
            <w:vAlign w:val="center"/>
          </w:tcPr>
          <w:p>
            <w:pPr>
              <w:widowControl/>
              <w:adjustRightInd w:val="0"/>
              <w:snapToGrid w:val="0"/>
              <w:ind w:firstLine="56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淮南中建材腾锋环保科技有限公司举一反三问题</w:t>
            </w:r>
            <w:r>
              <w:rPr>
                <w:rFonts w:hint="eastAsia" w:ascii="Times New Roman" w:eastAsia="宋体" w:cs="Times New Roman"/>
                <w:sz w:val="20"/>
                <w:szCs w:val="20"/>
                <w:lang w:val="en-US" w:eastAsia="zh-CN"/>
              </w:rPr>
              <w:t>10</w:t>
            </w:r>
            <w:r>
              <w:rPr>
                <w:rFonts w:ascii="Times New Roman" w:hAnsi="Times New Roman" w:eastAsia="宋体" w:cs="Times New Roman"/>
                <w:sz w:val="20"/>
                <w:szCs w:val="20"/>
              </w:rPr>
              <w:t>月份整改进度明细表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790" w:type="dxa"/>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010"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问题内容</w:t>
            </w:r>
          </w:p>
        </w:tc>
        <w:tc>
          <w:tcPr>
            <w:tcW w:w="4035"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问题表述</w:t>
            </w:r>
          </w:p>
        </w:tc>
        <w:tc>
          <w:tcPr>
            <w:tcW w:w="4186"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整改措施</w:t>
            </w:r>
          </w:p>
        </w:tc>
        <w:tc>
          <w:tcPr>
            <w:tcW w:w="2759" w:type="dxa"/>
            <w:tcBorders>
              <w:left w:val="single" w:color="auto" w:sz="4" w:space="0"/>
            </w:tcBorders>
            <w:shd w:val="clear" w:color="auto" w:fill="auto"/>
            <w:noWrap/>
            <w:vAlign w:val="center"/>
          </w:tcPr>
          <w:p>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1</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w:t>
            </w:r>
          </w:p>
        </w:tc>
        <w:tc>
          <w:tcPr>
            <w:tcW w:w="4035"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初期雨水池积水未及时处理,池内存在异味，易造成异味扩散。</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及时对初期雨水池内积水进行处理，全部抽至污水处理站处理。</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noWrap/>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对初期雨水池进行清刷，内部积存淤泥清理干净，消除池内异味。</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加强初期雨水池日常监管，每日进行巡查，发现异常情况及时处理，避免类似事件再次发生。</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2</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污水处理站存在异味，现有废气治污设施处理效果不佳，容易造成异味扩散。</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污水处理站异味，容易造成异味扩散,影响周边环境。</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调整污水处理站臭气处理方式，将污水处理站废气治理分两部分进行，新增一路管线连接至厂区废气管路，将调节池、曝气池等池内高浓度气体引至焚烧炉焚烧处置，污水处理站上部空间低浓气体引至现有废气治理设施处理，将高浓度废气与低浓度废气分开处理，提高废气处理效率，避免废气扩散。</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加强对两处废气治理设施的监管，保证其正常运转。</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对污水处理设施加大监管力度，保证污水处理设施时刻正常运转，提高污水处理效率，从源头降低异味产生。</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避免有恶臭气味的物料入厂生产经营，从物料角度降低控制异味。</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3</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焚烧车间布袋除尘器出料时螺旋输送机下料口容易堵塞，需要人工清理，造成飞灰扩散，散落地面。</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焚烧车间布袋除尘器出料口地面存在飘落飞灰。</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联系设备厂家，更换布袋除尘器下方螺旋输送机。</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螺旋输送机外部加装保温措施，保障在其内部表面上附着的飞灰均匀落下，减少堵塞及人工清理现象，有效控制飞灰扩散。</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加强对螺旋输送机运行检查及维护保养，发现异常及时解决，保障设备正常运行。</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4</w:t>
            </w:r>
          </w:p>
        </w:tc>
        <w:tc>
          <w:tcPr>
            <w:tcW w:w="2010"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焚焚烧车间废料计量装置不准确，无法正确计量废料进料量.</w:t>
            </w:r>
          </w:p>
        </w:tc>
        <w:tc>
          <w:tcPr>
            <w:tcW w:w="403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造成焚烧车间无法正确计量废料进料量。</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选用合适的流量计，对原进料管线安装的流量计进行更换。</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5</w:t>
            </w:r>
          </w:p>
        </w:tc>
        <w:tc>
          <w:tcPr>
            <w:tcW w:w="201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生产车间一层原料暂存罐离心泵渗漏。</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原料暂存罐离心泵渗漏现象,造成异味飘散。</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对渗漏离心泵机封进行维修，及时消除渗漏点。</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加强离心泵维护保养，定期对厂区各部位打料泵易出现渗漏的部位加强巡查。</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90" w:type="dxa"/>
            <w:vMerge w:val="restart"/>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6</w:t>
            </w:r>
          </w:p>
        </w:tc>
        <w:tc>
          <w:tcPr>
            <w:tcW w:w="2010"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厂界无组织废气管控不到位</w:t>
            </w:r>
          </w:p>
        </w:tc>
        <w:tc>
          <w:tcPr>
            <w:tcW w:w="40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一是生产保障部装卸人员，严格按照装卸操作规程要求，按章作业，减少违规操作造成的异味飘散;二是生产保障部现场人员加强对储罐呼吸阀，安全附件及设备管线日常巡检,避免应设备损坏或运行不正常导致的无组织排放;三是甲类车间严格规范操作，避免“跑冒滴漏”现象;四是甲类车间合理安排生产计划，减少倒罐、洗罐作业;五是加强焚烧炉设备日常巡检和维护保养，避免因烟气腐蚀造成设备“跑冒滴漏”，造成异味飘散现象;六是公司加强环保监管，采用定期和不定期方式对罐区、污水处理站等重点区域加强督导检查。</w:t>
            </w: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生产保障部装卸人员，严格按照装卸操作规程要求，按章作业，减少违规操作造成的异味飘散。</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生产保障部现场人员加强对储罐呼吸阀、安全附件及设备管线日常巡检，避免应设备损坏或运行不正常导致的无组织排放。</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甲类车间严格规范操作，避免“跑冒滴漏现象。</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甲类车间合理安排生产计划，减少倒罐、洗罐作业。</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加强焚烧炉设备日常巡检和维护保养，避免因烟气腐蚀造成设备“跑冒滴漏”，造成异味飘散现象。</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公司加强环保监管，采用定期和不定期方式对罐区、污水处理站等重点区域加强督导检查，及时发现隐患、消除隐患。</w:t>
            </w:r>
          </w:p>
        </w:tc>
        <w:tc>
          <w:tcPr>
            <w:tcW w:w="2759" w:type="dxa"/>
            <w:tcBorders>
              <w:left w:val="single" w:color="auto" w:sz="4" w:space="0"/>
            </w:tcBorders>
            <w:shd w:val="clear" w:color="auto" w:fill="auto"/>
            <w:noWrap/>
            <w:vAlign w:val="center"/>
          </w:tcPr>
          <w:p>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定期开展泄露检测（LDAR），不断查找泄露源，对无组织排放实施控制。</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tc>
        <w:tc>
          <w:tcPr>
            <w:tcW w:w="2010" w:type="dxa"/>
            <w:vMerge w:val="continue"/>
            <w:tcBorders>
              <w:top w:val="single" w:color="auto" w:sz="4" w:space="0"/>
              <w:left w:val="single" w:color="auto" w:sz="4" w:space="0"/>
              <w:right w:val="single" w:color="auto" w:sz="4" w:space="0"/>
            </w:tcBorders>
            <w:shd w:val="clear" w:color="auto" w:fill="auto"/>
            <w:noWrap/>
            <w:vAlign w:val="center"/>
          </w:tcPr>
          <w:p/>
        </w:tc>
        <w:tc>
          <w:tcPr>
            <w:tcW w:w="4035" w:type="dxa"/>
            <w:vMerge w:val="continue"/>
            <w:tcBorders>
              <w:top w:val="single" w:color="auto" w:sz="4" w:space="0"/>
              <w:left w:val="single" w:color="auto" w:sz="4" w:space="0"/>
              <w:right w:val="single" w:color="auto" w:sz="4" w:space="0"/>
            </w:tcBorders>
            <w:shd w:val="clear" w:color="auto" w:fill="auto"/>
            <w:vAlign w:val="center"/>
          </w:tcPr>
          <w:p/>
        </w:tc>
        <w:tc>
          <w:tcPr>
            <w:tcW w:w="4186" w:type="dxa"/>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定期聘请第三方检测机构开展厂区无组织检测，确保排放达标。</w:t>
            </w:r>
          </w:p>
        </w:tc>
        <w:tc>
          <w:tcPr>
            <w:tcW w:w="2759" w:type="dxa"/>
            <w:tcBorders>
              <w:lef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bl>
    <w:tbl>
      <w:tblPr>
        <w:tblStyle w:val="9"/>
        <w:tblW w:w="13791"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984"/>
        <w:gridCol w:w="4111"/>
        <w:gridCol w:w="4111"/>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3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hint="eastAsia" w:ascii="宋体" w:hAnsi="宋体" w:eastAsia="宋体" w:cs="宋体"/>
                <w:color w:val="000000"/>
                <w:kern w:val="0"/>
                <w:sz w:val="21"/>
                <w:szCs w:val="21"/>
              </w:rPr>
            </w:pPr>
            <w:r>
              <w:rPr>
                <w:rFonts w:hint="eastAsia" w:eastAsia="宋体"/>
                <w:b w:val="0"/>
                <w:bCs w:val="0"/>
                <w:sz w:val="20"/>
                <w:szCs w:val="20"/>
              </w:rPr>
              <w:t>淮南中建材腾锋环保科技有限公司环保管理能力提升</w:t>
            </w:r>
            <w:r>
              <w:rPr>
                <w:rFonts w:hint="eastAsia" w:eastAsia="宋体"/>
                <w:b w:val="0"/>
                <w:bCs w:val="0"/>
                <w:sz w:val="20"/>
                <w:szCs w:val="20"/>
                <w:lang w:val="en-US" w:eastAsia="zh-CN"/>
              </w:rPr>
              <w:t>10</w:t>
            </w:r>
            <w:r>
              <w:rPr>
                <w:rFonts w:eastAsia="宋体"/>
                <w:b w:val="0"/>
                <w:bCs w:val="0"/>
                <w:sz w:val="20"/>
                <w:szCs w:val="20"/>
              </w:rPr>
              <w:t>月份整改进度明细表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jc w:val="center"/>
              <w:rPr>
                <w:rFonts w:eastAsia="宋体"/>
                <w:b w:val="0"/>
                <w:bCs w:val="0"/>
                <w:sz w:val="20"/>
                <w:szCs w:val="20"/>
              </w:rPr>
            </w:pPr>
            <w:r>
              <w:rPr>
                <w:rFonts w:hint="eastAsia" w:eastAsia="宋体"/>
                <w:b w:val="0"/>
                <w:bCs w:val="0"/>
                <w:sz w:val="20"/>
                <w:szCs w:val="20"/>
              </w:rPr>
              <w:t>问题内容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jc w:val="center"/>
              <w:rPr>
                <w:rFonts w:eastAsia="宋体"/>
                <w:b w:val="0"/>
                <w:bCs w:val="0"/>
                <w:sz w:val="20"/>
                <w:szCs w:val="20"/>
              </w:rPr>
            </w:pPr>
            <w:r>
              <w:rPr>
                <w:rFonts w:hint="eastAsia" w:eastAsia="宋体"/>
                <w:b w:val="0"/>
                <w:bCs w:val="0"/>
                <w:sz w:val="20"/>
                <w:szCs w:val="20"/>
              </w:rPr>
              <w:t>问题表述</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jc w:val="center"/>
              <w:rPr>
                <w:rFonts w:eastAsia="宋体"/>
                <w:b w:val="0"/>
                <w:bCs w:val="0"/>
                <w:sz w:val="20"/>
                <w:szCs w:val="20"/>
              </w:rPr>
            </w:pPr>
            <w:r>
              <w:rPr>
                <w:rFonts w:hint="eastAsia" w:eastAsia="宋体"/>
                <w:b w:val="0"/>
                <w:bCs w:val="0"/>
                <w:sz w:val="20"/>
                <w:szCs w:val="20"/>
              </w:rPr>
              <w:t>整改措施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jc w:val="center"/>
              <w:rPr>
                <w:rFonts w:eastAsia="宋体"/>
                <w:b w:val="0"/>
                <w:bCs w:val="0"/>
                <w:sz w:val="20"/>
                <w:szCs w:val="20"/>
              </w:rPr>
            </w:pPr>
            <w:r>
              <w:rPr>
                <w:rFonts w:hint="eastAsia" w:eastAsia="宋体"/>
                <w:b w:val="0"/>
                <w:bCs w:val="0"/>
                <w:sz w:val="20"/>
                <w:szCs w:val="20"/>
              </w:rPr>
              <w:t>整改进展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eastAsia="宋体"/>
                <w:b w:val="0"/>
                <w:bCs w:val="0"/>
                <w:sz w:val="20"/>
                <w:szCs w:val="20"/>
              </w:rPr>
            </w:pPr>
            <w:r>
              <w:rPr>
                <w:rFonts w:eastAsia="宋体"/>
                <w:b w:val="0"/>
                <w:bCs w:val="0"/>
                <w:sz w:val="20"/>
                <w:szCs w:val="20"/>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环保管理合规性审查。</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统性识别公司生产经营活动涉及的法律法规与标准规范，列出合规性清单，对照清单逐项查验，梳理公司当前可能存在的环境合规性风险，对不符合项彻底进行整改。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建立合规清单，对照排查不符合项，并落实整改。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eastAsia="宋体"/>
                <w:b w:val="0"/>
                <w:bCs w:val="0"/>
                <w:sz w:val="20"/>
                <w:szCs w:val="20"/>
              </w:rPr>
            </w:pPr>
            <w:r>
              <w:rPr>
                <w:rFonts w:eastAsia="宋体"/>
                <w:b w:val="0"/>
                <w:bCs w:val="0"/>
                <w:sz w:val="20"/>
                <w:szCs w:val="20"/>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强化环保管理体系有效运行。</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公司根据自身的实际情况，建立一套符合国家环保法律法规和行业标准的环保管理体系，确保环保工作的有序进行。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完善内部环保管理组织架构，统筹负责公司环保工作的日常管理和监督工作。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根据环保法律法规要求，补充完善公司内部环保管理制度，明确各部门、各岗位的环保职责，确保环保工作能够落实到实处根据环保法律法规要求，补充完善公司内部环保管理制度，明确各部门、各岗位的环保职责，确保环保工作能够落实到实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强化环保目标责任制，将环保目标分解到各个部门和员工，并建立相应的考核机制，确保环保目标的实现。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建立健全环保档案，对环保工作的各个方面进行详细记录，为环保管理体系的有效运行提供数据支持。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加强与政府部门的沟通协调，生态环境保护部门保持密切联系，及时了解国家环保政策的变化，确保企业的环保管理体系符合政策要求。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加强内部审计和外部审核，定期对环保管理体系进行内部审计和外部审核，找出管理体系中的不足之处，不断改进和完善，确保环保管理体系的有效运行。</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eastAsia="宋体"/>
                <w:b w:val="0"/>
                <w:bCs w:val="0"/>
                <w:sz w:val="20"/>
                <w:szCs w:val="20"/>
              </w:rPr>
            </w:pPr>
            <w:r>
              <w:rPr>
                <w:rFonts w:eastAsia="宋体"/>
                <w:b w:val="0"/>
                <w:bCs w:val="0"/>
                <w:sz w:val="20"/>
                <w:szCs w:val="20"/>
              </w:rPr>
              <w:t>3</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建立完善的环保设施运行管理制度，确保环保设施管理符合国家环保法律法规和行业标准的管理要求。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建立健全环保设施运行档案，对环保设施的运行、维护和检修进行详细记录，为环保设施的监督管理提供数据支持。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定期对环保设施运行进行监测，及时掌握设施运行状况，为环保设施的监督管理提供依据。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eastAsia="宋体"/>
                <w:b w:val="0"/>
                <w:bCs w:val="0"/>
                <w:sz w:val="20"/>
                <w:szCs w:val="20"/>
              </w:rPr>
            </w:pPr>
            <w:r>
              <w:rPr>
                <w:rFonts w:eastAsia="宋体"/>
                <w:b w:val="0"/>
                <w:bCs w:val="0"/>
                <w:sz w:val="20"/>
                <w:szCs w:val="20"/>
              </w:rPr>
              <w:t>4</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公司计划聘请第三方环保管家，以驻厂督导方式，指导提升公司环保管理能力。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大力度开展环境隐患排查治理，采取每月开展环保综合检查、每日实行专职环保员现场巡查，重点部位重点检查的方式，对公司存在的环境隐患问题及时发现及时整改，消除可能存在的环境风险，必要时聘请第三方环保机构或环保专家到厂开展专项检查，消除环保隐患及环保风险。</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firstLine="420"/>
              <w:jc w:val="center"/>
              <w:rPr>
                <w:rFonts w:eastAsia="宋体"/>
                <w:b w:val="0"/>
                <w:bCs w:val="0"/>
                <w:sz w:val="20"/>
                <w:szCs w:val="20"/>
              </w:rPr>
            </w:pPr>
            <w:r>
              <w:rPr>
                <w:rFonts w:eastAsia="宋体"/>
                <w:b w:val="0"/>
                <w:bCs w:val="0"/>
                <w:sz w:val="20"/>
                <w:szCs w:val="20"/>
              </w:rPr>
              <w:t>5</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根据公司实际运营需要，制定培训计划，定期对员工开展环保法律法规及技术规范的培训，让员工能够全面了解和掌握相关环保法律法规及政策。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加强公司中高层管理人员培训，组织相关人员参与政府部门及第三方环保机构组织的培训会议，提高公司管理层人员的环保水平、环保技能。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bl>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附件2：</w:t>
      </w:r>
    </w:p>
    <w:tbl>
      <w:tblPr>
        <w:tblStyle w:val="9"/>
        <w:tblW w:w="1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2"/>
        <w:gridCol w:w="2224"/>
        <w:gridCol w:w="6667"/>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13931" w:type="dxa"/>
            <w:gridSpan w:val="5"/>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z w:val="20"/>
                <w:szCs w:val="20"/>
              </w:rPr>
              <w:t>安徽东华通源生态科技有限公司挂牌督办问题</w:t>
            </w:r>
            <w:r>
              <w:rPr>
                <w:rFonts w:hint="eastAsia" w:ascii="Times New Roman" w:eastAsia="宋体" w:cs="Times New Roman"/>
                <w:sz w:val="20"/>
                <w:szCs w:val="20"/>
                <w:lang w:val="en-US" w:eastAsia="zh-CN"/>
              </w:rPr>
              <w:t>10</w:t>
            </w:r>
            <w:r>
              <w:rPr>
                <w:rFonts w:ascii="Times New Roman" w:hAnsi="Times New Roman" w:eastAsia="宋体" w:cs="Times New Roman"/>
                <w:sz w:val="20"/>
                <w:szCs w:val="20"/>
              </w:rPr>
              <w:t>月份整改进度明细表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96" w:type="dxa"/>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序号</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问题清单内容</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问题描述</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整改措施</w:t>
            </w:r>
          </w:p>
        </w:tc>
        <w:tc>
          <w:tcPr>
            <w:tcW w:w="3352" w:type="dxa"/>
            <w:tcBorders>
              <w:lef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督办问题一：未按照国家环境保护标准处置危险废物。</w:t>
            </w:r>
          </w:p>
          <w:p>
            <w:pPr>
              <w:autoSpaceDE w:val="0"/>
              <w:autoSpaceDN w:val="0"/>
              <w:ind w:firstLine="480"/>
              <w:rPr>
                <w:rFonts w:ascii="Times New Roman" w:hAnsi="Times New Roman" w:eastAsia="宋体" w:cs="Times New Roman"/>
                <w:snapToGrid w:val="0"/>
                <w:kern w:val="0"/>
                <w:sz w:val="20"/>
                <w:szCs w:val="20"/>
                <w:lang w:val="zh-CN" w:bidi="zh-CN"/>
              </w:rPr>
            </w:pPr>
          </w:p>
        </w:tc>
        <w:tc>
          <w:tcPr>
            <w:tcW w:w="2224" w:type="dxa"/>
            <w:vMerge w:val="restart"/>
            <w:tcBorders>
              <w:top w:val="single" w:color="auto" w:sz="4" w:space="0"/>
              <w:left w:val="single" w:color="auto" w:sz="4" w:space="0"/>
              <w:right w:val="single" w:color="auto" w:sz="4" w:space="0"/>
            </w:tcBorders>
            <w:shd w:val="clear" w:color="auto" w:fill="auto"/>
            <w:vAlign w:val="center"/>
          </w:tcPr>
          <w:p>
            <w:pPr>
              <w:kinsoku w:val="0"/>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经调阅该企业危险废物经营许可证及危险废物出库台账，发现该企业于2023年将液态的192.3吨废母液（企业解释作为螯合剂）与其他危险废物混合固化后填埋，不符合《危险废物填埋污染控制标准》（GB1859-2019）6.1规定的液态废物不得填埋的要求。</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1.停止将废母液与其他危险废物混合固化后填埋，邀请环保技术和法律专家提供技术指导、优化废母液的处置方式。</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2.全面排查公司2023年以来废母液的处置情况，将生产记录和相关检测报告整理完善。</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val="zh-CN" w:bidi="zh-CN"/>
              </w:rPr>
              <w:t>3.</w:t>
            </w:r>
            <w:r>
              <w:rPr>
                <w:rFonts w:ascii="Times New Roman" w:hAnsi="Times New Roman" w:eastAsia="宋体" w:cs="Times New Roman"/>
                <w:snapToGrid w:val="0"/>
                <w:kern w:val="0"/>
                <w:sz w:val="20"/>
                <w:szCs w:val="20"/>
                <w:lang w:bidi="zh-CN"/>
              </w:rPr>
              <w:t>根据法律法规和行业标准以及环评文件要求，制定完善的危险废物分类管理、分类处置的操作规程，建立危险废物处置事前审查、事中检查、事后复核的合规管理制度。邀请市、区生态环境主管部门以及环保技术和法律专家对操作规程的可行性、合规性进行论证。</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r>
              <w:rPr>
                <w:rFonts w:ascii="Times New Roman" w:hAnsi="Times New Roman" w:eastAsia="宋体" w:cs="Times New Roman"/>
                <w:snapToGrid w:val="0"/>
                <w:kern w:val="0"/>
                <w:sz w:val="20"/>
                <w:szCs w:val="20"/>
                <w:lang w:bidi="zh-CN"/>
              </w:rPr>
              <w:t>制定法律知识和技术标准的培训计划，针对不同岗位合理设置培训课程，提高员工识别、处置合规风险的能力。</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5.聘请具有资质的环境检测机构、鉴定评估机构针对2023年废母液与其他危险废物混合固化后填埋对填埋场及周边环境是否造成不利影响以及可能造成影响的范围开展环境检测和生态环境损害鉴定评估，制定处置和修复治理方案，并就方案组织专家评审修改版。</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6.根据专家意见对处置和修复治理方案进行修订完善，报市、区生态环境主管部门同意后实施。根据方案及生态环境主管部门意见，对存在废母液与其他危险废物固化填埋的区域，采取挖掘后规范处置（如需要）、自然修复并长期监控、替代修复等措施，消除、减少环境影响。对于无法修复的，主动承担生态环境损害赔偿责任。</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2</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督办问题二：污染防治措施不到位</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该企业恶臭气体和挥发性有机物收集处理设施建设不完善，无组织排放严重。固化车间刺激性气味明显，大量废母液存在跑冒滴漏现场。物料暂存库、卸料区、稳固化车间、焚烧预处理车间等门窗密封不严，废气收集效果差，厂区内异味明显。</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1.立即采取相应措施，减少生产经营期间的恶臭气体产生，确保恶臭气体达标排放。</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（1）暂停异味较大物料的收运，从源头减少恶臭气体的产生。</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（2）在合理配伍基础上，加快贮存物料的处置，减少仓库库存量，减少恶臭气体的产生量。</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（3）邀请废气收集处理设施厂家对现有设备进行检查，排除设备漏风、堵灰等故障和隐患。</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（4）针对填埋场气体无组织排放带来的异味问题，采取覆盖等措施，合理安排填埋作业时间，避免阴雨天和大风天气作业，减少恶臭气体外溢。</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2.升级改造恶臭气体和挥发性有机物收集处理设施，提升废气收集效率，降低无组织排放浓度，确保稳定达标排放。</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（1）委托第三方设计机构对现有恶臭气体和挥发性有机物收集处理设施的性能进行检查。</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委托环保技术咨询机构开展环境影响后评价，将现有恶臭气体和挥发性有机物收集处理设施存在问题作为环境影响后评价调查的重点内容之一，提出补救或改进措施。</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与第三方设计机构、环保技术咨询机构会商讨论工艺改进方案、分析方案可行性。</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（2）委托第三方设计机构进行改造方案设计，提交改造方案和设计文件，并报市、区生态环境主管部门审核。</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w:t>
            </w:r>
            <w:r>
              <w:rPr>
                <w:rFonts w:hint="eastAsia" w:ascii="Times New Roman" w:hAnsi="Times New Roman" w:eastAsia="宋体" w:cs="Times New Roman"/>
                <w:snapToGrid w:val="0"/>
                <w:kern w:val="0"/>
                <w:sz w:val="20"/>
                <w:szCs w:val="20"/>
                <w:lang w:bidi="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将环境影响后评价文件报市、区生态环境主管部门备案，接受生态环境主管部门的监督检查。</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（3）实施环保设施改造方案，落实环境影响后评价提出的环境保护补救方案和改进措施，具体包括：</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提升料坑除臭系统性能，提高风机参数，优化布风管道；</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提升危险废物暂存库除臭系统性能，改造风管布置，增加调风装置；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提升固化车间除臭系统性能，增加隔离措施，增加除臭装置；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对暂存库、焚烧预处理和固化车间门窗升级改造，更换密封性更好的快速卷帘门等。</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（4）购买小型喷雾机，及时喷洒除臭药剂，降低恶臭气体无组织排放浓度。</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3.健全合规管理体系、增强员工合规意识、严格合规制度落实，避免操作不当造成跑冒滴漏、恶臭气体外溢。</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建立市场部、技术中心（危险废物暂存库）、生产车间的信息沟通与协调机制，在危险废物收运前做好物料对厂区大气等环境的影响程度、处置难度、处置周期的分析研判，合理统筹收运计划、生产调度，对危险废物暂存库、固化车间、焚烧车间的待生产物料数量进行控制，避免物料积压，减少恶臭气体产生量。</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优化作业流程，强化制度建设。对危险废物收运、贮存、固化、焚烧、填埋等作业流程进行梳理，针对易产生跑冒滴漏、恶臭气体外溢的环节优化作业流程、细化操作规程，明确部门、岗位职责，建立环境卫生和跑冒滴漏现象巡查、检查、考核与奖惩机制。</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（3）加强培训，提高管理人员及操作人员的合规意识和环境管理能力，营造“人人合规、事事合规、时时合规”的企业文化。</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3</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举一反三问题一</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危险废物台账管理分散，归档不完整、不规范。</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1.对公司执行《危险废物管理计划和管理台账制定技术导则（HJ 1259—2022）》情况进行复查，核对省固废系统和厂内记录，核对联单记录和处理记录，全面梳理公司管理台账。</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2.市场部、技术中心和生产部从危废源头进厂开始检查、安环部复核，确保记录完整、真实，固废系统电子台账、危废联单和厂内纸质记录一一对应，梳理后进行完整、归档，做到可追溯、可查询。</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举一反三问题二</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未设置物流专用运输通道，厂内运输跑冒滴漏严重</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1.设置仓库至填埋场、焚烧车间至填埋场、固化车间至填埋场指定路线。</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2.完善车辆防抛洒措施，减少路面抛洒。</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3.指定专人负责在物流运输后及时打扫。</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5</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举一反三问题三</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厂区存在露天堆放吨桶现象。</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1.立即将露天堆放的吨桶转运至规范贮存场所。</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2.加强员工培训，修改完善操作规程，严禁在没有防护措施的情况下临时堆放危险废物。</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6</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举一反三问题四</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危险废物暂存库管理不规范，存在渗滤液收集设施不完善、危险废物分区标识设置不规范问题</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1.对液态危险废物以及可能产生渗滤液的危险废物包装物底部严格按照标准要求，加强防渗漏措施，防止液态危险废物、渗滤液泄露造成污染。</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2.对厂区危废储存设施和储存的物料进行标识、标签的合规设置。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3.加强运输公司培训，从转移过程把控危险废物标签的合规设置。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7</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举一反三问题五</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厂区内绿化养护不足。</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对厂区内绿化环境进行全面升级改造，在厂区周围种植水杉、藤蔓类植物，逐步形成“绿色工厂”。</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8</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长效机制一</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坚持依法治企，强化合规经营。针对这次督办，公司已经聘请环保专项合规团队，对经营中的环境问题进行专项环保合规整改，搭建合规管理体系，进一步完善和促进公司合法合规经营。</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1.开展合规管理现状调查。依托第三方专业机构，对环保合规管理现状全面调查，分析公司合规管理现状与合规管理目标之间的差距，明确环保合规管理的重点任务、重点环节和重点岗位。</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建立合规管理组织体系。识别和梳理公司环保管理工作事项、岗位与人员配置、职责权限分配情况，调整环保管理组织结构，制作各环保工作岗位的职责清单，明确各岗位环保管理的工作内容、工作要求、工作方法、违规责任。</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3.完善环保合规制度体系。对现有合规管理制度、环保管理制度，逐项出具合规审查意见，提出补充、修改、完善建议。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4.建立环保合规运行机制并开展试运行。建立合规义务识别、合规风险评估预警、合规检查、合规调查与奖惩、合规报告等机制，并开展试运行。</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5.持续提升合规管理水平。对合规组织体系、合规制度体系、合规运行机制的建设运行情况进行总结，对合规管理体系的有效性进行评估，对后续合规管理工作提出完善建议。</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9</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长效机制二</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聘请环境后评价技术咨询单位，对公司现存问题对照环评文件和现行法律法规、标准规范、属地要求，进行深入全面的梳理排查</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依托第三方专业机构，对公司环评文件及现场环境情况进行梳理，整理现有环境问题并提出改进措施并进行可行性分析，出具环境影响后评价结论。</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10</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长效机制三</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引以为戒，全面提升企业能力和企业形象。与邻为善，多联互动，积极参与地方发展。</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公司将加强与地方政府和临近居民组织的联系，适时邀请各方代表到公司访谈，根据意见进行持续改进改善。</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11</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长效机制四</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加强与生态环境部门联系，寻求业务指导</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积极主动联系生态环境部门进行监管，不避讳，不隐瞒。</w:t>
            </w:r>
          </w:p>
        </w:tc>
        <w:tc>
          <w:tcPr>
            <w:tcW w:w="3352" w:type="dxa"/>
            <w:tcBorders>
              <w:lef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bl>
    <w:p>
      <w:pPr>
        <w:pStyle w:val="14"/>
        <w:ind w:firstLine="0" w:firstLineChars="0"/>
        <w:rPr>
          <w:rFonts w:ascii="Times New Roman" w:hAnsi="Times New Roman" w:eastAsia="仿宋"/>
          <w:szCs w:val="3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Lucida Sans">
    <w:altName w:val="DejaVu Sans"/>
    <w:panose1 w:val="00000000000000000000"/>
    <w:charset w:val="00"/>
    <w:family w:val="swiss"/>
    <w:pitch w:val="default"/>
    <w:sig w:usb0="00000000" w:usb1="00000000" w:usb2="00000000" w:usb3="00000000" w:csb0="00000001" w:csb1="00000000"/>
  </w:font>
  <w:font w:name="等线">
    <w:altName w:val="国标仿宋"/>
    <w:panose1 w:val="02010600030101010101"/>
    <w:charset w:val="86"/>
    <w:family w:val="auto"/>
    <w:pitch w:val="default"/>
    <w:sig w:usb0="00000000" w:usb1="00000000" w:usb2="00000016" w:usb3="00000000" w:csb0="0004000F" w:csb1="00000000"/>
  </w:font>
  <w:font w:name="国标仿宋">
    <w:panose1 w:val="02000500000000000000"/>
    <w:charset w:val="86"/>
    <w:family w:val="auto"/>
    <w:pitch w:val="default"/>
    <w:sig w:usb0="A00002BF" w:usb1="38C77CFA" w:usb2="00000016" w:usb3="00000000" w:csb0="00060007" w:csb1="00000000"/>
  </w:font>
  <w:font w:name="仿宋_GB2312">
    <w:altName w:val="文泉驿微米黑"/>
    <w:panose1 w:val="02010609030101010101"/>
    <w:charset w:val="86"/>
    <w:family w:val="modern"/>
    <w:pitch w:val="default"/>
    <w:sig w:usb0="00000000" w:usb1="00000000" w:usb2="00000000" w:usb3="00000000" w:csb0="00040000" w:csb1="00000000"/>
  </w:font>
  <w:font w:name="方正仿宋_GBK">
    <w:altName w:val="文泉驿微米黑"/>
    <w:panose1 w:val="02000000000000000000"/>
    <w:charset w:val="86"/>
    <w:family w:val="auto"/>
    <w:pitch w:val="default"/>
    <w:sig w:usb0="00000000" w:usb1="00000000" w:usb2="00000000" w:usb3="00000000" w:csb0="00040000" w:csb1="00000000"/>
  </w:font>
  <w:font w:name="方正仿宋简体">
    <w:altName w:val="文泉驿微米黑"/>
    <w:panose1 w:val="00000000000000000000"/>
    <w:charset w:val="86"/>
    <w:family w:val="auto"/>
    <w:pitch w:val="default"/>
    <w:sig w:usb0="00000000" w:usb1="00000000" w:usb2="00000012" w:usb3="00000000" w:csb0="00040001" w:csb1="00000000"/>
  </w:font>
  <w:font w:name="仿宋">
    <w:altName w:val="文泉驿微米黑"/>
    <w:panose1 w:val="02010609060101010101"/>
    <w:charset w:val="86"/>
    <w:family w:val="modern"/>
    <w:pitch w:val="default"/>
    <w:sig w:usb0="00000000" w:usb1="00000000" w:usb2="00000016" w:usb3="00000000" w:csb0="00040001" w:csb1="00000000"/>
  </w:font>
  <w:font w:name="华文中宋">
    <w:altName w:val="文泉驿微米黑"/>
    <w:panose1 w:val="02010600040101010101"/>
    <w:charset w:val="86"/>
    <w:family w:val="auto"/>
    <w:pitch w:val="default"/>
    <w:sig w:usb0="00000000" w:usb1="00000000" w:usb2="00000000" w:usb3="00000000" w:csb0="0004009F" w:csb1="DFD70000"/>
  </w:font>
  <w:font w:name="方正小标宋简体">
    <w:altName w:val="Noto Serif CJK JP"/>
    <w:panose1 w:val="02000000000000000000"/>
    <w:charset w:val="86"/>
    <w:family w:val="auto"/>
    <w:pitch w:val="default"/>
    <w:sig w:usb0="00000000" w:usb1="00000000" w:usb2="00000012" w:usb3="00000000" w:csb0="00040001"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066800" cy="203200"/>
              <wp:effectExtent l="0" t="0" r="0" b="0"/>
              <wp:wrapNone/>
              <wp:docPr id="1026" name="_x0000_s1026"/>
              <wp:cNvGraphicFramePr/>
              <a:graphic xmlns:a="http://schemas.openxmlformats.org/drawingml/2006/main">
                <a:graphicData uri="http://schemas.microsoft.com/office/word/2010/wordprocessingShape">
                  <wps:wsp>
                    <wps:cNvSpPr/>
                    <wps:spPr>
                      <a:xfrm>
                        <a:off x="0" y="0"/>
                        <a:ext cx="1066800" cy="203150"/>
                      </a:xfrm>
                      <a:prstGeom prst="rect">
                        <a:avLst/>
                      </a:prstGeom>
                      <a:noFill/>
                      <a:ln w="9525" cap="flat" cmpd="sng">
                        <a:noFill/>
                        <a:prstDash val="solid"/>
                        <a:miter/>
                      </a:ln>
                    </wps:spPr>
                    <wps:txbx>
                      <w:txbxContent>
                        <w:p>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6pt;width:84pt;mso-position-horizontal:center;mso-position-horizontal-relative:margin;mso-wrap-style:none;z-index:251659264;mso-width-relative:page;mso-height-relative:page;" filled="f" stroked="f" coordsize="21600,21600" o:gfxdata="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CgAAAAAAh07iQAAAAAAAAAAAAAAAAAQAAAAAAAAAAAAQ&#10;AAAAFgAAAGRycy9QSwECFAAUAAAACACHTuJARqtxsfgBAAD5AwAADgAAAAAAAAABACAAAAA2AQAA&#10;ZHJzL2Uyb0RvYy54bWxQSwECFAAUAAAACACHTuJAYnRQg9EAAAAEAQAADwAAAAAAAAABACAAAAA4&#10;AAAAZHJzL2Rvd25yZXYueG1sUEsFBgAAAAAGAAYAWQEAAKAFAAAAAA==&#10;">
              <v:fill on="f" focussize="0,0"/>
              <v:stroke on="f" joinstyle="miter"/>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066800" cy="203200"/>
              <wp:effectExtent l="0" t="0" r="0" b="0"/>
              <wp:wrapNone/>
              <wp:docPr id="1025" name="_x0000_s1025"/>
              <wp:cNvGraphicFramePr/>
              <a:graphic xmlns:a="http://schemas.openxmlformats.org/drawingml/2006/main">
                <a:graphicData uri="http://schemas.microsoft.com/office/word/2010/wordprocessingShape">
                  <wps:wsp>
                    <wps:cNvSpPr/>
                    <wps:spPr>
                      <a:xfrm>
                        <a:off x="0" y="0"/>
                        <a:ext cx="1066800" cy="203150"/>
                      </a:xfrm>
                      <a:prstGeom prst="rect">
                        <a:avLst/>
                      </a:prstGeom>
                      <a:noFill/>
                      <a:ln w="9525" cap="flat" cmpd="sng">
                        <a:noFill/>
                        <a:prstDash val="solid"/>
                        <a:miter/>
                      </a:ln>
                    </wps:spPr>
                    <wps:txbx>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6pt;width:84pt;mso-position-horizontal:center;mso-position-horizontal-relative:margin;mso-wrap-style:none;z-index:251659264;mso-width-relative:page;mso-height-relative:page;" filled="f" stroked="f" coordsize="21600,21600" o:gfxdata="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&#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AkwPE/9wEAAPkDAAAOAAAAAAAAAAEAIAAAADYBAABk&#10;cnMvZTJvRG9jLnhtbFBLAQIUABQAAAAIAIdO4kBidFCD0QAAAAQBAAAPAAAAAAAAAAEAIAAAADgA&#10;AABkcnMvZG93bnJldi54bWxQSwUGAAAAAAYABgBZAQAAnwUAAAAA&#10;">
              <v:fill on="f" focussize="0,0"/>
              <v:stroke on="f" joinstyle="miter"/>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ThmOWU1ODhlZjM0ZTg4YzVjMWU4YjYzMDdmMTlkMTEifQ=="/>
  </w:docVars>
  <w:rsids>
    <w:rsidRoot w:val="00000000"/>
    <w:rsid w:val="3FE36373"/>
    <w:rsid w:val="6BFE7D24"/>
    <w:rsid w:val="7FFB6705"/>
    <w:rsid w:val="A7BBC686"/>
    <w:rsid w:val="BDE3C4E3"/>
    <w:rsid w:val="EEBE238D"/>
    <w:rsid w:val="F37E3676"/>
    <w:rsid w:val="F87DAC3D"/>
    <w:rsid w:val="FDFF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index 6"/>
    <w:basedOn w:val="1"/>
    <w:next w:val="1"/>
    <w:qFormat/>
    <w:uiPriority w:val="0"/>
    <w:pPr>
      <w:ind w:left="2100"/>
    </w:pPr>
  </w:style>
  <w:style w:type="paragraph" w:styleId="6">
    <w:name w:val="Body Text Indent 2"/>
    <w:basedOn w:val="1"/>
    <w:qFormat/>
    <w:uiPriority w:val="0"/>
    <w:pPr>
      <w:spacing w:after="120" w:line="480" w:lineRule="auto"/>
      <w:ind w:left="200" w:leftChars="200"/>
    </w:pPr>
    <w:rPr>
      <w:rFonts w:ascii="Times New Roman" w:hAnsi="Times New Roman" w:eastAsia="仿宋_GB2312" w:cs="Times New Roman"/>
      <w:b/>
      <w:bCs/>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character" w:customStyle="1" w:styleId="11">
    <w:name w:val="heading 1 Char"/>
    <w:basedOn w:val="10"/>
    <w:link w:val="2"/>
    <w:qFormat/>
    <w:uiPriority w:val="0"/>
    <w:rPr>
      <w:rFonts w:ascii="等线" w:hAnsi="Times New Roman" w:eastAsia="等线" w:cs="Arial"/>
      <w:b/>
      <w:bCs/>
      <w:kern w:val="44"/>
      <w:sz w:val="44"/>
      <w:szCs w:val="44"/>
      <w:lang w:val="en-US" w:eastAsia="zh-CN" w:bidi="ar-SA"/>
    </w:rPr>
  </w:style>
  <w:style w:type="character" w:customStyle="1" w:styleId="12">
    <w:name w:val="heading 2 Char"/>
    <w:basedOn w:val="10"/>
    <w:link w:val="3"/>
    <w:uiPriority w:val="0"/>
    <w:rPr>
      <w:rFonts w:ascii="Times New Roman" w:hAnsi="Times New Roman" w:eastAsia="黑体" w:cs="Arial"/>
      <w:b/>
      <w:bCs/>
      <w:kern w:val="2"/>
      <w:sz w:val="32"/>
      <w:szCs w:val="32"/>
      <w:lang w:val="en-US" w:eastAsia="zh-CN" w:bidi="ar-SA"/>
    </w:rPr>
  </w:style>
  <w:style w:type="character" w:customStyle="1" w:styleId="13">
    <w:name w:val="heading 3 Char"/>
    <w:basedOn w:val="10"/>
    <w:link w:val="4"/>
    <w:uiPriority w:val="0"/>
    <w:rPr>
      <w:rFonts w:ascii="等线" w:hAnsi="Times New Roman" w:eastAsia="等线" w:cs="Arial"/>
      <w:b/>
      <w:bCs/>
      <w:kern w:val="2"/>
      <w:sz w:val="32"/>
      <w:szCs w:val="32"/>
      <w:lang w:val="en-US" w:eastAsia="zh-CN" w:bidi="ar-SA"/>
    </w:rPr>
  </w:style>
  <w:style w:type="paragraph" w:customStyle="1" w:styleId="14">
    <w:name w:val="正文文本缩进 21"/>
    <w:basedOn w:val="1"/>
    <w:qFormat/>
    <w:uiPriority w:val="0"/>
    <w:pPr>
      <w:spacing w:line="590" w:lineRule="exact"/>
      <w:ind w:firstLine="200" w:firstLineChars="200"/>
    </w:pPr>
    <w:rPr>
      <w:rFonts w:ascii="Calibri" w:hAnsi="Calibri" w:eastAsia="方正仿宋_GBK" w:cs="Times New Roman"/>
      <w:sz w:val="32"/>
    </w:rPr>
  </w:style>
  <w:style w:type="paragraph" w:customStyle="1" w:styleId="15">
    <w:name w:val="仿宋正文"/>
    <w:basedOn w:val="1"/>
    <w:qFormat/>
    <w:uiPriority w:val="0"/>
    <w:pPr>
      <w:widowControl w:val="0"/>
      <w:autoSpaceDE w:val="0"/>
      <w:autoSpaceDN w:val="0"/>
      <w:spacing w:line="600" w:lineRule="exact"/>
      <w:ind w:firstLine="200" w:firstLineChars="200"/>
    </w:pPr>
    <w:rPr>
      <w:rFonts w:ascii="Times New Roman" w:hAnsi="Times New Roman" w:eastAsia="方正仿宋简体" w:cs="仿宋"/>
      <w:snapToGrid w:val="0"/>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20</Pages>
  <Words>0</Words>
  <Characters>8357</Characters>
  <Lines>0</Lines>
  <Paragraphs>28</Paragraphs>
  <TotalTime>9</TotalTime>
  <ScaleCrop>false</ScaleCrop>
  <LinksUpToDate>false</LinksUpToDate>
  <CharactersWithSpaces>11143</CharactersWithSpaces>
  <Application>WPS Office_11.1.0.11698_F1E327BC-269C-435d-A152-05C5408002CA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2024-03-27T03:54:00Z</dcterms:created>
  <dc:creator>春 韩</dc:creator>
  <cp:lastModifiedBy>hnsw</cp:lastModifiedBy>
  <cp:lastPrinted>2024-05-28T09:07:00Z</cp:lastPrinted>
  <dcterms:modified xsi:type="dcterms:W3CDTF">2024-10-31T10:06:28Z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710C0F39FAEE4A5D86378B7557484AC5_12</vt:lpwstr>
  </property>
</Properties>
</file>